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952F"/>
          <w:spacing w:val="60"/>
          <w:sz w:val="18"/>
          <w:szCs w:val="18"/>
        </w:rPr>
        <w:t xml:space="preserve">PROPOSAL · BOARD REVIEW</w:t>
      </w:r>
    </w:p>
    <w:p>
      <w:pPr>
        <w:pStyle w:val="Title"/>
      </w:pPr>
      <w:r>
        <w:t xml:space="preserve">Forward Deployed Engineering — Charter Proposal</w:t>
      </w:r>
    </w:p>
    <w:p>
      <w:pPr>
        <w:spacing w:after="80"/>
      </w:pPr>
      <w:r>
        <w:rPr>
          <w:i/>
          <w:iCs/>
          <w:color w:val="5B6B7E"/>
          <w:sz w:val="22"/>
          <w:szCs w:val="22"/>
        </w:rPr>
        <w:t xml:space="preserve">Head of FDE (proposed) · 30/60/90 Playbook · Jithendran (Jeeth) Sellamuthu · June 2026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6"/>
      </w:pPr>
      <w:r>
        <w:t xml:space="preserve">Grounded in a first-principles read of statusneo.com — the AuthenticAI™ Loop, Enterprise OS Fabric™, AI-Native SDLC, the GCC model, the AI Maturity Index, and the May-2026 whitepaper trilogy. This proposes the one capability the portfolio does not yet name — and how I would build it in the first 90 days.</w:t>
      </w:r>
    </w:p>
    <w:p>
      <w:pPr>
        <w:pStyle w:val="Heading1"/>
      </w:pPr>
      <w:r>
        <w:rPr>
          <w:color w:val="16263F"/>
        </w:rPr>
        <w:t xml:space="preserve">1. The Strategic Gap</w:t>
      </w:r>
    </w:p>
    <w:p>
      <w:pPr>
        <w:spacing w:after="120" w:line="276"/>
      </w:pPr>
      <w:r>
        <w:rPr>
          <w:b/>
          <w:bCs/>
        </w:rPr>
        <w:t xml:space="preserve">What StatusNeo has already built (and built well):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AuthenticAI™ Loop</w:t>
      </w:r>
      <w:r>
        <w:t xml:space="preserve"> — Clarity → Build → Velocity → Improvement (Design → Engineer → Automate → Govern).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Enterprise OS Fabric™</w:t>
      </w:r>
      <w:r>
        <w:t xml:space="preserve"> — six fabrics: Developer, Data, Ops, Security, Experience, Decision.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AI-Native SDLC</w:t>
      </w:r>
      <w:r>
        <w:t xml:space="preserve"> + the AI Maturity Index (5 vectors) + an AI Agents Library.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GCC Setup &amp; Scale</w:t>
      </w:r>
      <w:r>
        <w:t xml:space="preserve"> — offshore-concentrated, Silicon-Valley-disciplined.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Sharp 2026 POV</w:t>
      </w:r>
      <w:r>
        <w:t xml:space="preserve"> — Context is the Moat, The Agent Washing Era, The Agentic Enterprise Blueprint.</w:t>
      </w:r>
    </w:p>
    <w:p>
      <w:pPr>
        <w:spacing w:after="60"/>
      </w:pPr>
    </w:p>
    <w:p>
      <w:pPr>
        <w:spacing w:after="120" w:line="276"/>
      </w:pPr>
      <w:r>
        <w:rPr>
          <w:b/>
          <w:bCs/>
          <w:color w:val="16263F"/>
        </w:rPr>
        <w:t xml:space="preserve">The gap, stated plainly: </w:t>
      </w:r>
      <w:r>
        <w:t xml:space="preserve">StatusNeo's delivery center of gravity is </w:t>
      </w:r>
      <w:r>
        <w:rPr>
          <w:b/>
          <w:bCs/>
        </w:rPr>
        <w:t xml:space="preserve">offshore, GCC-led, framework-first</w:t>
      </w:r>
      <w:r>
        <w:t xml:space="preserve">. What the portfolio does </w:t>
      </w:r>
      <w:r>
        <w:rPr>
          <w:i/>
          <w:iCs/>
        </w:rPr>
        <w:t xml:space="preserve">not</w:t>
      </w:r>
      <w:r>
        <w:t xml:space="preserve"> name anywhere is the </w:t>
      </w:r>
      <w:r>
        <w:rPr>
          <w:b/>
          <w:bCs/>
        </w:rPr>
        <w:t xml:space="preserve">onshore, customer-embedded, high-trust delivery motion</w:t>
      </w:r>
      <w:r>
        <w:t xml:space="preserve"> — the Forward Deployed Engineering practice — that: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Lands</w:t>
      </w:r>
      <w:r>
        <w:t xml:space="preserve"> the OS Fabric™ and the Loops inside the customer's environment, not just in a GCC.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De-risks the offshore handoff</w:t>
      </w:r>
      <w:r>
        <w:t xml:space="preserve"> — the single biggest failure mode of GCC-led delivery is the gap between offshore execution and onsite customer reality. The FDE is the human bridge.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Wins regulated, air-gapped enterprises</w:t>
      </w:r>
      <w:r>
        <w:t xml:space="preserve"> — StatusNeo's own OS Fabric page names healthcare, BFSI, defense as air-gapped targets. Those buyers do not buy pure-offshore. They demand embedded, cleared, onsite engineers.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Becomes the tip of the spear for land-and-expand</w:t>
      </w:r>
      <w:r>
        <w:t xml:space="preserve"> — one embedded FDE who earns trust converts a single project into a GCC-scale account. FDE opens the accounts the GCC then scales.</w:t>
      </w:r>
    </w:p>
    <w:p>
      <w:pPr>
        <w:spacing w:after="60"/>
      </w:pPr>
    </w:p>
    <w:p>
      <w:pPr>
        <w:pBdr>
          <w:left w:val="single" w:color="C9952F" w:sz="18" w:space="12"/>
        </w:pBdr>
        <w:spacing w:after="160" w:before="120" w:line="288"/>
        <w:ind w:left="240"/>
      </w:pPr>
      <w:r>
        <w:rPr>
          <w:i/>
          <w:iCs/>
          <w:color w:val="16263F"/>
          <w:sz w:val="24"/>
          <w:szCs w:val="24"/>
        </w:rPr>
        <w:t xml:space="preserve">StatusNeo has the frameworks and the offshore scale. FDE is the missing onshore tip of the spear that lands those frameworks inside the customer, de-risks the handoff, and unlocks the regulated enterprises your air-gapped posture is already built for. I have run this exact embedded motion for 28 years — and just proved it live for your customer Modutecture.</w:t>
      </w:r>
    </w:p>
    <w:p>
      <w:pPr>
        <w:pStyle w:val="Heading1"/>
      </w:pPr>
      <w:r>
        <w:rPr>
          <w:color w:val="16263F"/>
        </w:rPr>
        <w:t xml:space="preserve">2. Why Me — The Proof Is Already on the Table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28 years of FDE-equivalent work</w:t>
      </w:r>
      <w:r>
        <w:t xml:space="preserve"> — embedded-at-customer engineering from HCL-HP (BT, Nortel, CSFB) through Qualcomm (40M+ users, 99.999%, founding→Director, US Patent 8,655,833), GE Healthcare (HL7/FHIR/HIPAA/SOC2), Mitchell (250 eng, value-stream pods), Amazon (six-nines, zero breach 3 yrs), to a Stealth GenAI platform (~213K LOC/11mo, 80 microservices, governed agentic AI).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Regulated-domain native</w:t>
      </w:r>
      <w:r>
        <w:t xml:space="preserve"> — healthcare, financial, safety-critical. Exactly StatusNeo's air-gapped target verticals.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AI-native architect</w:t>
      </w:r>
      <w:r>
        <w:t xml:space="preserve"> — governed agentic AI where the model proposes and a deterministic gate disposes. This is the AuthenticAI™ 'responsible, not reckless' thesis, in running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Live proof</w:t>
      </w:r>
      <w:r>
        <w:t xml:space="preserve"> — I just delivered a working, customer-validated FDE engagement for Modutecture (StatusNeo's customer). The CTO was enthusiastic and invited me deeper. That engagement is the pilot case for this entire practice.</w:t>
      </w:r>
    </w:p>
    <w:p>
      <w:pPr>
        <w:pStyle w:val="Heading1"/>
      </w:pPr>
      <w:r>
        <w:rPr>
          <w:color w:val="16263F"/>
        </w:rPr>
        <w:t xml:space="preserve">3. The FDE Operating Model</w:t>
      </w:r>
    </w:p>
    <w:p>
      <w:pPr>
        <w:spacing w:after="120" w:line="276"/>
      </w:pPr>
      <w:r>
        <w:rPr>
          <w:b/>
          <w:bCs/>
          <w:color w:val="16263F"/>
        </w:rPr>
        <w:t xml:space="preserve">Definition: </w:t>
      </w:r>
      <w:r>
        <w:t xml:space="preserve">A small cadre of senior, onshore, customer-embedded engineers who own a customer outcome end-to-end — intake → architecture → landed production → expansion — and who pull StatusNeo's offshore pods and IP (OS Fabric™, Loops, Agents Library) in behind them.</w:t>
      </w:r>
    </w:p>
    <w:p>
      <w:pPr>
        <w:pStyle w:val="Heading3"/>
      </w:pPr>
      <w:r>
        <w:rPr>
          <w:color w:val="C9952F"/>
        </w:rPr>
        <w:t xml:space="preserve">The FDE ↔ GCC relationship (not competing — sequencing)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FDE lands; GCC scales.</w:t>
      </w:r>
      <w:r>
        <w:t xml:space="preserve"> The FDE opens and de-risks the account onsite; the offshore pod scales delivery behind a now-trusted relationship.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FDE = onshore trust + architecture authority. GCC = offshore velocity + cost.</w:t>
      </w:r>
      <w:r>
        <w:t xml:space="preserve"> Two halves of one motion.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One pod, always on</w:t>
      </w:r>
      <w:r>
        <w:t xml:space="preserve"> — the FDE is the single point of ownership; handoffs disappear.</w:t>
      </w:r>
    </w:p>
    <w:p>
      <w:pPr>
        <w:pStyle w:val="Heading3"/>
      </w:pPr>
      <w:r>
        <w:rPr>
          <w:color w:val="C9952F"/>
        </w:rPr>
        <w:t xml:space="preserve">Differentiation IP to create (StatusNeo-branded)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The FDE Loop™</w:t>
      </w:r>
      <w:r>
        <w:t xml:space="preserve"> — the embedded-delivery methodology (the cookbook).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FDE Maturity Index</w:t>
      </w:r>
      <w:r>
        <w:t xml:space="preserve"> — extends the existing AI Maturity Index to embedded-delivery readiness.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Landing Runbook</w:t>
      </w:r>
      <w:r>
        <w:t xml:space="preserve"> — the repeatable 'first 90 days inside a customer' playbook (the runbook).</w:t>
      </w:r>
    </w:p>
    <w:p>
      <w:r>
        <w:br w:type="page"/>
      </w:r>
    </w:p>
    <w:p>
      <w:pPr>
        <w:pStyle w:val="Heading1"/>
      </w:pPr>
      <w:r>
        <w:rPr>
          <w:color w:val="16263F"/>
        </w:rPr>
        <w:t xml:space="preserve">4. The 30 / 60 / 90 Day Playbook</w:t>
      </w:r>
    </w:p>
    <w:p>
      <w:pPr>
        <w:pStyle w:val="Heading2"/>
      </w:pPr>
      <w:r>
        <w:rPr>
          <w:color w:val="16263F"/>
        </w:rPr>
        <w:t xml:space="preserve">Days 0–30 — Listen, Map, and Land the Pilot</w:t>
      </w:r>
    </w:p>
    <w:p>
      <w:pPr>
        <w:spacing w:after="120" w:line="276"/>
      </w:pPr>
      <w:r>
        <w:rPr>
          <w:b/>
          <w:bCs/>
        </w:rPr>
        <w:t xml:space="preserve">Theme: </w:t>
      </w:r>
      <w:r>
        <w:rPr>
          <w:i/>
          <w:iCs/>
        </w:rPr>
        <w:t xml:space="preserve">credibility through the Modutecture pilot + a documented practice charter.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Week 1 — Immersion.</w:t>
      </w:r>
      <w:r>
        <w:t xml:space="preserve"> Meet the sponsor, Karan (CEO), Kartik Bhanot (CTO/AI Americas), Vishal Lakhina (West Coast), and the delivery leads. Read the OS Fabric™, the Loops, the Agents Library, the Maturity Index from the inside. Map the offshore-delivery motion and its handoff failure 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Week 2 — Account audit.</w:t>
      </w:r>
      <w:r>
        <w:t xml:space="preserve"> Inventory active accounts; identify the 3–5 where an embedded FDE would have prevented churn, accelerated landing, or unlocked expansion. Modutecture is case zero.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Weeks 3–4 — Land the pilot + draft the charter.</w:t>
      </w:r>
      <w:r>
        <w:t xml:space="preserve"> Formalize the Modutecture engagement as the FDE practice's first reference. Produce the FDE Charter v1: definition, the FDE↔GCC model, the first version of the FDE Loop™, and success metrics.</w:t>
      </w:r>
    </w:p>
    <w:p>
      <w:pPr>
        <w:spacing w:after="120" w:line="276"/>
      </w:pPr>
      <w:r>
        <w:rPr>
          <w:b/>
          <w:bCs/>
          <w:color w:val="1E7A4C"/>
        </w:rPr>
        <w:t xml:space="preserve">30-day exit: </w:t>
      </w:r>
      <w:r>
        <w:t xml:space="preserve">Charter signed; Modutecture live as pilot; 3–5 target accounts identified; metrics baselined.</w:t>
      </w:r>
    </w:p>
    <w:p>
      <w:pPr>
        <w:pStyle w:val="Heading2"/>
      </w:pPr>
      <w:r>
        <w:rPr>
          <w:color w:val="16263F"/>
        </w:rPr>
        <w:t xml:space="preserve">Days 31–60 — Codify, Staff, and Prove the Motion</w:t>
      </w:r>
    </w:p>
    <w:p>
      <w:pPr>
        <w:spacing w:after="120" w:line="276"/>
      </w:pPr>
      <w:r>
        <w:rPr>
          <w:b/>
          <w:bCs/>
        </w:rPr>
        <w:t xml:space="preserve">Theme: </w:t>
      </w:r>
      <w:r>
        <w:rPr>
          <w:i/>
          <w:iCs/>
        </w:rPr>
        <w:t xml:space="preserve">turn one success into a repeatable practice.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Codify the FDE Loop™ (the cookbook)</w:t>
      </w:r>
      <w:r>
        <w:t xml:space="preserve"> — the embedded-delivery methodology: intake → diagnose → architect → land → expand, with the AuthenticAI™ Loop running underneath. Documented, teachable, branded.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Build the Landing Runbook (the runbook)</w:t>
      </w:r>
      <w:r>
        <w:t xml:space="preserve"> — the step-by-step 'first 90 days inside a customer' guide, with checklists, governance gates, and the offshore-pull mechanism.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Define the FDE archetype + hire/identify the first 2–3</w:t>
      </w:r>
      <w:r>
        <w:t xml:space="preserve"> — senior, onshore, architecture-capable, customer-facing. A mix of internal promotion and targeted hire. Pair each with an offshore pod.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Land a second account</w:t>
      </w:r>
      <w:r>
        <w:t xml:space="preserve"> — apply the FDE Loop™ to one identified target; prove it transfers beyond Modutecture.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Extend the Maturity Index</w:t>
      </w:r>
      <w:r>
        <w:t xml:space="preserve"> — add the embedded-delivery readiness vector, so FDE engagements are scored and sold the StatusNeo way.</w:t>
      </w:r>
    </w:p>
    <w:p>
      <w:pPr>
        <w:spacing w:after="120" w:line="276"/>
      </w:pPr>
      <w:r>
        <w:rPr>
          <w:b/>
          <w:bCs/>
          <w:color w:val="1E7A4C"/>
        </w:rPr>
        <w:t xml:space="preserve">60-day exit: </w:t>
      </w:r>
      <w:r>
        <w:t xml:space="preserve">FDE Loop™ + Landing Runbook documented; 2–3 FDEs identified/onboarding; second account landed; FDE Maturity Index drafted.</w:t>
      </w:r>
    </w:p>
    <w:p>
      <w:pPr>
        <w:pStyle w:val="Heading2"/>
      </w:pPr>
      <w:r>
        <w:rPr>
          <w:color w:val="16263F"/>
        </w:rPr>
        <w:t xml:space="preserve">Days 61–90 — Scale, Productize, and Institutionalize</w:t>
      </w:r>
    </w:p>
    <w:p>
      <w:pPr>
        <w:spacing w:after="120" w:line="276"/>
      </w:pPr>
      <w:r>
        <w:rPr>
          <w:b/>
          <w:bCs/>
        </w:rPr>
        <w:t xml:space="preserve">Theme: </w:t>
      </w:r>
      <w:r>
        <w:rPr>
          <w:i/>
          <w:iCs/>
        </w:rPr>
        <w:t xml:space="preserve">make FDE a named, sellable, scaling practice 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Productize the offering</w:t>
      </w:r>
      <w:r>
        <w:t xml:space="preserve"> — 'StatusNeo FDE' as a named practice on the site and in the sales motion, positioned as the onshore tip of the spear for the OS Fabric™ and the unlock for regulated/air-gapped enterprises.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Operational dashboard</w:t>
      </w:r>
      <w:r>
        <w:t xml:space="preserve"> — FDE practice health: accounts landed, expansion revenue, offshore-pull ratio, time-to-trust, customer NPS. Reporting to the sponsor and leadership.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Co-sell enablement</w:t>
      </w:r>
      <w:r>
        <w:t xml:space="preserve"> — equip the regional heads (West Coast, East Coast, EMEA, APAC) to sell FDE-led landings into regulated accounts. The FDE opens; the GCC scales.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Thought leadership</w:t>
      </w:r>
      <w:r>
        <w:t xml:space="preserve"> — a whitepaper extending the 2026 trilogy: 'The Embedded Edge: Why Forward Deployed Engineering Is the Onshore Half of AI-Native Delivery.'</w:t>
      </w:r>
    </w:p>
    <w:p>
      <w:pPr>
        <w:spacing w:after="120" w:line="276"/>
      </w:pPr>
      <w:r>
        <w:rPr>
          <w:b/>
          <w:bCs/>
          <w:color w:val="1E7A4C"/>
        </w:rPr>
        <w:t xml:space="preserve">90-day exit: </w:t>
      </w:r>
      <w:r>
        <w:t xml:space="preserve">FDE is a named practice with a pipeline, a dashboard, a documented methodology, 2–4 reference accounts, and a co-sell motion across regions.</w:t>
      </w:r>
    </w:p>
    <w:p>
      <w:pPr>
        <w:pStyle w:val="Heading1"/>
      </w:pPr>
      <w:r>
        <w:rPr>
          <w:color w:val="16263F"/>
        </w:rPr>
        <w:t xml:space="preserve">5.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rPr>
          <w:tblHeader/>
        </w:trP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30d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Charter signed + pilot live</w:t>
            </w:r>
          </w:p>
        </w:tc>
        <w:tc>
          <w:tcPr>
            <w:tcW w:type="dxa" w:w="3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Modutecture referenceable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30d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Target accounts identified</w:t>
            </w:r>
          </w:p>
        </w:tc>
        <w:tc>
          <w:tcPr>
            <w:tcW w:type="dxa" w:w="3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3–5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60d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FDE Loop™ + Runbook documented</w:t>
            </w:r>
          </w:p>
        </w:tc>
        <w:tc>
          <w:tcPr>
            <w:tcW w:type="dxa" w:w="3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Teachable, branded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60d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FDEs onboarding</w:t>
            </w:r>
          </w:p>
        </w:tc>
        <w:tc>
          <w:tcPr>
            <w:tcW w:type="dxa" w:w="3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60d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Second account landed</w:t>
            </w:r>
          </w:p>
        </w:tc>
        <w:tc>
          <w:tcPr>
            <w:tcW w:type="dxa" w:w="3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90d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Named practice + pipeline</w:t>
            </w:r>
          </w:p>
        </w:tc>
        <w:tc>
          <w:tcPr>
            <w:tcW w:type="dxa" w:w="3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Live on site + sales motion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90d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Reference accounts</w:t>
            </w:r>
          </w:p>
        </w:tc>
        <w:tc>
          <w:tcPr>
            <w:tcW w:type="dxa" w:w="3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2–4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90d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Co-sell enablement</w:t>
            </w:r>
          </w:p>
        </w:tc>
        <w:tc>
          <w:tcPr>
            <w:tcW w:type="dxa" w:w="3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All regions equipped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Ongoing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Expansion revenue per FDE</w:t>
            </w:r>
          </w:p>
        </w:tc>
        <w:tc>
          <w:tcPr>
            <w:tcW w:type="dxa" w:w="3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Land → expand ratio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Ongoing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Offshore-pull ratio</w:t>
            </w:r>
          </w:p>
        </w:tc>
        <w:tc>
          <w:tcPr>
            <w:tcW w:type="dxa" w:w="3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GCC seats per FDE landing</w:t>
            </w:r>
          </w:p>
        </w:tc>
      </w:tr>
      <w:tr>
        <w:tc>
          <w:tcPr>
            <w:tcW w:type="dxa" w:w="1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Ongoing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Time-to-trust</w:t>
            </w:r>
          </w:p>
        </w:tc>
        <w:tc>
          <w:tcPr>
            <w:tcW w:type="dxa" w:w="3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A38"/>
                <w:sz w:val="20"/>
                <w:szCs w:val="20"/>
              </w:rPr>
              <w:t xml:space="preserve">Days to validated delivery</w:t>
            </w:r>
          </w:p>
        </w:tc>
      </w:tr>
    </w:tbl>
    <w:p>
      <w:pPr>
        <w:pStyle w:val="Heading1"/>
      </w:pPr>
      <w:r>
        <w:rPr>
          <w:color w:val="16263F"/>
        </w:rPr>
        <w:t xml:space="preserve">6. The Killer Value — Why This Is Exclusive to Me, Now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</w:rPr>
        <w:t xml:space="preserve">I am the proof, not the pitch. </w:t>
      </w:r>
      <w:r>
        <w:t xml:space="preserve">I just ran the embedded FDE motion live for your own customer (Modutecture) and the CTO wants more. No one else can say that today.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</w:rPr>
        <w:t xml:space="preserve">I unlock your hardest segment. </w:t>
      </w:r>
      <w:r>
        <w:t xml:space="preserve">Healthcare/BFSI/defense — the air-gapped buyers your OS Fabric page already targets — do not buy pure offshore. They buy embedded, cleared, regulated-domain engineers. That is my entire 28-year career.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</w:rPr>
        <w:t xml:space="preserve">I make the OS Fabric™ landable. </w:t>
      </w:r>
      <w:r>
        <w:t xml:space="preserve">The framework is excellent; FDE is how it gets deployed and trusted inside a customer, not just architected in a deck.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</w:rPr>
        <w:t xml:space="preserve">I solve the GCC handoff problem </w:t>
      </w:r>
      <w:r>
        <w:t xml:space="preserve">— the single biggest failure mode of offshore-led delivery — with the onshore tip of the spear that opens accounts the GCC then scales.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</w:rPr>
        <w:t xml:space="preserve">AuthenticAI™ in running code. </w:t>
      </w:r>
      <w:r>
        <w:t xml:space="preserve">'Responsible, not reckless / business-driven, not demo-driven' is exactly governed agentic AI — the model proposes, the deterministic gate disposes. I build that. FDE makes it real at the customer.</w:t>
      </w:r>
    </w:p>
    <w:p>
      <w:pPr>
        <w:spacing w:after="80"/>
      </w:pPr>
    </w:p>
    <w:p>
      <w:pPr>
        <w:pBdr>
          <w:left w:val="single" w:color="C9952F" w:sz="18" w:space="12"/>
        </w:pBdr>
        <w:spacing w:after="160" w:before="120" w:line="288"/>
        <w:ind w:left="240"/>
      </w:pPr>
      <w:r>
        <w:rPr>
          <w:i/>
          <w:iCs/>
          <w:color w:val="16263F"/>
          <w:sz w:val="24"/>
          <w:szCs w:val="24"/>
        </w:rPr>
        <w:t xml:space="preserve">The ask: the charter to stand up StatusNeo's Forward Deployed Engineering practice — starting with the Modutecture pilot already in flight — and 90 days to prove it becomes a named, scaling, regulated-enterprise-unlocking practice 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  <w:outlineLvl w:val="0"/>
    </w:pPr>
    <w:rPr>
      <w:rFonts w:ascii="Cambria" w:cs="Cambria" w:eastAsia="Cambria" w:hAnsi="Cambria"/>
      <w:b/>
      <w:bCs/>
      <w:color w:val="16263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mbria" w:cs="Cambria" w:eastAsia="Cambria" w:hAnsi="Cambria"/>
      <w:b/>
      <w:bCs/>
      <w:color w:val="1626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mbria" w:cs="Cambria" w:eastAsia="Cambria" w:hAnsi="Cambria"/>
      <w:b/>
      <w:bCs/>
      <w:color w:val="16263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C995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2026-06-23T02:50:52.718Z</dcterms:created>
  <dcterms:modified xsi:type="dcterms:W3CDTF">2026-06-23T02:50:52.719Z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