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9952F"/>
          <w:spacing w:val="60"/>
          <w:sz w:val="18"/>
          <w:szCs w:val="18"/>
        </w:rPr>
        <w:t xml:space="preserve">METHODOLOGY · COMPANION TO THE CHARTER</w:t>
      </w:r>
    </w:p>
    <w:p>
      <w:pPr>
        <w:pStyle w:val="Title"/>
      </w:pPr>
      <w:r>
        <w:t xml:space="preserve">The FDE Loop™ — Cookbook</w:t>
      </w:r>
    </w:p>
    <w:p>
      <w:pPr>
        <w:spacing w:after="80"/>
      </w:pPr>
      <w:r>
        <w:rPr>
          <w:i/>
          <w:iCs/>
          <w:color w:val="5B6B7E"/>
          <w:sz w:val="22"/>
          <w:szCs w:val="22"/>
        </w:rPr>
        <w:t xml:space="preserve">How a StatusNeo Forward Deployed Engineer operates</w:t>
      </w:r>
    </w:p>
    <w:p>
      <w:pPr>
        <w:pBdr>
          <w:bottom w:val="single" w:color="DCE3EC" w:sz="6" w:space="1"/>
        </w:pBdr>
        <w:spacing w:after="160"/>
      </w:pPr>
    </w:p>
    <w:p>
      <w:pPr>
        <w:pBdr>
          <w:left w:val="single" w:color="C9952F" w:sz="18" w:space="12"/>
        </w:pBdr>
        <w:spacing w:after="160" w:before="120" w:line="288"/>
        <w:ind w:left="240"/>
      </w:pPr>
      <w:r>
        <w:rPr>
          <w:i/>
          <w:iCs/>
          <w:color w:val="16263F"/>
          <w:sz w:val="24"/>
          <w:szCs w:val="24"/>
        </w:rPr>
        <w:t xml:space="preserve">A cookbook is methodology — the repeatable recipes an FDE follows. This maps the embedded-delivery motion onto StatusNeo's existing AuthenticAI™ Loop, so FDE is not a new philosophy — it is the onsite embodiment of the one StatusNeo already owns.</w:t>
      </w:r>
    </w:p>
    <w:p>
      <w:pPr>
        <w:pStyle w:val="Heading1"/>
      </w:pPr>
      <w:r>
        <w:rPr>
          <w:color w:val="16263F"/>
        </w:rPr>
        <w:t xml:space="preserve">The Core Principle</w:t>
      </w:r>
    </w:p>
    <w:p>
      <w:pPr>
        <w:spacing w:after="120" w:line="276"/>
      </w:pPr>
      <w:r>
        <w:rPr>
          <w:b/>
          <w:bCs/>
          <w:color w:val="16263F"/>
        </w:rPr>
        <w:t xml:space="preserve">The FDE makes the AuthenticAI™ Loop real at the customer site. </w:t>
      </w:r>
      <w:r>
        <w:t xml:space="preserve">Offshore pods run the Loop in the GCC. The FDE runs it inside the customer, earns the trust, and pulls the GCC in behind them. One pod, always on, no handoffs.</w:t>
      </w:r>
    </w:p>
    <w:p>
      <w:pPr>
        <w:spacing w:after="120" w:line="276"/>
      </w:pPr>
      <w:r>
        <w:t xml:space="preserve">The four AuthenticAI™ Loop stages — Clarity → Build → Velocity → Improvement (Design → Engineer → Automate → Govern) — become the FDE's four operating modes per account.</w:t>
      </w:r>
    </w:p>
    <w:p>
      <w:pPr>
        <w:pStyle w:val="Heading2"/>
      </w:pPr>
      <w:r>
        <w:rPr>
          <w:color w:val="16263F"/>
        </w:rPr>
        <w:t xml:space="preserve">Recipe 1 — Clarity (Design): Diagnose with the customer, not for them</w:t>
      </w:r>
    </w:p>
    <w:p>
      <w:pPr>
        <w:spacing w:after="120" w:line="276"/>
      </w:pPr>
      <w:r>
        <w:rPr>
          <w:b/>
          <w:bCs/>
          <w:color w:val="16263F"/>
        </w:rPr>
        <w:t xml:space="preserve">Goal: </w:t>
      </w:r>
      <w:r>
        <w:t xml:space="preserve">Earn the right to architect by understanding the customer's real problem better than they've articulated it.</w:t>
      </w:r>
    </w:p>
    <w:p>
      <w:pPr>
        <w:pStyle w:val="ListParagraph"/>
        <w:numPr>
          <w:ilvl w:val="0"/>
          <w:numId w:val="2"/>
        </w:numPr>
        <w:spacing w:after="60" w:line="264"/>
      </w:pPr>
      <w:r>
        <w:rPr>
          <w:b/>
          <w:bCs/>
        </w:rPr>
        <w:t xml:space="preserve">Study their platform before their job description.</w:t>
      </w:r>
      <w:r>
        <w:t xml:space="preserve"> Read their architecture, docs, constraints. Diagnose where the product 'lives between the tools.'</w:t>
      </w:r>
    </w:p>
    <w:p>
      <w:pPr>
        <w:pStyle w:val="ListParagraph"/>
        <w:numPr>
          <w:ilvl w:val="0"/>
          <w:numId w:val="2"/>
        </w:numPr>
        <w:spacing w:after="60" w:line="264"/>
      </w:pPr>
      <w:r>
        <w:rPr>
          <w:b/>
          <w:bCs/>
        </w:rPr>
        <w:t xml:space="preserve">Find the load-bearing gap</w:t>
      </w:r>
      <w:r>
        <w:t xml:space="preserve"> — the one missing capability that blocks production/paying customers. Name it in their language.</w:t>
      </w:r>
    </w:p>
    <w:p>
      <w:pPr>
        <w:pStyle w:val="ListParagraph"/>
        <w:numPr>
          <w:ilvl w:val="0"/>
          <w:numId w:val="2"/>
        </w:numPr>
        <w:spacing w:after="60" w:line="264"/>
      </w:pPr>
      <w:r>
        <w:rPr>
          <w:b/>
          <w:bCs/>
        </w:rPr>
        <w:t xml:space="preserve">Map it to the OS Fabric™</w:t>
      </w:r>
      <w:r>
        <w:t xml:space="preserve"> — which of the six fabrics (Developer, Data, Ops, Security, Experience, Decision) addresses it.</w:t>
      </w:r>
    </w:p>
    <w:p>
      <w:pPr>
        <w:pStyle w:val="ListParagraph"/>
        <w:numPr>
          <w:ilvl w:val="0"/>
          <w:numId w:val="2"/>
        </w:numPr>
        <w:spacing w:after="60" w:line="264"/>
      </w:pPr>
      <w:r>
        <w:rPr>
          <w:b/>
          <w:bCs/>
        </w:rPr>
        <w:t xml:space="preserve">Validate the diagnosis live</w:t>
      </w:r>
      <w:r>
        <w:t xml:space="preserve"> — 'here's what I see; tell me where I'm wrong.' Curiosity, not correction.</w:t>
      </w:r>
    </w:p>
    <w:p>
      <w:pPr>
        <w:spacing w:after="120" w:line="276"/>
      </w:pPr>
      <w:r>
        <w:rPr>
          <w:i/>
          <w:iCs/>
          <w:color w:val="1E7A4C"/>
        </w:rPr>
      </w:r>
    </w:p>
    <w:p>
      <w:pPr>
        <w:pStyle w:val="Heading2"/>
      </w:pPr>
      <w:r>
        <w:rPr>
          <w:color w:val="16263F"/>
        </w:rPr>
        <w:t xml:space="preserve">Recipe 2 — Build (Engineer): Land a working vertical slice on their stack</w:t>
      </w:r>
    </w:p>
    <w:p>
      <w:pPr>
        <w:spacing w:after="120" w:line="276"/>
      </w:pPr>
      <w:r>
        <w:rPr>
          <w:b/>
          <w:bCs/>
          <w:color w:val="16263F"/>
        </w:rPr>
        <w:t xml:space="preserve">Goal: </w:t>
      </w:r>
      <w:r>
        <w:t xml:space="preserve">Prove the architecture with running code inside their environment — not a deck.</w:t>
      </w:r>
    </w:p>
    <w:p>
      <w:pPr>
        <w:pStyle w:val="ListParagraph"/>
        <w:numPr>
          <w:ilvl w:val="0"/>
          <w:numId w:val="2"/>
        </w:numPr>
        <w:spacing w:after="60" w:line="264"/>
      </w:pPr>
      <w:r>
        <w:rPr>
          <w:b/>
          <w:bCs/>
        </w:rPr>
        <w:t xml:space="preserve">Build the thinnest end-to-end slice</w:t>
      </w:r>
      <w:r>
        <w:t xml:space="preserve"> that proves the thesis, on the customer's actual stack.</w:t>
      </w:r>
    </w:p>
    <w:p>
      <w:pPr>
        <w:pStyle w:val="ListParagraph"/>
        <w:numPr>
          <w:ilvl w:val="0"/>
          <w:numId w:val="2"/>
        </w:numPr>
        <w:spacing w:after="60" w:line="264"/>
      </w:pPr>
      <w:r>
        <w:rPr>
          <w:b/>
          <w:bCs/>
        </w:rPr>
        <w:t xml:space="preserve">Governed-AI discipline</w:t>
      </w:r>
      <w:r>
        <w:t xml:space="preserve"> — the model proposes, a deterministic gate disposes. Never blur this in regulated domains. AuthenticAI™ 'responsible, not reckless' in code.</w:t>
      </w:r>
    </w:p>
    <w:p>
      <w:pPr>
        <w:pStyle w:val="ListParagraph"/>
        <w:numPr>
          <w:ilvl w:val="0"/>
          <w:numId w:val="2"/>
        </w:numPr>
        <w:spacing w:after="60" w:line="264"/>
      </w:pPr>
      <w:r>
        <w:rPr>
          <w:b/>
          <w:bCs/>
        </w:rPr>
        <w:t xml:space="preserve">Label built / proven / next</w:t>
      </w:r>
      <w:r>
        <w:t xml:space="preserve"> — never overclaim. The honesty is the senior signal and the AuthenticAI™ brand.</w:t>
      </w:r>
    </w:p>
    <w:p>
      <w:pPr>
        <w:pStyle w:val="ListParagraph"/>
        <w:numPr>
          <w:ilvl w:val="0"/>
          <w:numId w:val="2"/>
        </w:numPr>
        <w:spacing w:after="60" w:line="264"/>
      </w:pPr>
      <w:r>
        <w:rPr>
          <w:b/>
          <w:bCs/>
        </w:rPr>
        <w:t xml:space="preserve">Make it observable</w:t>
      </w:r>
      <w:r>
        <w:t xml:space="preserve"> — health, metrics, governance from day one (the Govern fabric, embedded early).</w:t>
      </w:r>
    </w:p>
    <w:p>
      <w:pPr>
        <w:spacing w:after="120" w:line="276"/>
      </w:pPr>
      <w:r>
        <w:rPr>
          <w:i/>
          <w:iCs/>
          <w:color w:val="1E7A4C"/>
        </w:rPr>
      </w:r>
    </w:p>
    <w:p>
      <w:pPr>
        <w:pStyle w:val="Heading2"/>
      </w:pPr>
      <w:r>
        <w:rPr>
          <w:color w:val="16263F"/>
        </w:rPr>
        <w:t xml:space="preserve">Recipe 3 — Velocity (Automate): Pull the offshore pod in behind earned trust</w:t>
      </w:r>
    </w:p>
    <w:p>
      <w:pPr>
        <w:spacing w:after="120" w:line="276"/>
      </w:pPr>
      <w:r>
        <w:rPr>
          <w:b/>
          <w:bCs/>
          <w:color w:val="16263F"/>
        </w:rPr>
        <w:t xml:space="preserve">Goal: </w:t>
      </w:r>
      <w:r>
        <w:t xml:space="preserve">Scale delivery by bringing StatusNeo's GCC velocity in after the relationship is de-risked.</w:t>
      </w:r>
    </w:p>
    <w:p>
      <w:pPr>
        <w:pStyle w:val="ListParagraph"/>
        <w:numPr>
          <w:ilvl w:val="0"/>
          <w:numId w:val="2"/>
        </w:numPr>
        <w:spacing w:after="60" w:line="264"/>
      </w:pPr>
      <w:r>
        <w:rPr>
          <w:b/>
          <w:bCs/>
        </w:rPr>
        <w:t xml:space="preserve">Define the offshore-pull point</w:t>
      </w:r>
      <w:r>
        <w:t xml:space="preserve"> — once the slice is trusted, scope what the offshore pod takes (breadth, repetition, automation).</w:t>
      </w:r>
    </w:p>
    <w:p>
      <w:pPr>
        <w:pStyle w:val="ListParagraph"/>
        <w:numPr>
          <w:ilvl w:val="0"/>
          <w:numId w:val="2"/>
        </w:numPr>
        <w:spacing w:after="60" w:line="264"/>
      </w:pPr>
      <w:r>
        <w:rPr>
          <w:b/>
          <w:bCs/>
        </w:rPr>
        <w:t xml:space="preserve">Bring the Agents Library + AI-Native SDLC</w:t>
      </w:r>
      <w:r>
        <w:t xml:space="preserve"> — agentic CI/CD, autonomous QA, the StatusNeo automation IP.</w:t>
      </w:r>
    </w:p>
    <w:p>
      <w:pPr>
        <w:pStyle w:val="ListParagraph"/>
        <w:numPr>
          <w:ilvl w:val="0"/>
          <w:numId w:val="2"/>
        </w:numPr>
        <w:spacing w:after="60" w:line="264"/>
      </w:pPr>
      <w:r>
        <w:rPr>
          <w:b/>
          <w:bCs/>
        </w:rPr>
        <w:t xml:space="preserve">FDE stays the single owner</w:t>
      </w:r>
      <w:r>
        <w:t xml:space="preserve"> — the offshore pod scales delivery; the FDE owns the customer outcome and architecture authority. No handoff gap.</w:t>
      </w:r>
    </w:p>
    <w:p>
      <w:pPr>
        <w:pStyle w:val="ListParagraph"/>
        <w:numPr>
          <w:ilvl w:val="0"/>
          <w:numId w:val="2"/>
        </w:numPr>
        <w:spacing w:after="60" w:line="264"/>
      </w:pPr>
      <w:r>
        <w:rPr>
          <w:b/>
          <w:bCs/>
        </w:rPr>
        <w:t xml:space="preserve">Instrument the flywheel</w:t>
      </w:r>
      <w:r>
        <w:t xml:space="preserve"> — correction deltas, velocity metrics, so improvement compounds.</w:t>
      </w:r>
    </w:p>
    <w:p>
      <w:pPr>
        <w:spacing w:after="120" w:line="276"/>
      </w:pPr>
      <w:r>
        <w:rPr>
          <w:i/>
          <w:iCs/>
          <w:color w:val="1E7A4C"/>
        </w:rPr>
      </w:r>
    </w:p>
    <w:p>
      <w:pPr>
        <w:pStyle w:val="Heading2"/>
      </w:pPr>
      <w:r>
        <w:rPr>
          <w:color w:val="16263F"/>
        </w:rPr>
        <w:t xml:space="preserve">Recipe 4 — Improvement (Govern): Measure, govern, and expand</w:t>
      </w:r>
    </w:p>
    <w:p>
      <w:pPr>
        <w:spacing w:after="120" w:line="276"/>
      </w:pPr>
      <w:r>
        <w:rPr>
          <w:b/>
          <w:bCs/>
          <w:color w:val="16263F"/>
        </w:rPr>
        <w:t xml:space="preserve">Goal: </w:t>
      </w:r>
      <w:r>
        <w:t xml:space="preserve">Make the account durable, governed, and growing — land becomes expand.</w:t>
      </w:r>
    </w:p>
    <w:p>
      <w:pPr>
        <w:pStyle w:val="ListParagraph"/>
        <w:numPr>
          <w:ilvl w:val="0"/>
          <w:numId w:val="2"/>
        </w:numPr>
        <w:spacing w:after="60" w:line="264"/>
      </w:pPr>
      <w:r>
        <w:rPr>
          <w:b/>
          <w:bCs/>
        </w:rPr>
        <w:t xml:space="preserve">Govern continuously</w:t>
      </w:r>
      <w:r>
        <w:t xml:space="preserve"> — observability, compliance, SLO/SLA loops (the Govern fabric + Maturity Index).</w:t>
      </w:r>
    </w:p>
    <w:p>
      <w:pPr>
        <w:pStyle w:val="ListParagraph"/>
        <w:numPr>
          <w:ilvl w:val="0"/>
          <w:numId w:val="2"/>
        </w:numPr>
        <w:spacing w:after="60" w:line="264"/>
      </w:pPr>
      <w:r>
        <w:rPr>
          <w:b/>
          <w:bCs/>
        </w:rPr>
        <w:t xml:space="preserve">Measure time-to-trust and expansion</w:t>
      </w:r>
      <w:r>
        <w:t xml:space="preserve"> — the FDE practice's core metrics.</w:t>
      </w:r>
    </w:p>
    <w:p>
      <w:pPr>
        <w:pStyle w:val="ListParagraph"/>
        <w:numPr>
          <w:ilvl w:val="0"/>
          <w:numId w:val="2"/>
        </w:numPr>
        <w:spacing w:after="60" w:line="264"/>
      </w:pPr>
      <w:r>
        <w:rPr>
          <w:b/>
          <w:bCs/>
        </w:rPr>
        <w:t xml:space="preserve">Expand the footprint</w:t>
      </w:r>
      <w:r>
        <w:t xml:space="preserve"> — one landed outcome becomes the next; the FDE opens adjacent problems the GCC scales.</w:t>
      </w:r>
    </w:p>
    <w:p>
      <w:pPr>
        <w:pStyle w:val="ListParagraph"/>
        <w:numPr>
          <w:ilvl w:val="0"/>
          <w:numId w:val="2"/>
        </w:numPr>
        <w:spacing w:after="60" w:line="264"/>
      </w:pPr>
      <w:r>
        <w:rPr>
          <w:b/>
          <w:bCs/>
        </w:rPr>
        <w:t xml:space="preserve">Feed the practice</w:t>
      </w:r>
      <w:r>
        <w:t xml:space="preserve"> — every engagement sharpens the FDE Loop™ and the Landing Runbook.</w:t>
      </w:r>
    </w:p>
    <w:p>
      <w:pPr>
        <w:spacing w:after="120" w:line="276"/>
      </w:pPr>
      <w:r>
        <w:rPr>
          <w:i/>
          <w:iCs/>
          <w:color w:val="1E7A4C"/>
        </w:rPr>
      </w:r>
    </w:p>
    <w:p>
      <w:pPr>
        <w:pStyle w:val="Heading1"/>
      </w:pPr>
      <w:r>
        <w:rPr>
          <w:color w:val="16263F"/>
        </w:rPr>
        <w:t xml:space="preserve">The FDE Archetype — Who Runs These Recipes</w:t>
      </w:r>
    </w:p>
    <w:p>
      <w:pPr>
        <w:pStyle w:val="ListParagraph"/>
        <w:numPr>
          <w:ilvl w:val="0"/>
          <w:numId w:val="2"/>
        </w:numPr>
        <w:spacing w:after="60" w:line="264"/>
      </w:pPr>
      <w:r>
        <w:rPr>
          <w:b/>
          <w:bCs/>
        </w:rPr>
        <w:t xml:space="preserve">Senior, onshore, architecture-capable</w:t>
      </w:r>
      <w:r>
        <w:t xml:space="preserve"> — can diagnose and architect, not just execute.</w:t>
      </w:r>
    </w:p>
    <w:p>
      <w:pPr>
        <w:pStyle w:val="ListParagraph"/>
        <w:numPr>
          <w:ilvl w:val="0"/>
          <w:numId w:val="2"/>
        </w:numPr>
        <w:spacing w:after="60" w:line="264"/>
      </w:pPr>
      <w:r>
        <w:rPr>
          <w:b/>
          <w:bCs/>
        </w:rPr>
        <w:t xml:space="preserve">Customer-facing</w:t>
      </w:r>
      <w:r>
        <w:t xml:space="preserve"> — earns trust in the room; translates ambiguity to a plan.</w:t>
      </w:r>
    </w:p>
    <w:p>
      <w:pPr>
        <w:pStyle w:val="ListParagraph"/>
        <w:numPr>
          <w:ilvl w:val="0"/>
          <w:numId w:val="2"/>
        </w:numPr>
        <w:spacing w:after="60" w:line="264"/>
      </w:pPr>
      <w:r>
        <w:rPr>
          <w:b/>
          <w:bCs/>
        </w:rPr>
        <w:t xml:space="preserve">Regulated-domain fluent</w:t>
      </w:r>
      <w:r>
        <w:t xml:space="preserve"> — especially for healthcare/BFSI/defense accounts.</w:t>
      </w:r>
    </w:p>
    <w:p>
      <w:pPr>
        <w:pStyle w:val="ListParagraph"/>
        <w:numPr>
          <w:ilvl w:val="0"/>
          <w:numId w:val="2"/>
        </w:numPr>
        <w:spacing w:after="60" w:line="264"/>
      </w:pPr>
      <w:r>
        <w:rPr>
          <w:b/>
          <w:bCs/>
        </w:rPr>
        <w:t xml:space="preserve">AI-native</w:t>
      </w:r>
      <w:r>
        <w:t xml:space="preserve"> — governed agentic AI is their default, not an add-on.</w:t>
      </w:r>
    </w:p>
    <w:p>
      <w:pPr>
        <w:pStyle w:val="ListParagraph"/>
        <w:numPr>
          <w:ilvl w:val="0"/>
          <w:numId w:val="2"/>
        </w:numPr>
        <w:spacing w:after="60" w:line="264"/>
      </w:pPr>
      <w:r>
        <w:rPr>
          <w:b/>
          <w:bCs/>
        </w:rPr>
        <w:t xml:space="preserve">Low-ego, outcome-owning</w:t>
      </w:r>
      <w:r>
        <w:t xml:space="preserve"> — humble about the customer's build, certain about the diagnosis.</w:t>
      </w:r>
    </w:p>
    <w:p>
      <w:pPr>
        <w:spacing w:after="60"/>
      </w:pPr>
    </w:p>
    <w:p>
      <w:pPr>
        <w:pBdr>
          <w:left w:val="single" w:color="C9952F" w:sz="18" w:space="12"/>
        </w:pBdr>
        <w:spacing w:after="160" w:before="120" w:line="288"/>
        <w:ind w:left="240"/>
      </w:pPr>
      <w:r>
        <w:rPr>
          <w:i/>
          <w:iCs/>
          <w:color w:val="16263F"/>
          <w:sz w:val="24"/>
          <w:szCs w:val="24"/>
        </w:rPr>
        <w:t xml:space="preserve">One FDE + one offshore pod = one account, landed and scaling. That is the unit of the practice.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outlineLvl w:val="0"/>
    </w:pPr>
    <w:rPr>
      <w:rFonts w:ascii="Cambria" w:cs="Cambria" w:eastAsia="Cambria" w:hAnsi="Cambria"/>
      <w:b/>
      <w:bCs/>
      <w:color w:val="16263F"/>
      <w:sz w:val="44"/>
      <w:szCs w:val="44"/>
    </w:rPr>
  </w:style>
  <w:style w:type="paragraph" w:styleId="Heading1">
    <w:name w:val="Heading 1"/>
    <w:basedOn w:val="Normal"/>
    <w:next w:val="Normal"/>
    <w:qFormat/>
    <w:pPr>
      <w:spacing w:after="140" w:before="280"/>
      <w:outlineLvl w:val="0"/>
    </w:pPr>
    <w:rPr>
      <w:rFonts w:ascii="Cambria" w:cs="Cambria" w:eastAsia="Cambria" w:hAnsi="Cambria"/>
      <w:b/>
      <w:bCs/>
      <w:color w:val="16263F"/>
      <w:sz w:val="30"/>
      <w:szCs w:val="30"/>
    </w:rPr>
  </w:style>
  <w:style w:type="paragraph" w:styleId="Heading2">
    <w:name w:val="Heading 2"/>
    <w:basedOn w:val="Normal"/>
    <w:next w:val="Normal"/>
    <w:qFormat/>
    <w:pPr>
      <w:spacing w:after="100" w:before="200"/>
      <w:outlineLvl w:val="1"/>
    </w:pPr>
    <w:rPr>
      <w:rFonts w:ascii="Cambria" w:cs="Cambria" w:eastAsia="Cambria" w:hAnsi="Cambria"/>
      <w:b/>
      <w:bCs/>
      <w:color w:val="16263F"/>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C9952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2026-06-23T02:50:52.726Z</dcterms:created>
  <dcterms:modified xsi:type="dcterms:W3CDTF">2026-06-23T02:50:52.726Z</dcterms:modified>
</cp:coreProperties>
</file>

<file path=docProps/custom.xml><?xml version="1.0" encoding="utf-8"?>
<Properties xmlns="http://schemas.openxmlformats.org/officeDocument/2006/custom-properties" xmlns:vt="http://schemas.openxmlformats.org/officeDocument/2006/docPropsVTypes"/>
</file>