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52F"/>
          <w:spacing w:val="60"/>
          <w:sz w:val="18"/>
          <w:szCs w:val="18"/>
        </w:rPr>
        <w:t xml:space="preserve">OPERATIONAL · COMPANION TO THE CHARTER &amp; COOKBOOK</w:t>
      </w:r>
    </w:p>
    <w:p>
      <w:pPr>
        <w:pStyle w:val="Title"/>
      </w:pPr>
      <w:r>
        <w:t xml:space="preserve">The Landing Runbook</w:t>
      </w:r>
    </w:p>
    <w:p>
      <w:pPr>
        <w:spacing w:after="80"/>
      </w:pPr>
      <w:r>
        <w:rPr>
          <w:i/>
          <w:iCs/>
          <w:color w:val="5B6B7E"/>
          <w:sz w:val="22"/>
          <w:szCs w:val="22"/>
        </w:rPr>
        <w:t xml:space="preserve">An FDE's first 90 days embedded inside a customer</w:t>
      </w:r>
    </w:p>
    <w:p>
      <w:pPr>
        <w:pBdr>
          <w:bottom w:val="single" w:color="DCE3EC" w:sz="6" w:space="1"/>
        </w:pBdr>
        <w:spacing w:after="160"/>
      </w:pPr>
    </w:p>
    <w:p>
      <w:pPr>
        <w:pBdr>
          <w:left w:val="single" w:color="C9952F" w:sz="18" w:space="12"/>
        </w:pBdr>
        <w:spacing w:after="160" w:before="120" w:line="288"/>
        <w:ind w:left="240"/>
      </w:pPr>
      <w:r>
        <w:rPr>
          <w:i/>
          <w:iCs/>
          <w:color w:val="16263F"/>
          <w:sz w:val="24"/>
          <w:szCs w:val="24"/>
        </w:rPr>
        <w:t xml:space="preserve">A runbook is operational — exact steps, checklists, and gates. The cookbook is the method; this is the field manual for a single FDE landing a single account. Repeatable across every engagement.</w:t>
      </w:r>
    </w:p>
    <w:p>
      <w:pPr>
        <w:pStyle w:val="Heading1"/>
      </w:pPr>
      <w:r>
        <w:rPr>
          <w:color w:val="16263F"/>
        </w:rPr>
        <w:t xml:space="preserve">Pre-Landing — Before Day 1 on Site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Account brief from the regional head: customer, stated scope, commercial frame, known risks.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Identify the offshore pod that will scale behind you; meet the pod lead.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Confirm the commercial/contract boundary (what's in scope, decision rights, IP).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Read everything the customer has shared — architecture, docs, roadmap — before you arrive.</w:t>
      </w:r>
    </w:p>
    <w:p>
      <w:pPr>
        <w:spacing w:after="120" w:line="276"/>
      </w:pPr>
      <w:r>
        <w:rPr>
          <w:b/>
          <w:bCs/>
          <w:color w:val="C9952F"/>
        </w:rPr>
        <w:t xml:space="preserve">Gate: </w:t>
      </w:r>
      <w:r>
        <w:rPr>
          <w:b w:val="false"/>
          <w:bCs w:val="false"/>
        </w:rPr>
        <w:t xml:space="preserve">you can state the customer's likely load-bearing gap in one sentence before day 1.</w:t>
      </w:r>
    </w:p>
    <w:p>
      <w:pPr>
        <w:pStyle w:val="Heading1"/>
      </w:pPr>
      <w:r>
        <w:rPr>
          <w:color w:val="16263F"/>
        </w:rPr>
        <w:t xml:space="preserve">Phase 1 — Listen &amp; Diagnose (Weeks 1–2) · Clarity</w:t>
      </w:r>
    </w:p>
    <w:p>
      <w:pPr>
        <w:spacing w:after="120" w:line="276"/>
      </w:pPr>
      <w:r>
        <w:rPr>
          <w:b/>
          <w:bCs/>
          <w:color w:val="16263F"/>
        </w:rPr>
        <w:t xml:space="preserve">Objective: </w:t>
      </w:r>
      <w:r>
        <w:t xml:space="preserve">understand the customer's system better than their job description does.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Meet the customer's technical decision-maker and map the real org.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Walk their existing system live; find where 'the product lives between the tools.'</w:t>
      </w:r>
    </w:p>
    <w:p>
      <w:pPr>
        <w:spacing w:after="120" w:line="276"/>
      </w:pPr>
      <w:r>
        <w:rPr>
          <w:b/>
          <w:bCs/>
        </w:rPr>
        <w:t xml:space="preserve">Run the four recon questions (adapt per domain):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Where is correctness/validation enforced today — inline or batch?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Where does authoritative state live — data layer or rendering/scene/UI layer?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What AI/agentic capability exists today vs. is assumed?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How is regulated/external data exchanged today?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Map the gap to one OS Fabric™ layer.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Validate the diagnosis live: </w:t>
      </w:r>
      <w:r>
        <w:rPr>
          <w:i/>
          <w:iCs/>
        </w:rPr>
        <w:t xml:space="preserve">'here's what I see — tell me where I'm wrong.'</w:t>
      </w:r>
    </w:p>
    <w:p>
      <w:pPr>
        <w:spacing w:after="120" w:line="276"/>
      </w:pPr>
      <w:r>
        <w:rPr>
          <w:b/>
          <w:bCs/>
          <w:color w:val="C9952F"/>
        </w:rPr>
        <w:t xml:space="preserve">Gate: </w:t>
      </w:r>
      <w:r>
        <w:rPr>
          <w:b w:val="false"/>
          <w:bCs w:val="false"/>
        </w:rPr>
        <w:t xml:space="preserve">customer agrees on the problem and wants your architecture.</w:t>
      </w:r>
    </w:p>
    <w:p>
      <w:pPr>
        <w:pStyle w:val="Heading1"/>
      </w:pPr>
      <w:r>
        <w:rPr>
          <w:color w:val="16263F"/>
        </w:rPr>
        <w:t xml:space="preserve">Phase 2 — Land a Working Slice (Weeks 3–6) · Build</w:t>
      </w:r>
    </w:p>
    <w:p>
      <w:pPr>
        <w:spacing w:after="120" w:line="276"/>
      </w:pPr>
      <w:r>
        <w:rPr>
          <w:b/>
          <w:bCs/>
          <w:color w:val="16263F"/>
        </w:rPr>
        <w:t xml:space="preserve">Objective: </w:t>
      </w:r>
      <w:r>
        <w:t xml:space="preserve">running code on their stack that proves the thesis.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Scope the thinnest end-to-end vertical slice that proves the architecture.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Freeze the contracts (data model, payloads, command set) as lightweight ADRs.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Build on the customer's actual stack — real infra, not a sandbox demo.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Enforce governed-AI discipline: model proposes, deterministic gate disposes.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Instrument health, metrics, governance from the first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Label everything built / proven / next — no overclaiming.</w:t>
      </w:r>
    </w:p>
    <w:p>
      <w:pPr>
        <w:spacing w:after="120" w:line="276"/>
      </w:pPr>
      <w:r>
        <w:rPr>
          <w:b/>
          <w:bCs/>
          <w:color w:val="C9952F"/>
        </w:rPr>
        <w:t xml:space="preserve">Gate: </w:t>
      </w:r>
      <w:r>
        <w:rPr>
          <w:b w:val="false"/>
          <w:bCs w:val="false"/>
        </w:rPr>
        <w:t xml:space="preserve">customer-validated working slice runs on their stack.</w:t>
      </w:r>
    </w:p>
    <w:p>
      <w:pPr>
        <w:pStyle w:val="Heading1"/>
      </w:pPr>
      <w:r>
        <w:rPr>
          <w:color w:val="16263F"/>
        </w:rPr>
        <w:t xml:space="preserve">Phase 3 — Pull the Pod In (Weeks 5–8, overlapping) · Velocity</w:t>
      </w:r>
    </w:p>
    <w:p>
      <w:pPr>
        <w:spacing w:after="120" w:line="276"/>
      </w:pPr>
      <w:r>
        <w:rPr>
          <w:b/>
          <w:bCs/>
          <w:color w:val="16263F"/>
        </w:rPr>
        <w:t xml:space="preserve">Objective: </w:t>
      </w:r>
      <w:r>
        <w:t xml:space="preserve">scale delivery behind earned trust — no handoff gap.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Define the offshore-pull point: what the pod takes now that the slice is trusted.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Onboard the offshore pod behind you — you stay the single customer owner.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Bring StatusNeo automation IP: Agents Library, AI-Native SDLC, agentic CI/CD, autonomous QA.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Set up the delivery cadence (the customer's rhythm, not the GCC's).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Instrument the correction-delta flywheel.</w:t>
      </w:r>
    </w:p>
    <w:p>
      <w:pPr>
        <w:spacing w:after="120" w:line="276"/>
      </w:pPr>
      <w:r>
        <w:rPr>
          <w:b/>
          <w:bCs/>
          <w:color w:val="C9952F"/>
        </w:rPr>
        <w:t xml:space="preserve">Gate: </w:t>
      </w:r>
      <w:r>
        <w:rPr>
          <w:b w:val="false"/>
          <w:bCs w:val="false"/>
        </w:rPr>
        <w:t xml:space="preserve">offshore velocity is landing behind you; no trust gap; account scaling.</w:t>
      </w:r>
    </w:p>
    <w:p>
      <w:pPr>
        <w:pStyle w:val="Heading1"/>
      </w:pPr>
      <w:r>
        <w:rPr>
          <w:color w:val="16263F"/>
        </w:rPr>
        <w:t xml:space="preserve">Phase 4 — Govern &amp; Expand (Weeks 9–12) · Improvement</w:t>
      </w:r>
    </w:p>
    <w:p>
      <w:pPr>
        <w:spacing w:after="120" w:line="276"/>
      </w:pPr>
      <w:r>
        <w:rPr>
          <w:b/>
          <w:bCs/>
          <w:color w:val="16263F"/>
        </w:rPr>
        <w:t xml:space="preserve">Objective: </w:t>
      </w:r>
      <w:r>
        <w:t xml:space="preserve">durable, governed, growing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Stand up continuous governance: observability, compliance, SLO/SLA loops.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Score the account on the (extended) AI Maturity Index.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Measure time-to-trust and baseline expansion opportunities.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Identify the next adjacent problem to land (land → expand).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Package the engagement as a reference case.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 </w:t>
      </w:r>
      <w:r>
        <w:t xml:space="preserve">Feed learnings back into the FDE Loop™ and this runbook.</w:t>
      </w:r>
    </w:p>
    <w:p>
      <w:pPr>
        <w:spacing w:after="120" w:line="276"/>
      </w:pPr>
      <w:r>
        <w:rPr>
          <w:b/>
          <w:bCs/>
          <w:color w:val="C9952F"/>
        </w:rPr>
        <w:t xml:space="preserve">Gate: </w:t>
      </w:r>
      <w:r>
        <w:rPr>
          <w:b w:val="false"/>
          <w:bCs w:val="false"/>
        </w:rPr>
        <w:t xml:space="preserve">account is self-sustaining, governed, expanding, referenceable.</w:t>
      </w:r>
    </w:p>
    <w:p>
      <w:pPr>
        <w:pStyle w:val="Heading1"/>
      </w:pPr>
      <w:r>
        <w:rPr>
          <w:color w:val="16263F"/>
        </w:rPr>
        <w:t xml:space="preserve">The Break-Glass Rules (When an Engagement Wobbles)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Customer doubts it's real? </w:t>
      </w:r>
      <w:r>
        <w:t xml:space="preserve">→ show running code on their stack + health/observability. Working software ends doubt.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Scope creep? </w:t>
      </w:r>
      <w:r>
        <w:t xml:space="preserve">→ return to the frozen ADRs and the agreed slice. Expand deliberately, not reactively.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Offshore handoff friction? </w:t>
      </w:r>
      <w:r>
        <w:t xml:space="preserve">→ the FDE owns the seam; never let the customer feel a gap. Re-anchor on the single-owner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Architecture disagreement with the customer? </w:t>
      </w:r>
      <w:r>
        <w:t xml:space="preserve">→ 'here's what I'd measure before we decide.' Never bluff; decision rights stay with the customer.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Regulated-data risk surfaces? </w:t>
      </w:r>
      <w:r>
        <w:t xml:space="preserve">→ stop, escalate, govern first. In healthcare/BFSI/defense, correctness and compliance precede velocity, always.</w:t>
      </w:r>
    </w:p>
    <w:p>
      <w:pPr>
        <w:pStyle w:val="Heading1"/>
      </w:pPr>
      <w:r>
        <w:rPr>
          <w:color w:val="16263F"/>
        </w:rPr>
        <w:t xml:space="preserve">What “Done” Means at Day 90</w:t>
      </w:r>
    </w:p>
    <w:p>
      <w:pPr>
        <w:spacing w:after="120" w:line="276"/>
      </w:pPr>
      <w:r>
        <w:t xml:space="preserve">A single FDE has: diagnosed the real problem, landed a customer-validated slice on the customer's stack, pulled an offshore pod in behind earned trust, stood up governance, and identified the expansion path — producing one referenceable, scaling, governed account.</w:t>
      </w:r>
    </w:p>
    <w:p>
      <w:pPr>
        <w:pBdr>
          <w:left w:val="single" w:color="C9952F" w:sz="18" w:space="12"/>
        </w:pBdr>
        <w:spacing w:after="160" w:before="120" w:line="288"/>
        <w:ind w:left="240"/>
      </w:pPr>
      <w:r>
        <w:rPr>
          <w:i/>
          <w:iCs/>
          <w:color w:val="16263F"/>
          <w:sz w:val="24"/>
          <w:szCs w:val="24"/>
        </w:rPr>
        <w:t xml:space="preserve">That is one unit of the FDE practice. Repeat across accounts, regions, and verticals.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6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color w:val="16263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C995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2026-06-23T02:50:52.731Z</dcterms:created>
  <dcterms:modified xsi:type="dcterms:W3CDTF">2026-06-23T02:50:52.731Z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