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952F"/>
          <w:spacing w:val="50"/>
          <w:sz w:val="18"/>
          <w:szCs w:val="18"/>
        </w:rPr>
        <w:t xml:space="preserve">INTERNAL &amp; EXTERNAL · PR-FAQ + EXECUTION PLAYBOOK</w:t>
      </w:r>
    </w:p>
    <w:p>
      <w:pPr>
        <w:pStyle w:val="Title"/>
      </w:pPr>
      <w:r>
        <w:t xml:space="preserve">StatusNeo Forward Deployed Engineering</w:t>
      </w:r>
    </w:p>
    <w:p>
      <w:pPr>
        <w:spacing w:after="140"/>
      </w:pPr>
      <w:r>
        <w:rPr>
          <w:rFonts w:ascii="Cambria" w:cs="Cambria" w:eastAsia="Cambria" w:hAnsi="Cambria"/>
          <w:i/>
          <w:iCs/>
          <w:color w:val="5B6B7E"/>
          <w:sz w:val="26"/>
          <w:szCs w:val="26"/>
        </w:rPr>
        <w:t xml:space="preserve">The onshore tip of the spear for AuthenticAI™ delivery</w:t>
      </w:r>
    </w:p>
    <w:p>
      <w:pPr>
        <w:pBdr>
          <w:bottom w:val="single" w:color="DCE3EC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6263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1F2A38"/>
                <w:sz w:val="21"/>
                <w:szCs w:val="21"/>
              </w:rPr>
              <w:t xml:space="preserve">Amazon-style PR-FAQ (working-backwards), extended into a prescriptive execution playbook.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6263F"/>
                <w:sz w:val="21"/>
                <w:szCs w:val="21"/>
              </w:rPr>
              <w:t xml:space="preserve">Audience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1F2A38"/>
                <w:sz w:val="21"/>
                <w:szCs w:val="21"/>
              </w:rPr>
              <w:t xml:space="preserve">Internal — Board, leadership, delivery, sales, the offshore pods.  External — customers, partners, prospective FDE hires, the market.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6263F"/>
                <w:sz w:val="21"/>
                <w:szCs w:val="21"/>
              </w:rPr>
              <w:t xml:space="preserve">Author / owner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1F2A38"/>
                <w:sz w:val="21"/>
                <w:szCs w:val="21"/>
              </w:rPr>
              <w:t xml:space="preserve">Jithendran (Jeeth) Sellamuthu, Head of Forward Deployed Engineering (proposed)</w:t>
            </w:r>
          </w:p>
        </w:tc>
      </w:tr>
      <w:t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6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1F2A38"/>
                <w:sz w:val="21"/>
                <w:szCs w:val="21"/>
              </w:rPr>
              <w:t xml:space="preserve">Proposal for Board review, June 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HOW TO READ THIS DOCUMENT</w:t>
            </w:r>
          </w:p>
          <w:p>
            <w:pPr>
              <w:spacing w:line="276"/>
            </w:pPr>
            <w:r>
              <w:rPr>
                <w:color w:val="FFFFFF"/>
              </w:rPr>
              <w:t xml:space="preserve">Pages 1–3 are the </w:t>
            </w:r>
            <w:r>
              <w:rPr>
                <w:b/>
                <w:bCs/>
                <w:color w:val="E8A816"/>
              </w:rPr>
              <w:t xml:space="preserve">PR-FAQ</w:t>
            </w:r>
            <w:r>
              <w:rPr>
                <w:color w:val="FFFFFF"/>
              </w:rPr>
              <w:t xml:space="preserve"> — a press release written as if the practice has already launched, plus the questions every stakeholder asks. Pages 4–8 are the </w:t>
            </w:r>
            <w:r>
              <w:rPr>
                <w:b/>
                <w:bCs/>
                <w:color w:val="E8A816"/>
              </w:rPr>
              <w:t xml:space="preserve">Execution Playbook</w:t>
            </w:r>
            <w:r>
              <w:rPr>
                <w:color w:val="FFFFFF"/>
              </w:rPr>
              <w:t xml:space="preserve"> — the prescriptive WHO/WHAT/WHERE/WHEN/HOW. The release is the destination; the playbook is the road.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  ·  THE PRESS RELEASE</w:t>
      </w:r>
    </w:p>
    <w:p>
      <w:pPr>
        <w:spacing w:after="120"/>
      </w:pPr>
      <w:r>
        <w:rPr>
          <w:i/>
          <w:iCs/>
          <w:color w:val="5B6B7E"/>
          <w:sz w:val="21"/>
          <w:szCs w:val="21"/>
        </w:rPr>
        <w:t xml:space="preserve">Written from the future — as if the practice has already launched and delivered.</w:t>
      </w:r>
    </w:p>
    <w:p>
      <w:pPr>
        <w:pBdr>
          <w:bottom w:val="single" w:color="DCE3EC" w:sz="6" w:space="1"/>
        </w:pBdr>
        <w:spacing w:after="160"/>
      </w:pPr>
    </w:p>
    <w:p>
      <w:pPr>
        <w:spacing w:after="40"/>
      </w:pPr>
      <w:r>
        <w:rPr>
          <w:b/>
          <w:bCs/>
          <w:color w:val="16263F"/>
          <w:sz w:val="22"/>
          <w:szCs w:val="22"/>
        </w:rPr>
        <w:t xml:space="preserve">FOR IMMEDIATE RELEASE</w:t>
      </w:r>
    </w:p>
    <w:p>
      <w:pPr>
        <w:spacing w:after="120"/>
      </w:pPr>
      <w:r>
        <w:rPr>
          <w:color w:val="5B6B7E"/>
          <w:sz w:val="20"/>
          <w:szCs w:val="20"/>
        </w:rPr>
        <w:t xml:space="preserve">Silicon Valley, CA — Q4 2026</w:t>
      </w:r>
    </w:p>
    <w:p>
      <w:pPr>
        <w:spacing w:after="80"/>
        <w:outlineLvl w:val="0"/>
      </w:pPr>
      <w:r>
        <w:rPr>
          <w:rFonts w:ascii="Cambria" w:cs="Cambria" w:eastAsia="Cambria" w:hAnsi="Cambria"/>
          <w:b/>
          <w:bCs/>
          <w:color w:val="16263F"/>
          <w:sz w:val="30"/>
          <w:szCs w:val="30"/>
        </w:rPr>
        <w:t xml:space="preserve">StatusNeo Launches Forward Deployed Engineering — the Onshore Practice That Lands AuthenticAI™ Inside the Enterprise</w:t>
      </w:r>
    </w:p>
    <w:p>
      <w:pPr>
        <w:spacing w:after="140"/>
      </w:pPr>
      <w:r>
        <w:rPr>
          <w:i/>
          <w:iCs/>
          <w:color w:val="1F2A38"/>
          <w:sz w:val="22"/>
          <w:szCs w:val="22"/>
        </w:rPr>
        <w:t xml:space="preserve">A small cadre of senior, customer-embedded engineers now opens and de-risks the accounts the global delivery org scales — unlocking regulated, air-gapped enterprises that do not buy pure-offshore.</w:t>
      </w:r>
    </w:p>
    <w:p>
      <w:pPr>
        <w:spacing w:after="120" w:line="278"/>
      </w:pPr>
      <w:r>
        <w:t xml:space="preserve">StatusNeo today announced the launch of its Forward Deployed Engineering (FDE) practice, a new onshore capability that places senior, customer-embedded engineers directly inside enterprise environments to land the AuthenticAI™ Loop and the Enterprise OS Fabric™ where they create value: in production, at the customer site. The FDE practice is the onshore tip of the spear that opens and de-risks accounts, which the company's global delivery centers then scale.</w:t>
      </w:r>
    </w:p>
    <w:p>
      <w:pPr>
        <w:spacing w:after="120" w:line="278"/>
      </w:pPr>
      <w:r>
        <w:t xml:space="preserve">“Every enterprise wanting AI transformation faces the same problem: the gap between a brilliant framework and a landed, trusted production system,” said the StatusNeo leadership sponsor. “Our Loops and our OS Fabric are best-in-class. FDE is how they get deployed and </w:t>
      </w:r>
      <w:r>
        <w:rPr>
          <w:i/>
          <w:iCs/>
        </w:rPr>
        <w:t xml:space="preserve">trusted</w:t>
      </w:r>
      <w:r>
        <w:t xml:space="preserve"> inside a customer — not just architected in a deck. One embedded engineer who earns a CISO's confidence is worth more than a hundred slides.”</w:t>
      </w:r>
    </w:p>
    <w:p>
      <w:pPr>
        <w:spacing w:after="120" w:line="278"/>
      </w:pPr>
      <w:r>
        <w:t xml:space="preserve">The practice directly addresses StatusNeo's hardest-to-win segment. Regulated, air-gapped enterprises — in healthcare, banking and financial services, and defense — structurally cannot buy pure-offshore delivery; they require embedded, cleared, onsite engineers with deep regulated-domain fluency. The FDE practice gives StatusNeo the onshore credibility to enter those rooms, while preserving the offshore cost-and-velocity model that scales the work behind a now-trusted relationship.</w:t>
      </w:r>
    </w:p>
    <w:p>
      <w:pPr>
        <w:spacing w:after="120" w:line="278"/>
      </w:pPr>
      <w:r>
        <w:t xml:space="preserve">The launch follows a validated demonstration with an existing StatusNeo customer, Modutecture, where an embedded FDE diagnosed the load-bearing gap in the customer's platform, built a working vertical slice on the customer's own stack, and earned an invitation to expand — the exact “land-and-expand” motion the practice institutionalizes. </w:t>
      </w:r>
      <w:r>
        <w:rPr>
          <w:i/>
          <w:iCs/>
          <w:color w:val="5B6B7E"/>
        </w:rPr>
        <w:t xml:space="preserve">(See FAQ for the precise status of this engagement.)</w:t>
      </w:r>
    </w:p>
    <w:p>
      <w:pPr>
        <w:spacing w:after="120" w:line="278"/>
      </w:pPr>
      <w:r>
        <w:t xml:space="preserve">FDE is built on the principle that distinguishes StatusNeo's entire philosophy: AuthenticAI™ — responsible, not reckless; business-driven, not demo-driven. In FDE engagements, AI proposes and a deterministic gate disposes; correctness and compliance precede velocity; and every claim is labeled built, proven, or next. The practice makes that philosophy real at the point of contact with the customer.</w:t>
      </w:r>
    </w:p>
    <w:p>
      <w:pPr>
        <w:spacing w:after="120" w:line="278"/>
      </w:pPr>
      <w:r>
        <w:t xml:space="preserve">The FDE practice is available now for enterprise engagements. Prospective customers, partners, and senior engineers interested in the practice can contact StatusNeo leadership directly.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ONE-LINE THESIS</w:t>
            </w:r>
          </w:p>
          <w:p>
            <w:pPr>
              <w:spacing w:line="276"/>
            </w:pPr>
            <w:r>
              <w:rPr>
                <w:color w:val="FFFFFF"/>
                <w:sz w:val="21"/>
                <w:szCs w:val="21"/>
              </w:rPr>
              <w:t xml:space="preserve">StatusNeo has the frameworks and the offshore scale. FDE is the missing onshore tip of the spear that lands those frameworks inside the customer, de-risks the handoff, and unlocks the regulated enterprises the air-gapped posture is already built for.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  ·  FREQUENTLY ASKED QUESTIONS</w:t>
      </w:r>
    </w:p>
    <w:p>
      <w:pPr>
        <w:spacing w:after="120"/>
      </w:pPr>
      <w:r>
        <w:rPr>
          <w:i/>
          <w:iCs/>
          <w:color w:val="5B6B7E"/>
          <w:sz w:val="21"/>
          <w:szCs w:val="21"/>
        </w:rPr>
        <w:t xml:space="preserve">Organized by the six questions every stakeholder asks: WHY, WHAT, WHO, WHERE, WHEN, HOW.</w:t>
      </w:r>
    </w:p>
    <w:p>
      <w:pPr>
        <w:pBdr>
          <w:bottom w:val="single" w:color="DCE3EC" w:sz="6" w:space="1"/>
        </w:pBdr>
        <w:spacing w:after="160"/>
      </w:pPr>
    </w:p>
    <w:p>
      <w:pPr>
        <w:pStyle w:val="Heading2"/>
      </w:pPr>
      <w:r>
        <w:rPr>
          <w:color w:val="16263F"/>
        </w:rPr>
        <w:t xml:space="preserve">External FAQ — for customers, partners, and the market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WHY does StatusNeo need a Forward Deployed Engineering practice?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Because the highest-value enterprise AI work fails in the same place: the gap between a framework and a landed, trusted production system. StatusNeo's AuthenticAI™ Loop and Enterprise OS Fabric™ are excellent, but frameworks don't deploy themselves inside a customer's constraints, politics, and regulated data. FDE is the human bridge that crosses that gap — and it unlocks the regulated, air-gapped enterprises (healthcare, BFSI, defense) that will not buy pure-offshore delivery.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WHAT exactly is an FDE engagement — what do we get?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A senior, onshore engineer embedded inside your environment who owns your outcome end-to-end: diagnoses the real problem, architects the solution, builds a working vertical slice on your actual stack, then pulls a StatusNeo delivery pod in behind them to scale — with no handoff gap. You get architecture authority and onsite trust in one person, backed by StatusNeo's full offshore velocity, IP, and the AuthenticAI™ governance model.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HOW is this different from staff augmentation or a typical consultancy?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rPr>
          <w:color w:val="1F2A38"/>
          <w:sz w:val="22"/>
          <w:szCs w:val="22"/>
        </w:rPr>
        <w:t xml:space="preserve">Staff augmentation gives you hands that execute tickets with no ownership. A typical consultancy gives you a deck and leaves. FDE gives you a single owner who is accountable for a landed, governed, expanding outcome — embedded in your environment, building on your stack, and pulling an entire delivery organization in behind them. The FDE doesn't hand off; the FDE owns the seam.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WHO is the FDE, and are they qualified for regulated environments?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FDEs are senior, architecture-capable, customer-facing engineers — deliberately a small, high-bar cadre. For regulated accounts they bring domain fluency (e.g., healthcare HL7/FHIR/HIPAA, financial, safety-critical) so they are credible in the room with a CISO or compliance officer, not just an engineering lead. The practice is led by an engineer with 28 years of embedded-at-customer delivery across exactly these regulated verticals.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HOW do you keep AI safe in our environment?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The governing rule of every FDE engagement: the AI proposes, a deterministic gate disposes. Models are used where they excel — reading messy context, drafting, accelerating — and never as the final authority on a decision that must be correct or compliant. In regulated domains, correctness and compliance precede velocity, always. This is the AuthenticAI™ principle — responsible, not reckless — in running code.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WHERE and WHEN can we engage?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rPr>
          <w:color w:val="1F2A38"/>
          <w:sz w:val="22"/>
          <w:szCs w:val="22"/>
        </w:rPr>
        <w:t xml:space="preserve">The practice is available now for enterprise engagements, onshore in the customer's environment with offshore delivery scaling behind it. A typical first engagement runs a 90-day arc — diagnose, land a working slice, scale with a pod, govern and expand — after which the account is referenceable, governed, and growing.</w:t>
      </w:r>
    </w:p>
    <w:p>
      <w:pPr>
        <w:pStyle w:val="Heading2"/>
      </w:pPr>
      <w:r>
        <w:rPr>
          <w:color w:val="16263F"/>
        </w:rPr>
        <w:t xml:space="preserve">Internal FAQ — for the Board, leadership, delivery, and sales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WHY now, and why does this matter strategically?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rPr>
          <w:color w:val="1F2A38"/>
          <w:sz w:val="22"/>
          <w:szCs w:val="22"/>
        </w:rPr>
        <w:t xml:space="preserve">Three forces converge. One: the market is saturated with AI frameworks and agent-washing; what differentiates is landed, trusted outcomes — exactly what an embedded engineer delivers. Two: our air-gapped OS Fabric posture already targets healthcare, BFSI, and defense, but those buyers won't transact pure-offshore — we are leaving our hardest, highest-value segment on the table without an onshore motion. Three: we have a live, validated demonstration (Modutecture) proving the motion works. The window is open now.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WHAT is the business model — doesn't onshore destroy our margin?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FDE does not replace offshore; it </w:t>
      </w:r>
      <w:r>
        <w:rPr>
          <w:i/>
          <w:iCs/>
        </w:rPr>
        <w:t xml:space="preserve">multiplies</w:t>
      </w:r>
      <w:r>
        <w:t xml:space="preserve"> it. One onshore FDE is expensive per-head, but their function is to open and de-risk accounts that a 10–20-person offshore pod then scales — accounts we could not have won otherwise. The governing metric is the </w:t>
      </w:r>
      <w:r>
        <w:rPr>
          <w:b/>
          <w:bCs/>
        </w:rPr>
        <w:t xml:space="preserve">offshore-pull ratio</w:t>
      </w:r>
      <w:r>
        <w:t xml:space="preserve">: GCC seats opened per FDE landing. If one FDE opens a regulated enterprise that yields a large offshore engagement, blended margin </w:t>
      </w:r>
      <w:r>
        <w:rPr>
          <w:i/>
          <w:iCs/>
        </w:rPr>
        <w:t xml:space="preserve">improves</w:t>
      </w:r>
      <w:r>
        <w:t xml:space="preserve">. FDE is a revenue-and-access play, not a delivery-cost play.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WHAT is the honest status of the Modutecture “pilot”?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Precisely stated: Modutecture is a </w:t>
      </w:r>
      <w:r>
        <w:rPr>
          <w:b/>
          <w:bCs/>
        </w:rPr>
        <w:t xml:space="preserve">validated demonstration of the motion, not a signed-and-scaled account</w:t>
      </w:r>
      <w:r>
        <w:t xml:space="preserve">. What is true: the customer's CTO saw the embedded motion succeed and invited expansion. What is not yet true: a closed long-term engagement. We call it the proof of the motion; converting it into the proof of the practice is part of the first 30 days. We label it honestly — that discipline is itself what the FDE practice sells.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WHO staffs this, and how do we find FDEs?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rPr>
          <w:color w:val="1F2A38"/>
          <w:sz w:val="22"/>
          <w:szCs w:val="22"/>
        </w:rPr>
        <w:t xml:space="preserve">A blend: internal promotion of our strongest, most customer-ready architects, plus targeted external hires for regulated-domain depth. The cadre is deliberately small and high-bar — one FDE paired with one offshore pod is the unit of the practice. The practice lead is hands-on and can personally be the FDE on the hardest first accounts while building the cadre.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HOW do we measure success, and over what horizon?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A 30/60/90 arc with explicit exits. Day 30: charter signed, pilot live, 3–5 target accounts identified. Day 60: methodology documented, 2–3 FDEs onboarding, a second account landed. Day 90: a named, sellable practice with a pipeline, a dashboard, and a co-sell motion across regions. Ongoing metrics: offshore-pull ratio, expansion revenue per FDE, and time-to-trust. </w:t>
      </w:r>
      <w:r>
        <w:rPr>
          <w:i/>
          <w:iCs/>
          <w:color w:val="5B6B7E"/>
        </w:rPr>
        <w:t xml:space="preserve">(Full detail in the playbook.)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WHERE does FDE sit in the org, and how does it work with the GCC?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t xml:space="preserve">FDE is onshore, reporting through the leadership sponsor, and operates as the front edge of the existing delivery org — not a competing silo. The relationship is sequencing, not competition: </w:t>
      </w:r>
      <w:r>
        <w:rPr>
          <w:b/>
          <w:bCs/>
        </w:rPr>
        <w:t xml:space="preserve">FDE lands; GCC scales.</w:t>
      </w:r>
      <w:r>
        <w:t xml:space="preserve"> The FDE owns the customer outcome and architecture authority; the offshore pod owns the volume of delivery behind a trusted relationship. One pod, always on, no handoffs.</w:t>
      </w:r>
    </w:p>
    <w:p>
      <w:pPr>
        <w:spacing w:after="60" w:before="140" w:line="270"/>
      </w:pPr>
      <w:r>
        <w:rPr>
          <w:b/>
          <w:bCs/>
          <w:color w:val="C9952F"/>
          <w:sz w:val="22"/>
          <w:szCs w:val="22"/>
        </w:rPr>
        <w:t xml:space="preserve">Q.  </w:t>
      </w:r>
      <w:r>
        <w:rPr>
          <w:b/>
          <w:bCs/>
          <w:color w:val="16263F"/>
          <w:sz w:val="22"/>
          <w:szCs w:val="22"/>
        </w:rPr>
        <w:t xml:space="preserve">WHAT are the risks, and how do we de-risk them?</w:t>
      </w:r>
    </w:p>
    <w:p>
      <w:pPr>
        <w:spacing w:after="90" w:line="274"/>
        <w:ind w:left="0"/>
      </w:pPr>
      <w:r>
        <w:rPr>
          <w:b/>
          <w:bCs/>
          <w:color w:val="5B6B7E"/>
          <w:sz w:val="22"/>
          <w:szCs w:val="22"/>
        </w:rPr>
        <w:t xml:space="preserve">A.  </w:t>
      </w:r>
      <w:r>
        <w:rPr>
          <w:color w:val="1F2A38"/>
          <w:sz w:val="22"/>
          <w:szCs w:val="22"/>
        </w:rPr>
        <w:t xml:space="preserve">Three honest failure modes. One: FDE gets diluted into just-another-delivery-role and loses the onshore-architecture-authority that makes it work. Two: we pick first accounts that aren't regulated/embedded-shaped, where FDE has no edge over the GCC. Three: the offshore-pull never materializes and FDE stays a cost with no scale behind it. All three are de-risked in the first 30 days: protect the role definition, select the right pilot accounts, and instrument the pull-ratio from day one.</w:t>
      </w:r>
    </w:p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III  ·  THE EXECUTION PLAYBOOK</w:t>
      </w:r>
    </w:p>
    <w:p>
      <w:pPr>
        <w:spacing w:after="120"/>
      </w:pPr>
      <w:r>
        <w:rPr>
          <w:i/>
          <w:iCs/>
          <w:color w:val="5B6B7E"/>
          <w:sz w:val="21"/>
          <w:szCs w:val="21"/>
        </w:rPr>
        <w:t xml:space="preserve">Beyond the PR-FAQ: the prescriptive WHO / WHAT / WHERE / WHEN / HOW that makes the vision executable.</w:t>
      </w:r>
    </w:p>
    <w:p>
      <w:pPr>
        <w:pBdr>
          <w:bottom w:val="single" w:color="DCE3EC" w:sz="6" w:space="1"/>
        </w:pBdr>
        <w:spacing w:after="160"/>
      </w:pPr>
    </w:p>
    <w:p>
      <w:pPr>
        <w:pStyle w:val="Heading1"/>
      </w:pPr>
      <w:r>
        <w:rPr>
          <w:color w:val="16263F"/>
        </w:rPr>
        <w:t xml:space="preserve">1. The Six Questions, Answered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 practice, in one line each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WHY</w:t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Frameworks don't land themselves. FDE crosses the gap from deck to trusted production, and unlocks regulated buyers who won't buy pure-offshore.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WHAT</w:t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A small onshore cadre of senior embedded engineers who own a customer outcome end-to-end and pull the GCC in behind them.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WHO</w:t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Senior, architecture-capable, regulated-domain-fluent engineers. Led hands-on; one FDE paired with one offshore pod is the unit.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WHERE</w:t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Onshore, inside the customer's environment (incl. air-gapped), with offshore delivery scaling behind. Starts with healthcare/BFSI/defense.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WHEN</w:t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Now. A 30/60/90 stand-up; each customer engagement a 90-day land-and-expand arc.</w:t>
            </w:r>
          </w:p>
        </w:tc>
      </w:tr>
      <w:tr>
        <w:tc>
          <w:tcPr>
            <w:tcW w:type="dxa" w:w="13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HOW</w:t>
            </w:r>
          </w:p>
        </w:tc>
        <w:tc>
          <w:tcPr>
            <w:tcW w:type="dxa" w:w="8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Diagnose → land a working slice → pull the pod in → govern &amp; expand. AI proposes; the deterministic gate disposes.</w:t>
            </w:r>
          </w:p>
        </w:tc>
      </w:tr>
    </w:tbl>
    <w:p>
      <w:pPr>
        <w:pStyle w:val="Heading1"/>
      </w:pPr>
      <w:r>
        <w:rPr>
          <w:color w:val="16263F"/>
        </w:rPr>
        <w:t xml:space="preserve">2. WHO — The People &amp; The Operating Unit</w:t>
      </w:r>
    </w:p>
    <w:p>
      <w:pPr>
        <w:pStyle w:val="Heading3"/>
      </w:pPr>
      <w:r>
        <w:rPr>
          <w:color w:val="C9952F"/>
        </w:rPr>
        <w:t xml:space="preserve">The FDE archetype (the hiring bar)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Senior &amp; architecture-capable</w:t>
      </w:r>
      <w:r>
        <w:t xml:space="preserve"> — can diagnose and architect, not just execute.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Customer-facing</w:t>
      </w:r>
      <w:r>
        <w:t xml:space="preserve"> — earns trust in the room; translates ambiguity into a delivery plan.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Regulated-domain fluent</w:t>
      </w:r>
      <w:r>
        <w:t xml:space="preserve"> — credible with a CISO/compliance officer (healthcare, BFSI, defense).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AI-native</w:t>
      </w:r>
      <w:r>
        <w:t xml:space="preserve"> — governed agentic AI is their default; the gate discipline is instinct.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Low-ego, outcome-owning</w:t>
      </w:r>
      <w:r>
        <w:t xml:space="preserve"> — humble about the customer's build, certain about the diagnosis.</w:t>
      </w:r>
    </w:p>
    <w:p>
      <w:pPr>
        <w:pStyle w:val="Heading3"/>
      </w:pPr>
      <w:r>
        <w:rPr>
          <w:color w:val="C9952F"/>
        </w:rPr>
        <w:t xml:space="preserve">The operating unit &amp; the RACI</w:t>
      </w:r>
    </w:p>
    <w:p>
      <w:pPr>
        <w:spacing w:after="120" w:line="278"/>
      </w:pPr>
      <w:r>
        <w:t xml:space="preserve">The unit of the practice is </w:t>
      </w:r>
      <w:r>
        <w:rPr>
          <w:b/>
          <w:bCs/>
        </w:rPr>
        <w:t xml:space="preserve">one FDE + one offshore pod = one account, landed and scaling.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4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Accountable for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FDE (onshore)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The customer outcome + architecture authority</w:t>
            </w:r>
          </w:p>
        </w:tc>
        <w:tc>
          <w:tcPr>
            <w:tcW w:type="dxa" w:w="4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Diagnosis, the landed slice, the trust relationship, the expansion path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Offshore pod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Delivery volume behind the FDE</w:t>
            </w:r>
          </w:p>
        </w:tc>
        <w:tc>
          <w:tcPr>
            <w:tcW w:type="dxa" w:w="4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Scaled build, automation, QA — using StatusNeo IP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Practice lead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The practice itself</w:t>
            </w:r>
          </w:p>
        </w:tc>
        <w:tc>
          <w:tcPr>
            <w:tcW w:type="dxa" w:w="4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Methodology, hiring the cadre, the dashboard, co-sell enablement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Leadership sponsor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Executive air cover</w:t>
            </w:r>
          </w:p>
        </w:tc>
        <w:tc>
          <w:tcPr>
            <w:tcW w:type="dxa" w:w="40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Account access, role-definition protection, escalation</w:t>
            </w:r>
          </w:p>
        </w:tc>
      </w:tr>
    </w:tbl>
    <w:p>
      <w:pPr>
        <w:pStyle w:val="Heading1"/>
      </w:pPr>
      <w:r>
        <w:rPr>
          <w:color w:val="16263F"/>
        </w:rPr>
        <w:t xml:space="preserve">3. WHERE — Markets, Accounts &amp; Sequencing</w:t>
      </w:r>
    </w:p>
    <w:p>
      <w:pPr>
        <w:spacing w:after="120" w:line="278"/>
      </w:pPr>
      <w:r>
        <w:t xml:space="preserve">Start where FDE has structural advantage and the GCC alone cannot win: </w:t>
      </w:r>
      <w:r>
        <w:rPr>
          <w:b/>
          <w:bCs/>
        </w:rPr>
        <w:t xml:space="preserve">regulated, air-gapped enterprises</w:t>
      </w:r>
      <w:r>
        <w:t xml:space="preserve"> — healthcare, BFSI, defense — named on StatusNeo's own OS Fabric posture.</w:t>
      </w:r>
    </w:p>
    <w:p>
      <w:pPr>
        <w:pStyle w:val="Heading3"/>
      </w:pPr>
      <w:r>
        <w:rPr>
          <w:color w:val="C9952F"/>
        </w:rPr>
        <w:t xml:space="preserve">Account-selection criteria (the pilot filter)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Regulated/embedded-shaped</w:t>
      </w:r>
      <w:r>
        <w:t xml:space="preserve"> — a buyer who structurally needs onsite, cleared engineers.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High visibility, manageable risk</w:t>
      </w:r>
      <w:r>
        <w:t xml:space="preserve"> — a lighthouse that proves the motion without betting the firm.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Expansion headroom</w:t>
      </w:r>
      <w:r>
        <w:t xml:space="preserve"> — a landed slice can credibly pull a 10–20-person offshore pod.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A real load-bearing gap</w:t>
      </w:r>
      <w:r>
        <w:t xml:space="preserve"> — somewhere the product 'lives between the tools' and correctness has no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PILOT #0 — MODUTECTURE</w:t>
            </w:r>
          </w:p>
          <w:p>
            <w:pPr>
              <w:spacing w:line="276"/>
            </w:pPr>
            <w:r>
              <w:rPr>
                <w:color w:val="FFFFFF"/>
                <w:sz w:val="21"/>
                <w:szCs w:val="21"/>
              </w:rPr>
              <w:t xml:space="preserve">The validated demonstration: an embedded FDE diagnosed the gap, built a working slice on the customer's own stack, and earned an invitation to expand. It is the proof of the motion, and the template for account selection. Honest status: validated demonstration, not a closed-and-scaled account.</w:t>
            </w:r>
          </w:p>
        </w:tc>
      </w:tr>
    </w:tbl>
    <w:p>
      <w:pPr>
        <w:pStyle w:val="Heading1"/>
      </w:pPr>
      <w:r>
        <w:rPr>
          <w:color w:val="16263F"/>
        </w:rPr>
        <w:t xml:space="preserve">4. WHEN — The 30 / 60 / 90 Stand-Up</w:t>
      </w:r>
    </w:p>
    <w:p>
      <w:pPr>
        <w:pStyle w:val="Heading2"/>
      </w:pPr>
      <w:r>
        <w:rPr>
          <w:color w:val="16263F"/>
        </w:rPr>
        <w:t xml:space="preserve">Days 0–30 — Listen, Map, Land the Pilot</w:t>
      </w:r>
    </w:p>
    <w:p>
      <w:pPr>
        <w:spacing w:after="120" w:line="278"/>
      </w:pPr>
      <w:r>
        <w:rPr>
          <w:b/>
          <w:bCs/>
        </w:rPr>
        <w:t xml:space="preserve">Theme: </w:t>
      </w:r>
      <w:r>
        <w:rPr>
          <w:i/>
          <w:iCs/>
        </w:rPr>
        <w:t xml:space="preserve">credibility through the Modutecture pilot + a documented charter.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Week 1 — Immersion.</w:t>
      </w:r>
      <w:r>
        <w:t xml:space="preserve"> Meet the sponsor, CEO, the CTO/AI lead, regional heads, delivery leads. Read the OS Fabric™, Loops, Agents Library, Maturity Index from the inside; map the handoff failure points.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Week 2 — Account audit.</w:t>
      </w:r>
      <w:r>
        <w:t xml:space="preserve"> Inventory accounts; identify 3–5 where an embedded FDE prevents churn, accelerates landing, or unlocks expansion.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Weeks 3–4 — Land the pilot + draft the charter.</w:t>
      </w:r>
      <w:r>
        <w:t xml:space="preserve"> Formalize Modutecture as reference #1. Produce the FDE Charter v1 with the FDE↔GCC model and metrics.</w:t>
      </w:r>
    </w:p>
    <w:p>
      <w:pPr>
        <w:spacing w:after="120" w:line="278"/>
      </w:pPr>
      <w:r>
        <w:rPr>
          <w:b/>
          <w:bCs/>
          <w:color w:val="1E7A4C"/>
        </w:rPr>
        <w:t xml:space="preserve">Exit (Day 30): </w:t>
      </w:r>
      <w:r>
        <w:t xml:space="preserve">Charter signed; pilot live; 3–5 targets identified; metrics baselined.</w:t>
      </w:r>
    </w:p>
    <w:p>
      <w:pPr>
        <w:pStyle w:val="Heading2"/>
      </w:pPr>
      <w:r>
        <w:rPr>
          <w:color w:val="16263F"/>
        </w:rPr>
        <w:t xml:space="preserve">Days 31–60 — Codify, Staff, Prove</w:t>
      </w:r>
    </w:p>
    <w:p>
      <w:pPr>
        <w:spacing w:after="120" w:line="278"/>
      </w:pPr>
      <w:r>
        <w:rPr>
          <w:b/>
          <w:bCs/>
        </w:rPr>
        <w:t xml:space="preserve">Theme: </w:t>
      </w:r>
      <w:r>
        <w:rPr>
          <w:i/>
          <w:iCs/>
        </w:rPr>
        <w:t xml:space="preserve">turn one success into a repeatable practice.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Codify the FDE Loop™</w:t>
      </w:r>
      <w:r>
        <w:t xml:space="preserve"> (the methodology cookbook) and build the Landing Runbook (the field manual).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Identify/onboard the first 2–3 FDEs</w:t>
      </w:r>
      <w:r>
        <w:t xml:space="preserve">; pair each with an offshore pod.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Land a second account</w:t>
      </w:r>
      <w:r>
        <w:t xml:space="preserve"> — prove the motion transfers beyond Modutecture.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Extend the AI Maturity Index</w:t>
      </w:r>
      <w:r>
        <w:t xml:space="preserve"> with an embedded-delivery readiness vector.</w:t>
      </w:r>
    </w:p>
    <w:p>
      <w:pPr>
        <w:spacing w:after="120" w:line="278"/>
      </w:pPr>
      <w:r>
        <w:rPr>
          <w:b/>
          <w:bCs/>
          <w:color w:val="1E7A4C"/>
        </w:rPr>
        <w:t xml:space="preserve">Exit (Day 60): </w:t>
      </w:r>
      <w:r>
        <w:t xml:space="preserve">Methodology documented; 2–3 FDEs onboarding; second account landed; index extended.</w:t>
      </w:r>
    </w:p>
    <w:p>
      <w:pPr>
        <w:pStyle w:val="Heading2"/>
      </w:pPr>
      <w:r>
        <w:rPr>
          <w:color w:val="16263F"/>
        </w:rPr>
        <w:t xml:space="preserve">Days 61–90 — Scale, Productize, Institutionalize</w:t>
      </w:r>
    </w:p>
    <w:p>
      <w:pPr>
        <w:spacing w:after="120" w:line="278"/>
      </w:pPr>
      <w:r>
        <w:rPr>
          <w:b/>
          <w:bCs/>
        </w:rPr>
        <w:t xml:space="preserve">Theme: </w:t>
      </w:r>
      <w:r>
        <w:rPr>
          <w:i/>
          <w:iCs/>
        </w:rPr>
        <w:t xml:space="preserve">make FDE a named, sellable, scaling practice line.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Productize 'StatusNeo FDE'</w:t>
      </w:r>
      <w:r>
        <w:t xml:space="preserve"> on the site and in the sales motion.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Stand up the practice dashboard</w:t>
      </w:r>
      <w:r>
        <w:t xml:space="preserve"> — accounts landed, expansion revenue, offshore-pull ratio, time-to-trust, NPS.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Enable co-sell across regions</w:t>
      </w:r>
      <w:r>
        <w:t xml:space="preserve"> (West Coast, East Coast, EMEA, APAC).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Publish the thought-leadership whitepaper</w:t>
      </w:r>
      <w:r>
        <w:t xml:space="preserve"> — 'The Embedded Edge', extending the 2026 trilogy.</w:t>
      </w:r>
    </w:p>
    <w:p>
      <w:pPr>
        <w:spacing w:after="120" w:line="278"/>
      </w:pPr>
      <w:r>
        <w:rPr>
          <w:b/>
          <w:bCs/>
          <w:color w:val="1E7A4C"/>
        </w:rPr>
        <w:t xml:space="preserve">Exit (Day 90): </w:t>
      </w:r>
      <w:r>
        <w:t xml:space="preserve">A named practice with pipeline, dashboard, methodology, 2–4 references, and a regional co-sell motion.</w:t>
      </w:r>
    </w:p>
    <w:p>
      <w:pPr>
        <w:pStyle w:val="Heading1"/>
      </w:pPr>
      <w:r>
        <w:rPr>
          <w:color w:val="16263F"/>
        </w:rPr>
        <w:t xml:space="preserve">5. HOW — The Engagement Motion (per account)</w:t>
      </w:r>
    </w:p>
    <w:p>
      <w:pPr>
        <w:spacing w:after="120" w:line="278"/>
      </w:pPr>
      <w:r>
        <w:t xml:space="preserve">Every engagement runs the AuthenticAI™ Loop, embedded at the customer: </w:t>
      </w:r>
      <w:r>
        <w:rPr>
          <w:b/>
          <w:bCs/>
          <w:color w:val="16263F"/>
        </w:rPr>
        <w:t xml:space="preserve">Clarity → Build → Velocity → Improvement.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6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 FDE does</w:t>
            </w:r>
          </w:p>
        </w:tc>
        <w:tc>
          <w:tcPr>
            <w:tcW w:type="dxa" w:w="3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Clarity
(Diagnose)</w:t>
            </w:r>
          </w:p>
        </w:tc>
        <w:tc>
          <w:tcPr>
            <w:tcW w:type="dxa" w:w="46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Study the platform before the job description. Find the load-bearing gap; map it to an OS Fabric layer; validate live: 'tell me where I'm wrong.'</w:t>
            </w:r>
          </w:p>
        </w:tc>
        <w:tc>
          <w:tcPr>
            <w:tcW w:type="dxa" w:w="3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E7A4C"/>
              </w:rPr>
              <w:t xml:space="preserve">The customer agrees on the problem and wants your architecture.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Build
(Land)</w:t>
            </w:r>
          </w:p>
        </w:tc>
        <w:tc>
          <w:tcPr>
            <w:tcW w:type="dxa" w:w="46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Build the thinnest end-to-end slice on the customer's stack. AI proposes; the deterministic gate disposes. Observable from commit one. Label built/proven/next.</w:t>
            </w:r>
          </w:p>
        </w:tc>
        <w:tc>
          <w:tcPr>
            <w:tcW w:type="dxa" w:w="3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E7A4C"/>
              </w:rPr>
              <w:t xml:space="preserve">A customer-validated slice runs on their stack.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Velocity
(Pull)</w:t>
            </w:r>
          </w:p>
        </w:tc>
        <w:tc>
          <w:tcPr>
            <w:tcW w:type="dxa" w:w="46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Define the offshore-pull point; bring the pod in behind earned trust with the Agents Library + AI-Native SDLC. FDE stays single owner.</w:t>
            </w:r>
          </w:p>
        </w:tc>
        <w:tc>
          <w:tcPr>
            <w:tcW w:type="dxa" w:w="3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E7A4C"/>
              </w:rPr>
              <w:t xml:space="preserve">Offshore velocity lands behind the FDE; no trust gap.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b/>
                <w:bCs/>
                <w:color w:val="16263F"/>
              </w:rPr>
              <w:t xml:space="preserve">Improvement
(Govern &amp; expand)</w:t>
            </w:r>
          </w:p>
        </w:tc>
        <w:tc>
          <w:tcPr>
            <w:tcW w:type="dxa" w:w="46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Stand up governance (observability, compliance, SLO/SLA). Measure time-to-trust; identify the next adjacent problem to land.</w:t>
            </w:r>
          </w:p>
        </w:tc>
        <w:tc>
          <w:tcPr>
            <w:tcW w:type="dxa" w:w="30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E7A4C"/>
              </w:rPr>
              <w:t xml:space="preserve">The account is self-sustaining, governed, expanding, referenceable.</w:t>
            </w:r>
          </w:p>
        </w:tc>
      </w:tr>
    </w:tbl>
    <w:p>
      <w:pPr>
        <w:pStyle w:val="Heading3"/>
      </w:pPr>
      <w:r>
        <w:rPr>
          <w:color w:val="C9952F"/>
        </w:rPr>
        <w:t xml:space="preserve">The break-glass rules (when an engagement wobbles)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Customer doubts it's real?</w:t>
      </w:r>
      <w:r>
        <w:t xml:space="preserve"> Show running code + health/observability. Working software ends doubt.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Scope creep?</w:t>
      </w:r>
      <w:r>
        <w:t xml:space="preserve"> Return to the frozen ADRs and the agreed slice. Expand deliberately.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Handoff friction?</w:t>
      </w:r>
      <w:r>
        <w:t xml:space="preserve"> The FDE owns the seam; never let the customer feel a gap.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Architecture disagreement?</w:t>
      </w:r>
      <w:r>
        <w:t xml:space="preserve"> 'Here's what I'd measure before we decide.' Never bluff; decision rights stay with the customer.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Regulated-data risk?</w:t>
      </w:r>
      <w:r>
        <w:t xml:space="preserve"> Stop, escalate, govern first. Correctness and compliance precede velocity.</w:t>
      </w:r>
    </w:p>
    <w:p>
      <w:pPr>
        <w:pStyle w:val="Heading1"/>
      </w:pPr>
      <w:r>
        <w:rPr>
          <w:color w:val="16263F"/>
        </w:rPr>
        <w:t xml:space="preserve">6. The Metrics That Govern the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tells us</w:t>
            </w:r>
          </w:p>
        </w:tc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Offshore-pull ratio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GCC seats opened per FDE landing — the margin engine</w:t>
            </w:r>
          </w:p>
        </w:tc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Each FDE opens a multi-person pod</w:t>
            </w:r>
          </w:p>
        </w:tc>
      </w:tr>
      <w:tr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Expansion revenue / FDE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Land-and-expand effectiveness</w:t>
            </w:r>
          </w:p>
        </w:tc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Growing per account, per quarter</w:t>
            </w:r>
          </w:p>
        </w:tc>
      </w:tr>
      <w:tr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Time-to-trust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Days from embed to customer-validated delivery</w:t>
            </w:r>
          </w:p>
        </w:tc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Shrinking as the playbook matures</w:t>
            </w:r>
          </w:p>
        </w:tc>
      </w:tr>
      <w:tr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Reference accounts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Proof the motion transfers</w:t>
            </w:r>
          </w:p>
        </w:tc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2–4 by day 90</w:t>
            </w:r>
          </w:p>
        </w:tc>
      </w:tr>
      <w:tr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Practice pipeline</w:t>
            </w:r>
          </w:p>
        </w:tc>
        <w:tc>
          <w:tcPr>
            <w:tcW w:type="dxa" w:w="43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Co-sell demand across regions</w:t>
            </w:r>
          </w:p>
        </w:tc>
        <w:tc>
          <w:tcPr>
            <w:tcW w:type="dxa" w:w="25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color w:val="1F2A38"/>
                <w:sz w:val="19"/>
                <w:szCs w:val="19"/>
              </w:rPr>
              <w:t xml:space="preserve">Live by day 90</w:t>
            </w:r>
          </w:p>
        </w:tc>
      </w:tr>
    </w:tbl>
    <w:p>
      <w:pPr>
        <w:pStyle w:val="Heading1"/>
      </w:pPr>
      <w:r>
        <w:rPr>
          <w:color w:val="16263F"/>
        </w:rPr>
        <w:t xml:space="preserve">7. Why This Is Feasible — and Exclusive, Now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rPr>
          <w:b/>
          <w:bCs/>
        </w:rPr>
        <w:t xml:space="preserve">The gap is real and named.</w:t>
      </w:r>
      <w:r>
        <w:t xml:space="preserve"> StatusNeo's site lists no FDE practice; its air-gapped posture targets buyers who won't go pure-offshore. The need exists independent of any one candidate.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rPr>
          <w:b/>
          <w:bCs/>
        </w:rPr>
        <w:t xml:space="preserve">The motion is already validated.</w:t>
      </w:r>
      <w:r>
        <w:t xml:space="preserve"> Modutecture proved an embedded FDE can diagnose, land on the customer's stack, and earn expansion — honestly labeled as a demonstration, not a closed account.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rPr>
          <w:b/>
          <w:bCs/>
        </w:rPr>
        <w:t xml:space="preserve">It multiplies the existing model, not replaces it.</w:t>
      </w:r>
      <w:r>
        <w:t xml:space="preserve"> FDE lands; the GCC scales. The offshore-pull ratio makes it margin-accretive and unlocks otherwise-unreachable revenue.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rPr>
          <w:b/>
          <w:bCs/>
        </w:rPr>
        <w:t xml:space="preserve">It is AuthenticAI™ in running code.</w:t>
      </w:r>
      <w:r>
        <w:t xml:space="preserve"> Responsible, not reckless; the model proposes, the gate disposes. The practice makes the company's philosophy real at the customer.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rPr>
          <w:b/>
          <w:bCs/>
        </w:rPr>
        <w:t xml:space="preserve">It has a hands-on owner.</w:t>
      </w:r>
      <w:r>
        <w:t xml:space="preserve"> 28 years of embedded-at-customer delivery across regulated verticals — able to be the FDE on the hardest first accounts while standing up the cadre.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ASK</w:t>
            </w:r>
          </w:p>
          <w:p>
            <w:pPr>
              <w:spacing w:line="276"/>
            </w:pPr>
            <w:r>
              <w:rPr>
                <w:color w:val="FFFFFF"/>
                <w:sz w:val="21"/>
                <w:szCs w:val="21"/>
              </w:rPr>
              <w:t xml:space="preserve">The charter to stand up StatusNeo's Forward Deployed Engineering practice — starting with the Modutecture pilot already in flight — and 90 days to prove it becomes a named, scaling, regulated-enterprise-unlocking practice line. The press release is the destination. This playbook is the road. Both are ready.</w:t>
            </w:r>
          </w:p>
        </w:tc>
      </w:tr>
    </w:tbl>
    <w:p>
      <w:pPr>
        <w:spacing w:after="40"/>
      </w:pPr>
    </w:p>
    <w:p>
      <w:r>
        <w:rPr>
          <w:color w:val="8090A4"/>
          <w:sz w:val="18"/>
          <w:szCs w:val="18"/>
        </w:rPr>
        <w:t xml:space="preserve">Jithendran (Jeeth) Sellamuthu  ·  Head of Forward Deployed Engineering (proposed)  ·  June 2026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outlineLvl w:val="0"/>
    </w:pPr>
    <w:rPr>
      <w:rFonts w:ascii="Cambria" w:cs="Cambria" w:eastAsia="Cambria" w:hAnsi="Cambria"/>
      <w:b/>
      <w:bCs/>
      <w:color w:val="16263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mbria" w:cs="Cambria" w:eastAsia="Cambria" w:hAnsi="Cambria"/>
      <w:b/>
      <w:bCs/>
      <w:color w:val="16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mbria" w:cs="Cambria" w:eastAsia="Cambria" w:hAnsi="Cambria"/>
      <w:b/>
      <w:bCs/>
      <w:color w:val="16263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Calibri" w:cs="Calibri" w:eastAsia="Calibri" w:hAnsi="Calibri"/>
      <w:b/>
      <w:bCs/>
      <w:color w:val="C9952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2026-06-23T03:00:30.725Z</dcterms:created>
  <dcterms:modified xsi:type="dcterms:W3CDTF">2026-06-23T03:00:30.725Z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