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HMI Client Contact Hours (CCH) Log</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Student</w:t>
            </w:r>
          </w:p>
        </w:tc>
        <w:tc>
          <w:tcPr>
            <w:tcW w:type="dxa" w:w="2160"/>
          </w:tcPr>
          <w:p>
            <w:r>
              <w:t>Jithendran Sellamuthu</w:t>
            </w:r>
          </w:p>
        </w:tc>
        <w:tc>
          <w:tcPr>
            <w:tcW w:type="dxa" w:w="2160"/>
          </w:tcPr>
          <w:p>
            <w:r>
              <w:t>AHA #</w:t>
            </w:r>
          </w:p>
        </w:tc>
        <w:tc>
          <w:tcPr>
            <w:tcW w:type="dxa" w:w="2160"/>
          </w:tcPr>
          <w:p>
            <w:r>
              <w:t>007913</w:t>
            </w:r>
          </w:p>
        </w:tc>
      </w:tr>
      <w:tr>
        <w:tc>
          <w:tcPr>
            <w:tcW w:type="dxa" w:w="2160"/>
          </w:tcPr>
          <w:p>
            <w:r>
              <w:t>Client Initials</w:t>
            </w:r>
          </w:p>
        </w:tc>
        <w:tc>
          <w:tcPr>
            <w:tcW w:type="dxa" w:w="2160"/>
          </w:tcPr>
          <w:p>
            <w:r>
              <w:t>T.M.</w:t>
            </w:r>
          </w:p>
        </w:tc>
        <w:tc>
          <w:tcPr>
            <w:tcW w:type="dxa" w:w="2160"/>
          </w:tcPr>
          <w:p>
            <w:r>
              <w:t>Session #</w:t>
            </w:r>
          </w:p>
        </w:tc>
        <w:tc>
          <w:tcPr>
            <w:tcW w:type="dxa" w:w="2160"/>
          </w:tcPr>
          <w:p>
            <w:r>
              <w:t>1 (Intake)</w:t>
            </w:r>
          </w:p>
        </w:tc>
      </w:tr>
      <w:tr>
        <w:tc>
          <w:tcPr>
            <w:tcW w:type="dxa" w:w="2160"/>
          </w:tcPr>
          <w:p>
            <w:r>
              <w:t>Date</w:t>
            </w:r>
          </w:p>
        </w:tc>
        <w:tc>
          <w:tcPr>
            <w:tcW w:type="dxa" w:w="2160"/>
          </w:tcPr>
          <w:p>
            <w:r>
              <w:t>October 8, 2026</w:t>
            </w:r>
          </w:p>
        </w:tc>
        <w:tc>
          <w:tcPr>
            <w:tcW w:type="dxa" w:w="2160"/>
          </w:tcPr>
          <w:p>
            <w:r>
              <w:t>Duration</w:t>
            </w:r>
          </w:p>
        </w:tc>
        <w:tc>
          <w:tcPr>
            <w:tcW w:type="dxa" w:w="2160"/>
          </w:tcPr>
          <w:p>
            <w:r>
              <w:t>90 minutes</w:t>
            </w:r>
          </w:p>
        </w:tc>
      </w:tr>
      <w:tr>
        <w:tc>
          <w:tcPr>
            <w:tcW w:type="dxa" w:w="2160"/>
          </w:tcPr>
          <w:p>
            <w:r>
              <w:t>Modality</w:t>
            </w:r>
          </w:p>
        </w:tc>
        <w:tc>
          <w:tcPr>
            <w:tcW w:type="dxa" w:w="2160"/>
          </w:tcPr>
          <w:p>
            <w:r>
              <w:t>Zoom (Virtual)</w:t>
            </w:r>
          </w:p>
        </w:tc>
        <w:tc>
          <w:tcPr>
            <w:tcW w:type="dxa" w:w="2160"/>
          </w:tcPr>
          <w:p>
            <w:r>
              <w:t>Fee</w:t>
            </w:r>
          </w:p>
        </w:tc>
        <w:tc>
          <w:tcPr>
            <w:tcW w:type="dxa" w:w="2160"/>
          </w:tcPr>
          <w:p>
            <w:r>
              <w:t>Pro Bono (CSP)</w:t>
            </w:r>
          </w:p>
        </w:tc>
      </w:tr>
    </w:tbl>
    <w:p/>
    <w:p>
      <w:pPr>
        <w:pStyle w:val="Heading2"/>
      </w:pPr>
      <w:r>
        <w:t>1. Presenting Issue</w:t>
      </w:r>
    </w:p>
    <w:p>
      <w:r>
        <w:t>T.M. is a 22-year-old student at Appalachian State University in North Carolina, presenting with anxiety stemming from childhood trauma. Client reports unresolved feelings from abusive experiences with family members during childhood, which have resulted in ongoing difficulties with self-esteem, confidence, assertiveness, trust in close relationships, and hypervigilance. Client describes feeling abandoned, alone, and betrayed, with persistent anger and shame related to past experiences. Specific trigger identified: men yelling causes immediate fear and anxiety response. Client has completed traditional psychotherapy which provided significant cognitive insight, but seeks hypnotherapy to address subconscious patterns that talk therapy has not fully resolved. Client stated goal: to be more emotionally stable and assertive, to remain aware of past experiences without them causing current anxiety, and to feel comfortable in his own skin.</w:t>
      </w:r>
    </w:p>
    <w:p>
      <w:pPr>
        <w:pStyle w:val="Heading2"/>
      </w:pPr>
      <w:r>
        <w:t>2. What preparation did you do for this session?</w:t>
      </w:r>
    </w:p>
    <w:p>
      <w:r>
        <w:t>Prepared a comprehensive 24-step first session script adapted for trauma-informed intake, following the Kappasinian 15-step First Session Flowchart with trauma-specific modifications.</w:t>
      </w:r>
    </w:p>
    <w:p>
      <w:pPr>
        <w:pStyle w:val="ListBullet"/>
      </w:pPr>
      <w:r>
        <w:t>Reviewed client intake registration from HMI CSP program</w:t>
      </w:r>
    </w:p>
    <w:p>
      <w:pPr>
        <w:pStyle w:val="ListBullet"/>
      </w:pPr>
      <w:r>
        <w:t>Prepared L.O.V.E. intake structure (Listen, Observe, Verify, Empathize) with trauma-appropriate questioning</w:t>
      </w:r>
    </w:p>
    <w:p>
      <w:pPr>
        <w:pStyle w:val="ListBullet"/>
      </w:pPr>
      <w:r>
        <w:t>Prepared 6 mandatory screening questions (active care, medications, safety/suicidal ideation, trauma scope, triggers, panic/dissociation)</w:t>
      </w:r>
    </w:p>
    <w:p>
      <w:pPr>
        <w:pStyle w:val="ListBullet"/>
      </w:pPr>
      <w:r>
        <w:t>Prepared 36-question suggestibility test with both Physical and Emotional delivery branches fully scripted</w:t>
      </w:r>
    </w:p>
    <w:p>
      <w:pPr>
        <w:pStyle w:val="ListBullet"/>
      </w:pPr>
      <w:r>
        <w:t>Prepared Theory of Mind script incorporating fight/flight/freeze nervous system frame relevant to trauma</w:t>
      </w:r>
    </w:p>
    <w:p>
      <w:pPr>
        <w:pStyle w:val="ListBullet"/>
      </w:pPr>
      <w:r>
        <w:t>Prepared pre-induction speech (14 points) adapted for trauma client</w:t>
      </w:r>
    </w:p>
    <w:p>
      <w:pPr>
        <w:pStyle w:val="ListBullet"/>
      </w:pPr>
      <w:r>
        <w:t>Prepared both Physical and Emotional arm-raising induction scripts</w:t>
      </w:r>
    </w:p>
    <w:p>
      <w:pPr>
        <w:pStyle w:val="ListBullet"/>
      </w:pPr>
      <w:r>
        <w:t>Prepared safe space construction protocol (client designs, not therapist)</w:t>
      </w:r>
    </w:p>
    <w:p>
      <w:pPr>
        <w:pStyle w:val="ListBullet"/>
      </w:pPr>
      <w:r>
        <w:t>Prepared grounding anchor (triple-fire installation) protocol</w:t>
      </w:r>
    </w:p>
    <w:p>
      <w:pPr>
        <w:pStyle w:val="ListBullet"/>
      </w:pPr>
      <w:r>
        <w:t>Reviewed HMI case conference guidance on inner child work (John Melton, George Kappas, Saman Nasir)</w:t>
      </w:r>
    </w:p>
    <w:p>
      <w:pPr>
        <w:pStyle w:val="ListBullet"/>
      </w:pPr>
      <w:r>
        <w:t>Prepared EFT (Emotional Freedom Technique) tapping protocol as supplementary grounding tool</w:t>
      </w:r>
    </w:p>
    <w:p>
      <w:pPr>
        <w:pStyle w:val="ListBullet"/>
      </w:pPr>
      <w:r>
        <w:t>Prepared and sent SB 577 Disclosure and Recording Consent documents aligned with HMI CSP terms prior to session</w:t>
      </w:r>
    </w:p>
    <w:p>
      <w:pPr>
        <w:pStyle w:val="Heading2"/>
      </w:pPr>
      <w:r>
        <w:t>3. What hypnotic techniques and suggestions did you use in this session?</w:t>
      </w:r>
    </w:p>
    <w:p>
      <w:r>
        <w:t>This was an initial intake and assessment session. The following techniques were employed:</w:t>
      </w:r>
    </w:p>
    <w:p>
      <w:pPr>
        <w:pStyle w:val="ListBullet"/>
      </w:pPr>
      <w:r>
        <w:rPr>
          <w:b/>
        </w:rPr>
        <w:t xml:space="preserve">L.O.V.E. Intake Protocol: </w:t>
      </w:r>
      <w:r>
        <w:t>Open-ended questions to explore presenting issues, closed-ended anchors to verify understanding, body awareness inquiry, expectations check per John Melton guidance.</w:t>
      </w:r>
    </w:p>
    <w:p>
      <w:pPr>
        <w:pStyle w:val="ListBullet"/>
      </w:pPr>
      <w:r>
        <w:rPr>
          <w:b/>
        </w:rPr>
        <w:t xml:space="preserve">Critical Screening: </w:t>
      </w:r>
      <w:r>
        <w:t>All 6 mandatory screening questions administered. Client cleared for hypnotherapy with appropriate cautions noted for childhood trauma history.</w:t>
      </w:r>
    </w:p>
    <w:p>
      <w:pPr>
        <w:pStyle w:val="ListBullet"/>
      </w:pPr>
      <w:r>
        <w:rPr>
          <w:b/>
        </w:rPr>
        <w:t xml:space="preserve">36-Question Suggestibility Test: </w:t>
      </w:r>
      <w:r>
        <w:t>Result: 31% Physical / 69% Emotional. This establishes the Emotional delivery lane for all future sessions (imagery, metaphors, permissive language, indirect suggestion).</w:t>
      </w:r>
    </w:p>
    <w:p>
      <w:pPr>
        <w:pStyle w:val="ListBullet"/>
      </w:pPr>
      <w:r>
        <w:rPr>
          <w:b/>
        </w:rPr>
        <w:t xml:space="preserve">Theory of Mind: </w:t>
      </w:r>
      <w:r>
        <w:t>Presented the conscious/subconscious model (88%/12%), critical mind filter, and how early childhood programming creates automatic patterns. Incorporated fight/flight/freeze explanation relevant to hypervigilance.</w:t>
      </w:r>
    </w:p>
    <w:p>
      <w:pPr>
        <w:pStyle w:val="ListBullet"/>
      </w:pPr>
      <w:r>
        <w:rPr>
          <w:b/>
        </w:rPr>
        <w:t xml:space="preserve">EFT Tapping: </w:t>
      </w:r>
      <w:r>
        <w:t>Introduced tapping protocol as grounding tool. Worked through three emotions: (1) shame about past experiences, (2) fear of letting down emotional guard, (3) anger arising from betrayal. Used river metaphor (feelings flow over the inner core without eroding it) and wallpaper metaphor (removing and replacing negative patterns while protecting inner peace).</w:t>
      </w:r>
    </w:p>
    <w:p>
      <w:pPr>
        <w:pStyle w:val="ListBullet"/>
      </w:pPr>
      <w:r>
        <w:rPr>
          <w:b/>
        </w:rPr>
        <w:t xml:space="preserve">Guided Relaxation + Deep Breathing: </w:t>
      </w:r>
      <w:r>
        <w:t>Conducted body scanning and progressive breathing exercise to demonstrate relaxation response and build comfort with the therapeutic process.</w:t>
      </w:r>
    </w:p>
    <w:p>
      <w:pPr>
        <w:pStyle w:val="ListBullet"/>
      </w:pPr>
      <w:r>
        <w:rPr>
          <w:b/>
        </w:rPr>
        <w:t xml:space="preserve">Self-Acceptance Affirmations: </w:t>
      </w:r>
      <w:r>
        <w:t>Guided client through acceptance statements acknowledging feelings without judgment, separating external experiences from inner self-worth.</w:t>
      </w:r>
    </w:p>
    <w:p/>
    <w:p>
      <w:r>
        <w:t>Note: Formal hypnotic induction (arm-raising), PHS, safe space construction, and grounding anchor installation were prepared but deferred to Session 2. The session naturally evolved toward EFT and guided relaxation based on the client's emotional state and the depth of trauma disclosure. This was a clinically appropriate adaptation.</w:t>
      </w:r>
    </w:p>
    <w:p>
      <w:pPr>
        <w:pStyle w:val="Heading2"/>
      </w:pPr>
      <w:r>
        <w:t>4. What were the highlights of this session?</w:t>
      </w:r>
    </w:p>
    <w:p>
      <w:pPr>
        <w:pStyle w:val="ListBullet"/>
      </w:pPr>
      <w:r>
        <w:t>Client was remarkably open about his trauma history despite this being the first session. He described childhood abuse from family members including his mother, resulting in feelings of abandonment, betrayal, anger, and shame. This level of disclosure indicates strong rapport and readiness for therapeutic work.</w:t>
      </w:r>
    </w:p>
    <w:p>
      <w:pPr>
        <w:pStyle w:val="ListBullet"/>
      </w:pPr>
      <w:r>
        <w:t>Suggestibility testing revealed 69% Emotional profile, establishing the delivery lane for all future sessions. Client responds best to indirect imagery and metaphors rather than direct commands.</w:t>
      </w:r>
    </w:p>
    <w:p>
      <w:pPr>
        <w:pStyle w:val="ListBullet"/>
      </w:pPr>
      <w:r>
        <w:t>The EFT tapping exercise was particularly well-received. The client engaged actively with acceptance statements and appeared to experience genuine emotional release during the shame and betrayal rounds. The river and wallpaper metaphors resonated strongly.</w:t>
      </w:r>
    </w:p>
    <w:p>
      <w:pPr>
        <w:pStyle w:val="ListBullet"/>
      </w:pPr>
      <w:r>
        <w:t>Client identified a specific trigger (men yelling) with clear awareness of its origin and impact. This provides a clear target for desensitization work in future sessions.</w:t>
      </w:r>
    </w:p>
    <w:p>
      <w:pPr>
        <w:pStyle w:val="ListBullet"/>
      </w:pPr>
      <w:r>
        <w:t>Client articulated a clear vision of his ideal self: emotionally stable, assertive, aware of the past without it controlling the present. This becomes the treatment frame for the entire arc.</w:t>
      </w:r>
    </w:p>
    <w:p>
      <w:pPr>
        <w:pStyle w:val="ListBullet"/>
      </w:pPr>
      <w:r>
        <w:t>Despite the weight of the disclosure, the client left appearing calmer and more grounded than when he arrived. The breathing exercises and EFT provided an immediate experience of self-regulation.</w:t>
      </w:r>
    </w:p>
    <w:p>
      <w:pPr>
        <w:pStyle w:val="Heading2"/>
      </w:pPr>
      <w:r>
        <w:t>5. Did you discuss this session with a supervisor and if so what guidance did you receive?</w:t>
      </w:r>
    </w:p>
    <w:p>
      <w:r>
        <w:t>Prior to this session, I reviewed relevant HMI case conference materials:</w:t>
      </w:r>
    </w:p>
    <w:p>
      <w:pPr>
        <w:pStyle w:val="ListBullet"/>
      </w:pPr>
      <w:r>
        <w:rPr>
          <w:b/>
        </w:rPr>
        <w:t xml:space="preserve">John Melton: </w:t>
      </w:r>
      <w:r>
        <w:t>Guidance on checking client expectations. Emphasized identifying specific behavior to change. Discussed re-parenting framework and importance of trust before deep work.</w:t>
      </w:r>
    </w:p>
    <w:p>
      <w:pPr>
        <w:pStyle w:val="ListBullet"/>
      </w:pPr>
      <w:r>
        <w:rPr>
          <w:b/>
        </w:rPr>
        <w:t xml:space="preserve">George Kappas, MA, LMFT: </w:t>
      </w:r>
      <w:r>
        <w:t>Cautioned against over-reliance on inner child work. Emphasized present-day behavior change. Warned about therapy-experienced clients intellectualizing rather than allowing subconscious change.</w:t>
      </w:r>
    </w:p>
    <w:p>
      <w:pPr>
        <w:pStyle w:val="ListBullet"/>
      </w:pPr>
      <w:r>
        <w:rPr>
          <w:b/>
        </w:rPr>
        <w:t xml:space="preserve">Saman Nasir, CCHt: </w:t>
      </w:r>
      <w:r>
        <w:t>Neuroscience-informed perspective on childhood imprinting affecting amygdala, hippocampus, and vagus nerve. Explained why insight alone cannot reach the limbic system.</w:t>
      </w:r>
    </w:p>
    <w:p/>
    <w:p>
      <w:r>
        <w:t>I plan to discuss this session with my supervisor (Lisa) to review: (1) the decision to defer formal induction to Session 2, (2) appropriateness of introducing EFT on the first session, (3) how to approach forgiveness and cord cutting given the severity of disclosure, (4) whether a referral to a licensed MHP for concurrent PTSD treatment should be considered.</w:t>
      </w:r>
    </w:p>
    <w:p>
      <w:pPr>
        <w:pStyle w:val="Heading2"/>
      </w:pPr>
      <w:r>
        <w:t>6. What afterthoughts and/or conclusions did you have after review of the session?</w:t>
      </w:r>
    </w:p>
    <w:p>
      <w:pPr>
        <w:pStyle w:val="ListBullet"/>
      </w:pPr>
      <w:r>
        <w:t>The session went 90 minutes (vs standard 60). The depth of disclosure warranted the additional time. In future sessions, I will set clearer time boundaries while honoring the process.</w:t>
      </w:r>
    </w:p>
    <w:p>
      <w:pPr>
        <w:pStyle w:val="ListBullet"/>
      </w:pPr>
      <w:r>
        <w:t>Deferring formal induction to Session 2 was the right call. The client needed to tell his story, feel heard, and experience self-regulation (EFT, breathing) before entering trance.</w:t>
      </w:r>
    </w:p>
    <w:p>
      <w:pPr>
        <w:pStyle w:val="ListBullet"/>
      </w:pPr>
      <w:r>
        <w:t>The 69% Emotional profile changes my entire delivery approach. The Emotional lane requires patience, permissive language, and rich imagery, which aligns with this client's need for safety and control.</w:t>
      </w:r>
    </w:p>
    <w:p>
      <w:pPr>
        <w:pStyle w:val="ListBullet"/>
      </w:pPr>
      <w:r>
        <w:t>EFT was an unscripted addition that proved valuable. The client's engagement suggests he is kinesthetically responsive even though he tests Emotional. I will continue integrating EFT.</w:t>
      </w:r>
    </w:p>
    <w:p>
      <w:pPr>
        <w:pStyle w:val="ListBullet"/>
      </w:pPr>
      <w:r>
        <w:t>I forgot to record the session. For Session 2, I will establish a recording checklist reviewed before every session starts.</w:t>
      </w:r>
    </w:p>
    <w:p>
      <w:pPr>
        <w:pStyle w:val="ListBullet"/>
      </w:pPr>
      <w:r>
        <w:t>The forgiveness discussion opened an important door. Per George Kappas' guidance, I will approach this through present-day behavior change rather than extended childhood re-processing.</w:t>
      </w:r>
    </w:p>
    <w:p>
      <w:pPr>
        <w:pStyle w:val="ListBullet"/>
      </w:pPr>
      <w:r>
        <w:t>The specific trigger (men yelling) provides a clear target for systematic desensitization in trance, using the safe space as a base.</w:t>
      </w:r>
    </w:p>
    <w:p>
      <w:pPr>
        <w:pStyle w:val="ListBullet"/>
      </w:pPr>
      <w:r>
        <w:t>Next session priorities: (1) collect SMART baselines, (2) formal Emotional-lane induction, (3) safe space construction using client-provided positive imagery, (4) grounding anchor installation, (5) PHS installation, (6) RECORD THE SESSION.</w:t>
      </w:r>
    </w:p>
    <w:p/>
    <w:p>
      <w:pPr>
        <w:jc w:val="center"/>
      </w:pPr>
      <w:r>
        <w:rPr>
          <w:color w:val="808080"/>
          <w:sz w:val="18"/>
        </w:rPr>
        <w:t>Jithendran Sellamuthu, C.MH. | AHA #007913 | VRishi Hypnotherapy</w:t>
      </w:r>
    </w:p>
    <w:p>
      <w:pPr>
        <w:jc w:val="center"/>
      </w:pPr>
      <w:r>
        <w:rPr>
          <w:color w:val="808080"/>
          <w:sz w:val="18"/>
        </w:rPr>
        <w:t>HMI Community Service Program | Client Initials Only: T.M.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