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HMI Client Contact Hours (CCH) Log</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Student</w:t>
            </w:r>
          </w:p>
        </w:tc>
        <w:tc>
          <w:tcPr>
            <w:tcW w:type="dxa" w:w="2160"/>
          </w:tcPr>
          <w:p>
            <w:r>
              <w:t>Jithendran Sellamuthu</w:t>
            </w:r>
          </w:p>
        </w:tc>
        <w:tc>
          <w:tcPr>
            <w:tcW w:type="dxa" w:w="2160"/>
          </w:tcPr>
          <w:p>
            <w:r>
              <w:t>AHA #</w:t>
            </w:r>
          </w:p>
        </w:tc>
        <w:tc>
          <w:tcPr>
            <w:tcW w:type="dxa" w:w="2160"/>
          </w:tcPr>
          <w:p>
            <w:r>
              <w:t>007913</w:t>
            </w:r>
          </w:p>
        </w:tc>
      </w:tr>
      <w:tr>
        <w:tc>
          <w:tcPr>
            <w:tcW w:type="dxa" w:w="2160"/>
          </w:tcPr>
          <w:p>
            <w:r>
              <w:t>Client Initials</w:t>
            </w:r>
          </w:p>
        </w:tc>
        <w:tc>
          <w:tcPr>
            <w:tcW w:type="dxa" w:w="2160"/>
          </w:tcPr>
          <w:p>
            <w:r>
              <w:t>DS</w:t>
            </w:r>
          </w:p>
        </w:tc>
        <w:tc>
          <w:tcPr>
            <w:tcW w:type="dxa" w:w="2160"/>
          </w:tcPr>
          <w:p>
            <w:r>
              <w:t>Session #</w:t>
            </w:r>
          </w:p>
        </w:tc>
        <w:tc>
          <w:tcPr>
            <w:tcW w:type="dxa" w:w="2160"/>
          </w:tcPr>
          <w:p>
            <w:r>
              <w:t>2 (Follow-up)</w:t>
            </w:r>
          </w:p>
        </w:tc>
      </w:tr>
      <w:tr>
        <w:tc>
          <w:tcPr>
            <w:tcW w:type="dxa" w:w="2160"/>
          </w:tcPr>
          <w:p>
            <w:r>
              <w:t>Date</w:t>
            </w:r>
          </w:p>
        </w:tc>
        <w:tc>
          <w:tcPr>
            <w:tcW w:type="dxa" w:w="2160"/>
          </w:tcPr>
          <w:p>
            <w:r>
              <w:t>2026-10-09</w:t>
            </w:r>
          </w:p>
        </w:tc>
        <w:tc>
          <w:tcPr>
            <w:tcW w:type="dxa" w:w="2160"/>
          </w:tcPr>
          <w:p>
            <w:r>
              <w:t>Duration</w:t>
            </w:r>
          </w:p>
        </w:tc>
        <w:tc>
          <w:tcPr>
            <w:tcW w:type="dxa" w:w="2160"/>
          </w:tcPr>
          <w:p>
            <w:r>
              <w:t>90 minutes</w:t>
            </w:r>
          </w:p>
        </w:tc>
      </w:tr>
      <w:tr>
        <w:tc>
          <w:tcPr>
            <w:tcW w:type="dxa" w:w="2160"/>
          </w:tcPr>
          <w:p>
            <w:r>
              <w:t>Modality</w:t>
            </w:r>
          </w:p>
        </w:tc>
        <w:tc>
          <w:tcPr>
            <w:tcW w:type="dxa" w:w="2160"/>
          </w:tcPr>
          <w:p>
            <w:r>
              <w:t>Zoom (Virtual)</w:t>
            </w:r>
          </w:p>
        </w:tc>
        <w:tc>
          <w:tcPr>
            <w:tcW w:type="dxa" w:w="2160"/>
          </w:tcPr>
          <w:p>
            <w:r>
              <w:t>Fee</w:t>
            </w:r>
          </w:p>
        </w:tc>
        <w:tc>
          <w:tcPr>
            <w:tcW w:type="dxa" w:w="2160"/>
          </w:tcPr>
          <w:p>
            <w:r>
              <w:t>Pro Bono (CSP)</w:t>
            </w:r>
          </w:p>
        </w:tc>
      </w:tr>
    </w:tbl>
    <w:p/>
    <w:p>
      <w:pPr>
        <w:pStyle w:val="Heading2"/>
      </w:pPr>
      <w:r>
        <w:t>1. Presenting Issue</w:t>
      </w:r>
    </w:p>
    <w:p>
      <w:r>
        <w:t>DS is a 56-year-old Principal Engineer (Computer &amp; Electronics), presenting with poor sleep quality — mental hyperactivity and persistent fatigue despite sleeping 6-7 hours per night. Client reports averaging 1.5 hours deep sleep daily. Sleep apnea identified as complicating factor. Dietary trigger discovered: sugar after 4:30-5:00 PM worsens sleep. Room temperature fluctuations wake him. Has implemented daily journaling to clear mental clutter. Nasal breathing vs mouth breathing discussed.</w:t>
      </w:r>
    </w:p>
    <w:p>
      <w:pPr>
        <w:pStyle w:val="Heading2"/>
      </w:pPr>
      <w:r>
        <w:t>2. What preparation did you do for this session?</w:t>
      </w:r>
    </w:p>
    <w:p>
      <w:r>
        <w:t>Prepared a comprehensive session script following the Kappasinian First Session Flowchart with client-specific adaptations. Preparation included:</w:t>
      </w:r>
    </w:p>
    <w:p>
      <w:pPr>
        <w:pStyle w:val="ListBullet"/>
      </w:pPr>
      <w:r>
        <w:t>Reviewed client intake registration from HMI CSP program</w:t>
      </w:r>
    </w:p>
    <w:p>
      <w:pPr>
        <w:pStyle w:val="ListBullet"/>
      </w:pPr>
      <w:r>
        <w:t>Prepared L.O.V.E. intake structure (Listen, Observe, Verify, Empathize) with appropriate open-ended and closed-ended questions</w:t>
      </w:r>
    </w:p>
    <w:p>
      <w:pPr>
        <w:pStyle w:val="ListBullet"/>
      </w:pPr>
      <w:r>
        <w:t>Prepared screening questions (active care, medications, safety, trauma scope, triggers, panic/dissociation)</w:t>
      </w:r>
    </w:p>
    <w:p>
      <w:pPr>
        <w:pStyle w:val="ListBullet"/>
      </w:pPr>
      <w:r>
        <w:t>Prepared 36-question suggestibility test with both Physical and Emotional EP delivery branches</w:t>
      </w:r>
    </w:p>
    <w:p>
      <w:pPr>
        <w:pStyle w:val="ListBullet"/>
      </w:pPr>
      <w:r>
        <w:t>Prepared Theory of Mind script incorporating client-relevant framing</w:t>
      </w:r>
    </w:p>
    <w:p>
      <w:pPr>
        <w:pStyle w:val="ListBullet"/>
      </w:pPr>
      <w:r>
        <w:t>Prepared pre-induction speech (14 points)</w:t>
      </w:r>
    </w:p>
    <w:p>
      <w:pPr>
        <w:pStyle w:val="ListBullet"/>
      </w:pPr>
      <w:r>
        <w:t>Prepared induction scripts for both EP lanes</w:t>
      </w:r>
    </w:p>
    <w:p>
      <w:pPr>
        <w:pStyle w:val="ListBullet"/>
      </w:pPr>
      <w:r>
        <w:t>Prepared SB 577 Disclosure and Recording Consent aligned with HMI CSP terms</w:t>
      </w:r>
    </w:p>
    <w:p>
      <w:pPr>
        <w:pStyle w:val="ListBullet"/>
      </w:pPr>
      <w:r>
        <w:t>All documents sent to client prior to session</w:t>
      </w:r>
    </w:p>
    <w:p>
      <w:pPr>
        <w:pStyle w:val="Heading2"/>
      </w:pPr>
      <w:r>
        <w:t>3. What hypnotic techniques and suggestions did you use in this session?</w:t>
      </w:r>
    </w:p>
    <w:p>
      <w:r>
        <w:t>The following techniques were employed:</w:t>
      </w:r>
    </w:p>
    <w:p>
      <w:pPr>
        <w:pStyle w:val="ListBullet"/>
      </w:pPr>
      <w:r>
        <w:t>Physical tension release ritual (fists/shoulders)</w:t>
      </w:r>
    </w:p>
    <w:p>
      <w:pPr>
        <w:pStyle w:val="ListBullet"/>
      </w:pPr>
      <w:r>
        <w:t>Depth Dial anchor (brass dial to Delta Lock 0.5 Hz)</w:t>
      </w:r>
    </w:p>
    <w:p>
      <w:pPr>
        <w:pStyle w:val="ListBullet"/>
      </w:pPr>
      <w:r>
        <w:t>cellular regeneration visualization (pituitary/growth hormone/glymphatic flush)</w:t>
      </w:r>
    </w:p>
    <w:p>
      <w:pPr>
        <w:pStyle w:val="ListBullet"/>
      </w:pPr>
      <w:r>
        <w:t>progressive relaxation</w:t>
      </w:r>
    </w:p>
    <w:p>
      <w:pPr>
        <w:pStyle w:val="ListBullet"/>
      </w:pPr>
      <w:r>
        <w:t>nasal breathing education</w:t>
      </w:r>
    </w:p>
    <w:p>
      <w:pPr>
        <w:pStyle w:val="ListBullet"/>
      </w:pPr>
      <w:r>
        <w:t>vagus nerve stimulation techniques (ice water</w:t>
      </w:r>
    </w:p>
    <w:p>
      <w:pPr>
        <w:pStyle w:val="ListBullet"/>
      </w:pPr>
      <w:r>
        <w:t>humming/OM)</w:t>
      </w:r>
    </w:p>
    <w:p>
      <w:pPr>
        <w:pStyle w:val="ListBullet"/>
      </w:pPr>
      <w:r>
        <w:t>journaling protocol (3-stage: analysis/prediction/plan of record)</w:t>
      </w:r>
    </w:p>
    <w:p/>
    <w:p>
      <w:r>
        <w:t>Objective observations: 76% Physical confirmed from S1. Client highly reactive to physical sensations and body signaling. Physical tension release ritual practiced successfully. Depth Dial visualization installed with Delta Lock anchor (0.5 Hz). Cellular regeneration guided imagery delivered (pituitary, growth hormone, glymphatic flush). Client responded well to kinesthetic anchors. Session ran 90 minutes - could not complete all 10 installations.</w:t>
      </w:r>
    </w:p>
    <w:p>
      <w:pPr>
        <w:pStyle w:val="Heading2"/>
      </w:pPr>
      <w:r>
        <w:t>4. What were the highlights of this session?</w:t>
      </w:r>
    </w:p>
    <w:p>
      <w:pPr>
        <w:pStyle w:val="ListBullet"/>
      </w:pPr>
      <w:r>
        <w:t>Suggestibility testing revealed 76% Physical profile, establishing the delivery lane for all future sessions.</w:t>
      </w:r>
    </w:p>
    <w:p>
      <w:pPr>
        <w:pStyle w:val="ListBullet"/>
      </w:pPr>
      <w:r>
        <w:t>Clinical assessment: Session 2a completed: Depth Dial anchor installed, cellular regeneration visualization delivered, tension release ritual taught. Remaining installations (Sorting Room, Settling Pond, Island Cabin, Pillow Trigger, Night-Waking Reset, Time Anchor, Venting Dreams, Tracker Convincer) deferred to Session 2b. Environmental desensitization (temperature, fan noise) identified as new target. Sleep apnea complicates the picture - nasal breathing and jaw headband recommended as adjuncts. Client physically suggestible - massage/body contact releases oxytocin, lowers cortisol.</w:t>
      </w:r>
    </w:p>
    <w:p>
      <w:pPr>
        <w:pStyle w:val="ListBullet"/>
      </w:pPr>
      <w:r>
        <w:t>Sleep apnea identified. Nasal breathing recommended. Jaw headband from Amazon to prevent mouth breathing/snoring.</w:t>
      </w:r>
    </w:p>
    <w:p>
      <w:pPr>
        <w:pStyle w:val="ListBullet"/>
      </w:pPr>
      <w:r>
        <w:t>No sugar after 4:30-5:00 PM. Temperature fluctuations wake him.</w:t>
      </w:r>
    </w:p>
    <w:p>
      <w:pPr>
        <w:pStyle w:val="ListBullet"/>
      </w:pPr>
      <w:r>
        <w:t>Techniques: ice-cold water behind ears, humming/OM vibrations.</w:t>
      </w:r>
    </w:p>
    <w:p>
      <w:pPr>
        <w:pStyle w:val="ListBullet"/>
      </w:pPr>
      <w:r>
        <w:t>76% Physical - massage and body contact release oxytocin, lower cortisol.</w:t>
      </w:r>
    </w:p>
    <w:p>
      <w:pPr>
        <w:pStyle w:val="ListBullet"/>
      </w:pPr>
      <w:r>
        <w:t>3-stage method: (1) analysis of what happened, (2) prediction/disposition for tomorrow, (3) plan of record.</w:t>
      </w:r>
    </w:p>
    <w:p>
      <w:pPr>
        <w:pStyle w:val="ListBullet"/>
      </w:pPr>
      <w:r>
        <w:t>Depth Dial (Delta Lock 0.5 Hz), cellular regeneration (pituitary/growth hormone/glymphatic)</w:t>
      </w:r>
    </w:p>
    <w:p>
      <w:pPr>
        <w:pStyle w:val="ListBullet"/>
      </w:pPr>
      <w:r>
        <w:t>Sorting Room, Delta Floor, Settling Pond, Island Cabin, Pillow Trigger, Night-Waking Reset, 10:30 PM Time Anchor, Venting Dreams, Tracker Convincer</w:t>
      </w:r>
    </w:p>
    <w:p>
      <w:pPr>
        <w:pStyle w:val="ListBullet"/>
      </w:pPr>
      <w:r>
        <w:t>Provide summary transcript of rituals. Provide self-hypnosis recording/script.</w:t>
      </w:r>
    </w:p>
    <w:p>
      <w:pPr>
        <w:pStyle w:val="Heading2"/>
      </w:pPr>
      <w:r>
        <w:t>5. Did you discuss this session with a supervisor and if so what guidance did you receive?</w:t>
      </w:r>
    </w:p>
    <w:p>
      <w:r>
        <w:t>Prior to this session, reviewed relevant HMI case conference materials. Plan to discuss this specific session with supervisor to review clinical decisions made during the session.</w:t>
      </w:r>
    </w:p>
    <w:p>
      <w:pPr>
        <w:pStyle w:val="Heading2"/>
      </w:pPr>
      <w:r>
        <w:t>6. What afterthoughts and/or conclusions did you have after review of the session?</w:t>
      </w:r>
    </w:p>
    <w:p>
      <w:r>
        <w:t>Treatment plan going forward: 1. Session 2b: complete remaining installations (priority: Pillow Trigger, Night-Waking Reset, Island Cabin). 2. Environmental desensitization (temperature, fan noise disturbances). 3. Self-hypnosis training with provided scripts/recordings. 4. Provide summary transcript of rituals. 5. Provide self-hypnosis recording to reduce therapist dependence.</w:t>
      </w:r>
    </w:p>
    <w:p/>
    <w:p>
      <w:pPr>
        <w:jc w:val="center"/>
      </w:pPr>
      <w:r>
        <w:rPr>
          <w:color w:val="808080"/>
          <w:sz w:val="18"/>
        </w:rPr>
        <w:t>Jithendran Sellamuthu, C.MH. | AHA #007913 | VRishi Hypnotherapy</w:t>
      </w:r>
    </w:p>
    <w:p>
      <w:pPr>
        <w:jc w:val="center"/>
      </w:pPr>
      <w:r>
        <w:rPr>
          <w:color w:val="808080"/>
          <w:sz w:val="18"/>
        </w:rPr>
        <w:t>HMI Community Service Program | Client Initials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