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Tristan Morrow: Session#3</w:t>
      </w:r>
    </w:p>
    <w:p>
      <w:pPr>
        <w:pStyle w:val="Heading2"/>
        <w:spacing w:before="120" w:after="120" w:line="288"/>
        <w:jc w:val="left"/>
      </w:pPr>
      <w:bookmarkStart w:name="_Toc1" w:id="1"/>
      <w:r>
        <w:rPr/>
        <w:t xml:space="preserve">Key Outcomes</w:t>
      </w:r>
      <w:bookmarkEnd w:id="1"/>
    </w:p>
    <w:p>
      <w:pPr>
        <w:spacing w:before="120" w:after="120" w:line="288"/>
        <w:jc w:val="left"/>
      </w:pPr>
      <w:r>
        <w:rPr/>
        <w:t xml:space="preserve">Tristan demonstrated meaningful progress from the previous session, successfully applying a "protector energy" reframe in a real workplace situation involving angry visitors. The session identified that Tristan's self-esteem challenges and difficulty comparing himself to peers are rooted in deeper feelings of abandonment, alienation, and a learned pattern of emotional guarding — traced to a childhood marked by absent parents, inconsistent caregiving, and verbal abuse from uncles. Jithendran outlined a phased therapeutic approach: first building conscious behavioral skills (listening, helping others, gradual openness), then progressing to structured inner child work to desensitize core wounds. Tristan was assigned a practical exercise for his upcoming Tuesday Mankind Project group session and asked to journal his observations afterward.</w:t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2" w:id="2"/>
      <w:r>
        <w:rPr/>
        <w:t xml:space="preserve">Decisions &amp; Agreements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Phased therapy plan confirmed:</w:t>
      </w:r>
      <w:r>
        <w:rPr/>
        <w:t xml:space="preserve"> Address surface-level behavioral symptoms first (emotional regulation, boundary-setting, social engagement), then proceed to inner child work once Tristan has demonstrated sufficient external coping capacity.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rPr>
          <w:b w:val="true"/>
          <w:bCs w:val="true"/>
        </w:rPr>
        <w:t xml:space="preserve">Inner child sessions deferred but planned:</w:t>
      </w:r>
      <w:r>
        <w:rPr/>
        <w:t xml:space="preserve"> Jithendran explicitly noted inner child work was always part of the design; timing is intentional — premature deep regression work without symptom management risks destabilization. </w:t>
      </w:r>
      <w:r>
        <w:rPr/>
        <w:t xml:space="preserve"/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Self-esteem work reframed:</w:t>
      </w:r>
      <w:r>
        <w:rPr/>
        <w:t xml:space="preserve"> Blanket affirmations ("I'm great") alone are insufficient without addressing the underlying wound of abandonment and alienation; factual understanding must accompany any self-esteem scripting.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Comparison to peers recontextualized:</w:t>
      </w:r>
      <w:r>
        <w:rPr/>
        <w:t xml:space="preserve"> Admiring classmates is not inherently problematic — it can serve as dopamine-driven motivation — but Tristan must first determine whether he </w:t>
      </w:r>
      <w:r>
        <w:rPr>
          <w:i w:val="true"/>
          <w:iCs w:val="true"/>
        </w:rPr>
        <w:t xml:space="preserve">genuinely wants</w:t>
      </w:r>
      <w:r>
        <w:rPr/>
        <w:t xml:space="preserve"> what they have or is simply reacting to feelings of exclusion.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Vulnerability strategy agreed:</w:t>
      </w:r>
      <w:r>
        <w:rPr/>
        <w:t xml:space="preserve"> Tristan will not force full emotional openness in the group; instead, he will adopt a "helper/listener" role to build trust incrementally without exposing guarded areas prematurely.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3" w:id="3"/>
      <w:r>
        <w:rPr/>
        <w:t xml:space="preserve">Feedback Exchanged</w:t>
      </w:r>
      <w:bookmarkEnd w:id="3"/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Positive — workplace handling:</w:t>
      </w:r>
      <w:r>
        <w:rPr/>
        <w:t xml:space="preserve"> Jithendran affirmed Tristan's response to angry visitors at the park as exceptional, noting this level of emotional regulation typically takes years and reflects Tristan's genuine inner character rather than a trained behavior. </w:t>
      </w:r>
      <w:r>
        <w:rPr/>
        <w:t xml:space="preserve"/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>
          <w:b w:val="true"/>
          <w:bCs w:val="true"/>
        </w:rPr>
        <w:t xml:space="preserve">Positive — self-awareness:</w:t>
      </w:r>
      <w:r>
        <w:rPr/>
        <w:t xml:space="preserve"> Tristan's ability to identify that his discomfort goes beyond surface-level social anxiety — recognizing the abandonment and alienation dimension — was acknowledged as a significant insight. </w:t>
      </w:r>
      <w:r>
        <w:rPr/>
        <w:t xml:space="preserve"/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>
          <w:b w:val="true"/>
          <w:bCs w:val="true"/>
        </w:rPr>
        <w:t xml:space="preserve">Constructive — social engagement pattern:</w:t>
      </w:r>
      <w:r>
        <w:rPr/>
        <w:t xml:space="preserve"> Jithendran cautioned that Tristan's current guarded stance in the therapy group, if unchecked, risks a self-reinforcing spiral: feeling alienated → withdrawing further → feeling more alienated. </w:t>
      </w:r>
      <w:r>
        <w:rPr/>
        <w:t xml:space="preserve"/>
      </w:r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rPr>
          <w:b w:val="true"/>
          <w:bCs w:val="true"/>
        </w:rPr>
        <w:t xml:space="preserve">Constructive — identity and people-pleasing:</w:t>
      </w:r>
      <w:r>
        <w:rPr/>
        <w:t xml:space="preserve"> Jithendran raised the risk of losing personal identity by mimicking others' behavior purely to gain acceptance, using the pizza analogy — agreeing to eat something you dislike just to avoid feeling excluded. </w:t>
      </w:r>
      <w:r>
        <w:rPr/>
        <w:t xml:space="preserve"/>
      </w:r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rPr>
          <w:b w:val="true"/>
          <w:bCs w:val="true"/>
        </w:rPr>
        <w:t xml:space="preserve">Therapist self-disclosure (modeling):</w:t>
      </w:r>
      <w:r>
        <w:rPr/>
        <w:t xml:space="preserve"> Jithendran shared his own experience of being mislabeled as "shy" when he actually had social anxiety, and his clinic encounter with a yelling staff member earlier that day, to normalize emotional reactivity and model non-reactive processing.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4" w:id="4"/>
      <w:r>
        <w:rPr/>
        <w:t xml:space="preserve">Core Issues Identified</w:t>
      </w:r>
      <w:bookmarkEnd w:id="4"/>
    </w:p>
    <w:p>
      <w:pPr>
        <w:pStyle w:val="Heading3"/>
        <w:spacing w:before="120" w:after="120" w:line="288"/>
        <w:jc w:val="left"/>
      </w:pPr>
      <w:bookmarkStart w:name="_Toc5" w:id="5"/>
      <w:r>
        <w:rPr/>
        <w:t xml:space="preserve">Abandonment and Alienation as Root Drivers</w:t>
      </w:r>
      <w:bookmarkEnd w:id="5"/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rPr/>
        <w:t xml:space="preserve">Tristan's discomfort watching peers connect emotionally is not primarily about social skill deficits — it triggers a felt sense of being an outsider, a stranger, or someone not belonging to the group.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rPr/>
        <w:t xml:space="preserve">The desire to emulate socially confident peers is driven by a need for </w:t>
      </w:r>
      <w:r>
        <w:rPr>
          <w:b w:val="true"/>
          <w:bCs w:val="true"/>
        </w:rPr>
        <w:t xml:space="preserve">acceptance and belonging</w:t>
      </w:r>
      <w:r>
        <w:rPr/>
        <w:t xml:space="preserve">, not genuine aspiration toward those specific traits. </w:t>
      </w:r>
      <w:r>
        <w:rPr/>
        <w:t xml:space="preserve"/>
      </w:r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rPr/>
        <w:t xml:space="preserve">Jithendran identified the core loop: feeling abandoned → perceived need to behave like others → loss of identity → further alienation.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6" w:id="6"/>
      <w:r>
        <w:rPr/>
        <w:t xml:space="preserve">Childhood Background</w:t>
      </w:r>
      <w:bookmarkEnd w:id="6"/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rPr/>
        <w:t xml:space="preserve">Mother was imprisoned due to methamphetamine addiction; father was incarcerated for heroin addiction — both were largely absent during Tristan's early childhood. </w:t>
      </w:r>
      <w:r>
        <w:rPr/>
        <w:t xml:space="preserve"/>
      </w:r>
    </w:p>
    <w:p>
      <w:pPr>
        <w:pStyle w:val="ListParagraph"/>
        <w:numPr>
          <w:ilvl w:val="0"/>
          <w:numId w:val="15"/>
        </w:numPr>
        <w:spacing w:before="120" w:after="120" w:line="288"/>
        <w:jc w:val="left"/>
      </w:pPr>
      <w:r>
        <w:rPr/>
        <w:t xml:space="preserve">Tristan was passed between foster situations, some of which involved basic neglect (e.g., not being cleaned as a toddler). </w:t>
      </w:r>
      <w:r>
        <w:rPr/>
        <w:t xml:space="preserve"/>
      </w:r>
    </w:p>
    <w:p>
      <w:pPr>
        <w:pStyle w:val="ListParagraph"/>
        <w:numPr>
          <w:ilvl w:val="0"/>
          <w:numId w:val="16"/>
        </w:numPr>
        <w:spacing w:before="120" w:after="120" w:line="288"/>
        <w:jc w:val="left"/>
      </w:pPr>
      <w:r>
        <w:rPr/>
        <w:t xml:space="preserve">Grandfather provided relative stability (food, shelter) but worked extensively and was emotionally unavailable; three uncles served as primary caregivers but were verbally and physically abusive at times.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7"/>
        </w:numPr>
        <w:spacing w:before="120" w:after="120" w:line="288"/>
        <w:jc w:val="left"/>
      </w:pPr>
      <w:r>
        <w:rPr/>
        <w:t xml:space="preserve">Tristan internalized the abuse as his own fault — assuming his behavior caused the uncles' anger, though they never explicitly explained their reactions.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7" w:id="7"/>
      <w:r>
        <w:rPr/>
        <w:t xml:space="preserve">Learned Emotional Guarding</w:t>
      </w:r>
      <w:bookmarkEnd w:id="7"/>
    </w:p>
    <w:p>
      <w:pPr>
        <w:pStyle w:val="ListParagraph"/>
        <w:numPr>
          <w:ilvl w:val="0"/>
          <w:numId w:val="18"/>
        </w:numPr>
        <w:spacing w:before="120" w:after="120" w:line="288"/>
        <w:jc w:val="left"/>
      </w:pPr>
      <w:r>
        <w:rPr/>
        <w:t xml:space="preserve">Years of living without secure attachment created a pattern where </w:t>
      </w:r>
      <w:r>
        <w:rPr>
          <w:b w:val="true"/>
          <w:bCs w:val="true"/>
        </w:rPr>
        <w:t xml:space="preserve">emotional closure feels safe and familiar</w:t>
      </w:r>
      <w:r>
        <w:rPr/>
        <w:t xml:space="preserve">, while openness and trust feel threatening — even when objectively safe.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9"/>
        </w:numPr>
        <w:spacing w:before="120" w:after="120" w:line="288"/>
        <w:jc w:val="left"/>
      </w:pPr>
      <w:r>
        <w:rPr/>
        <w:t xml:space="preserve">Jithendran framed this using the "known vs. unknown" principle: the mind prefers familiar discomfort over unfamiliar safety, which is why Tristan may feel jittery when attempting genuine vulnerability. </w:t>
      </w:r>
      <w:r>
        <w:rPr/>
        <w:t xml:space="preserve"/>
      </w:r>
    </w:p>
    <w:p>
      <w:pPr>
        <w:pStyle w:val="ListParagraph"/>
        <w:numPr>
          <w:ilvl w:val="0"/>
          <w:numId w:val="20"/>
        </w:numPr>
        <w:spacing w:before="120" w:after="120" w:line="288"/>
        <w:jc w:val="left"/>
      </w:pPr>
      <w:r>
        <w:rPr/>
        <w:t xml:space="preserve">The cat-and-boiling-milk analogy was used: a single painful experience of vulnerability can produce a lifelong learned avoidance of openness, even when the conditions are safe.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8" w:id="8"/>
      <w:r>
        <w:rPr/>
        <w:t xml:space="preserve">Trust and Vulnerability in the Mankind Project Group</w:t>
      </w:r>
      <w:bookmarkEnd w:id="8"/>
    </w:p>
    <w:p>
      <w:pPr>
        <w:pStyle w:val="ListParagraph"/>
        <w:numPr>
          <w:ilvl w:val="0"/>
          <w:numId w:val="21"/>
        </w:numPr>
        <w:spacing w:before="120" w:after="120" w:line="288"/>
        <w:jc w:val="left"/>
      </w:pPr>
      <w:r>
        <w:rPr/>
        <w:t xml:space="preserve">Tristan confirmed he can converse normally but hides emotionally — verbally present, internally guarded. </w:t>
      </w:r>
      <w:r>
        <w:rPr/>
        <w:t xml:space="preserve"/>
      </w:r>
    </w:p>
    <w:p>
      <w:pPr>
        <w:pStyle w:val="ListParagraph"/>
        <w:numPr>
          <w:ilvl w:val="0"/>
          <w:numId w:val="22"/>
        </w:numPr>
        <w:spacing w:before="120" w:after="120" w:line="288"/>
        <w:jc w:val="left"/>
      </w:pPr>
      <w:r>
        <w:rPr/>
        <w:t xml:space="preserve">He admires peers' capacity for emotional maturity, mutual care, and confident self-assurance, and fears he will never develop those qualities.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3"/>
        </w:numPr>
        <w:spacing w:before="120" w:after="120" w:line="288"/>
        <w:jc w:val="left"/>
      </w:pPr>
      <w:r>
        <w:rPr/>
        <w:t xml:space="preserve">The group (Mankind Project) is peer-run without a professional moderator; members share weekly experiences, work on personal problems with informal facilitation, and socialize informally.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9" w:id="9"/>
      <w:r>
        <w:rPr/>
        <w:t xml:space="preserve">Therapeutic Concepts Discussed</w:t>
      </w:r>
      <w:bookmarkEnd w:id="9"/>
    </w:p>
    <w:p>
      <w:pPr>
        <w:pStyle w:val="Heading3"/>
        <w:spacing w:before="120" w:after="120" w:line="288"/>
        <w:jc w:val="left"/>
      </w:pPr>
      <w:bookmarkStart w:name="_Toc10" w:id="10"/>
      <w:r>
        <w:rPr/>
        <w:t xml:space="preserve">Protector Energy vs. Victim Mindset</w:t>
      </w:r>
      <w:bookmarkEnd w:id="10"/>
    </w:p>
    <w:p>
      <w:pPr>
        <w:pStyle w:val="ListParagraph"/>
        <w:numPr>
          <w:ilvl w:val="0"/>
          <w:numId w:val="24"/>
        </w:numPr>
        <w:spacing w:before="120" w:after="120" w:line="288"/>
        <w:jc w:val="left"/>
      </w:pPr>
      <w:r>
        <w:rPr/>
        <w:t xml:space="preserve">From the prior session: reframing reactive states into a "protector" posture — choosing consciously how to respond rather than defaulting to fight-or-flight or victimhood.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5"/>
        </w:numPr>
        <w:spacing w:before="120" w:after="120" w:line="288"/>
        <w:jc w:val="left"/>
      </w:pPr>
      <w:r>
        <w:rPr/>
        <w:t xml:space="preserve">Being kind is not the same as being a pushover; genuine power lies in </w:t>
      </w:r>
      <w:r>
        <w:rPr>
          <w:i w:val="true"/>
          <w:iCs w:val="true"/>
        </w:rPr>
        <w:t xml:space="preserve">regulating</w:t>
      </w:r>
      <w:r>
        <w:rPr/>
        <w:t xml:space="preserve"> when and where to deploy assertiveness.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1" w:id="11"/>
      <w:r>
        <w:rPr/>
        <w:t xml:space="preserve">Boundary Maintenance</w:t>
      </w:r>
      <w:bookmarkEnd w:id="11"/>
    </w:p>
    <w:p>
      <w:pPr>
        <w:pStyle w:val="ListParagraph"/>
        <w:numPr>
          <w:ilvl w:val="0"/>
          <w:numId w:val="26"/>
        </w:numPr>
        <w:spacing w:before="120" w:after="120" w:line="288"/>
        <w:jc w:val="left"/>
      </w:pPr>
      <w:r>
        <w:rPr/>
        <w:t xml:space="preserve">Healthy boundaries mean neither sacrificing self (going too far positive) nor absorbing harm (too far negative) — staying within one's "homeostasis zone." </w:t>
      </w:r>
      <w:r>
        <w:rPr/>
        <w:t xml:space="preserve"/>
      </w:r>
    </w:p>
    <w:p>
      <w:pPr>
        <w:pStyle w:val="ListParagraph"/>
        <w:numPr>
          <w:ilvl w:val="0"/>
          <w:numId w:val="27"/>
        </w:numPr>
        <w:spacing w:before="120" w:after="120" w:line="288"/>
        <w:jc w:val="left"/>
      </w:pPr>
      <w:r>
        <w:rPr/>
        <w:t xml:space="preserve">Explaining limits calmly and walking away without escalation is an art that develops over time.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2" w:id="12"/>
      <w:r>
        <w:rPr/>
        <w:t xml:space="preserve">Dopamine, Goals, and Comparison</w:t>
      </w:r>
      <w:bookmarkEnd w:id="12"/>
    </w:p>
    <w:p>
      <w:pPr>
        <w:pStyle w:val="ListParagraph"/>
        <w:numPr>
          <w:ilvl w:val="0"/>
          <w:numId w:val="28"/>
        </w:numPr>
        <w:spacing w:before="120" w:after="120" w:line="288"/>
        <w:jc w:val="left"/>
      </w:pPr>
      <w:r>
        <w:rPr/>
        <w:t xml:space="preserve">Dopamine is released during </w:t>
      </w:r>
      <w:r>
        <w:rPr>
          <w:i w:val="true"/>
          <w:iCs w:val="true"/>
        </w:rPr>
        <w:t xml:space="preserve">pursuit</w:t>
      </w:r>
      <w:r>
        <w:rPr/>
        <w:t xml:space="preserve"> of a goal, not upon achievement — which is why the journey matters more than the destination for sustained motivation.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9"/>
        </w:numPr>
        <w:spacing w:before="120" w:after="120" w:line="288"/>
        <w:jc w:val="left"/>
      </w:pPr>
      <w:r>
        <w:rPr/>
        <w:t xml:space="preserve">Once a goal is achieved, dopamine drops; new sub-goals are needed to maintain motivation without saturation. </w:t>
      </w:r>
      <w:r>
        <w:rPr/>
        <w:t xml:space="preserve"/>
      </w:r>
    </w:p>
    <w:p>
      <w:pPr>
        <w:pStyle w:val="ListParagraph"/>
        <w:numPr>
          <w:ilvl w:val="0"/>
          <w:numId w:val="30"/>
        </w:numPr>
        <w:spacing w:before="120" w:after="120" w:line="288"/>
        <w:jc w:val="left"/>
      </w:pPr>
      <w:r>
        <w:rPr/>
        <w:t xml:space="preserve">Comparison is biologically normal (motivational signal) but should prompt the question: </w:t>
      </w:r>
      <w:r>
        <w:rPr>
          <w:i w:val="true"/>
          <w:iCs w:val="true"/>
        </w:rPr>
        <w:t xml:space="preserve">Do I genuinely want this, or am I reacting to feeling excluded?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31"/>
        </w:numPr>
        <w:spacing w:before="120" w:after="120" w:line="288"/>
        <w:jc w:val="left"/>
      </w:pPr>
      <w:r>
        <w:rPr/>
        <w:t xml:space="preserve">Hypnotherapy tools available for goal achievement include: </w:t>
      </w:r>
      <w:r>
        <w:rPr>
          <w:b w:val="true"/>
          <w:bCs w:val="true"/>
        </w:rPr>
        <w:t xml:space="preserve">mental bank</w:t>
      </w:r>
      <w:r>
        <w:rPr/>
        <w:t xml:space="preserve"> (tracking incremental progress toward a goal), </w:t>
      </w:r>
      <w:r>
        <w:rPr>
          <w:b w:val="true"/>
          <w:bCs w:val="true"/>
        </w:rPr>
        <w:t xml:space="preserve">visualization/imagery</w:t>
      </w:r>
      <w:r>
        <w:rPr/>
        <w:t xml:space="preserve">, and </w:t>
      </w:r>
      <w:r>
        <w:rPr>
          <w:b w:val="true"/>
          <w:bCs w:val="true"/>
        </w:rPr>
        <w:t xml:space="preserve">journaling</w:t>
      </w:r>
      <w:r>
        <w:rPr/>
        <w:t xml:space="preserve">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3" w:id="13"/>
      <w:r>
        <w:rPr/>
        <w:t xml:space="preserve">Law of Attraction / Manifestation</w:t>
      </w:r>
      <w:bookmarkEnd w:id="13"/>
    </w:p>
    <w:p>
      <w:pPr>
        <w:pStyle w:val="ListParagraph"/>
        <w:numPr>
          <w:ilvl w:val="0"/>
          <w:numId w:val="32"/>
        </w:numPr>
        <w:spacing w:before="120" w:after="120" w:line="288"/>
        <w:jc w:val="left"/>
      </w:pPr>
      <w:r>
        <w:rPr/>
        <w:t xml:space="preserve">Mentally rehearsing already having achieved a goal prepares the mind and body to handle success without anxiety — reduces "fear of success."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3"/>
        </w:numPr>
        <w:spacing w:before="120" w:after="120" w:line="288"/>
        <w:jc w:val="left"/>
      </w:pPr>
      <w:r>
        <w:rPr/>
        <w:t xml:space="preserve">Fear of success is a real clinical pattern; some clients actively avoid promotion or wealth due to anxiety about the unfamiliar state.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4" w:id="14"/>
      <w:r>
        <w:rPr/>
        <w:t xml:space="preserve">Inner Child Work (Planned, Not Yet Executed)</w:t>
      </w:r>
      <w:bookmarkEnd w:id="14"/>
    </w:p>
    <w:p>
      <w:pPr>
        <w:pStyle w:val="ListParagraph"/>
        <w:numPr>
          <w:ilvl w:val="0"/>
          <w:numId w:val="34"/>
        </w:numPr>
        <w:spacing w:before="120" w:after="120" w:line="288"/>
        <w:jc w:val="left"/>
      </w:pPr>
      <w:r>
        <w:rPr/>
        <w:t xml:space="preserve">Planned methodology: bring Tristan back to specific childhood scenarios, have his adult self comfort and integrate the wounded child, desensitize the hurt, and dissolve the belief that vulnerability leads to punishment. </w:t>
      </w:r>
      <w:r>
        <w:rPr/>
        <w:t xml:space="preserve"/>
      </w:r>
    </w:p>
    <w:p>
      <w:pPr>
        <w:pStyle w:val="ListParagraph"/>
        <w:numPr>
          <w:ilvl w:val="0"/>
          <w:numId w:val="35"/>
        </w:numPr>
        <w:spacing w:before="120" w:after="120" w:line="288"/>
        <w:jc w:val="left"/>
      </w:pPr>
      <w:r>
        <w:rPr/>
        <w:t xml:space="preserve">Jithendran will assess whether reliving specific memories risks retraumatization before proceeding.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6"/>
        </w:numPr>
        <w:spacing w:before="120" w:after="120" w:line="288"/>
        <w:jc w:val="left"/>
      </w:pPr>
      <w:r>
        <w:rPr/>
        <w:t xml:space="preserve">Potential session element: imaginary dialogue with uncles — either receiving their apology/forgiveness or reframing their behavior as their own dysfunction rather than Tristan's fault.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15" w:id="15"/>
      <w:r>
        <w:rPr/>
        <w:t xml:space="preserve">Pending Confirmation</w:t>
      </w:r>
      <w:bookmarkEnd w:id="15"/>
    </w:p>
    <w:p>
      <w:pPr>
        <w:pStyle w:val="ListParagraph"/>
        <w:numPr>
          <w:ilvl w:val="0"/>
          <w:numId w:val="37"/>
        </w:numPr>
        <w:spacing w:before="120" w:after="120" w:line="288"/>
        <w:jc w:val="left"/>
      </w:pPr>
      <w:r>
        <w:rPr/>
        <w:t xml:space="preserve">Whether Tristan's guarded behavior in the Mankind Project group can be shifted through conscious behavioral practice alone, or whether it is subconsciously entrenched enough to require hypnotherapy intervention.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8"/>
        </w:numPr>
        <w:spacing w:before="120" w:after="120" w:line="288"/>
        <w:jc w:val="left"/>
      </w:pPr>
      <w:r>
        <w:rPr/>
        <w:t xml:space="preserve">Specific childhood scenarios to target in inner child sessions — Jithendran needs Tristan's journal input from Tuesday's group session before finalizing the script.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9"/>
        </w:numPr>
        <w:spacing w:before="120" w:after="120" w:line="288"/>
        <w:jc w:val="left"/>
      </w:pPr>
      <w:r>
        <w:rPr/>
        <w:t xml:space="preserve">Whether the uncle forgiveness/reframe approach or the self-absolution approach will be more therapeutically effective for Tristan's guilt around childhood blame.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16" w:id="16"/>
      <w:r>
        <w:rPr/>
        <w:t xml:space="preserve">Action Items</w:t>
      </w:r>
      <w:bookmarkEnd w:id="16"/>
    </w:p>
    <w:p>
      <w:pPr>
        <w:pStyle w:val="ListParagraph"/>
        <w:numPr>
          <w:ilvl w:val="0"/>
          <w:numId w:val="40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Before Tuesday's Mankind Project session, perform a grounding/meditation practice and set the intention: </w:t>
      </w:r>
      <w:r>
        <w:rPr>
          <w:i w:val="true"/>
          <w:iCs w:val="true"/>
        </w:rPr>
        <w:t xml:space="preserve">"I am open, I am a healer, nobody can hurt me."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41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During the Tuesday session, adopt the listener/helper role — focus on others' problems, offer empathy and ideas, avoid forcing personal disclosure; attempt small, safe moments of openness where comfortable.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42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After Tuesday's session, journal observations — specifically: what still felt blocked, why he couldn't open up further, what emotions arose — and send to Jithendran the following day.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43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Jithendran:</w:t>
      </w:r>
      <w:r>
        <w:rPr/>
        <w:t xml:space="preserve"> Use Tristan's journal to design the next session script, incorporating inner child work targeting the abandonment wound, childhood blame belief, and uncle-related trauma.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17" w:id="17"/>
      <w:r>
        <w:rPr/>
        <w:t xml:space="preserve">Next 1:1</w:t>
      </w:r>
      <w:bookmarkEnd w:id="17"/>
    </w:p>
    <w:p>
      <w:pPr>
        <w:spacing w:before="120" w:after="120" w:line="288"/>
        <w:jc w:val="left"/>
      </w:pPr>
      <w:r>
        <w:rPr/>
        <w:t xml:space="preserve">Scheduled after Tristan's Tuesday Mankind Project session (approximately 6:00 PM); exact date not specified. Next session will focus on inner child therapy based on Tristan's journaled observations from the group. </w:t>
      </w:r>
      <w:r>
        <w:rPr/>
        <w:t xml:space="preserve"/>
      </w:r>
      <w:r>
        <w:rPr/>
        <w:t xml:space="preserve"/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