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Studor PathAI: Technical Report</w:t>
      </w:r>
    </w:p>
    <w:p>
      <w:pPr>
        <w:jc w:val="center"/>
      </w:pPr>
      <w:r>
        <w:t>Open University Learning Analytics Dataset (OULAD) — Behavioral Scoring, Week 6 Disengagement Prediction, and Course Recommendation</w:t>
      </w:r>
    </w:p>
    <w:p/>
    <w:p>
      <w:pPr>
        <w:pStyle w:val="Heading1"/>
      </w:pPr>
      <w:r>
        <w:t>Executive Summary</w:t>
      </w:r>
    </w:p>
    <w:p>
      <w:r>
        <w:t>This report documents the end-to-end PathAI prototype built on one semester of OULAD behavioral data. The pipeline converts raw clickstream, assessment, and demographic records into three product-facing assets: (1) a weekly 0–100 engagement score; (2) a Week 6 disengagement risk model; and (3) a next-module recommendation engine.</w:t>
      </w:r>
    </w:p>
    <w:p>
      <w:r>
        <w:t>The dataset contains 32,593 enrolments across 7 modules. Overall risk rate is 52.8%. The Week 6 urgent tier alerts 57.7% of the test cohort at recall 83.3% and precision 76.2% (ROC-AUC 0.872). The engagement score band gradient runs from 98.4% withdraw/fail (0–20 band) to 19.0% (80–100 band). Collaborative filtering hit@3 is 59.4% versus 11.1% for content-based recommendations.</w:t>
      </w:r>
    </w:p>
    <w:p>
      <w:pPr>
        <w:pStyle w:val="Heading1"/>
      </w:pPr>
      <w:r>
        <w:t>1. Data Foundation and Cleaning Decisions</w:t>
      </w:r>
    </w:p>
    <w:p>
      <w:pPr>
        <w:pStyle w:val="Heading2"/>
      </w:pPr>
      <w:r>
        <w:t>1.1 Enrolment Grain</w:t>
      </w:r>
    </w:p>
    <w:p>
      <w:r>
        <w:t>The enrolment key is (id_student, code_module, code_presentation). Student ID alone is not unique because learners can take multiple modules simultaneously.</w:t>
      </w:r>
    </w:p>
    <w:p>
      <w:pPr>
        <w:pStyle w:val="Heading2"/>
      </w:pPr>
      <w:r>
        <w:t>1.2 Table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Columns</w:t>
            </w:r>
          </w:p>
        </w:tc>
        <w:tc>
          <w:tcPr>
            <w:tcW w:type="dxa" w:w="2160"/>
          </w:tcPr>
          <w:p>
            <w:r>
              <w:t>Missing cells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student_info</w:t>
            </w:r>
          </w:p>
        </w:tc>
        <w:tc>
          <w:tcPr>
            <w:tcW w:type="dxa" w:w="2160"/>
          </w:tcPr>
          <w:p>
            <w:r>
              <w:t>32,593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1111</w:t>
            </w:r>
          </w:p>
        </w:tc>
      </w:tr>
      <w:tr>
        <w:tc>
          <w:tcPr>
            <w:tcW w:type="dxa" w:w="2160"/>
          </w:tcPr>
          <w:p>
            <w:r>
              <w:t>registration</w:t>
            </w:r>
          </w:p>
        </w:tc>
        <w:tc>
          <w:tcPr>
            <w:tcW w:type="dxa" w:w="2160"/>
          </w:tcPr>
          <w:p>
            <w:r>
              <w:t>32,593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22566</w:t>
            </w:r>
          </w:p>
        </w:tc>
      </w:tr>
      <w:tr>
        <w:tc>
          <w:tcPr>
            <w:tcW w:type="dxa" w:w="2160"/>
          </w:tcPr>
          <w:p>
            <w:r>
              <w:t>assessments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student_assessment</w:t>
            </w:r>
          </w:p>
        </w:tc>
        <w:tc>
          <w:tcPr>
            <w:tcW w:type="dxa" w:w="2160"/>
          </w:tcPr>
          <w:p>
            <w:r>
              <w:t>173,912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vle</w:t>
            </w:r>
          </w:p>
        </w:tc>
        <w:tc>
          <w:tcPr>
            <w:tcW w:type="dxa" w:w="2160"/>
          </w:tcPr>
          <w:p>
            <w:r>
              <w:t>6,364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10486</w:t>
            </w:r>
          </w:p>
        </w:tc>
      </w:tr>
      <w:tr>
        <w:tc>
          <w:tcPr>
            <w:tcW w:type="dxa" w:w="2160"/>
          </w:tcPr>
          <w:p>
            <w:r>
              <w:t>student_vle</w:t>
            </w:r>
          </w:p>
        </w:tc>
        <w:tc>
          <w:tcPr>
            <w:tcW w:type="dxa" w:w="2160"/>
          </w:tcPr>
          <w:p>
            <w:r>
              <w:t>10,655,280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t>1.3 Consistency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Issue count</w:t>
            </w:r>
          </w:p>
        </w:tc>
        <w:tc>
          <w:tcPr>
            <w:tcW w:type="dxa" w:w="2880"/>
          </w:tcPr>
          <w:p>
            <w:r>
              <w:t>Policy</w:t>
            </w:r>
          </w:p>
        </w:tc>
      </w:tr>
      <w:tr>
        <w:tc>
          <w:tcPr>
            <w:tcW w:type="dxa" w:w="2880"/>
          </w:tcPr>
          <w:p>
            <w:r>
              <w:t>studentInfo key uniqueness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Use student-module-presentation as the enrolment key.</w:t>
            </w:r>
          </w:p>
        </w:tc>
      </w:tr>
      <w:tr>
        <w:tc>
          <w:tcPr>
            <w:tcW w:type="dxa" w:w="2880"/>
          </w:tcPr>
          <w:p>
            <w:r>
              <w:t>studentRegistration key uniqueness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Use student-module-presentation as the enrolment key.</w:t>
            </w:r>
          </w:p>
        </w:tc>
      </w:tr>
      <w:tr>
        <w:tc>
          <w:tcPr>
            <w:tcW w:type="dxa" w:w="2880"/>
          </w:tcPr>
          <w:p>
            <w:r>
              <w:t>Unregistered enrolments not labelled Withdrawn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Audit only; official final_result remains the supervised target.</w:t>
            </w:r>
          </w:p>
        </w:tc>
      </w:tr>
      <w:tr>
        <w:tc>
          <w:tcPr>
            <w:tcW w:type="dxa" w:w="2880"/>
          </w:tcPr>
          <w:p>
            <w:r>
              <w:t>Withdrawn enrolments without unregistration date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Do not use date_unregistration as a predictive feature because it can occur after Week 6.</w:t>
            </w:r>
          </w:p>
        </w:tc>
      </w:tr>
      <w:tr>
        <w:tc>
          <w:tcPr>
            <w:tcW w:type="dxa" w:w="2880"/>
          </w:tcPr>
          <w:p>
            <w:r>
              <w:t>Missing score rows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Keep missing scores as missing; median-impute only inside model preprocessing.</w:t>
            </w:r>
          </w:p>
        </w:tc>
      </w:tr>
      <w:tr>
        <w:tc>
          <w:tcPr>
            <w:tcW w:type="dxa" w:w="2880"/>
          </w:tcPr>
          <w:p>
            <w:r>
              <w:t>Invalid score rows outside 0-100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Invalid values would be excluded from score aggregates.</w:t>
            </w:r>
          </w:p>
        </w:tc>
      </w:tr>
      <w:tr>
        <w:tc>
          <w:tcPr>
            <w:tcW w:type="dxa" w:w="2880"/>
          </w:tcPr>
          <w:p>
            <w:r>
              <w:t>Assessment rows with missing due date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Exclude missing-date assessments from weekly due/submission features.</w:t>
            </w:r>
          </w:p>
        </w:tc>
      </w:tr>
      <w:tr>
        <w:tc>
          <w:tcPr>
            <w:tcW w:type="dxa" w:w="2880"/>
          </w:tcPr>
          <w:p>
            <w:r>
              <w:t>Negative VLE activity dates (pre-start engagement)</w:t>
            </w:r>
          </w:p>
        </w:tc>
        <w:tc>
          <w:tcPr>
            <w:tcW w:type="dxa" w:w="2880"/>
          </w:tcPr>
          <w:p>
            <w:r>
              <w:t>688988</w:t>
            </w:r>
          </w:p>
        </w:tc>
        <w:tc>
          <w:tcPr>
            <w:tcW w:type="dxa" w:w="2880"/>
          </w:tcPr>
          <w:p>
            <w:r>
              <w:t>Valid pre-presentation activity; date is days before module start. Used as proactivity signal.</w:t>
            </w:r>
          </w:p>
        </w:tc>
      </w:tr>
      <w:tr>
        <w:tc>
          <w:tcPr>
            <w:tcW w:type="dxa" w:w="2880"/>
          </w:tcPr>
          <w:p>
            <w:r>
              <w:t>VLE activity after module presentation length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Exclude from weekly engagement panel.</w:t>
            </w:r>
          </w:p>
        </w:tc>
      </w:tr>
      <w:tr>
        <w:tc>
          <w:tcPr>
            <w:tcW w:type="dxa" w:w="2880"/>
          </w:tcPr>
          <w:p>
            <w:r>
              <w:t>Missing VLE week_from/week_to metadata</w:t>
            </w:r>
          </w:p>
        </w:tc>
        <w:tc>
          <w:tcPr>
            <w:tcW w:type="dxa" w:w="2880"/>
          </w:tcPr>
          <w:p>
            <w:r>
              <w:t>10486</w:t>
            </w:r>
          </w:p>
        </w:tc>
        <w:tc>
          <w:tcPr>
            <w:tcW w:type="dxa" w:w="2880"/>
          </w:tcPr>
          <w:p>
            <w:r>
              <w:t>Do not use week_from/week_to as model features.</w:t>
            </w:r>
          </w:p>
        </w:tc>
      </w:tr>
    </w:tbl>
    <w:p/>
    <w:p>
      <w:r>
        <w:t>688,988 VLE events have negative dates — valid pre-presentation activity before module day 0. These feed proactivity features across all three tasks. In-week aggregates still use day 0+ only.</w:t>
      </w:r>
    </w:p>
    <w:p>
      <w:pPr>
        <w:pStyle w:val="Heading2"/>
      </w:pPr>
      <w:r>
        <w:t>1.4 Leakage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Candidate feature</w:t>
            </w:r>
          </w:p>
        </w:tc>
        <w:tc>
          <w:tcPr>
            <w:tcW w:type="dxa" w:w="2160"/>
          </w:tcPr>
          <w:p>
            <w:r>
              <w:t>Available Week 6?</w:t>
            </w:r>
          </w:p>
        </w:tc>
        <w:tc>
          <w:tcPr>
            <w:tcW w:type="dxa" w:w="2160"/>
          </w:tcPr>
          <w:p>
            <w:r>
              <w:t>Used?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Pre-start VLE activity (negative dates)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Observed before day 0; reflects eagerness to begin course materials.</w:t>
            </w:r>
          </w:p>
        </w:tc>
      </w:tr>
      <w:tr>
        <w:tc>
          <w:tcPr>
            <w:tcW w:type="dxa" w:w="2160"/>
          </w:tcPr>
          <w:p>
            <w:r>
              <w:t>Week 1-6 VLE clicks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Observed before the Week 6 prediction point.</w:t>
            </w:r>
          </w:p>
        </w:tc>
      </w:tr>
      <w:tr>
        <w:tc>
          <w:tcPr>
            <w:tcW w:type="dxa" w:w="2160"/>
          </w:tcPr>
          <w:p>
            <w:r>
              <w:t>Week 1-6 active days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Observed before the Week 6 prediction point.</w:t>
            </w:r>
          </w:p>
        </w:tc>
      </w:tr>
      <w:tr>
        <w:tc>
          <w:tcPr>
            <w:tcW w:type="dxa" w:w="2160"/>
          </w:tcPr>
          <w:p>
            <w:r>
              <w:t>Week 1-6 activity diversity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Observed before the Week 6 prediction point.</w:t>
            </w:r>
          </w:p>
        </w:tc>
      </w:tr>
      <w:tr>
        <w:tc>
          <w:tcPr>
            <w:tcW w:type="dxa" w:w="2160"/>
          </w:tcPr>
          <w:p>
            <w:r>
              <w:t>Early non-exam assessment submissions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due/submitted work by Week 6 is used.</w:t>
            </w:r>
          </w:p>
        </w:tc>
      </w:tr>
      <w:tr>
        <w:tc>
          <w:tcPr>
            <w:tcW w:type="dxa" w:w="2160"/>
          </w:tcPr>
          <w:p>
            <w:r>
              <w:t>Student demographics/context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Known at registration or course enrolment.</w:t>
            </w:r>
          </w:p>
        </w:tc>
      </w:tr>
      <w:tr>
        <w:tc>
          <w:tcPr>
            <w:tcW w:type="dxa" w:w="2160"/>
          </w:tcPr>
          <w:p>
            <w:r>
              <w:t>Engagement score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Computed from Week 1-6 behavior using train-derived score weights.</w:t>
            </w:r>
          </w:p>
        </w:tc>
      </w:tr>
      <w:tr>
        <w:tc>
          <w:tcPr>
            <w:tcW w:type="dxa" w:w="2160"/>
          </w:tcPr>
          <w:p>
            <w:r>
              <w:t>Final result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Target only</w:t>
            </w:r>
          </w:p>
        </w:tc>
        <w:tc>
          <w:tcPr>
            <w:tcW w:type="dxa" w:w="2160"/>
          </w:tcPr>
          <w:p>
            <w:r>
              <w:t>Used only to train/evaluate the supervised label.</w:t>
            </w:r>
          </w:p>
        </w:tc>
      </w:tr>
      <w:tr>
        <w:tc>
          <w:tcPr>
            <w:tcW w:type="dxa" w:w="2160"/>
          </w:tcPr>
          <w:p>
            <w:r>
              <w:t>Final exam score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Not available by Week 6.</w:t>
            </w:r>
          </w:p>
        </w:tc>
      </w:tr>
      <w:tr>
        <w:tc>
          <w:tcPr>
            <w:tcW w:type="dxa" w:w="2160"/>
          </w:tcPr>
          <w:p>
            <w:r>
              <w:t>Full-semester total clicks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Would leak future engagement behavior.</w:t>
            </w:r>
          </w:p>
        </w:tc>
      </w:tr>
      <w:tr>
        <w:tc>
          <w:tcPr>
            <w:tcW w:type="dxa" w:w="2160"/>
          </w:tcPr>
          <w:p>
            <w:r>
              <w:t>date_unregistration after Week 6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Would leak withdrawal timing/outcome.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Outcome distribution and withdraw/fail rate by module.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issing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Top missingness patterns.</w:t>
      </w:r>
    </w:p>
    <w:p/>
    <w:p>
      <w:pPr>
        <w:pStyle w:val="Heading1"/>
      </w:pPr>
      <w:r>
        <w:t>2. Feature Engineering</w:t>
      </w:r>
    </w:p>
    <w:p>
      <w:pPr>
        <w:pStyle w:val="Heading2"/>
      </w:pPr>
      <w:r>
        <w:t>2.1 Pre-Start Proactivity (Negative VLE Dates)</w:t>
      </w:r>
    </w:p>
    <w:p>
      <w:r>
        <w:t>Negative dates count days before the official module start. We aggregate pre_start_clicks, pre_start_active_days, days_before_start, and material-study signals into p_pre_start_proactivity.</w:t>
      </w:r>
    </w:p>
    <w:p>
      <w:r>
        <w:t>pre_start_clicks: withdraw/fail mean = 40.42, pass/distinction mean = 94.41 (r = -0.209).</w:t>
      </w:r>
    </w:p>
    <w:p>
      <w:r>
        <w:t>days_before_start: withdraw/fail mean = 7.64, pass/distinction mean = 10.80 (r = -0.211).</w:t>
      </w:r>
    </w:p>
    <w:p>
      <w:r>
        <w:t>pre_start_active_days: withdraw/fail mean = 2.38, pass/distinction mean = 4.34 (r = -0.255).</w:t>
      </w:r>
    </w:p>
    <w:p>
      <w:r>
        <w:t>pre_start_proactivity_raw: withdraw/fail mean = 0.42, pass/distinction mean = 0.59 (r = -0.332).</w:t>
      </w:r>
    </w:p>
    <w:p>
      <w:r>
        <w:t>Population check: 23,809 of 32,593 enrolments (73.0%) show pre-start activity. Risk rate with pre-start: 44.7%; without: 74.9%.</w:t>
      </w:r>
    </w:p>
    <w:p>
      <w:pPr>
        <w:pStyle w:val="Heading2"/>
      </w:pPr>
      <w:r>
        <w:t>2.2 In-Semester VLE and Assessment Features</w:t>
      </w:r>
    </w:p>
    <w:p>
      <w:r>
        <w:t>Task 1 features are grouped into six interpretable buckets: activity volume, consistency and rhythm, recency and disengagement gaps, resource diversity and intent, course-pace alignment, and assessment behaviour and recovery.</w:t>
      </w:r>
    </w:p>
    <w:p>
      <w:r>
        <w:t>weekly_clicks_norm: Log-scaled click volume, peer-normalized within module/presentation/week. withdraw/fail mean = 0.38, pass/distinction mean = 0.64 (r = -0.468).</w:t>
      </w:r>
    </w:p>
    <w:p>
      <w:r>
        <w:t>unique_sites_wk: Distinct VLE sites accessed in the week. withdraw/fail mean = 2.95, pass/distinction mean = 7.33 (r = -0.336).</w:t>
      </w:r>
    </w:p>
    <w:p>
      <w:r>
        <w:t>active_days_last_7: Distinct active days in the week. withdraw/fail mean = 1.10, pass/distinction mean = 2.85 (r = -0.420).</w:t>
      </w:r>
    </w:p>
    <w:p>
      <w:r>
        <w:t>study_regularity_score: Active days divided by seven. withdraw/fail mean = 0.16, pass/distinction mean = 0.41 (r = -0.420).</w:t>
      </w:r>
    </w:p>
    <w:p>
      <w:r>
        <w:t>burstiness_score: Share of weekly clicks concentrated on the busiest day. withdraw/fail mean = 0.31, pass/distinction mean = 0.54 (r = -0.306).</w:t>
      </w:r>
    </w:p>
    <w:p>
      <w:r>
        <w:t>week_to_week_volatility: Rolling instability in weekly click volume. withdraw/fail mean = 27.00, pass/distinction mean = 48.65 (r = -0.234).</w:t>
      </w:r>
    </w:p>
    <w:p>
      <w:r>
        <w:t>days_since_last_click: Recency of last observed click. withdraw/fail mean = 255.91, pass/distinction mean = 12.56 (r = +0.357).</w:t>
      </w:r>
    </w:p>
    <w:p>
      <w:r>
        <w:t>inactive_last_14_days: Flag for two-week absence. withdraw/fail mean = 0.45, pass/distinction mean = 0.06 (r = +0.439).</w:t>
      </w:r>
    </w:p>
    <w:p>
      <w:r>
        <w:t>longest_inactive_gap_so_far: Largest inactivity gap observed so far. withdraw/fail mean = 410.73, pass/distinction mean = 132.96 (r = +0.314).</w:t>
      </w:r>
    </w:p>
    <w:p>
      <w:r>
        <w:t>activity_diversity: Distinct VLE activity types used. withdraw/fail mean = 1.60, pass/distinction mean = 3.64 (r = -0.410).</w:t>
      </w:r>
    </w:p>
    <w:p>
      <w:r>
        <w:t>activity_entropy_wk: Balance of clicks across VLE activity types. withdraw/fail mean = 0.57, pass/distinction mean = 1.25 (r = -0.394).</w:t>
      </w:r>
    </w:p>
    <w:p>
      <w:r>
        <w:t>material_active_days: Frequency of learning-material study activity. withdraw/fail mean = 0.69, pass/distinction mean = 1.86 (r = -0.360).</w:t>
      </w:r>
    </w:p>
    <w:p>
      <w:r>
        <w:t>material_click_share: Share of clicks focused on learning materials. withdraw/fail mean = 0.15, pass/distinction mean = 0.31 (r = -0.275).</w:t>
      </w:r>
    </w:p>
    <w:p>
      <w:r>
        <w:t>recent_material_active_days_2w: Recent learning-material study rhythm near Week 6. withdraw/fail mean = 1.59, pass/distinction mean = 3.98 (r = -0.393).</w:t>
      </w:r>
    </w:p>
    <w:p>
      <w:r>
        <w:t>forum_active_days: Discussion-board/help-seeking participation. withdraw/fail mean = 0.52, pass/distinction mean = 1.65 (r = -0.331).</w:t>
      </w:r>
    </w:p>
    <w:p>
      <w:r>
        <w:t>on_schedule_click_ratio: Metadata-covered clicks that align with the planned course weeks. withdraw/fail mean = 0.03, pass/distinction mean = 0.09 (r = -0.161).</w:t>
      </w:r>
    </w:p>
    <w:p>
      <w:r>
        <w:t>planned_material_coverage: Cumulative share of expected planned materials accessed. withdraw/fail mean = 0.20, pass/distinction mean = 0.41 (r = -0.297).</w:t>
      </w:r>
    </w:p>
    <w:p>
      <w:r>
        <w:t>assessment_submitted_ratio: Cumulative non-exam assessment completion. withdraw/fail mean = 0.56, pass/distinction mean = 0.96 (r = -0.486).</w:t>
      </w:r>
    </w:p>
    <w:p>
      <w:r>
        <w:t>missed_assessments_cum: Cumulative assessments due but not submitted. withdraw/fail mean = 0.61, pass/distinction mean = 0.06 (r = +0.453).</w:t>
      </w:r>
    </w:p>
    <w:p>
      <w:r>
        <w:t>pre_assessment_clicks_7d_cum: Preparation clicks in the seven days before due dates. withdraw/fail mean = 63.35, pass/distinction mean = 126.05 (r = -0.233).</w:t>
      </w:r>
    </w:p>
    <w:p>
      <w:r>
        <w:t>cram_ratio_week: Share of preparation clicks occurring in the final two days. withdraw/fail mean = 0.03, pass/distinction mean = 0.04 (r = -0.052).</w:t>
      </w:r>
    </w:p>
    <w:p>
      <w:r>
        <w:t>low_weight_completion_ratio: Low-weight assignment completion. withdraw/fail mean = 0.70, pass/distinction mean = 0.97 (r = -0.377).</w:t>
      </w:r>
    </w:p>
    <w:p>
      <w:r>
        <w:drawing>
          <wp:inline xmlns:a="http://schemas.openxmlformats.org/drawingml/2006/main" xmlns:pic="http://schemas.openxmlformats.org/drawingml/2006/picture">
            <wp:extent cx="5029200" cy="2964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feature_ration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Week 6 feature correlations with risk.</w:t>
      </w:r>
    </w:p>
    <w:p/>
    <w:p>
      <w:pPr>
        <w:pStyle w:val="Heading1"/>
      </w:pPr>
      <w:r>
        <w:t>3. Dynamic Engagement Score</w:t>
      </w:r>
    </w:p>
    <w:p>
      <w:r>
        <w:t>Ten peer-normalized components (including pre-start proactivity) are combined with train-derived weights into a 0–100 weekly score.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Success AUC</w:t>
            </w:r>
          </w:p>
        </w:tc>
        <w:tc>
          <w:tcPr>
            <w:tcW w:type="dxa" w:w="2880"/>
          </w:tcPr>
          <w:p>
            <w:r>
              <w:t>Final weight</w:t>
            </w:r>
          </w:p>
        </w:tc>
      </w:tr>
      <w:tr>
        <w:tc>
          <w:tcPr>
            <w:tcW w:type="dxa" w:w="2880"/>
          </w:tcPr>
          <w:p>
            <w:r>
              <w:t>Peer-normalized click volume</w:t>
            </w:r>
          </w:p>
        </w:tc>
        <w:tc>
          <w:tcPr>
            <w:tcW w:type="dxa" w:w="2880"/>
          </w:tcPr>
          <w:p>
            <w:r>
              <w:t>0.774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Module-material study frequency</w:t>
            </w:r>
          </w:p>
        </w:tc>
        <w:tc>
          <w:tcPr>
            <w:tcW w:type="dxa" w:w="2880"/>
          </w:tcPr>
          <w:p>
            <w:r>
              <w:t>0.741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Activity diversity</w:t>
            </w:r>
          </w:p>
        </w:tc>
        <w:tc>
          <w:tcPr>
            <w:tcW w:type="dxa" w:w="2880"/>
          </w:tcPr>
          <w:p>
            <w:r>
              <w:t>0.762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Recent activity</w:t>
            </w:r>
          </w:p>
        </w:tc>
        <w:tc>
          <w:tcPr>
            <w:tcW w:type="dxa" w:w="2880"/>
          </w:tcPr>
          <w:p>
            <w:r>
              <w:t>0.773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Pre-start course material engagement</w:t>
            </w:r>
          </w:p>
        </w:tc>
        <w:tc>
          <w:tcPr>
            <w:tcW w:type="dxa" w:w="2880"/>
          </w:tcPr>
          <w:p>
            <w:r>
              <w:t>0.690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Active-day consistency</w:t>
            </w:r>
          </w:p>
        </w:tc>
        <w:tc>
          <w:tcPr>
            <w:tcW w:type="dxa" w:w="2880"/>
          </w:tcPr>
          <w:p>
            <w:r>
              <w:t>0.778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Assessment completion</w:t>
            </w:r>
          </w:p>
        </w:tc>
        <w:tc>
          <w:tcPr>
            <w:tcW w:type="dxa" w:w="2880"/>
          </w:tcPr>
          <w:p>
            <w:r>
              <w:t>0.718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Low-weight assignment completion</w:t>
            </w:r>
          </w:p>
        </w:tc>
        <w:tc>
          <w:tcPr>
            <w:tcW w:type="dxa" w:w="2880"/>
          </w:tcPr>
          <w:p>
            <w:r>
              <w:t>0.684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Three-week trend</w:t>
            </w:r>
          </w:p>
        </w:tc>
        <w:tc>
          <w:tcPr>
            <w:tcW w:type="dxa" w:w="2880"/>
          </w:tcPr>
          <w:p>
            <w:r>
              <w:t>0.481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Assessment punctuality</w:t>
            </w:r>
          </w:p>
        </w:tc>
        <w:tc>
          <w:tcPr>
            <w:tcW w:type="dxa" w:w="2880"/>
          </w:tcPr>
          <w:p>
            <w:r>
              <w:t>0.469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/>
    <w:p>
      <w:r>
        <w:t>Scorecard guardrail: any component with train success AUC at or below 0.50 receives 0% weight. Those signals can still be inspected as exploratory features, but they do not move the trusted administrator-facing engagement score.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Score band</w:t>
            </w:r>
          </w:p>
        </w:tc>
        <w:tc>
          <w:tcPr>
            <w:tcW w:type="dxa" w:w="2160"/>
          </w:tcPr>
          <w:p>
            <w:r>
              <w:t>Enrolments</w:t>
            </w:r>
          </w:p>
        </w:tc>
        <w:tc>
          <w:tcPr>
            <w:tcW w:type="dxa" w:w="2160"/>
          </w:tcPr>
          <w:p>
            <w:r>
              <w:t>Withdraw/fail rate</w:t>
            </w:r>
          </w:p>
        </w:tc>
        <w:tc>
          <w:tcPr>
            <w:tcW w:type="dxa" w:w="2160"/>
          </w:tcPr>
          <w:p>
            <w:r>
              <w:t>Avg score</w:t>
            </w:r>
          </w:p>
        </w:tc>
      </w:tr>
      <w:tr>
        <w:tc>
          <w:tcPr>
            <w:tcW w:type="dxa" w:w="2160"/>
          </w:tcPr>
          <w:p>
            <w:r>
              <w:t>0-20</w:t>
            </w:r>
          </w:p>
        </w:tc>
        <w:tc>
          <w:tcPr>
            <w:tcW w:type="dxa" w:w="2160"/>
          </w:tcPr>
          <w:p>
            <w:r>
              <w:t>4224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</w:tr>
      <w:tr>
        <w:tc>
          <w:tcPr>
            <w:tcW w:type="dxa" w:w="2160"/>
          </w:tcPr>
          <w:p>
            <w:r>
              <w:t>20-40</w:t>
            </w:r>
          </w:p>
        </w:tc>
        <w:tc>
          <w:tcPr>
            <w:tcW w:type="dxa" w:w="2160"/>
          </w:tcPr>
          <w:p>
            <w:r>
              <w:t>8237</w:t>
            </w:r>
          </w:p>
        </w:tc>
        <w:tc>
          <w:tcPr>
            <w:tcW w:type="dxa" w:w="2160"/>
          </w:tcPr>
          <w:p>
            <w:r>
              <w:t>73.6%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</w:tr>
      <w:tr>
        <w:tc>
          <w:tcPr>
            <w:tcW w:type="dxa" w:w="2160"/>
          </w:tcPr>
          <w:p>
            <w:r>
              <w:t>40-60</w:t>
            </w:r>
          </w:p>
        </w:tc>
        <w:tc>
          <w:tcPr>
            <w:tcW w:type="dxa" w:w="2160"/>
          </w:tcPr>
          <w:p>
            <w:r>
              <w:t>7015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51.2</w:t>
            </w:r>
          </w:p>
        </w:tc>
      </w:tr>
      <w:tr>
        <w:tc>
          <w:tcPr>
            <w:tcW w:type="dxa" w:w="2160"/>
          </w:tcPr>
          <w:p>
            <w:r>
              <w:t>60-80</w:t>
            </w:r>
          </w:p>
        </w:tc>
        <w:tc>
          <w:tcPr>
            <w:tcW w:type="dxa" w:w="2160"/>
          </w:tcPr>
          <w:p>
            <w:r>
              <w:t>10549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80-100</w:t>
            </w:r>
          </w:p>
        </w:tc>
        <w:tc>
          <w:tcPr>
            <w:tcW w:type="dxa" w:w="2160"/>
          </w:tcPr>
          <w:p>
            <w:r>
              <w:t>2568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  <w:tc>
          <w:tcPr>
            <w:tcW w:type="dxa" w:w="2160"/>
          </w:tcPr>
          <w:p>
            <w:r>
              <w:t>83.9</w:t>
            </w:r>
          </w:p>
        </w:tc>
      </w:tr>
    </w:tbl>
    <w:p/>
    <w:p>
      <w:r>
        <w:t>Week 6 engagement score correlation with risk: r = -0.516.</w:t>
      </w:r>
    </w:p>
    <w:p>
      <w:r>
        <w:drawing>
          <wp:inline xmlns:a="http://schemas.openxmlformats.org/drawingml/2006/main" xmlns:pic="http://schemas.openxmlformats.org/drawingml/2006/picture">
            <wp:extent cx="5029200" cy="3249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and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Risk by engagement score band.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Archetype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Feature signature</w:t>
            </w:r>
          </w:p>
        </w:tc>
      </w:tr>
      <w:tr>
        <w:tc>
          <w:tcPr>
            <w:tcW w:type="dxa" w:w="2880"/>
          </w:tcPr>
          <w:p>
            <w:r>
              <w:t>Steady Engager</w:t>
            </w:r>
          </w:p>
        </w:tc>
        <w:tc>
          <w:tcPr>
            <w:tcW w:type="dxa" w:w="2880"/>
          </w:tcPr>
          <w:p>
            <w:r>
              <w:t>Maintains consistently strong engagement across the semester.</w:t>
            </w:r>
          </w:p>
        </w:tc>
        <w:tc>
          <w:tcPr>
            <w:tcW w:type="dxa" w:w="2880"/>
          </w:tcPr>
          <w:p>
            <w:r>
              <w:t>High mean engagement score, low score volatility, strong active-day consistency.</w:t>
            </w:r>
          </w:p>
        </w:tc>
      </w:tr>
      <w:tr>
        <w:tc>
          <w:tcPr>
            <w:tcW w:type="dxa" w:w="2880"/>
          </w:tcPr>
          <w:p>
            <w:r>
              <w:t>Early Dropout</w:t>
            </w:r>
          </w:p>
        </w:tc>
        <w:tc>
          <w:tcPr>
            <w:tcW w:type="dxa" w:w="2880"/>
          </w:tcPr>
          <w:p>
            <w:r>
              <w:t>Disengages early and does not recover.</w:t>
            </w:r>
          </w:p>
        </w:tc>
        <w:tc>
          <w:tcPr>
            <w:tcW w:type="dxa" w:w="2880"/>
          </w:tcPr>
          <w:p>
            <w:r>
              <w:t>Sharp negative early-to-late score delta, low late score, often withdrawn final result.</w:t>
            </w:r>
          </w:p>
        </w:tc>
      </w:tr>
      <w:tr>
        <w:tc>
          <w:tcPr>
            <w:tcW w:type="dxa" w:w="2880"/>
          </w:tcPr>
          <w:p>
            <w:r>
              <w:t>Late Recoverer</w:t>
            </w:r>
          </w:p>
        </w:tc>
        <w:tc>
          <w:tcPr>
            <w:tcW w:type="dxa" w:w="2880"/>
          </w:tcPr>
          <w:p>
            <w:r>
              <w:t>Starts weakly but improves later in the semester.</w:t>
            </w:r>
          </w:p>
        </w:tc>
        <w:tc>
          <w:tcPr>
            <w:tcW w:type="dxa" w:w="2880"/>
          </w:tcPr>
          <w:p>
            <w:r>
              <w:t>Large positive score delta from early weeks to late weeks.</w:t>
            </w:r>
          </w:p>
        </w:tc>
      </w:tr>
      <w:tr>
        <w:tc>
          <w:tcPr>
            <w:tcW w:type="dxa" w:w="2880"/>
          </w:tcPr>
          <w:p>
            <w:r>
              <w:t>Sporadic / Burst Engager</w:t>
            </w:r>
          </w:p>
        </w:tc>
        <w:tc>
          <w:tcPr>
            <w:tcW w:type="dxa" w:w="2880"/>
          </w:tcPr>
          <w:p>
            <w:r>
              <w:t>Works in intense, irregular bursts rather than a steady rhythm.</w:t>
            </w:r>
          </w:p>
        </w:tc>
        <w:tc>
          <w:tcPr>
            <w:tcW w:type="dxa" w:w="2880"/>
          </w:tcPr>
          <w:p>
            <w:r>
              <w:t>High score range, high max score, and several zero-click weeks.</w:t>
            </w:r>
          </w:p>
        </w:tc>
      </w:tr>
      <w:tr>
        <w:tc>
          <w:tcPr>
            <w:tcW w:type="dxa" w:w="2880"/>
          </w:tcPr>
          <w:p>
            <w:r>
              <w:t>Perfectionist Procrastinator</w:t>
            </w:r>
          </w:p>
        </w:tc>
        <w:tc>
          <w:tcPr>
            <w:tcW w:type="dxa" w:w="2880"/>
          </w:tcPr>
          <w:p>
            <w:r>
              <w:t>Delays participation or submissions while still producing high-quality work.</w:t>
            </w:r>
          </w:p>
        </w:tc>
        <w:tc>
          <w:tcPr>
            <w:tcW w:type="dxa" w:w="2880"/>
          </w:tcPr>
          <w:p>
            <w:r>
              <w:t>Successful/high-scoring enrolment with late submissions and lower punctuality.</w:t>
            </w:r>
          </w:p>
        </w:tc>
      </w:tr>
      <w:tr>
        <w:tc>
          <w:tcPr>
            <w:tcW w:type="dxa" w:w="2880"/>
          </w:tcPr>
          <w:p>
            <w:r>
              <w:t>Surface Level / Compliance Engager</w:t>
            </w:r>
          </w:p>
        </w:tc>
        <w:tc>
          <w:tcPr>
            <w:tcW w:type="dxa" w:w="2880"/>
          </w:tcPr>
          <w:p>
            <w:r>
              <w:t>Does the minimum required to pass or complete the task.</w:t>
            </w:r>
          </w:p>
        </w:tc>
        <w:tc>
          <w:tcPr>
            <w:tcW w:type="dxa" w:w="2880"/>
          </w:tcPr>
          <w:p>
            <w:r>
              <w:t>High assessment completion but low activity diversity and low material-study frequency.</w:t>
            </w:r>
          </w:p>
        </w:tc>
      </w:tr>
      <w:tr>
        <w:tc>
          <w:tcPr>
            <w:tcW w:type="dxa" w:w="2880"/>
          </w:tcPr>
          <w:p>
            <w:r>
              <w:t>Opportunistic Engager</w:t>
            </w:r>
          </w:p>
        </w:tc>
        <w:tc>
          <w:tcPr>
            <w:tcW w:type="dxa" w:w="2880"/>
          </w:tcPr>
          <w:p>
            <w:r>
              <w:t>Selectively engages when material appears useful or interesting.</w:t>
            </w:r>
          </w:p>
        </w:tc>
        <w:tc>
          <w:tcPr>
            <w:tcW w:type="dxa" w:w="2880"/>
          </w:tcPr>
          <w:p>
            <w:r>
              <w:t>High material-click share and engagement spikes, but weaker active-week consistency.</w:t>
            </w:r>
          </w:p>
        </w:tc>
      </w:tr>
    </w:tbl>
    <w:p/>
    <w:p>
      <w:r>
        <w:t>Representative archetypes: Perfectionist Procrastinator: student 414350, module BBB, result Distinction; Sporadic / Burst Engager: student 420724, module BBB, result Fail; Surface Level / Compliance Engager: student 327940, module BBB, result Pass; Steady Engager: student 635416, module CCC, result Pass; Opportunistic Engager: student 525635, module DDD, result Fail; Early Dropout: student 548415, module FFF, result Withdrawn; Late Recoverer: student 569093, module GGG, result Pass.</w:t>
      </w:r>
    </w:p>
    <w:p>
      <w:r>
        <w:drawing>
          <wp:inline xmlns:a="http://schemas.openxmlformats.org/drawingml/2006/main" xmlns:pic="http://schemas.openxmlformats.org/drawingml/2006/picture">
            <wp:extent cx="5029200" cy="2579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agement_archetypes_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5a. Core engagement archetypes.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79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agement_archetypes_addit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5b. Additional behavioral archetypes.</w:t>
      </w:r>
    </w:p>
    <w:p/>
    <w:p>
      <w:pPr>
        <w:pStyle w:val="Heading1"/>
      </w:pPr>
      <w:r>
        <w:t>4. Week 6 Disengagement Model</w:t>
      </w:r>
    </w:p>
    <w:p>
      <w:r>
        <w:t>Binary classifier: Withdrawn/Fail vs Pass/Distinction. Stratified holdout: 8,149 test enrolments (25.0% of labelled Week 6 cohort).</w:t>
      </w:r>
    </w:p>
    <w:p>
      <w:r>
        <w:t>The notebook compares Logistic Regression, Random Forest, KNN, calibrated Linear SVC, XGBoost, a regularized XGBoost variant, and Soft Voting. The urgent-alert classifier is chosen by cross-validated F1, with PR-AUC and ROC-AUC used as secondary checks. A broader watchlist keeps a separate higher-recall F2 threshold.</w:t>
      </w:r>
    </w:p>
    <w:p>
      <w:r>
        <w:t>Task 2 now carries forward the Task 1 engagement framework directly: the model includes engagement_score_6, a Week 6-safe behavioural archetype, train-only archetype/profile risk priors, ordered education and age features, IMD midpoint, module-normalized credit load, resource-mix ratios, and selected interaction terms.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Threshold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FN</w:t>
            </w:r>
          </w:p>
        </w:tc>
        <w:tc>
          <w:tcPr>
            <w:tcW w:type="dxa" w:w="1440"/>
          </w:tcPr>
          <w:p>
            <w:r>
              <w:t>FP</w:t>
            </w:r>
          </w:p>
        </w:tc>
      </w:tr>
      <w:tr>
        <w:tc>
          <w:tcPr>
            <w:tcW w:type="dxa" w:w="1440"/>
          </w:tcPr>
          <w:p>
            <w:r>
              <w:t>urgent_balanced_f1</w:t>
            </w:r>
          </w:p>
        </w:tc>
        <w:tc>
          <w:tcPr>
            <w:tcW w:type="dxa" w:w="1440"/>
          </w:tcPr>
          <w:p>
            <w:r>
              <w:t>0.384</w:t>
            </w:r>
          </w:p>
        </w:tc>
        <w:tc>
          <w:tcPr>
            <w:tcW w:type="dxa" w:w="1440"/>
          </w:tcPr>
          <w:p>
            <w:r>
              <w:t>0.762</w:t>
            </w:r>
          </w:p>
        </w:tc>
        <w:tc>
          <w:tcPr>
            <w:tcW w:type="dxa" w:w="1440"/>
          </w:tcPr>
          <w:p>
            <w:r>
              <w:t>0.833</w:t>
            </w:r>
          </w:p>
        </w:tc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1119</w:t>
            </w:r>
          </w:p>
        </w:tc>
      </w:tr>
      <w:tr>
        <w:tc>
          <w:tcPr>
            <w:tcW w:type="dxa" w:w="1440"/>
          </w:tcPr>
          <w:p>
            <w:r>
              <w:t>watchlist_f2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0.970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2750</w:t>
            </w:r>
          </w:p>
        </w:tc>
      </w:tr>
      <w:tr>
        <w:tc>
          <w:tcPr>
            <w:tcW w:type="dxa" w:w="1440"/>
          </w:tcPr>
          <w:p>
            <w:r>
              <w:t>urgent_recall85</w:t>
            </w:r>
          </w:p>
        </w:tc>
        <w:tc>
          <w:tcPr>
            <w:tcW w:type="dxa" w:w="1440"/>
          </w:tcPr>
          <w:p>
            <w:r>
              <w:t>0.352</w:t>
            </w:r>
          </w:p>
        </w:tc>
        <w:tc>
          <w:tcPr>
            <w:tcW w:type="dxa" w:w="1440"/>
          </w:tcPr>
          <w:p>
            <w:r>
              <w:t>0.735</w:t>
            </w:r>
          </w:p>
        </w:tc>
        <w:tc>
          <w:tcPr>
            <w:tcW w:type="dxa" w:w="1440"/>
          </w:tcPr>
          <w:p>
            <w:r>
              <w:t>0.859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1330</w:t>
            </w:r>
          </w:p>
        </w:tc>
      </w:tr>
      <w:tr>
        <w:tc>
          <w:tcPr>
            <w:tcW w:type="dxa" w:w="1440"/>
          </w:tcPr>
          <w:p>
            <w:r>
              <w:t>selected_cv_max_f1</w:t>
            </w:r>
          </w:p>
        </w:tc>
        <w:tc>
          <w:tcPr>
            <w:tcW w:type="dxa" w:w="1440"/>
          </w:tcPr>
          <w:p>
            <w:r>
              <w:t>0.384</w:t>
            </w:r>
          </w:p>
        </w:tc>
        <w:tc>
          <w:tcPr>
            <w:tcW w:type="dxa" w:w="1440"/>
          </w:tcPr>
          <w:p>
            <w:r>
              <w:t>0.762</w:t>
            </w:r>
          </w:p>
        </w:tc>
        <w:tc>
          <w:tcPr>
            <w:tcW w:type="dxa" w:w="1440"/>
          </w:tcPr>
          <w:p>
            <w:r>
              <w:t>0.833</w:t>
            </w:r>
          </w:p>
        </w:tc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1119</w:t>
            </w:r>
          </w:p>
        </w:tc>
      </w:tr>
      <w:tr>
        <w:tc>
          <w:tcPr>
            <w:tcW w:type="dxa" w:w="1440"/>
          </w:tcPr>
          <w:p>
            <w:r>
              <w:t>capacity_10pct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0.199</w:t>
            </w:r>
          </w:p>
        </w:tc>
        <w:tc>
          <w:tcPr>
            <w:tcW w:type="dxa" w:w="1440"/>
          </w:tcPr>
          <w:p>
            <w:r>
              <w:t>3446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capacity_20pct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0.377</w:t>
            </w:r>
          </w:p>
        </w:tc>
        <w:tc>
          <w:tcPr>
            <w:tcW w:type="dxa" w:w="1440"/>
          </w:tcPr>
          <w:p>
            <w:r>
              <w:t>2678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capacity_30pct</w:t>
            </w:r>
          </w:p>
        </w:tc>
        <w:tc>
          <w:tcPr>
            <w:tcW w:type="dxa" w:w="1440"/>
          </w:tcPr>
          <w:p>
            <w:r>
              <w:t>0.719</w:t>
            </w:r>
          </w:p>
        </w:tc>
        <w:tc>
          <w:tcPr>
            <w:tcW w:type="dxa" w:w="1440"/>
          </w:tcPr>
          <w:p>
            <w:r>
              <w:t>0.942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1916</w:t>
            </w:r>
          </w:p>
        </w:tc>
        <w:tc>
          <w:tcPr>
            <w:tcW w:type="dxa" w:w="1440"/>
          </w:tcPr>
          <w:p>
            <w:r>
              <w:t>146</w:t>
            </w:r>
          </w:p>
        </w:tc>
      </w:tr>
      <w:tr>
        <w:tc>
          <w:tcPr>
            <w:tcW w:type="dxa" w:w="1440"/>
          </w:tcPr>
          <w:p>
            <w:r>
              <w:t>fixed_0.25</w:t>
            </w:r>
          </w:p>
        </w:tc>
        <w:tc>
          <w:tcPr>
            <w:tcW w:type="dxa" w:w="1440"/>
          </w:tcPr>
          <w:p>
            <w:r>
              <w:t>0.250</w:t>
            </w:r>
          </w:p>
        </w:tc>
        <w:tc>
          <w:tcPr>
            <w:tcW w:type="dxa" w:w="1440"/>
          </w:tcPr>
          <w:p>
            <w:r>
              <w:t>0.653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  <w:tc>
          <w:tcPr>
            <w:tcW w:type="dxa" w:w="1440"/>
          </w:tcPr>
          <w:p>
            <w:r>
              <w:t>281</w:t>
            </w:r>
          </w:p>
        </w:tc>
        <w:tc>
          <w:tcPr>
            <w:tcW w:type="dxa" w:w="1440"/>
          </w:tcPr>
          <w:p>
            <w:r>
              <w:t>2136</w:t>
            </w:r>
          </w:p>
        </w:tc>
      </w:tr>
      <w:tr>
        <w:tc>
          <w:tcPr>
            <w:tcW w:type="dxa" w:w="1440"/>
          </w:tcPr>
          <w:p>
            <w:r>
              <w:t>fixed_0.35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0.861</w:t>
            </w:r>
          </w:p>
        </w:tc>
        <w:tc>
          <w:tcPr>
            <w:tcW w:type="dxa" w:w="1440"/>
          </w:tcPr>
          <w:p>
            <w:r>
              <w:t>597</w:t>
            </w:r>
          </w:p>
        </w:tc>
        <w:tc>
          <w:tcPr>
            <w:tcW w:type="dxa" w:w="1440"/>
          </w:tcPr>
          <w:p>
            <w:r>
              <w:t>1344</w:t>
            </w:r>
          </w:p>
        </w:tc>
      </w:tr>
      <w:tr>
        <w:tc>
          <w:tcPr>
            <w:tcW w:type="dxa" w:w="1440"/>
          </w:tcPr>
          <w:p>
            <w:r>
              <w:t>fixed_0.50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0.840</w:t>
            </w:r>
          </w:p>
        </w:tc>
        <w:tc>
          <w:tcPr>
            <w:tcW w:type="dxa" w:w="1440"/>
          </w:tcPr>
          <w:p>
            <w:r>
              <w:t>0.736</w:t>
            </w:r>
          </w:p>
        </w:tc>
        <w:tc>
          <w:tcPr>
            <w:tcW w:type="dxa" w:w="1440"/>
          </w:tcPr>
          <w:p>
            <w:r>
              <w:t>1134</w:t>
            </w:r>
          </w:p>
        </w:tc>
        <w:tc>
          <w:tcPr>
            <w:tcW w:type="dxa" w:w="1440"/>
          </w:tcPr>
          <w:p>
            <w:r>
              <w:t>603</w:t>
            </w:r>
          </w:p>
        </w:tc>
      </w:tr>
      <w:tr>
        <w:tc>
          <w:tcPr>
            <w:tcW w:type="dxa" w:w="1440"/>
          </w:tcPr>
          <w:p>
            <w:r>
              <w:t>fixed_0.65</w:t>
            </w:r>
          </w:p>
        </w:tc>
        <w:tc>
          <w:tcPr>
            <w:tcW w:type="dxa" w:w="1440"/>
          </w:tcPr>
          <w:p>
            <w:r>
              <w:t>0.650</w:t>
            </w:r>
          </w:p>
        </w:tc>
        <w:tc>
          <w:tcPr>
            <w:tcW w:type="dxa" w:w="1440"/>
          </w:tcPr>
          <w:p>
            <w:r>
              <w:t>0.920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1660</w:t>
            </w:r>
          </w:p>
        </w:tc>
        <w:tc>
          <w:tcPr>
            <w:tcW w:type="dxa" w:w="1440"/>
          </w:tcPr>
          <w:p>
            <w:r>
              <w:t>229</w:t>
            </w:r>
          </w:p>
        </w:tc>
      </w:tr>
      <w:tr>
        <w:tc>
          <w:tcPr>
            <w:tcW w:type="dxa" w:w="1440"/>
          </w:tcPr>
          <w:p>
            <w:r>
              <w:t>fixed_0.75</w:t>
            </w:r>
          </w:p>
        </w:tc>
        <w:tc>
          <w:tcPr>
            <w:tcW w:type="dxa" w:w="1440"/>
          </w:tcPr>
          <w:p>
            <w:r>
              <w:t>0.750</w:t>
            </w:r>
          </w:p>
        </w:tc>
        <w:tc>
          <w:tcPr>
            <w:tcW w:type="dxa" w:w="1440"/>
          </w:tcPr>
          <w:p>
            <w:r>
              <w:t>0.951</w:t>
            </w:r>
          </w:p>
        </w:tc>
        <w:tc>
          <w:tcPr>
            <w:tcW w:type="dxa" w:w="1440"/>
          </w:tcPr>
          <w:p>
            <w:r>
              <w:t>0.526</w:t>
            </w:r>
          </w:p>
        </w:tc>
        <w:tc>
          <w:tcPr>
            <w:tcW w:type="dxa" w:w="1440"/>
          </w:tcPr>
          <w:p>
            <w:r>
              <w:t>2037</w:t>
            </w:r>
          </w:p>
        </w:tc>
        <w:tc>
          <w:tcPr>
            <w:tcW w:type="dxa" w:w="1440"/>
          </w:tcPr>
          <w:p>
            <w:r>
              <w:t>117</w:t>
            </w:r>
          </w:p>
        </w:tc>
      </w:tr>
    </w:tbl>
    <w:p/>
    <w:p>
      <w:r>
        <w:t>Urgent tier (threshold 0.384): precision 0.762, recall 0.833, F1 0.796, alerts 4704 (57.7% of test cohort), ROC-AUC 0.872. Capacity tier: precision 99.4%, recall 37.7%. AUC is threshold-independent, so threshold tuning changes alert volume, precision, recall, and F1, but not the model's ranking quality.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Urgent-tier confusion matrix.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2496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trade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Threshold tradeoff.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Calibration curve.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Driver group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avg_score_so_far_6</w:t>
            </w:r>
          </w:p>
        </w:tc>
        <w:tc>
          <w:tcPr>
            <w:tcW w:type="dxa" w:w="2880"/>
          </w:tcPr>
          <w:p>
            <w:r>
              <w:t>Early academic struggle may signal content difficulty before final failure.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first_click_day_6</w:t>
            </w:r>
          </w:p>
        </w:tc>
        <w:tc>
          <w:tcPr>
            <w:tcW w:type="dxa" w:w="2880"/>
          </w:tcPr>
          <w:p>
            <w:r>
              <w:t>High-ranking model driver.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module_code</w:t>
            </w:r>
          </w:p>
        </w:tc>
        <w:tc>
          <w:tcPr>
            <w:tcW w:type="dxa" w:w="2880"/>
          </w:tcPr>
          <w:p>
            <w:r>
              <w:t>High-ranking model driver.</w:t>
            </w:r>
          </w:p>
        </w:tc>
      </w:tr>
      <w:tr>
        <w:tc>
          <w:tcPr>
            <w:tcW w:type="dxa" w:w="2880"/>
          </w:tcPr>
          <w:p>
            <w:r>
              <w:t>Behavioral</w:t>
            </w:r>
          </w:p>
        </w:tc>
        <w:tc>
          <w:tcPr>
            <w:tcW w:type="dxa" w:w="2880"/>
          </w:tcPr>
          <w:p>
            <w:r>
              <w:t>engagement_score_6</w:t>
            </w:r>
          </w:p>
        </w:tc>
        <w:tc>
          <w:tcPr>
            <w:tcW w:type="dxa" w:w="2880"/>
          </w:tcPr>
          <w:p>
            <w:r>
              <w:t>Combines recency, consistency, diversity, and assessment behavior into a trajectory signal.</w:t>
            </w:r>
          </w:p>
        </w:tc>
      </w:tr>
      <w:tr>
        <w:tc>
          <w:tcPr>
            <w:tcW w:type="dxa" w:w="2880"/>
          </w:tcPr>
          <w:p>
            <w:r>
              <w:t>Behavioral</w:t>
            </w:r>
          </w:p>
        </w:tc>
        <w:tc>
          <w:tcPr>
            <w:tcW w:type="dxa" w:w="2880"/>
          </w:tcPr>
          <w:p>
            <w:r>
              <w:t>assessment_submitted_ratio_6</w:t>
            </w:r>
          </w:p>
        </w:tc>
        <w:tc>
          <w:tcPr>
            <w:tcW w:type="dxa" w:w="2880"/>
          </w:tcPr>
          <w:p>
            <w:r>
              <w:t>Missing early assessments is both predictive and directly actionable for advisors.</w:t>
            </w:r>
          </w:p>
        </w:tc>
      </w:tr>
      <w:tr>
        <w:tc>
          <w:tcPr>
            <w:tcW w:type="dxa" w:w="2880"/>
          </w:tcPr>
          <w:p>
            <w:r>
              <w:t>Behavioral</w:t>
            </w:r>
          </w:p>
        </w:tc>
        <w:tc>
          <w:tcPr>
            <w:tcW w:type="dxa" w:w="2880"/>
          </w:tcPr>
          <w:p>
            <w:r>
              <w:t>weekly_clicks_norm_6</w:t>
            </w:r>
          </w:p>
        </w:tc>
        <w:tc>
          <w:tcPr>
            <w:tcW w:type="dxa" w:w="2880"/>
          </w:tcPr>
          <w:p>
            <w:r>
              <w:t>Advisor-actionable engagement or assessment behavior.</w:t>
            </w:r>
          </w:p>
        </w:tc>
      </w:tr>
    </w:tbl>
    <w:p/>
    <w:p>
      <w:r>
        <w:t>Top driver: assessment completion (withdraw/fail mean 55.9% vs 96.4% for successful students). Advisor alert at balanced urgent threshold 0.38 or high-recall watchlist 0.19 includes risk tier, calibrated probability, engagement trajectory, assessment context, and top drivers.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PathAI Advisor Alert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S-10482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DDD-2014J</w:t>
            </w:r>
          </w:p>
        </w:tc>
      </w:tr>
      <w:tr>
        <w:tc>
          <w:tcPr>
            <w:tcW w:type="dxa" w:w="4320"/>
          </w:tcPr>
          <w:p>
            <w:r>
              <w:t>Risk tier</w:t>
            </w:r>
          </w:p>
        </w:tc>
        <w:tc>
          <w:tcPr>
            <w:tcW w:type="dxa" w:w="4320"/>
          </w:tcPr>
          <w:p>
            <w:r>
              <w:t>Urgent</w:t>
            </w:r>
          </w:p>
        </w:tc>
      </w:tr>
      <w:tr>
        <w:tc>
          <w:tcPr>
            <w:tcW w:type="dxa" w:w="4320"/>
          </w:tcPr>
          <w:p>
            <w:r>
              <w:t>Predicted risk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t>Why flagged</w:t>
            </w:r>
          </w:p>
        </w:tc>
        <w:tc>
          <w:tcPr>
            <w:tcW w:type="dxa" w:w="4320"/>
          </w:tcPr>
          <w:p>
            <w:r>
              <w:t>No VLE activity in 12 days; engagement score dropped from 61 to 34 over two weeks; first assessment due by Week 6 was not submitted.</w:t>
            </w:r>
          </w:p>
        </w:tc>
      </w:tr>
      <w:tr>
        <w:tc>
          <w:tcPr>
            <w:tcW w:type="dxa" w:w="4320"/>
          </w:tcPr>
          <w:p>
            <w:r>
              <w:t>Suggested action</w:t>
            </w:r>
          </w:p>
        </w:tc>
        <w:tc>
          <w:tcPr>
            <w:tcW w:type="dxa" w:w="4320"/>
          </w:tcPr>
          <w:p>
            <w:r>
              <w:t>Send check-in within 48 hours. Ask about workload, access issues, and confidence with course material. Offer academic support session.</w:t>
            </w:r>
          </w:p>
        </w:tc>
      </w:tr>
    </w:tbl>
    <w:p/>
    <w:p>
      <w:pPr>
        <w:pStyle w:val="Heading1"/>
      </w:pPr>
      <w:r>
        <w:t>5. Course Recommendation Engine</w:t>
      </w:r>
    </w:p>
    <w:p>
      <w:r>
        <w:t>Primary user: students planning next semester. Content-based scoring uses demographics, engagement band, and pre-start proactivity history. Collaborative filtering uses cosine similarity with a boost for proactive peers.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Holdout students</w:t>
            </w:r>
          </w:p>
        </w:tc>
        <w:tc>
          <w:tcPr>
            <w:tcW w:type="dxa" w:w="4320"/>
          </w:tcPr>
          <w:p>
            <w:r>
              <w:t>2479</w:t>
            </w:r>
          </w:p>
        </w:tc>
      </w:tr>
      <w:tr>
        <w:tc>
          <w:tcPr>
            <w:tcW w:type="dxa" w:w="4320"/>
          </w:tcPr>
          <w:p>
            <w:r>
              <w:t>Content hit@3</w:t>
            </w:r>
          </w:p>
        </w:tc>
        <w:tc>
          <w:tcPr>
            <w:tcW w:type="dxa" w:w="4320"/>
          </w:tcPr>
          <w:p>
            <w:r>
              <w:t>11.1%</w:t>
            </w:r>
          </w:p>
        </w:tc>
      </w:tr>
      <w:tr>
        <w:tc>
          <w:tcPr>
            <w:tcW w:type="dxa" w:w="4320"/>
          </w:tcPr>
          <w:p>
            <w:r>
              <w:t>CF hit@3</w:t>
            </w:r>
          </w:p>
        </w:tc>
        <w:tc>
          <w:tcPr>
            <w:tcW w:type="dxa" w:w="4320"/>
          </w:tcPr>
          <w:p>
            <w:r>
              <w:t>59.4%</w:t>
            </w:r>
          </w:p>
        </w:tc>
      </w:tr>
      <w:tr>
        <w:tc>
          <w:tcPr>
            <w:tcW w:type="dxa" w:w="4320"/>
          </w:tcPr>
          <w:p>
            <w:r>
              <w:t>Cold start (proactive)</w:t>
            </w:r>
          </w:p>
        </w:tc>
        <w:tc>
          <w:tcPr>
            <w:tcW w:type="dxa" w:w="4320"/>
          </w:tcPr>
          <w:p>
            <w:r>
              <w:t>AAA, EEE, GGG</w:t>
            </w:r>
          </w:p>
        </w:tc>
      </w:tr>
    </w:tbl>
    <w:p/>
    <w:p>
      <w:pPr>
        <w:pStyle w:val="Heading1"/>
      </w:pPr>
      <w:r>
        <w:t>6. Reproducibility</w:t>
      </w:r>
    </w:p>
    <w:p>
      <w:r>
        <w:t>Run: python3 -m venv .venv &amp;&amp; .venv/bin/pip install -r requirements.txt &amp;&amp; .venv/bin/python src/run_pipeline.py. CSV/JSON artifacts go to outputs/; figures and reports to reports/.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