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0909" w:rsidRDefault="00DF3ABA" w:rsidP="0098274A">
      <w:pPr>
        <w:spacing w:line="276" w:lineRule="auto"/>
      </w:pPr>
      <w:r>
        <w:t>Griffin Shelor</w:t>
      </w:r>
    </w:p>
    <w:p w:rsidR="00DF3ABA" w:rsidRDefault="00DF3ABA" w:rsidP="0098274A">
      <w:pPr>
        <w:spacing w:line="276" w:lineRule="auto"/>
      </w:pPr>
      <w:r>
        <w:t>12-12-2024</w:t>
      </w:r>
    </w:p>
    <w:p w:rsidR="00DF3ABA" w:rsidRDefault="00DF3ABA" w:rsidP="0098274A">
      <w:pPr>
        <w:spacing w:line="276" w:lineRule="auto"/>
      </w:pPr>
      <w:r>
        <w:t>GEOG 607</w:t>
      </w:r>
    </w:p>
    <w:p w:rsidR="003F1DD8" w:rsidRDefault="00C27471" w:rsidP="0098274A">
      <w:pPr>
        <w:spacing w:line="276" w:lineRule="auto"/>
        <w:jc w:val="center"/>
      </w:pPr>
      <w:r w:rsidRPr="00C27471">
        <w:t xml:space="preserve">Random Forest Modeling of Peak Snow Water Equivalent (SWE) in Water Year 2010 for the </w:t>
      </w:r>
      <w:r w:rsidR="00E96655">
        <w:t xml:space="preserve">Western </w:t>
      </w:r>
      <w:r w:rsidRPr="00C27471">
        <w:t>Conterminous U.S</w:t>
      </w:r>
      <w:r>
        <w:t>.</w:t>
      </w:r>
    </w:p>
    <w:p w:rsidR="003F731E" w:rsidRDefault="0098274A" w:rsidP="00E23601">
      <w:pPr>
        <w:spacing w:line="276" w:lineRule="auto"/>
      </w:pPr>
      <w:r>
        <w:tab/>
      </w:r>
      <w:r w:rsidR="00AC07D9">
        <w:t xml:space="preserve"> </w:t>
      </w:r>
      <w:r w:rsidR="00E23601" w:rsidRPr="00E23601">
        <w:t>Snowpack is a critical resource, particularly in the mountain west of the United States. It is crucial to properly understand the conditions and fluxes in snowpack in the west due to the region’s reliance on this resource for agriculture, sustaining a growth in residential population, and resource development (Elder et al. 1991). Much of the water fueling these industries and localities originally falls as snow in mountainous regions such as the Sierra Nevada and the Rocky Mountains. However, there is currently a dearth of continuous snow sampling sites at high</w:t>
      </w:r>
      <w:r w:rsidR="004C71C9">
        <w:t>er</w:t>
      </w:r>
      <w:r w:rsidR="00E23601" w:rsidRPr="00E23601">
        <w:t xml:space="preserve"> elevation regions (Molotch and Bales 2006). This lack of sampling due to the difficulty of accessing these areas produces high levels of uncertainty in estimating snow properties at high</w:t>
      </w:r>
      <w:r w:rsidR="00916D97">
        <w:t>er</w:t>
      </w:r>
      <w:r w:rsidR="00E23601" w:rsidRPr="00E23601">
        <w:t xml:space="preserve"> elevations. </w:t>
      </w:r>
      <w:r w:rsidR="003F731E">
        <w:t>Instead</w:t>
      </w:r>
      <w:r w:rsidR="006D095C">
        <w:t>,</w:t>
      </w:r>
      <w:r w:rsidR="003F731E">
        <w:t xml:space="preserve"> many sampling sites are located in areas which are some combination of moderately high elevation and relatively easily accessible, so that scientists can reasonably expect both that snow is likely to be present and that they can visit the site regularly for monitoring and maintenance as needed. </w:t>
      </w:r>
      <w:r w:rsidR="008B522F">
        <w:t>An example of this is the SNOTEL network maintained by USDA Natural Resources Conservation Service (NRCS)</w:t>
      </w:r>
      <w:r w:rsidR="002B027F">
        <w:t xml:space="preserve">. SNOTEL is a network of automated monitoring stations which record daily information on the snowpack and in some cases record additional climate information such as temperature and daily precipitation as well (Fleming 2023). </w:t>
      </w:r>
      <w:r w:rsidR="00576C18">
        <w:t>The SNOTEL network is an important dataset for snow scientists given its long-term record</w:t>
      </w:r>
      <w:r w:rsidR="00333596">
        <w:t xml:space="preserve"> of snowpack information</w:t>
      </w:r>
      <w:r w:rsidR="00576C18">
        <w:t xml:space="preserve"> and widespread spatial extent throughout the western United States</w:t>
      </w:r>
      <w:r w:rsidR="00A02DBF">
        <w:t xml:space="preserve"> which allows scientists to analyze the snowpack conditions across different water years</w:t>
      </w:r>
      <w:r w:rsidR="00576C18">
        <w:t xml:space="preserve"> (Fleming 2023).</w:t>
      </w:r>
      <w:r w:rsidR="00A02DBF">
        <w:t xml:space="preserve"> A water year is defined as beginning on October 1</w:t>
      </w:r>
      <w:r w:rsidR="00A02DBF" w:rsidRPr="00A02DBF">
        <w:rPr>
          <w:vertAlign w:val="superscript"/>
        </w:rPr>
        <w:t>st</w:t>
      </w:r>
      <w:r w:rsidR="00A02DBF">
        <w:t xml:space="preserve"> of a given year and ending on September 30</w:t>
      </w:r>
      <w:r w:rsidR="00A02DBF" w:rsidRPr="00A02DBF">
        <w:rPr>
          <w:vertAlign w:val="superscript"/>
        </w:rPr>
        <w:t>th</w:t>
      </w:r>
      <w:r w:rsidR="00A02DBF">
        <w:t xml:space="preserve"> of the following year, and water years are named after the year in which they end. This is useful for hydrologists who want to ensure that precipitation and streamflow are attributed to the same time period in which it is most impactful and relevant.</w:t>
      </w:r>
    </w:p>
    <w:p w:rsidR="00E23601" w:rsidRDefault="00E23601" w:rsidP="003F731E">
      <w:pPr>
        <w:spacing w:line="276" w:lineRule="auto"/>
        <w:ind w:firstLine="720"/>
      </w:pPr>
      <w:r w:rsidRPr="00E23601">
        <w:t>Snowpack is also considered to be a resource under threat, as climate change and related forces have resulted in decreases in snowpack storage in over 25% of western mountainous watersheds (Hale et al. 2023). However, there is still much uncertainty as to how snowpack will respond to a changing climate (Musselman et al. 2017). S</w:t>
      </w:r>
      <w:r w:rsidR="000B3D34">
        <w:t xml:space="preserve">now Water </w:t>
      </w:r>
      <w:r w:rsidR="00256B19">
        <w:t>Eq</w:t>
      </w:r>
      <w:r w:rsidR="000B3D34">
        <w:t>uivalent (S</w:t>
      </w:r>
      <w:r w:rsidRPr="00E23601">
        <w:t>WE</w:t>
      </w:r>
      <w:r w:rsidR="000B3D34">
        <w:t>)</w:t>
      </w:r>
      <w:r w:rsidRPr="00E23601">
        <w:t xml:space="preserve"> in particular deserves extra focus, given its importance to agriculture and relevance to the water usage by regular citizens. SWE represents the depth of a snowpack i</w:t>
      </w:r>
      <w:r w:rsidR="00246E7C">
        <w:t>f</w:t>
      </w:r>
      <w:r w:rsidRPr="00E23601">
        <w:t xml:space="preserve"> the entire mass of snow were to melt and is commonly measured in millimeters or inches, though this can be interpreted as liters per square meter (Fierz et al. 2009). Though it falls as snow, its impact as spring and summer flow in rivers, streams, and reservoirs is felt throughout entire regions as it affects water that is available for irrigation (Qin et al. 2020). The snowpack also provides valuable reinforcement to streamflow for fisheries as well as fueling the growth of forage cover </w:t>
      </w:r>
      <w:r w:rsidRPr="00E23601">
        <w:lastRenderedPageBreak/>
        <w:t>for ranchers and wildlife (Siirila-Woodburn et al. 2021). The western U.S. is particularly dependent on this melting process and the continuous, reliable availability of melted snowpack during the growing season (Qin et al. 2020). This is why it is vital that our snow sampling sites accurately and representatively scale to larger regions of interest. Representativeness is crucial to the field of snow hydrology because a representative collection of snow sampling sites can help snow scientists properly tease out the relationships and interconnections between climate variables, topographical indices, remote sensing indices, and the properties of the snow cover classes that form the basis of how snow is sampled and analyzed in the modern era</w:t>
      </w:r>
      <w:r w:rsidR="00C768F8">
        <w:t xml:space="preserve"> (Heldmyer et al. 2021)</w:t>
      </w:r>
      <w:r w:rsidRPr="00E23601">
        <w:t>.</w:t>
      </w:r>
      <w:r w:rsidR="00FA6056">
        <w:t xml:space="preserve"> </w:t>
      </w:r>
      <w:r w:rsidRPr="00E23601">
        <w:t xml:space="preserve">The ability to accurately model a variable such as SWE is valuable as it allows hydrologists, water resource managers, and policymakers to have a better understanding of how much water will be available as melt onset occurs (Musselman et al. 2021). The hydrological models </w:t>
      </w:r>
      <w:r w:rsidR="00E0749E">
        <w:t>supported by a comprehensive understanding of SWE in a watershed</w:t>
      </w:r>
      <w:r w:rsidRPr="00E23601">
        <w:t xml:space="preserve"> serve many purposes, from informing resource allocation to flood monitoring and prevention (Egli et al. 2009).</w:t>
      </w:r>
    </w:p>
    <w:p w:rsidR="00A70A46" w:rsidRDefault="00A70A46" w:rsidP="003F731E">
      <w:pPr>
        <w:spacing w:line="276" w:lineRule="auto"/>
        <w:ind w:firstLine="720"/>
      </w:pPr>
      <w:r>
        <w:t xml:space="preserve">Due to the importance of this resource, it is of vital importance that we are able to model it as accurately as possible over space, something which is rather complex when modeling over the complex topography a significant portion of the snowpack falls onto (López-Moreno et al. 2013). </w:t>
      </w:r>
      <w:r w:rsidR="00076D74">
        <w:t xml:space="preserve">Geostatistical methods have been applied </w:t>
      </w:r>
      <w:r w:rsidR="00A427EB">
        <w:t>to successfully model snow variables before, but these methods typically rely on some underlying, spatially dependent pattern</w:t>
      </w:r>
      <w:r w:rsidR="00E96655">
        <w:t xml:space="preserve"> and have mostly been applied at a local</w:t>
      </w:r>
      <w:r w:rsidR="00346BA4">
        <w:t xml:space="preserve"> or watershed scale as opposed to modeling over an entire region as large as the western conterminous United States</w:t>
      </w:r>
      <w:r w:rsidR="00A427EB">
        <w:t xml:space="preserve"> (Balk and Elder 2000)</w:t>
      </w:r>
      <w:r w:rsidR="00E96655">
        <w:t>.</w:t>
      </w:r>
      <w:r w:rsidR="00C768F8">
        <w:t xml:space="preserve"> More recently, binary regression trees and </w:t>
      </w:r>
      <w:r w:rsidR="007B3974">
        <w:t xml:space="preserve">other </w:t>
      </w:r>
      <w:r w:rsidR="00A341F8">
        <w:t>regression</w:t>
      </w:r>
      <w:r w:rsidR="00B60E1E">
        <w:t>-based</w:t>
      </w:r>
      <w:r w:rsidR="00A341F8">
        <w:t xml:space="preserve"> </w:t>
      </w:r>
      <w:r w:rsidR="007B3974">
        <w:t>methods have been applied to model snow water equivalent (Molotch et al. 2005</w:t>
      </w:r>
      <w:r w:rsidR="0068663E">
        <w:t xml:space="preserve">, Margulis et al. 2015). </w:t>
      </w:r>
      <w:r w:rsidR="009953D2">
        <w:t xml:space="preserve">For this project, I will take the binary regression trees method and build on that methodology in an attempt to create robust predictions of peak SWE for the water year 2010 </w:t>
      </w:r>
      <w:r w:rsidR="00D425AC">
        <w:t xml:space="preserve">across the conterminous western United States </w:t>
      </w:r>
      <w:r w:rsidR="009953D2">
        <w:t>using a Random Forest model.</w:t>
      </w:r>
      <w:r w:rsidR="00461289">
        <w:br/>
      </w:r>
      <w:r w:rsidR="00461289">
        <w:tab/>
        <w:t xml:space="preserve">To model peak SWE across such a large region, I assembled a dataset of 555 SNOTEL stations which successfully recorded SWE data across water year 2010, and identified the maximum SWE value using the R package </w:t>
      </w:r>
      <w:r w:rsidR="00461289" w:rsidRPr="009C1858">
        <w:rPr>
          <w:i/>
          <w:iCs/>
        </w:rPr>
        <w:t>snotelr</w:t>
      </w:r>
      <w:r w:rsidR="00461289">
        <w:t xml:space="preserve"> (Hufkens 2022).</w:t>
      </w:r>
      <w:r w:rsidR="006C507E">
        <w:t xml:space="preserve"> Due to gaps in some of the climate variables associated with these SNOTEL stations as well as the need for a continuous raster grid to predict across, I downloaded </w:t>
      </w:r>
      <w:r w:rsidR="00B5505A">
        <w:t xml:space="preserve">daily </w:t>
      </w:r>
      <w:r w:rsidR="006C507E">
        <w:t>precipitation, minimum and maximum temperature, and solar radiation data from the Daymet dataset produced by Oak Ridge National Lab (Thornton et al. 2022)</w:t>
      </w:r>
      <w:r w:rsidR="00B5505A">
        <w:t xml:space="preserve">. Minimum and maximum temperature data was then averaged to create daily mean temperature data. All Daymet variables were then aggregated by month. For mean temperature and precipitation, I generated Cooling Degree Month (CDM) values. For mean temperature, a CDM value is calculated based on whether a given raster cell value is below 10 degrees Celsius. If it is, then the CDM value is the original mean temperature value subtracted from 10. If it is not, then the CDM value is 0. </w:t>
      </w:r>
      <w:r w:rsidR="00D05C91">
        <w:t xml:space="preserve">For precipitation, the CDM value is the </w:t>
      </w:r>
      <w:r w:rsidR="00D05C91">
        <w:lastRenderedPageBreak/>
        <w:t>same as the original raster cell value if the mean temperature value is below 10 degrees Celsius and otherwise it is set to 0</w:t>
      </w:r>
      <w:r w:rsidR="003C0305">
        <w:t>. This process for calculating CDM values follows the methodology laid out for defining snow cover classes in Sturm and Liston (2021)</w:t>
      </w:r>
      <w:r w:rsidR="00B9302B">
        <w:t>. Additionally, I took the average and summed CDM values for both mean temperature and precipitation monthly sums from October to May of water year 2010</w:t>
      </w:r>
      <w:r w:rsidR="00D029B6">
        <w:t xml:space="preserve"> in order to derive a covariate which best reflected conditions during the typical snow season</w:t>
      </w:r>
      <w:r w:rsidR="006C507E">
        <w:t xml:space="preserve">. </w:t>
      </w:r>
      <w:r w:rsidR="009C1858">
        <w:t xml:space="preserve">Elevation data was taken from the Shuttle Radar Topography Mission (SRTM) and used to derive slope and aspect as well using the </w:t>
      </w:r>
      <w:r w:rsidR="009C1858" w:rsidRPr="009C1858">
        <w:rPr>
          <w:i/>
          <w:iCs/>
        </w:rPr>
        <w:t>terra</w:t>
      </w:r>
      <w:r w:rsidR="009C1858">
        <w:t xml:space="preserve"> package in R.</w:t>
      </w:r>
      <w:r w:rsidR="00461289">
        <w:t xml:space="preserve"> </w:t>
      </w:r>
      <w:r w:rsidR="00B66F4A">
        <w:t xml:space="preserve">To maximize </w:t>
      </w:r>
      <w:r w:rsidR="009120C9">
        <w:t>computational</w:t>
      </w:r>
      <w:r w:rsidR="009C7F0E">
        <w:t xml:space="preserve"> efficiency</w:t>
      </w:r>
      <w:r w:rsidR="00B66F4A">
        <w:t xml:space="preserve"> and minimize issues with file storage</w:t>
      </w:r>
      <w:r w:rsidR="009120C9">
        <w:t>, all raster data was resampled to 300 meter resolution</w:t>
      </w:r>
      <w:r w:rsidR="009C7F0E">
        <w:t>.</w:t>
      </w:r>
    </w:p>
    <w:p w:rsidR="002A2375" w:rsidRDefault="00993D41" w:rsidP="003F731E">
      <w:pPr>
        <w:spacing w:line="276" w:lineRule="auto"/>
        <w:ind w:firstLine="720"/>
      </w:pPr>
      <w:r>
        <w:rPr>
          <w:noProof/>
        </w:rPr>
        <w:drawing>
          <wp:anchor distT="0" distB="0" distL="114300" distR="114300" simplePos="0" relativeHeight="251658240" behindDoc="1" locked="0" layoutInCell="1" allowOverlap="1">
            <wp:simplePos x="0" y="0"/>
            <wp:positionH relativeFrom="column">
              <wp:posOffset>3404235</wp:posOffset>
            </wp:positionH>
            <wp:positionV relativeFrom="paragraph">
              <wp:posOffset>1060450</wp:posOffset>
            </wp:positionV>
            <wp:extent cx="2372995" cy="1930400"/>
            <wp:effectExtent l="0" t="0" r="1905" b="0"/>
            <wp:wrapTight wrapText="bothSides">
              <wp:wrapPolygon edited="0">
                <wp:start x="0" y="0"/>
                <wp:lineTo x="0" y="21458"/>
                <wp:lineTo x="21502" y="21458"/>
                <wp:lineTo x="21502" y="0"/>
                <wp:lineTo x="0" y="0"/>
              </wp:wrapPolygon>
            </wp:wrapTight>
            <wp:docPr id="10138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8829" name="Picture 101388829"/>
                    <pic:cNvPicPr/>
                  </pic:nvPicPr>
                  <pic:blipFill rotWithShape="1">
                    <a:blip r:embed="rId5">
                      <a:extLst>
                        <a:ext uri="{28A0092B-C50C-407E-A947-70E740481C1C}">
                          <a14:useLocalDpi xmlns:a14="http://schemas.microsoft.com/office/drawing/2010/main" val="0"/>
                        </a:ext>
                      </a:extLst>
                    </a:blip>
                    <a:srcRect l="19917" r="17777"/>
                    <a:stretch/>
                  </pic:blipFill>
                  <pic:spPr bwMode="auto">
                    <a:xfrm>
                      <a:off x="0" y="0"/>
                      <a:ext cx="237299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2938">
        <w:t xml:space="preserve">Once I had all of the relevant data collected, I tested my peak SWE values for </w:t>
      </w:r>
      <w:r w:rsidR="00A51087">
        <w:t xml:space="preserve">Global and Local </w:t>
      </w:r>
      <w:r w:rsidR="00392938">
        <w:t>spatial autocorrelation in GeoDa</w:t>
      </w:r>
      <w:r w:rsidR="00A51087">
        <w:t xml:space="preserve"> (Anselin et al. 2006). </w:t>
      </w:r>
      <w:r w:rsidR="003D5863">
        <w:t>Using a variety of weighting schemes including K-nearest neighbors with neighbor counts ranging from 1 to 8 as well as minimum distance band weighting both with and without IDW powers ranging from 1-3, I found that my SWE data did not exhibit spatial autocorrelation</w:t>
      </w:r>
      <w:r w:rsidR="00F342A8">
        <w:t xml:space="preserve"> (p-value &gt; 0.2). An example Moran’s I plot from one of these tests</w:t>
      </w:r>
      <w:r w:rsidR="00D0293B">
        <w:t xml:space="preserve"> can be seen in Figure 1</w:t>
      </w:r>
      <w:r w:rsidR="00F342A8">
        <w:t>.</w:t>
      </w:r>
    </w:p>
    <w:p w:rsidR="00BD1CAC" w:rsidRDefault="00993D41" w:rsidP="00BD1CAC">
      <w:pPr>
        <w:spacing w:line="276" w:lineRule="auto"/>
        <w:ind w:firstLine="720"/>
      </w:pPr>
      <w:r>
        <w:rPr>
          <w:noProof/>
        </w:rPr>
        <mc:AlternateContent>
          <mc:Choice Requires="wps">
            <w:drawing>
              <wp:anchor distT="0" distB="0" distL="114300" distR="114300" simplePos="0" relativeHeight="251660288" behindDoc="1" locked="0" layoutInCell="1" allowOverlap="1" wp14:anchorId="099E0D12" wp14:editId="0F681713">
                <wp:simplePos x="0" y="0"/>
                <wp:positionH relativeFrom="column">
                  <wp:posOffset>3647440</wp:posOffset>
                </wp:positionH>
                <wp:positionV relativeFrom="paragraph">
                  <wp:posOffset>1707460</wp:posOffset>
                </wp:positionV>
                <wp:extent cx="2282190" cy="635"/>
                <wp:effectExtent l="0" t="0" r="3810" b="635"/>
                <wp:wrapTight wrapText="bothSides">
                  <wp:wrapPolygon edited="0">
                    <wp:start x="0" y="0"/>
                    <wp:lineTo x="0" y="21220"/>
                    <wp:lineTo x="21516" y="21220"/>
                    <wp:lineTo x="21516" y="0"/>
                    <wp:lineTo x="0" y="0"/>
                  </wp:wrapPolygon>
                </wp:wrapTight>
                <wp:docPr id="564520146" name="Text Box 1"/>
                <wp:cNvGraphicFramePr/>
                <a:graphic xmlns:a="http://schemas.openxmlformats.org/drawingml/2006/main">
                  <a:graphicData uri="http://schemas.microsoft.com/office/word/2010/wordprocessingShape">
                    <wps:wsp>
                      <wps:cNvSpPr txBox="1"/>
                      <wps:spPr>
                        <a:xfrm>
                          <a:off x="0" y="0"/>
                          <a:ext cx="2282190" cy="635"/>
                        </a:xfrm>
                        <a:prstGeom prst="rect">
                          <a:avLst/>
                        </a:prstGeom>
                        <a:solidFill>
                          <a:prstClr val="white"/>
                        </a:solidFill>
                        <a:ln>
                          <a:noFill/>
                        </a:ln>
                      </wps:spPr>
                      <wps:txbx>
                        <w:txbxContent>
                          <w:p w:rsidR="00993D41" w:rsidRPr="001B5B33" w:rsidRDefault="00993D41" w:rsidP="00993D41">
                            <w:pPr>
                              <w:pStyle w:val="Caption"/>
                              <w:rPr>
                                <w:noProof/>
                              </w:rPr>
                            </w:pPr>
                            <w:r>
                              <w:t xml:space="preserve">Figure </w:t>
                            </w:r>
                            <w:fldSimple w:instr=" SEQ Figure \* ARABIC ">
                              <w:r w:rsidR="004518CC">
                                <w:rPr>
                                  <w:noProof/>
                                </w:rPr>
                                <w:t>1</w:t>
                              </w:r>
                            </w:fldSimple>
                            <w:r>
                              <w:t>: A Moran's I plot output from GeoDa indicating no spatial autocorrelation. Weighting scheme used was minimum distance band with an IDW power of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99E0D12" id="_x0000_t202" coordsize="21600,21600" o:spt="202" path="m,l,21600r21600,l21600,xe">
                <v:stroke joinstyle="miter"/>
                <v:path gradientshapeok="t" o:connecttype="rect"/>
              </v:shapetype>
              <v:shape id="Text Box 1" o:spid="_x0000_s1026" type="#_x0000_t202" style="position:absolute;left:0;text-align:left;margin-left:287.2pt;margin-top:134.45pt;width:179.7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" stroked="f">
                <v:textbox style="mso-fit-shape-to-text:t" inset="0,0,0,0">
                  <w:txbxContent>
                    <w:p w:rsidR="00993D41" w:rsidRPr="001B5B33" w:rsidRDefault="00993D41" w:rsidP="00993D41">
                      <w:pPr>
                        <w:pStyle w:val="Caption"/>
                        <w:rPr>
                          <w:noProof/>
                        </w:rPr>
                      </w:pPr>
                      <w:r>
                        <w:t xml:space="preserve">Figure </w:t>
                      </w:r>
                      <w:fldSimple w:instr=" SEQ Figure \* ARABIC ">
                        <w:r w:rsidR="004518CC">
                          <w:rPr>
                            <w:noProof/>
                          </w:rPr>
                          <w:t>1</w:t>
                        </w:r>
                      </w:fldSimple>
                      <w:r>
                        <w:t>: A Moran's I plot output from GeoDa indicating no spatial autocorrelation. Weighting scheme used was minimum distance band with an IDW power of 2</w:t>
                      </w:r>
                    </w:p>
                  </w:txbxContent>
                </v:textbox>
                <w10:wrap type="tight"/>
              </v:shape>
            </w:pict>
          </mc:Fallback>
        </mc:AlternateContent>
      </w:r>
      <w:r w:rsidR="002A2375">
        <w:t xml:space="preserve">Given that no spatial autocorrelation was present in my target variable, I adjusted my original intention to model peak SWE with universal kriging and instead used Random Forest modeling to predict peak SWE across my study area. Random Forest is a machine learning method which can be applied to either regression or classification (Breiman 2001). It constructs “forests” of decision trees in which each tree is built using a different random subset of the training dataset, and different variables are tested at each split (Figure 2). </w:t>
      </w:r>
      <w:r w:rsidR="009C3DAB">
        <w:t>The final prediction is then taken as an average across each of the trees in the “forest”. This helps to reduce bias and overfitting to the training dataset, though it can be computationally intensive (Breiman 2001).</w:t>
      </w:r>
    </w:p>
    <w:p w:rsidR="00BD1CAC" w:rsidRDefault="00B51E04" w:rsidP="00BD1CAC">
      <w:pPr>
        <w:spacing w:line="276" w:lineRule="auto"/>
        <w:ind w:firstLine="720"/>
      </w:pPr>
      <w:r>
        <w:t xml:space="preserve">When evaluating possible covariates for my Random Forest model, I used a 75% training/testing split in order to evaluate model fit before advancing to making spatial predictions. </w:t>
      </w:r>
      <w:r w:rsidR="00F24563">
        <w:t xml:space="preserve">Covariate combinations were evaluated based on how they affected the root mean square error (RMSE) when the model was applied to the test data split. </w:t>
      </w:r>
      <w:r w:rsidR="009F401F">
        <w:t xml:space="preserve">Once optimal </w:t>
      </w:r>
      <w:r w:rsidR="008068D5">
        <w:t xml:space="preserve">model inputs </w:t>
      </w:r>
      <w:r w:rsidR="009F401F">
        <w:t>were identified</w:t>
      </w:r>
      <w:r w:rsidR="008068D5">
        <w:t>, I used the chosen covariates to predict both SWE as well as logged SWE values to identify what target variable helped produce a more informative map</w:t>
      </w:r>
      <w:r w:rsidR="001E3B07">
        <w:t>.</w:t>
      </w:r>
    </w:p>
    <w:p w:rsidR="00912D0A" w:rsidRDefault="0041373E" w:rsidP="005A3D44">
      <w:pPr>
        <w:spacing w:line="276" w:lineRule="auto"/>
        <w:ind w:firstLine="720"/>
      </w:pPr>
      <w:r>
        <w:t xml:space="preserve">Most variable combinations had a relatively negligible effect on the test RMSE (∆RMSE ≤ 2). However, the final covariates included mean temperature CDM sums, summed precipitation CDM sums, incoming solar radiation mean (Oct-May), minimum temperature mean (Oct-May), </w:t>
      </w:r>
      <w:r w:rsidR="00993D41">
        <w:rPr>
          <w:noProof/>
        </w:rPr>
        <w:lastRenderedPageBreak/>
        <mc:AlternateContent>
          <mc:Choice Requires="wps">
            <w:drawing>
              <wp:anchor distT="0" distB="0" distL="114300" distR="114300" simplePos="0" relativeHeight="251663360" behindDoc="1" locked="0" layoutInCell="1" allowOverlap="1" wp14:anchorId="62C696B7" wp14:editId="7790C451">
                <wp:simplePos x="0" y="0"/>
                <wp:positionH relativeFrom="column">
                  <wp:posOffset>-457200</wp:posOffset>
                </wp:positionH>
                <wp:positionV relativeFrom="paragraph">
                  <wp:posOffset>1934210</wp:posOffset>
                </wp:positionV>
                <wp:extent cx="3336925" cy="635"/>
                <wp:effectExtent l="0" t="0" r="3175" b="12065"/>
                <wp:wrapTight wrapText="bothSides">
                  <wp:wrapPolygon edited="0">
                    <wp:start x="0" y="0"/>
                    <wp:lineTo x="0" y="0"/>
                    <wp:lineTo x="21538" y="0"/>
                    <wp:lineTo x="21538" y="0"/>
                    <wp:lineTo x="0" y="0"/>
                  </wp:wrapPolygon>
                </wp:wrapTight>
                <wp:docPr id="281172904" name="Text Box 1"/>
                <wp:cNvGraphicFramePr/>
                <a:graphic xmlns:a="http://schemas.openxmlformats.org/drawingml/2006/main">
                  <a:graphicData uri="http://schemas.microsoft.com/office/word/2010/wordprocessingShape">
                    <wps:wsp>
                      <wps:cNvSpPr txBox="1"/>
                      <wps:spPr>
                        <a:xfrm>
                          <a:off x="0" y="0"/>
                          <a:ext cx="3336925" cy="635"/>
                        </a:xfrm>
                        <a:prstGeom prst="rect">
                          <a:avLst/>
                        </a:prstGeom>
                        <a:solidFill>
                          <a:prstClr val="white"/>
                        </a:solidFill>
                        <a:ln>
                          <a:noFill/>
                        </a:ln>
                      </wps:spPr>
                      <wps:txbx>
                        <w:txbxContent>
                          <w:p w:rsidR="00993D41" w:rsidRPr="00110BDF" w:rsidRDefault="00993D41" w:rsidP="00993D41">
                            <w:pPr>
                              <w:pStyle w:val="Caption"/>
                            </w:pPr>
                            <w:r>
                              <w:t xml:space="preserve">Figure </w:t>
                            </w:r>
                            <w:fldSimple w:instr=" SEQ Figure \* ARABIC ">
                              <w:r w:rsidR="004518CC">
                                <w:rPr>
                                  <w:noProof/>
                                </w:rPr>
                                <w:t>2</w:t>
                              </w:r>
                            </w:fldSimple>
                            <w:r>
                              <w:t>:</w:t>
                            </w:r>
                            <w:r w:rsidRPr="00EB38B4">
                              <w:t xml:space="preserve"> A depiction of decision trees in a Random Forest model with the final prediction of each individual tree being averaged to create the "final result". Image from https://www.ibm.com/topics/random-forest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696B7" id="_x0000_s1027" type="#_x0000_t202" style="position:absolute;left:0;text-align:left;margin-left:-36pt;margin-top:152.3pt;width:262.7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" stroked="f">
                <v:textbox style="mso-fit-shape-to-text:t" inset="0,0,0,0">
                  <w:txbxContent>
                    <w:p w:rsidR="00993D41" w:rsidRPr="00110BDF" w:rsidRDefault="00993D41" w:rsidP="00993D41">
                      <w:pPr>
                        <w:pStyle w:val="Caption"/>
                      </w:pPr>
                      <w:r>
                        <w:t xml:space="preserve">Figure </w:t>
                      </w:r>
                      <w:fldSimple w:instr=" SEQ Figure \* ARABIC ">
                        <w:r w:rsidR="004518CC">
                          <w:rPr>
                            <w:noProof/>
                          </w:rPr>
                          <w:t>2</w:t>
                        </w:r>
                      </w:fldSimple>
                      <w:r>
                        <w:t>:</w:t>
                      </w:r>
                      <w:r w:rsidRPr="00EB38B4">
                        <w:t xml:space="preserve"> A depiction of decision trees in a Random Forest model with the final prediction of each individual tree being averaged to create the "final result". Image from https://www.ibm.com/topics/random-forest</w:t>
                      </w:r>
                    </w:p>
                  </w:txbxContent>
                </v:textbox>
                <w10:wrap type="tight"/>
              </v:shape>
            </w:pict>
          </mc:Fallback>
        </mc:AlternateContent>
      </w:r>
      <w:r w:rsidR="00993D41">
        <w:rPr>
          <w:noProof/>
        </w:rPr>
        <w:drawing>
          <wp:anchor distT="0" distB="0" distL="114300" distR="114300" simplePos="0" relativeHeight="251661312" behindDoc="1" locked="0" layoutInCell="1" allowOverlap="1">
            <wp:simplePos x="0" y="0"/>
            <wp:positionH relativeFrom="column">
              <wp:posOffset>-457200</wp:posOffset>
            </wp:positionH>
            <wp:positionV relativeFrom="paragraph">
              <wp:posOffset>203</wp:posOffset>
            </wp:positionV>
            <wp:extent cx="3336925" cy="1877060"/>
            <wp:effectExtent l="0" t="0" r="0" b="0"/>
            <wp:wrapTight wrapText="bothSides">
              <wp:wrapPolygon edited="1">
                <wp:start x="10523" y="146"/>
                <wp:lineTo x="9372" y="731"/>
                <wp:lineTo x="362" y="-615"/>
                <wp:lineTo x="818" y="4555"/>
                <wp:lineTo x="2220" y="6576"/>
                <wp:lineTo x="2055" y="7015"/>
                <wp:lineTo x="2055" y="7599"/>
                <wp:lineTo x="762" y="8673"/>
                <wp:lineTo x="0" y="10410"/>
                <wp:lineTo x="-637" y="12242"/>
                <wp:lineTo x="904" y="14468"/>
                <wp:lineTo x="-481" y="14459"/>
                <wp:lineTo x="0" y="28553"/>
                <wp:lineTo x="6434" y="28553"/>
                <wp:lineTo x="7995" y="28553"/>
                <wp:lineTo x="8862" y="28553"/>
                <wp:lineTo x="12468" y="28553"/>
                <wp:lineTo x="14236" y="28553"/>
                <wp:lineTo x="16692" y="28553"/>
                <wp:lineTo x="15537" y="16806"/>
                <wp:lineTo x="21264" y="28553"/>
                <wp:lineTo x="20634" y="14468"/>
                <wp:lineTo x="20141" y="12276"/>
                <wp:lineTo x="20141" y="10522"/>
                <wp:lineTo x="19894" y="9792"/>
                <wp:lineTo x="19483" y="7307"/>
                <wp:lineTo x="20370" y="5792"/>
                <wp:lineTo x="20134" y="3548"/>
                <wp:lineTo x="20421" y="0"/>
                <wp:lineTo x="11016" y="146"/>
                <wp:lineTo x="10523" y="146"/>
              </wp:wrapPolygon>
            </wp:wrapTight>
            <wp:docPr id="1262204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04304" name="Picture 12622043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36925" cy="1877060"/>
                    </a:xfrm>
                    <a:prstGeom prst="rect">
                      <a:avLst/>
                    </a:prstGeom>
                  </pic:spPr>
                </pic:pic>
              </a:graphicData>
            </a:graphic>
            <wp14:sizeRelH relativeFrom="page">
              <wp14:pctWidth>0</wp14:pctWidth>
            </wp14:sizeRelH>
            <wp14:sizeRelV relativeFrom="page">
              <wp14:pctHeight>0</wp14:pctHeight>
            </wp14:sizeRelV>
          </wp:anchor>
        </w:drawing>
      </w:r>
      <w:r>
        <w:t>max temperature mean (Oct-May), elevation, and slope.</w:t>
      </w:r>
      <w:r w:rsidR="00DF1EED">
        <w:t xml:space="preserve"> The test RMSE when predicting unadjusted SWE was 262.518 and the test RMSE when predicting logged SWE was 272.0743 after re-exponentiating the predicted log values. </w:t>
      </w:r>
      <w:r w:rsidR="001743C7">
        <w:t xml:space="preserve">Given that predicting logged SWE resulted in a lower maximum predicted value, the higher test RMSE when predicting logged SWE can </w:t>
      </w:r>
      <w:r w:rsidR="00F2167E">
        <w:t xml:space="preserve">potentially </w:t>
      </w:r>
      <w:r w:rsidR="001743C7">
        <w:t>be attributed to bigger gaps between outlier high SWE values and the maximum predicted value from the log-based Random Forest model</w:t>
      </w:r>
      <w:r w:rsidR="005A3D44">
        <w:t xml:space="preserve">. </w:t>
      </w:r>
      <w:r w:rsidR="00912D0A">
        <w:t>However, when predicting unadjusted SWE, an obvious flaw in the model became apparent as hundreds of millimeters of peak SWE were predicted in locations which notoriously are quite hot and dry</w:t>
      </w:r>
      <w:r w:rsidR="00615EE0">
        <w:t>, sometimes</w:t>
      </w:r>
      <w:r w:rsidR="00912D0A">
        <w:t xml:space="preserve"> even in the snow season portion of a water year</w:t>
      </w:r>
      <w:r w:rsidR="00DA40FA">
        <w:t xml:space="preserve"> (Figure 3)</w:t>
      </w:r>
      <w:r w:rsidR="00912D0A">
        <w:t xml:space="preserve">. </w:t>
      </w:r>
      <w:r w:rsidR="00B823EA">
        <w:t xml:space="preserve">Predicting the logged values also had this same effect, </w:t>
      </w:r>
      <w:r w:rsidR="002C6986">
        <w:rPr>
          <w:noProof/>
        </w:rPr>
        <w:drawing>
          <wp:anchor distT="0" distB="0" distL="114300" distR="114300" simplePos="0" relativeHeight="251664384" behindDoc="1" locked="0" layoutInCell="1" allowOverlap="1">
            <wp:simplePos x="0" y="0"/>
            <wp:positionH relativeFrom="column">
              <wp:posOffset>1575435</wp:posOffset>
            </wp:positionH>
            <wp:positionV relativeFrom="paragraph">
              <wp:posOffset>3355340</wp:posOffset>
            </wp:positionV>
            <wp:extent cx="4834255" cy="4532630"/>
            <wp:effectExtent l="0" t="0" r="4445" b="1270"/>
            <wp:wrapTight wrapText="bothSides">
              <wp:wrapPolygon edited="0">
                <wp:start x="0" y="0"/>
                <wp:lineTo x="0" y="21546"/>
                <wp:lineTo x="21563" y="21546"/>
                <wp:lineTo x="21563" y="0"/>
                <wp:lineTo x="0" y="0"/>
              </wp:wrapPolygon>
            </wp:wrapTight>
            <wp:docPr id="551744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44568" name="Picture 551744568"/>
                    <pic:cNvPicPr/>
                  </pic:nvPicPr>
                  <pic:blipFill rotWithShape="1">
                    <a:blip r:embed="rId7" cstate="print">
                      <a:extLst>
                        <a:ext uri="{28A0092B-C50C-407E-A947-70E740481C1C}">
                          <a14:useLocalDpi xmlns:a14="http://schemas.microsoft.com/office/drawing/2010/main" val="0"/>
                        </a:ext>
                      </a:extLst>
                    </a:blip>
                    <a:srcRect t="6238"/>
                    <a:stretch/>
                  </pic:blipFill>
                  <pic:spPr bwMode="auto">
                    <a:xfrm>
                      <a:off x="0" y="0"/>
                      <a:ext cx="4834255" cy="4532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6986">
        <w:rPr>
          <w:noProof/>
        </w:rPr>
        <mc:AlternateContent>
          <mc:Choice Requires="wps">
            <w:drawing>
              <wp:anchor distT="0" distB="0" distL="114300" distR="114300" simplePos="0" relativeHeight="251666432" behindDoc="1" locked="0" layoutInCell="1" allowOverlap="1" wp14:anchorId="47A564B0" wp14:editId="2F149139">
                <wp:simplePos x="0" y="0"/>
                <wp:positionH relativeFrom="column">
                  <wp:posOffset>1575435</wp:posOffset>
                </wp:positionH>
                <wp:positionV relativeFrom="paragraph">
                  <wp:posOffset>8000365</wp:posOffset>
                </wp:positionV>
                <wp:extent cx="4834255" cy="635"/>
                <wp:effectExtent l="0" t="0" r="4445" b="12065"/>
                <wp:wrapTight wrapText="bothSides">
                  <wp:wrapPolygon edited="0">
                    <wp:start x="0" y="0"/>
                    <wp:lineTo x="0" y="0"/>
                    <wp:lineTo x="21563" y="0"/>
                    <wp:lineTo x="21563" y="0"/>
                    <wp:lineTo x="0" y="0"/>
                  </wp:wrapPolygon>
                </wp:wrapTight>
                <wp:docPr id="1958235599" name="Text Box 1"/>
                <wp:cNvGraphicFramePr/>
                <a:graphic xmlns:a="http://schemas.openxmlformats.org/drawingml/2006/main">
                  <a:graphicData uri="http://schemas.microsoft.com/office/word/2010/wordprocessingShape">
                    <wps:wsp>
                      <wps:cNvSpPr txBox="1"/>
                      <wps:spPr>
                        <a:xfrm>
                          <a:off x="0" y="0"/>
                          <a:ext cx="4834255" cy="635"/>
                        </a:xfrm>
                        <a:prstGeom prst="rect">
                          <a:avLst/>
                        </a:prstGeom>
                        <a:solidFill>
                          <a:prstClr val="white"/>
                        </a:solidFill>
                        <a:ln>
                          <a:noFill/>
                        </a:ln>
                      </wps:spPr>
                      <wps:txbx>
                        <w:txbxContent>
                          <w:p w:rsidR="002C6986" w:rsidRPr="00654EED" w:rsidRDefault="002C6986" w:rsidP="002C6986">
                            <w:pPr>
                              <w:pStyle w:val="Caption"/>
                            </w:pPr>
                            <w:r>
                              <w:t xml:space="preserve">Figure </w:t>
                            </w:r>
                            <w:fldSimple w:instr=" SEQ Figure \* ARABIC ">
                              <w:r w:rsidR="004518CC">
                                <w:rPr>
                                  <w:noProof/>
                                </w:rPr>
                                <w:t>3</w:t>
                              </w:r>
                            </w:fldSimple>
                            <w:r>
                              <w:t>: The predicted output from a Random Forest model predicting raw SWE for Water Year 2010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A564B0" id="_x0000_s1028" type="#_x0000_t202" style="position:absolute;left:0;text-align:left;margin-left:124.05pt;margin-top:629.95pt;width:380.6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" stroked="f">
                <v:textbox style="mso-fit-shape-to-text:t" inset="0,0,0,0">
                  <w:txbxContent>
                    <w:p w:rsidR="002C6986" w:rsidRPr="00654EED" w:rsidRDefault="002C6986" w:rsidP="002C6986">
                      <w:pPr>
                        <w:pStyle w:val="Caption"/>
                      </w:pPr>
                      <w:r>
                        <w:t xml:space="preserve">Figure </w:t>
                      </w:r>
                      <w:fldSimple w:instr=" SEQ Figure \* ARABIC ">
                        <w:r w:rsidR="004518CC">
                          <w:rPr>
                            <w:noProof/>
                          </w:rPr>
                          <w:t>3</w:t>
                        </w:r>
                      </w:fldSimple>
                      <w:r>
                        <w:t>: The predicted output from a Random Forest model predicting raw SWE for Water Year 2010</w:t>
                      </w:r>
                    </w:p>
                  </w:txbxContent>
                </v:textbox>
                <w10:wrap type="tight"/>
              </v:shape>
            </w:pict>
          </mc:Fallback>
        </mc:AlternateContent>
      </w:r>
      <w:r w:rsidR="00B823EA">
        <w:t>but to a lesser degree</w:t>
      </w:r>
      <w:r w:rsidR="00DA40FA">
        <w:t xml:space="preserve"> (Figure 4)</w:t>
      </w:r>
      <w:r w:rsidR="00B823EA">
        <w:t>.</w:t>
      </w:r>
    </w:p>
    <w:p w:rsidR="002C6986" w:rsidRDefault="00F82D54" w:rsidP="002C6986">
      <w:pPr>
        <w:keepNext/>
        <w:spacing w:line="276" w:lineRule="auto"/>
        <w:ind w:firstLine="720"/>
      </w:pPr>
      <w:r>
        <w:t>In conclusion, w</w:t>
      </w:r>
      <w:r w:rsidR="00C00AB3">
        <w:t>hile there is good reason to believe the chosen covariates are impactful in terms of influencing peak SWE values, these results identify obvious flaws</w:t>
      </w:r>
      <w:r w:rsidR="00A36C2B">
        <w:t xml:space="preserve"> in the modeling process</w:t>
      </w:r>
      <w:r w:rsidR="00C00AB3">
        <w:t xml:space="preserve"> and biases in the dataset. </w:t>
      </w:r>
      <w:r>
        <w:t xml:space="preserve">Some </w:t>
      </w:r>
      <w:r w:rsidR="00A36C2B">
        <w:t>of these flaws include attempting to model peak SWE in areas that intuitively should not be expected to have much if any SWE at all</w:t>
      </w:r>
      <w:r w:rsidR="008A1C16">
        <w:t xml:space="preserve">. This could also be considered a flaw to not properly account </w:t>
      </w:r>
      <w:r w:rsidR="008A1C16">
        <w:lastRenderedPageBreak/>
        <w:t xml:space="preserve">for these areas when </w:t>
      </w:r>
      <w:r w:rsidR="002C6986">
        <w:rPr>
          <w:noProof/>
        </w:rPr>
        <w:drawing>
          <wp:inline distT="0" distB="0" distL="0" distR="0">
            <wp:extent cx="5894962" cy="5301574"/>
            <wp:effectExtent l="0" t="0" r="0" b="0"/>
            <wp:docPr id="1970608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8665" name="Picture 1970608665"/>
                    <pic:cNvPicPr/>
                  </pic:nvPicPr>
                  <pic:blipFill rotWithShape="1">
                    <a:blip r:embed="rId8" cstate="print">
                      <a:extLst>
                        <a:ext uri="{28A0092B-C50C-407E-A947-70E740481C1C}">
                          <a14:useLocalDpi xmlns:a14="http://schemas.microsoft.com/office/drawing/2010/main" val="0"/>
                        </a:ext>
                      </a:extLst>
                    </a:blip>
                    <a:srcRect l="1" t="6056" r="816" b="4745"/>
                    <a:stretch/>
                  </pic:blipFill>
                  <pic:spPr bwMode="auto">
                    <a:xfrm>
                      <a:off x="0" y="0"/>
                      <a:ext cx="5895091" cy="5301690"/>
                    </a:xfrm>
                    <a:prstGeom prst="rect">
                      <a:avLst/>
                    </a:prstGeom>
                    <a:ln>
                      <a:noFill/>
                    </a:ln>
                    <a:extLst>
                      <a:ext uri="{53640926-AAD7-44D8-BBD7-CCE9431645EC}">
                        <a14:shadowObscured xmlns:a14="http://schemas.microsoft.com/office/drawing/2010/main"/>
                      </a:ext>
                    </a:extLst>
                  </pic:spPr>
                </pic:pic>
              </a:graphicData>
            </a:graphic>
          </wp:inline>
        </w:drawing>
      </w:r>
    </w:p>
    <w:p w:rsidR="002C6986" w:rsidRDefault="002C6986" w:rsidP="002C6986">
      <w:pPr>
        <w:pStyle w:val="Caption"/>
      </w:pPr>
      <w:r>
        <w:t xml:space="preserve">Figure </w:t>
      </w:r>
      <w:fldSimple w:instr=" SEQ Figure \* ARABIC ">
        <w:r w:rsidR="004518CC">
          <w:rPr>
            <w:noProof/>
          </w:rPr>
          <w:t>4</w:t>
        </w:r>
      </w:fldSimple>
      <w:r>
        <w:t>: Predicted output from the RF model using log(SWE) as a target variable for WY 2010. No-Low snow areas are better represented, but at the cost of more erroneous underestimation of higher SWE areas</w:t>
      </w:r>
    </w:p>
    <w:p w:rsidR="004639C2" w:rsidRDefault="008A1C16" w:rsidP="005A3D44">
      <w:pPr>
        <w:spacing w:line="276" w:lineRule="auto"/>
        <w:ind w:firstLine="720"/>
      </w:pPr>
      <w:r>
        <w:t xml:space="preserve">building a model at this scale by not including representative “measurements” which could account for the influence of the covariates to specifically not lead to any snow water equivalent accumulating in an area. </w:t>
      </w:r>
      <w:r w:rsidR="004C314C">
        <w:t xml:space="preserve">This issue with the modeling process is strongly linked with the biases in the SNOTEL dataset. These biases include the fact that SNOTEL stations are actively placed in areas where snow is expected to occur, so as not to waste funding and other resources implementing a snow monitoring station in an area where it will have little use. </w:t>
      </w:r>
      <w:r w:rsidR="00763013">
        <w:t>Because SNOTEL stations are consciously located in areas of relatively high elevation and mostly located in areas of high latitude, it is unsurprising that a model built on those points alone would struggle to predict SWE in areas that fit outside of that geographic context and outside of the numerical bounds of the dataset produced by that kind of monitoring network.</w:t>
      </w:r>
    </w:p>
    <w:p w:rsidR="00650276" w:rsidRDefault="00917A1D" w:rsidP="00650276">
      <w:pPr>
        <w:keepNext/>
        <w:spacing w:line="276" w:lineRule="auto"/>
        <w:ind w:firstLine="720"/>
      </w:pPr>
      <w:r>
        <w:lastRenderedPageBreak/>
        <w:t xml:space="preserve">Due to this identified spatial bias in the SNOTEL network, I propose the following recommendations to amend my workflow as identified earlier in this report. One is to add semi-randomly placed “zero points” across areas where there is no justified hydrologic or climatological reason to expect snow. This would change the bounds of the SWE values and thus could better help the model understand and predict areas of no or low SWE as well as explain why those areas might be no or low SWE areas. </w:t>
      </w:r>
      <w:r w:rsidR="004E767C">
        <w:t>Upon completing the workflow described above, I was able to adjust based on the identified flaws and implement Random Forest models that incorporated a range of these “zero points”</w:t>
      </w:r>
      <w:r w:rsidR="002700C0">
        <w:t xml:space="preserve">. </w:t>
      </w:r>
      <w:r w:rsidR="002C6986">
        <w:t xml:space="preserve">The inclusion of these zero points provides enormous benefit to the Random Forest model predicting raw SWE values, and avoids the overestimation of SWE in no and low snow areas without sacrificing accuracy in medium and higher snow areas (Figures 5-7). However, the inclusion of zero points in models predicting logged SWE, where negative values are assigned to the random “zero points” instead of 0 so as to avoid numerical issues when re-exponentiating, appears to result in an overcorrection to the no-low snow accuracy issue, where almost every area outside of a mountain range is predicted </w:t>
      </w:r>
      <w:r w:rsidR="002C6986">
        <w:lastRenderedPageBreak/>
        <w:t xml:space="preserve">to have little to no SWE (Figures 8-10). </w:t>
      </w:r>
      <w:r w:rsidR="00650276">
        <w:rPr>
          <w:noProof/>
        </w:rPr>
        <w:drawing>
          <wp:inline distT="0" distB="0" distL="0" distR="0">
            <wp:extent cx="5943600" cy="5943600"/>
            <wp:effectExtent l="0" t="0" r="0" b="0"/>
            <wp:docPr id="1141240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40571" name="Picture 11412405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650276" w:rsidRDefault="00650276" w:rsidP="00650276">
      <w:pPr>
        <w:pStyle w:val="Caption"/>
      </w:pPr>
      <w:r>
        <w:t xml:space="preserve">Figure </w:t>
      </w:r>
      <w:fldSimple w:instr=" SEQ Figure \* ARABIC ">
        <w:r w:rsidR="004518CC">
          <w:rPr>
            <w:noProof/>
          </w:rPr>
          <w:t>5</w:t>
        </w:r>
      </w:fldSimple>
      <w:r>
        <w:t>: RF output predicting raw SWE for WY 2010 with 10 semi-random "zero points" included in southern and low-elevation areas</w:t>
      </w:r>
    </w:p>
    <w:p w:rsidR="00650276" w:rsidRDefault="00650276" w:rsidP="00650276">
      <w:pPr>
        <w:keepNext/>
        <w:spacing w:line="276" w:lineRule="auto"/>
        <w:ind w:firstLine="720"/>
      </w:pPr>
      <w:r>
        <w:rPr>
          <w:noProof/>
        </w:rPr>
        <w:lastRenderedPageBreak/>
        <w:drawing>
          <wp:inline distT="0" distB="0" distL="0" distR="0">
            <wp:extent cx="5943600" cy="5943600"/>
            <wp:effectExtent l="0" t="0" r="0" b="0"/>
            <wp:docPr id="355376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6602" name="Picture 3553766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650276" w:rsidRDefault="00650276" w:rsidP="00650276">
      <w:pPr>
        <w:pStyle w:val="Caption"/>
      </w:pPr>
      <w:r>
        <w:t xml:space="preserve">Figure </w:t>
      </w:r>
      <w:fldSimple w:instr=" SEQ Figure \* ARABIC ">
        <w:r w:rsidR="004518CC">
          <w:rPr>
            <w:noProof/>
          </w:rPr>
          <w:t>6</w:t>
        </w:r>
      </w:fldSimple>
      <w:r w:rsidRPr="009B40DB">
        <w:t xml:space="preserve">: RF output predicting raw SWE for WY 2010 with </w:t>
      </w:r>
      <w:r>
        <w:t>5</w:t>
      </w:r>
      <w:r w:rsidRPr="009B40DB">
        <w:t>0 semi-random "zero points" included in southern and low-elevation areas</w:t>
      </w:r>
    </w:p>
    <w:p w:rsidR="00650276" w:rsidRDefault="00650276" w:rsidP="00650276">
      <w:pPr>
        <w:keepNext/>
        <w:spacing w:line="276" w:lineRule="auto"/>
        <w:ind w:firstLine="720"/>
      </w:pPr>
      <w:r>
        <w:rPr>
          <w:noProof/>
        </w:rPr>
        <w:lastRenderedPageBreak/>
        <w:drawing>
          <wp:inline distT="0" distB="0" distL="0" distR="0">
            <wp:extent cx="5943600" cy="5943600"/>
            <wp:effectExtent l="0" t="0" r="0" b="0"/>
            <wp:docPr id="86066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6091" name="Picture 860660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650276" w:rsidRDefault="00650276" w:rsidP="00650276">
      <w:pPr>
        <w:pStyle w:val="Caption"/>
      </w:pPr>
      <w:r>
        <w:t xml:space="preserve">Figure </w:t>
      </w:r>
      <w:fldSimple w:instr=" SEQ Figure \* ARABIC ">
        <w:r w:rsidR="004518CC">
          <w:rPr>
            <w:noProof/>
          </w:rPr>
          <w:t>7</w:t>
        </w:r>
      </w:fldSimple>
      <w:r>
        <w:t>:</w:t>
      </w:r>
      <w:r w:rsidRPr="002D22CC">
        <w:t xml:space="preserve"> RF output predicting raw SWE for WY 2010 with 1</w:t>
      </w:r>
      <w:r>
        <w:t>0</w:t>
      </w:r>
      <w:r w:rsidRPr="002D22CC">
        <w:t>0 semi-random "zero points" included in southern and low-elevation areas</w:t>
      </w:r>
    </w:p>
    <w:p w:rsidR="00650276" w:rsidRDefault="00650276" w:rsidP="00650276">
      <w:pPr>
        <w:keepNext/>
        <w:spacing w:line="276" w:lineRule="auto"/>
        <w:ind w:firstLine="720"/>
      </w:pPr>
      <w:r>
        <w:rPr>
          <w:noProof/>
        </w:rPr>
        <w:lastRenderedPageBreak/>
        <w:drawing>
          <wp:inline distT="0" distB="0" distL="0" distR="0">
            <wp:extent cx="5943600" cy="5943600"/>
            <wp:effectExtent l="0" t="0" r="0" b="0"/>
            <wp:docPr id="1772178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78551" name="Picture 17721785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650276" w:rsidRDefault="00650276" w:rsidP="00650276">
      <w:pPr>
        <w:pStyle w:val="Caption"/>
      </w:pPr>
      <w:r>
        <w:t xml:space="preserve">Figure </w:t>
      </w:r>
      <w:fldSimple w:instr=" SEQ Figure \* ARABIC ">
        <w:r w:rsidR="004518CC">
          <w:rPr>
            <w:noProof/>
          </w:rPr>
          <w:t>8</w:t>
        </w:r>
      </w:fldSimple>
      <w:r>
        <w:t>:</w:t>
      </w:r>
      <w:r w:rsidRPr="00813CEC">
        <w:t xml:space="preserve"> RF output predicting </w:t>
      </w:r>
      <w:r>
        <w:t>logged</w:t>
      </w:r>
      <w:r w:rsidRPr="00813CEC">
        <w:t xml:space="preserve"> SWE for WY 2010 with 10 semi-random "zero points" included in southern and low-elevation areas</w:t>
      </w:r>
    </w:p>
    <w:p w:rsidR="004518CC" w:rsidRDefault="004518CC" w:rsidP="004518CC">
      <w:pPr>
        <w:keepNext/>
        <w:spacing w:line="276" w:lineRule="auto"/>
        <w:ind w:firstLine="720"/>
      </w:pPr>
      <w:r>
        <w:rPr>
          <w:noProof/>
        </w:rPr>
        <w:lastRenderedPageBreak/>
        <w:drawing>
          <wp:inline distT="0" distB="0" distL="0" distR="0">
            <wp:extent cx="5943600" cy="5943600"/>
            <wp:effectExtent l="0" t="0" r="0" b="0"/>
            <wp:docPr id="518987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87270" name="Picture 5189872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518CC" w:rsidRDefault="004518CC" w:rsidP="004518CC">
      <w:pPr>
        <w:pStyle w:val="Caption"/>
      </w:pPr>
      <w:r>
        <w:t xml:space="preserve">Figure </w:t>
      </w:r>
      <w:fldSimple w:instr=" SEQ Figure \* ARABIC ">
        <w:r>
          <w:rPr>
            <w:noProof/>
          </w:rPr>
          <w:t>9</w:t>
        </w:r>
      </w:fldSimple>
      <w:r>
        <w:t xml:space="preserve">: </w:t>
      </w:r>
      <w:r w:rsidRPr="00E90145">
        <w:t xml:space="preserve">RF output predicting logged SWE for WY 2010 with </w:t>
      </w:r>
      <w:r>
        <w:t>5</w:t>
      </w:r>
      <w:r w:rsidRPr="00E90145">
        <w:t>0 semi-random "zero points" included in southern and low-elevation areas</w:t>
      </w:r>
    </w:p>
    <w:p w:rsidR="004518CC" w:rsidRDefault="004518CC" w:rsidP="004518CC">
      <w:pPr>
        <w:keepNext/>
        <w:spacing w:line="276" w:lineRule="auto"/>
        <w:ind w:firstLine="720"/>
      </w:pPr>
      <w:r>
        <w:rPr>
          <w:noProof/>
        </w:rPr>
        <w:lastRenderedPageBreak/>
        <w:drawing>
          <wp:inline distT="0" distB="0" distL="0" distR="0">
            <wp:extent cx="5943600" cy="5943600"/>
            <wp:effectExtent l="0" t="0" r="0" b="0"/>
            <wp:docPr id="1376041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1081" name="Picture 13760410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518CC" w:rsidRDefault="004518CC" w:rsidP="004518CC">
      <w:pPr>
        <w:pStyle w:val="Caption"/>
      </w:pPr>
      <w:r>
        <w:t xml:space="preserve">Figure </w:t>
      </w:r>
      <w:fldSimple w:instr=" SEQ Figure \* ARABIC ">
        <w:r>
          <w:rPr>
            <w:noProof/>
          </w:rPr>
          <w:t>10</w:t>
        </w:r>
      </w:fldSimple>
      <w:r>
        <w:t xml:space="preserve">: </w:t>
      </w:r>
      <w:r w:rsidRPr="00D52CF9">
        <w:t>RF output predicting logged SWE for WY 2010 with 10</w:t>
      </w:r>
      <w:r>
        <w:t>0</w:t>
      </w:r>
      <w:r w:rsidRPr="00D52CF9">
        <w:t xml:space="preserve"> semi-random "zero points" included in southern and low-elevation areas</w:t>
      </w:r>
    </w:p>
    <w:p w:rsidR="004518CC" w:rsidRDefault="004518CC" w:rsidP="004518CC">
      <w:pPr>
        <w:spacing w:line="276" w:lineRule="auto"/>
      </w:pPr>
      <w:r>
        <w:t>While the number of zero points used for the models depicted in Figures 5-10 are somewhat arbitrary, there is the possibility of exploring an optimal number to use to minimize RMSE in known SNOTEL stations as well as the possibility to place “zero points” in specific locations where the absence of SWE can be declared with greater confidence rather than randomly locating them throughout specific regions, even if those regions also likely resemble places that would be chosen in a more targeted approach such as the Mojave and Sonoran Deserts and the Central Valley region of California.</w:t>
      </w:r>
    </w:p>
    <w:p w:rsidR="00917A1D" w:rsidRPr="00E23601" w:rsidRDefault="002700C0" w:rsidP="004518CC">
      <w:pPr>
        <w:spacing w:line="276" w:lineRule="auto"/>
        <w:ind w:firstLine="720"/>
      </w:pPr>
      <w:r>
        <w:lastRenderedPageBreak/>
        <w:t xml:space="preserve">Another option to explore for future </w:t>
      </w:r>
      <w:r w:rsidR="00C70B35">
        <w:t>work is to trim the study area so as not to include no or low snow areas at all, or at least to include them as little as possible while still maintaining a parsimonious and conterminous study area.</w:t>
      </w:r>
      <w:r w:rsidR="00516F0D">
        <w:t xml:space="preserve"> Additionally, it is possible that due to my model’s struggles accounting for extreme values at both the minimum and maximum bounds of my recorded SWE data at these SNOTEL stations, alternative modeling methodologies should be explored. </w:t>
      </w:r>
      <w:r w:rsidR="00046CA1">
        <w:t xml:space="preserve">Bayesian methods, data assimilation from remotely sensed data products, and particle batch smoothing have been applied successfully to SWE models previously, though on a smaller scale focusing on the Sierra Nevada range instead of the entire western United States (Margulis 2015). </w:t>
      </w:r>
      <w:r w:rsidR="00A029A7">
        <w:t>Finally, it is possible that scaling my dataset so that both my covariates and my target variable SWE reflect differences above or below the average for that variable in the training dataset as opposed to raw values. It is possible that there is a certain limit to how strongly the raw SWE values will adjust to changes in the raw values of the covariates and that scaling the data will better capture the differences between one region and another.</w:t>
      </w:r>
    </w:p>
    <w:p w:rsidR="0098274A" w:rsidRDefault="0098274A" w:rsidP="0098274A">
      <w:pPr>
        <w:spacing w:line="276" w:lineRule="auto"/>
      </w:pPr>
    </w:p>
    <w:p w:rsidR="00702812" w:rsidRDefault="00702812" w:rsidP="0098274A">
      <w:pPr>
        <w:spacing w:line="276" w:lineRule="auto"/>
      </w:pPr>
    </w:p>
    <w:p w:rsidR="00F240F6" w:rsidRDefault="00702812" w:rsidP="00F240F6">
      <w:pPr>
        <w:spacing w:line="276" w:lineRule="auto"/>
        <w:jc w:val="center"/>
      </w:pPr>
      <w:r>
        <w:t>References</w:t>
      </w:r>
    </w:p>
    <w:p w:rsidR="00392938" w:rsidRDefault="00392938" w:rsidP="00392938">
      <w:pPr>
        <w:spacing w:line="276" w:lineRule="auto"/>
      </w:pPr>
      <w:r w:rsidRPr="00392938">
        <w:t>Anselin, Luc, Ibnu Syabri and Youngihn Kho (2006). GeoDa: An Introduction to Spatial Data Analysis. Geographical Analysis 38 (1), 5-22.</w:t>
      </w:r>
    </w:p>
    <w:p w:rsidR="00392938" w:rsidRDefault="00392938" w:rsidP="00392938">
      <w:pPr>
        <w:spacing w:line="276" w:lineRule="auto"/>
      </w:pPr>
    </w:p>
    <w:p w:rsidR="00F240F6" w:rsidRPr="00F240F6" w:rsidRDefault="00F240F6" w:rsidP="00F240F6">
      <w:pPr>
        <w:spacing w:line="276" w:lineRule="auto"/>
      </w:pPr>
      <w:r w:rsidRPr="00F240F6">
        <w:t xml:space="preserve">Balk, B., &amp; Elder, K. (2000). Combining binary decision tree and geostatistical methods to estimate snow distribution in a mountain watershed. </w:t>
      </w:r>
      <w:r w:rsidRPr="00F240F6">
        <w:rPr>
          <w:i/>
          <w:iCs/>
        </w:rPr>
        <w:t>Water Resources Research</w:t>
      </w:r>
      <w:r w:rsidRPr="00F240F6">
        <w:t xml:space="preserve">, </w:t>
      </w:r>
      <w:r w:rsidRPr="00F240F6">
        <w:rPr>
          <w:i/>
          <w:iCs/>
        </w:rPr>
        <w:t>36</w:t>
      </w:r>
      <w:r w:rsidRPr="00F240F6">
        <w:t xml:space="preserve">(1), 13–26. </w:t>
      </w:r>
      <w:hyperlink r:id="rId15" w:history="1">
        <w:r w:rsidRPr="00F240F6">
          <w:rPr>
            <w:rStyle w:val="Hyperlink"/>
          </w:rPr>
          <w:t>https://doi.org/10.1029/1999WR900251</w:t>
        </w:r>
      </w:hyperlink>
    </w:p>
    <w:p w:rsidR="00F240F6" w:rsidRPr="00837335" w:rsidRDefault="00F240F6" w:rsidP="00F240F6">
      <w:pPr>
        <w:spacing w:line="276" w:lineRule="auto"/>
      </w:pPr>
    </w:p>
    <w:p w:rsidR="00295F51" w:rsidRDefault="00295F51" w:rsidP="00DF0F2F">
      <w:r w:rsidRPr="00295F51">
        <w:t xml:space="preserve">Breiman, L. (2001). Random Forests. </w:t>
      </w:r>
      <w:r w:rsidRPr="00295F51">
        <w:rPr>
          <w:i/>
          <w:iCs/>
        </w:rPr>
        <w:t>Machine Learning</w:t>
      </w:r>
      <w:r w:rsidRPr="00295F51">
        <w:t xml:space="preserve">, </w:t>
      </w:r>
      <w:r w:rsidRPr="00295F51">
        <w:rPr>
          <w:i/>
          <w:iCs/>
        </w:rPr>
        <w:t>45</w:t>
      </w:r>
      <w:r w:rsidRPr="00295F51">
        <w:t xml:space="preserve">(1), 5–32. </w:t>
      </w:r>
      <w:hyperlink r:id="rId16" w:history="1">
        <w:r w:rsidRPr="00295F51">
          <w:rPr>
            <w:rStyle w:val="Hyperlink"/>
          </w:rPr>
          <w:t>https://doi.org/10.1023/A:1010933404324</w:t>
        </w:r>
      </w:hyperlink>
    </w:p>
    <w:p w:rsidR="00DE4782" w:rsidRPr="00295F51" w:rsidRDefault="00DE4782" w:rsidP="00DF0F2F"/>
    <w:p w:rsidR="00295F51" w:rsidRDefault="00295F51" w:rsidP="00DF0F2F">
      <w:r w:rsidRPr="00295F51">
        <w:t xml:space="preserve">Egli, L., Jonas, T., &amp; Meister, R. (2009). Comparison of different automatic methods for estimating snow water equivalent. </w:t>
      </w:r>
      <w:r w:rsidRPr="00295F51">
        <w:rPr>
          <w:i/>
          <w:iCs/>
        </w:rPr>
        <w:t>Cold Regions Science and Technology</w:t>
      </w:r>
      <w:r w:rsidRPr="00295F51">
        <w:t xml:space="preserve">, </w:t>
      </w:r>
      <w:r w:rsidRPr="00295F51">
        <w:rPr>
          <w:i/>
          <w:iCs/>
        </w:rPr>
        <w:t>57</w:t>
      </w:r>
      <w:r w:rsidRPr="00295F51">
        <w:t xml:space="preserve">(2–3), 107–115. </w:t>
      </w:r>
      <w:hyperlink r:id="rId17" w:history="1">
        <w:r w:rsidRPr="00295F51">
          <w:rPr>
            <w:rStyle w:val="Hyperlink"/>
          </w:rPr>
          <w:t>https://doi.org/10.1016/j.coldregions.2009.02.008</w:t>
        </w:r>
      </w:hyperlink>
    </w:p>
    <w:p w:rsidR="00DE4782" w:rsidRPr="00295F51" w:rsidRDefault="00DE4782" w:rsidP="00DF0F2F"/>
    <w:p w:rsidR="00295F51" w:rsidRDefault="00295F51" w:rsidP="00DF0F2F">
      <w:r w:rsidRPr="00295F51">
        <w:t xml:space="preserve">Elder, K., Dozier, J., &amp; Michaelsen, J. (1991). Snow accumulation and distribution in an Alpine Watershed. </w:t>
      </w:r>
      <w:r w:rsidRPr="00295F51">
        <w:rPr>
          <w:i/>
          <w:iCs/>
        </w:rPr>
        <w:t>Water Resources Research</w:t>
      </w:r>
      <w:r w:rsidRPr="00295F51">
        <w:t xml:space="preserve">, </w:t>
      </w:r>
      <w:r w:rsidRPr="00295F51">
        <w:rPr>
          <w:i/>
          <w:iCs/>
        </w:rPr>
        <w:t>27</w:t>
      </w:r>
      <w:r w:rsidRPr="00295F51">
        <w:t xml:space="preserve">(7), 1541–1552. </w:t>
      </w:r>
      <w:hyperlink r:id="rId18" w:history="1">
        <w:r w:rsidRPr="00295F51">
          <w:rPr>
            <w:rStyle w:val="Hyperlink"/>
          </w:rPr>
          <w:t>https://doi.org/10.1029/91WR00506</w:t>
        </w:r>
      </w:hyperlink>
    </w:p>
    <w:p w:rsidR="00DE4782" w:rsidRPr="00295F51" w:rsidRDefault="00DE4782" w:rsidP="00DF0F2F"/>
    <w:p w:rsidR="00295F51" w:rsidRDefault="00295F51" w:rsidP="00DF0F2F">
      <w:r w:rsidRPr="00295F51">
        <w:t xml:space="preserve">Fleming, S. W., Zukiewicz, L., Strobel, M. L., Hofman, H., &amp; Goodbody, A. G. (2023). SNOTEL, the Soil Climate Analysis Network, and water supply forecasting at the Natural Resources Conservation Service: Past, present, and future. </w:t>
      </w:r>
      <w:r w:rsidRPr="00295F51">
        <w:rPr>
          <w:i/>
          <w:iCs/>
        </w:rPr>
        <w:t>JAWRA Journal of the American Water Resources Association</w:t>
      </w:r>
      <w:r w:rsidRPr="00295F51">
        <w:t xml:space="preserve">, </w:t>
      </w:r>
      <w:r w:rsidRPr="00295F51">
        <w:rPr>
          <w:i/>
          <w:iCs/>
        </w:rPr>
        <w:t>59</w:t>
      </w:r>
      <w:r w:rsidRPr="00295F51">
        <w:t xml:space="preserve">(4), 585–599. </w:t>
      </w:r>
      <w:hyperlink r:id="rId19" w:history="1">
        <w:r w:rsidRPr="00295F51">
          <w:rPr>
            <w:rStyle w:val="Hyperlink"/>
          </w:rPr>
          <w:t>https://doi.org/10.1111/1752-1688.13104</w:t>
        </w:r>
      </w:hyperlink>
    </w:p>
    <w:p w:rsidR="00DE4782" w:rsidRDefault="00DE4782" w:rsidP="00DF0F2F"/>
    <w:p w:rsidR="00AD322A" w:rsidRDefault="00AD322A" w:rsidP="00DF0F2F">
      <w:r>
        <w:t>F</w:t>
      </w:r>
      <w:r>
        <w:t>ierz, C., Armstrong, R.L., Durand, Y., Etchevers, P., Greene, E., McClung, D.M.,</w:t>
      </w:r>
    </w:p>
    <w:p w:rsidR="00AD322A" w:rsidRDefault="00AD322A" w:rsidP="00DF0F2F">
      <w:r>
        <w:t>Nishimura, K., Satyawali, P.K. and Sokratov, S.A. 2009. The International</w:t>
      </w:r>
    </w:p>
    <w:p w:rsidR="00AD322A" w:rsidRDefault="00AD322A" w:rsidP="00DF0F2F">
      <w:r>
        <w:lastRenderedPageBreak/>
        <w:t>Classification for Seasonal Snow on the Ground. IHP-VII Technical Documents in</w:t>
      </w:r>
    </w:p>
    <w:p w:rsidR="00AD322A" w:rsidRDefault="00AD322A" w:rsidP="00DF0F2F">
      <w:r>
        <w:t>Hydrology N°83, IACS Contribution N°1, UNESCO-IHP, Pa</w:t>
      </w:r>
      <w:r>
        <w:t>ris.</w:t>
      </w:r>
    </w:p>
    <w:p w:rsidR="00DE4782" w:rsidRPr="00295F51" w:rsidRDefault="00DE4782" w:rsidP="00DF0F2F"/>
    <w:p w:rsidR="00295F51" w:rsidRDefault="00295F51" w:rsidP="00DF0F2F">
      <w:r w:rsidRPr="00295F51">
        <w:t xml:space="preserve">Hale, K. E., Jennings, K. S., Musselman, K. N., Livneh, B., &amp; Molotch, N. P. (2023). Recent decreases in snow water storage in western North America. </w:t>
      </w:r>
      <w:r w:rsidRPr="00295F51">
        <w:rPr>
          <w:i/>
          <w:iCs/>
        </w:rPr>
        <w:t>Communications Earth &amp; Environment</w:t>
      </w:r>
      <w:r w:rsidRPr="00295F51">
        <w:t xml:space="preserve">, </w:t>
      </w:r>
      <w:r w:rsidRPr="00295F51">
        <w:rPr>
          <w:i/>
          <w:iCs/>
        </w:rPr>
        <w:t>4</w:t>
      </w:r>
      <w:r w:rsidRPr="00295F51">
        <w:t xml:space="preserve">(1), 170. </w:t>
      </w:r>
      <w:hyperlink r:id="rId20" w:history="1">
        <w:r w:rsidRPr="00295F51">
          <w:rPr>
            <w:rStyle w:val="Hyperlink"/>
          </w:rPr>
          <w:t>https://doi.org/10.1038/s43247-023-00751-3</w:t>
        </w:r>
      </w:hyperlink>
    </w:p>
    <w:p w:rsidR="00DE4782" w:rsidRPr="00295F51" w:rsidRDefault="00DE4782" w:rsidP="00DF0F2F"/>
    <w:p w:rsidR="00295F51" w:rsidRDefault="00295F51" w:rsidP="00DF0F2F">
      <w:r w:rsidRPr="00295F51">
        <w:t xml:space="preserve">Heldmyer, A., Livneh, B., Molotch, N., &amp; Rajagopalan, B. (2021). Investigating the Relationship Between Peak Snow‐Water Equivalent and Snow Timing Indices in the Western United States and Alaska. </w:t>
      </w:r>
      <w:r w:rsidRPr="00295F51">
        <w:rPr>
          <w:i/>
          <w:iCs/>
        </w:rPr>
        <w:t>Water Resources Research</w:t>
      </w:r>
      <w:r w:rsidRPr="00295F51">
        <w:t xml:space="preserve">, </w:t>
      </w:r>
      <w:r w:rsidRPr="00295F51">
        <w:rPr>
          <w:i/>
          <w:iCs/>
        </w:rPr>
        <w:t>57</w:t>
      </w:r>
      <w:r w:rsidRPr="00295F51">
        <w:t xml:space="preserve">(5), e2020WR029395. </w:t>
      </w:r>
      <w:hyperlink r:id="rId21" w:history="1">
        <w:r w:rsidRPr="00295F51">
          <w:rPr>
            <w:rStyle w:val="Hyperlink"/>
          </w:rPr>
          <w:t>https://doi.org/10.1029/2020WR029395</w:t>
        </w:r>
      </w:hyperlink>
    </w:p>
    <w:p w:rsidR="00556C0C" w:rsidRDefault="00556C0C" w:rsidP="00DF0F2F"/>
    <w:p w:rsidR="00003A73" w:rsidRDefault="00556C0C" w:rsidP="00DF0F2F">
      <w:r w:rsidRPr="00556C0C">
        <w:t xml:space="preserve">Hufkens, K. (2022). snotelr: a toolbox to facilitate easy SNOTEL data exploration and downloads in R. Zenodo. </w:t>
      </w:r>
      <w:hyperlink r:id="rId22" w:history="1">
        <w:r w:rsidRPr="00556C0C">
          <w:rPr>
            <w:rStyle w:val="Hyperlink"/>
          </w:rPr>
          <w:t>https://doi.org/10.5281/zenodo.7012728</w:t>
        </w:r>
      </w:hyperlink>
      <w:r w:rsidRPr="00556C0C">
        <w:t>.</w:t>
      </w:r>
    </w:p>
    <w:p w:rsidR="00DE4782" w:rsidRPr="00295F51" w:rsidRDefault="00DE4782" w:rsidP="00DF0F2F"/>
    <w:p w:rsidR="00295F51" w:rsidRDefault="00295F51" w:rsidP="00DF0F2F">
      <w:r w:rsidRPr="00295F51">
        <w:t xml:space="preserve">López-Moreno, J. I., Fassnacht, S. R., Heath, J. T., Musselman, K. N., Revuelto, J., Latron, J., Morán-Tejeda, E., &amp; Jonas, T. (2013). Small scale spatial variability of snow density and depth over complex alpine terrain: Implications for estimating snow water equivalent. </w:t>
      </w:r>
      <w:r w:rsidRPr="00295F51">
        <w:rPr>
          <w:i/>
          <w:iCs/>
        </w:rPr>
        <w:t>Advances in Water Resources</w:t>
      </w:r>
      <w:r w:rsidRPr="00295F51">
        <w:t xml:space="preserve">, </w:t>
      </w:r>
      <w:r w:rsidRPr="00295F51">
        <w:rPr>
          <w:i/>
          <w:iCs/>
        </w:rPr>
        <w:t>55</w:t>
      </w:r>
      <w:r w:rsidRPr="00295F51">
        <w:t xml:space="preserve">, 40–52. </w:t>
      </w:r>
      <w:hyperlink r:id="rId23" w:history="1">
        <w:r w:rsidRPr="00295F51">
          <w:rPr>
            <w:rStyle w:val="Hyperlink"/>
          </w:rPr>
          <w:t>https://doi.org/10.1016/j.advwatres.2012.08.010</w:t>
        </w:r>
      </w:hyperlink>
    </w:p>
    <w:p w:rsidR="007B3974" w:rsidRDefault="007B3974" w:rsidP="00DF0F2F"/>
    <w:p w:rsidR="007B3974" w:rsidRDefault="007B3974" w:rsidP="00DF0F2F">
      <w:r w:rsidRPr="007B3974">
        <w:t xml:space="preserve">Margulis, S. A., Girotto, M., Cortés, G., &amp; Durand, M. (2015). A Particle Batch Smoother Approach to Snow Water Equivalent Estimation. </w:t>
      </w:r>
      <w:r w:rsidRPr="007B3974">
        <w:rPr>
          <w:i/>
          <w:iCs/>
        </w:rPr>
        <w:t>Journal of Hydrometeorology</w:t>
      </w:r>
      <w:r w:rsidRPr="007B3974">
        <w:t xml:space="preserve">, </w:t>
      </w:r>
      <w:r w:rsidRPr="007B3974">
        <w:rPr>
          <w:i/>
          <w:iCs/>
        </w:rPr>
        <w:t>16</w:t>
      </w:r>
      <w:r w:rsidRPr="007B3974">
        <w:t xml:space="preserve">(4), 1752–1772. </w:t>
      </w:r>
      <w:hyperlink r:id="rId24" w:history="1">
        <w:r w:rsidRPr="007B3974">
          <w:rPr>
            <w:rStyle w:val="Hyperlink"/>
          </w:rPr>
          <w:t>https://doi.org/10.1175/JHM-D-14-0177.1</w:t>
        </w:r>
      </w:hyperlink>
    </w:p>
    <w:p w:rsidR="00076D74" w:rsidRDefault="00076D74" w:rsidP="00DF0F2F"/>
    <w:p w:rsidR="00076D74" w:rsidRDefault="00076D74" w:rsidP="00DF0F2F">
      <w:r w:rsidRPr="00076D74">
        <w:t xml:space="preserve">Molotch, N. P., Colee, M. T., Bales, R. C., &amp; Dozier, J. (2005). Estimating the spatial distribution of snow water equivalent in an alpine basin using binary regression tree models: The impact of digital elevation data and independent variable selection. </w:t>
      </w:r>
      <w:r w:rsidRPr="00076D74">
        <w:rPr>
          <w:i/>
          <w:iCs/>
        </w:rPr>
        <w:t>Hydrological Processes</w:t>
      </w:r>
      <w:r w:rsidRPr="00076D74">
        <w:t xml:space="preserve">, </w:t>
      </w:r>
      <w:r w:rsidRPr="00076D74">
        <w:rPr>
          <w:i/>
          <w:iCs/>
        </w:rPr>
        <w:t>19</w:t>
      </w:r>
      <w:r w:rsidRPr="00076D74">
        <w:t xml:space="preserve">(7), 1459–1479. </w:t>
      </w:r>
      <w:hyperlink r:id="rId25" w:history="1">
        <w:r w:rsidRPr="00076D74">
          <w:rPr>
            <w:rStyle w:val="Hyperlink"/>
          </w:rPr>
          <w:t>https://doi.org/10.1002/hyp.5586</w:t>
        </w:r>
      </w:hyperlink>
    </w:p>
    <w:p w:rsidR="00DE4782" w:rsidRPr="00295F51" w:rsidRDefault="00DE4782" w:rsidP="00DF0F2F"/>
    <w:p w:rsidR="00295F51" w:rsidRDefault="00295F51" w:rsidP="00DF0F2F">
      <w:r w:rsidRPr="00295F51">
        <w:t xml:space="preserve">Musselman, K. N., Molotch, N. P., &amp; Margulis, S. A. (2017). Snowmelt response to simulated warming across a large elevation gradient, southern Sierra Nevada, California. </w:t>
      </w:r>
      <w:r w:rsidRPr="00295F51">
        <w:rPr>
          <w:i/>
          <w:iCs/>
        </w:rPr>
        <w:t>The Cryosphere</w:t>
      </w:r>
      <w:r w:rsidRPr="00295F51">
        <w:t xml:space="preserve">, </w:t>
      </w:r>
      <w:r w:rsidRPr="00295F51">
        <w:rPr>
          <w:i/>
          <w:iCs/>
        </w:rPr>
        <w:t>11</w:t>
      </w:r>
      <w:r w:rsidRPr="00295F51">
        <w:t xml:space="preserve">(6), 2847–2866. </w:t>
      </w:r>
      <w:hyperlink r:id="rId26" w:history="1">
        <w:r w:rsidRPr="00295F51">
          <w:rPr>
            <w:rStyle w:val="Hyperlink"/>
          </w:rPr>
          <w:t>https://doi.org/10.5194/tc-11-2847-2017</w:t>
        </w:r>
      </w:hyperlink>
    </w:p>
    <w:p w:rsidR="00DE4782" w:rsidRPr="00295F51" w:rsidRDefault="00DE4782" w:rsidP="00DF0F2F"/>
    <w:p w:rsidR="00295F51" w:rsidRDefault="00295F51" w:rsidP="00DF0F2F">
      <w:r w:rsidRPr="00295F51">
        <w:t xml:space="preserve">Qin, Y., Abatzoglou, J. T., Siebert, S., Huning, L. S., AghaKouchak, A., Mankin, J. S., Hong, C., Tong, D., Davis, S. J., &amp; Mueller, N. D. (2020). Agricultural risks from changing snowmelt. </w:t>
      </w:r>
      <w:r w:rsidRPr="00295F51">
        <w:rPr>
          <w:i/>
          <w:iCs/>
        </w:rPr>
        <w:t>Nature Climate Change</w:t>
      </w:r>
      <w:r w:rsidRPr="00295F51">
        <w:t xml:space="preserve">, </w:t>
      </w:r>
      <w:r w:rsidRPr="00295F51">
        <w:rPr>
          <w:i/>
          <w:iCs/>
        </w:rPr>
        <w:t>10</w:t>
      </w:r>
      <w:r w:rsidRPr="00295F51">
        <w:t xml:space="preserve">(5), 459–465. </w:t>
      </w:r>
      <w:hyperlink r:id="rId27" w:history="1">
        <w:r w:rsidRPr="00295F51">
          <w:rPr>
            <w:rStyle w:val="Hyperlink"/>
          </w:rPr>
          <w:t>https://doi.org/10.1038/s41558-020-0746-8</w:t>
        </w:r>
      </w:hyperlink>
    </w:p>
    <w:p w:rsidR="00DE4782" w:rsidRPr="00295F51" w:rsidRDefault="00DE4782" w:rsidP="00DF0F2F"/>
    <w:p w:rsidR="00E134FC" w:rsidRDefault="00295F51" w:rsidP="00D96CFF">
      <w:r w:rsidRPr="00295F51">
        <w:t xml:space="preserve">Siirila-Woodburn, E. R., Rhoades, A. M., Hatchett, B. J., Huning, L. S., Szinai, J., Tague, C., Nico, P. S., Feldman, D. R., Jones, A. D., Collins, W. D., &amp; Kaatz, L. (2021). A low-to-no snow future and its impacts on water resources in the western United States. </w:t>
      </w:r>
      <w:r w:rsidRPr="00295F51">
        <w:rPr>
          <w:i/>
          <w:iCs/>
        </w:rPr>
        <w:t>Nature Reviews Earth &amp; Environment</w:t>
      </w:r>
      <w:r w:rsidRPr="00295F51">
        <w:t xml:space="preserve">, </w:t>
      </w:r>
      <w:r w:rsidRPr="00295F51">
        <w:rPr>
          <w:i/>
          <w:iCs/>
        </w:rPr>
        <w:t>2</w:t>
      </w:r>
      <w:r w:rsidRPr="00295F51">
        <w:t xml:space="preserve">(11), 800–819. </w:t>
      </w:r>
      <w:hyperlink r:id="rId28" w:history="1">
        <w:r w:rsidRPr="00295F51">
          <w:rPr>
            <w:rStyle w:val="Hyperlink"/>
          </w:rPr>
          <w:t>https://doi.org/10.1038/s43017-021-00219-y</w:t>
        </w:r>
      </w:hyperlink>
    </w:p>
    <w:p w:rsidR="003C0305" w:rsidRDefault="003C0305" w:rsidP="00D96CFF"/>
    <w:p w:rsidR="003C0305" w:rsidRPr="003C0305" w:rsidRDefault="003C0305" w:rsidP="003C0305">
      <w:r w:rsidRPr="003C0305">
        <w:lastRenderedPageBreak/>
        <w:t xml:space="preserve">Sturm, M., &amp; Liston, G. E. (2021). Revisiting the Global Seasonal Snow Classification: An Updated Dataset for Earth System Applications. </w:t>
      </w:r>
      <w:r w:rsidRPr="003C0305">
        <w:rPr>
          <w:i/>
          <w:iCs/>
        </w:rPr>
        <w:t>Journal of Hydrometeorology</w:t>
      </w:r>
      <w:r w:rsidRPr="003C0305">
        <w:t xml:space="preserve">. </w:t>
      </w:r>
      <w:hyperlink r:id="rId29" w:history="1">
        <w:r w:rsidRPr="003C0305">
          <w:rPr>
            <w:rStyle w:val="Hyperlink"/>
          </w:rPr>
          <w:t>https://doi.org/10.1175/JHM-D-21-0070.1</w:t>
        </w:r>
      </w:hyperlink>
    </w:p>
    <w:p w:rsidR="00AC37E0" w:rsidRDefault="00AC37E0" w:rsidP="00D96CFF"/>
    <w:p w:rsidR="00E134FC" w:rsidRDefault="00E134FC" w:rsidP="00D96CFF">
      <w:r>
        <w:t>Th</w:t>
      </w:r>
      <w:r w:rsidRPr="00E134FC">
        <w:t xml:space="preserve">ornton, M.M., R. Shrestha, Y. Wei, P.E. Thornton, S-C. Kao, and B.E. Wilson. (2022). Daymet: Daily Surface Weather Data on a 1-km Grid for North America, Version 4 R1. ORNL DAAC, Oak Ridge, Tennessee, USA. </w:t>
      </w:r>
      <w:hyperlink r:id="rId30" w:history="1">
        <w:r w:rsidRPr="00E134FC">
          <w:rPr>
            <w:rStyle w:val="Hyperlink"/>
          </w:rPr>
          <w:t>https://doi.org/10.3334/ORNLDAAC/2129</w:t>
        </w:r>
      </w:hyperlink>
    </w:p>
    <w:sectPr w:rsidR="00E13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A4DD9"/>
    <w:multiLevelType w:val="hybridMultilevel"/>
    <w:tmpl w:val="7D64C2CC"/>
    <w:lvl w:ilvl="0" w:tplc="82D82DF6">
      <w:start w:val="1"/>
      <w:numFmt w:val="bullet"/>
      <w:lvlText w:val="§"/>
      <w:lvlJc w:val="left"/>
      <w:pPr>
        <w:tabs>
          <w:tab w:val="num" w:pos="720"/>
        </w:tabs>
        <w:ind w:left="720" w:hanging="360"/>
      </w:pPr>
      <w:rPr>
        <w:rFonts w:ascii="Wingdings" w:hAnsi="Wingdings" w:hint="default"/>
      </w:rPr>
    </w:lvl>
    <w:lvl w:ilvl="1" w:tplc="AA6EBC42" w:tentative="1">
      <w:start w:val="1"/>
      <w:numFmt w:val="bullet"/>
      <w:lvlText w:val="§"/>
      <w:lvlJc w:val="left"/>
      <w:pPr>
        <w:tabs>
          <w:tab w:val="num" w:pos="1440"/>
        </w:tabs>
        <w:ind w:left="1440" w:hanging="360"/>
      </w:pPr>
      <w:rPr>
        <w:rFonts w:ascii="Wingdings" w:hAnsi="Wingdings" w:hint="default"/>
      </w:rPr>
    </w:lvl>
    <w:lvl w:ilvl="2" w:tplc="CF2A1082" w:tentative="1">
      <w:start w:val="1"/>
      <w:numFmt w:val="bullet"/>
      <w:lvlText w:val="§"/>
      <w:lvlJc w:val="left"/>
      <w:pPr>
        <w:tabs>
          <w:tab w:val="num" w:pos="2160"/>
        </w:tabs>
        <w:ind w:left="2160" w:hanging="360"/>
      </w:pPr>
      <w:rPr>
        <w:rFonts w:ascii="Wingdings" w:hAnsi="Wingdings" w:hint="default"/>
      </w:rPr>
    </w:lvl>
    <w:lvl w:ilvl="3" w:tplc="8EE68264" w:tentative="1">
      <w:start w:val="1"/>
      <w:numFmt w:val="bullet"/>
      <w:lvlText w:val="§"/>
      <w:lvlJc w:val="left"/>
      <w:pPr>
        <w:tabs>
          <w:tab w:val="num" w:pos="2880"/>
        </w:tabs>
        <w:ind w:left="2880" w:hanging="360"/>
      </w:pPr>
      <w:rPr>
        <w:rFonts w:ascii="Wingdings" w:hAnsi="Wingdings" w:hint="default"/>
      </w:rPr>
    </w:lvl>
    <w:lvl w:ilvl="4" w:tplc="B14C1C20" w:tentative="1">
      <w:start w:val="1"/>
      <w:numFmt w:val="bullet"/>
      <w:lvlText w:val="§"/>
      <w:lvlJc w:val="left"/>
      <w:pPr>
        <w:tabs>
          <w:tab w:val="num" w:pos="3600"/>
        </w:tabs>
        <w:ind w:left="3600" w:hanging="360"/>
      </w:pPr>
      <w:rPr>
        <w:rFonts w:ascii="Wingdings" w:hAnsi="Wingdings" w:hint="default"/>
      </w:rPr>
    </w:lvl>
    <w:lvl w:ilvl="5" w:tplc="41DE49FA" w:tentative="1">
      <w:start w:val="1"/>
      <w:numFmt w:val="bullet"/>
      <w:lvlText w:val="§"/>
      <w:lvlJc w:val="left"/>
      <w:pPr>
        <w:tabs>
          <w:tab w:val="num" w:pos="4320"/>
        </w:tabs>
        <w:ind w:left="4320" w:hanging="360"/>
      </w:pPr>
      <w:rPr>
        <w:rFonts w:ascii="Wingdings" w:hAnsi="Wingdings" w:hint="default"/>
      </w:rPr>
    </w:lvl>
    <w:lvl w:ilvl="6" w:tplc="879CF8F0" w:tentative="1">
      <w:start w:val="1"/>
      <w:numFmt w:val="bullet"/>
      <w:lvlText w:val="§"/>
      <w:lvlJc w:val="left"/>
      <w:pPr>
        <w:tabs>
          <w:tab w:val="num" w:pos="5040"/>
        </w:tabs>
        <w:ind w:left="5040" w:hanging="360"/>
      </w:pPr>
      <w:rPr>
        <w:rFonts w:ascii="Wingdings" w:hAnsi="Wingdings" w:hint="default"/>
      </w:rPr>
    </w:lvl>
    <w:lvl w:ilvl="7" w:tplc="D9C267DA" w:tentative="1">
      <w:start w:val="1"/>
      <w:numFmt w:val="bullet"/>
      <w:lvlText w:val="§"/>
      <w:lvlJc w:val="left"/>
      <w:pPr>
        <w:tabs>
          <w:tab w:val="num" w:pos="5760"/>
        </w:tabs>
        <w:ind w:left="5760" w:hanging="360"/>
      </w:pPr>
      <w:rPr>
        <w:rFonts w:ascii="Wingdings" w:hAnsi="Wingdings" w:hint="default"/>
      </w:rPr>
    </w:lvl>
    <w:lvl w:ilvl="8" w:tplc="8F9854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C620660"/>
    <w:multiLevelType w:val="hybridMultilevel"/>
    <w:tmpl w:val="5EDC7822"/>
    <w:lvl w:ilvl="0" w:tplc="13284FF0">
      <w:start w:val="1"/>
      <w:numFmt w:val="bullet"/>
      <w:lvlText w:val="§"/>
      <w:lvlJc w:val="left"/>
      <w:pPr>
        <w:tabs>
          <w:tab w:val="num" w:pos="720"/>
        </w:tabs>
        <w:ind w:left="720" w:hanging="360"/>
      </w:pPr>
      <w:rPr>
        <w:rFonts w:ascii="Wingdings" w:hAnsi="Wingdings" w:hint="default"/>
      </w:rPr>
    </w:lvl>
    <w:lvl w:ilvl="1" w:tplc="302689FA" w:tentative="1">
      <w:start w:val="1"/>
      <w:numFmt w:val="bullet"/>
      <w:lvlText w:val="§"/>
      <w:lvlJc w:val="left"/>
      <w:pPr>
        <w:tabs>
          <w:tab w:val="num" w:pos="1440"/>
        </w:tabs>
        <w:ind w:left="1440" w:hanging="360"/>
      </w:pPr>
      <w:rPr>
        <w:rFonts w:ascii="Wingdings" w:hAnsi="Wingdings" w:hint="default"/>
      </w:rPr>
    </w:lvl>
    <w:lvl w:ilvl="2" w:tplc="B412B3E0" w:tentative="1">
      <w:start w:val="1"/>
      <w:numFmt w:val="bullet"/>
      <w:lvlText w:val="§"/>
      <w:lvlJc w:val="left"/>
      <w:pPr>
        <w:tabs>
          <w:tab w:val="num" w:pos="2160"/>
        </w:tabs>
        <w:ind w:left="2160" w:hanging="360"/>
      </w:pPr>
      <w:rPr>
        <w:rFonts w:ascii="Wingdings" w:hAnsi="Wingdings" w:hint="default"/>
      </w:rPr>
    </w:lvl>
    <w:lvl w:ilvl="3" w:tplc="447A5B2C" w:tentative="1">
      <w:start w:val="1"/>
      <w:numFmt w:val="bullet"/>
      <w:lvlText w:val="§"/>
      <w:lvlJc w:val="left"/>
      <w:pPr>
        <w:tabs>
          <w:tab w:val="num" w:pos="2880"/>
        </w:tabs>
        <w:ind w:left="2880" w:hanging="360"/>
      </w:pPr>
      <w:rPr>
        <w:rFonts w:ascii="Wingdings" w:hAnsi="Wingdings" w:hint="default"/>
      </w:rPr>
    </w:lvl>
    <w:lvl w:ilvl="4" w:tplc="3DF89DAA" w:tentative="1">
      <w:start w:val="1"/>
      <w:numFmt w:val="bullet"/>
      <w:lvlText w:val="§"/>
      <w:lvlJc w:val="left"/>
      <w:pPr>
        <w:tabs>
          <w:tab w:val="num" w:pos="3600"/>
        </w:tabs>
        <w:ind w:left="3600" w:hanging="360"/>
      </w:pPr>
      <w:rPr>
        <w:rFonts w:ascii="Wingdings" w:hAnsi="Wingdings" w:hint="default"/>
      </w:rPr>
    </w:lvl>
    <w:lvl w:ilvl="5" w:tplc="F8DE013C" w:tentative="1">
      <w:start w:val="1"/>
      <w:numFmt w:val="bullet"/>
      <w:lvlText w:val="§"/>
      <w:lvlJc w:val="left"/>
      <w:pPr>
        <w:tabs>
          <w:tab w:val="num" w:pos="4320"/>
        </w:tabs>
        <w:ind w:left="4320" w:hanging="360"/>
      </w:pPr>
      <w:rPr>
        <w:rFonts w:ascii="Wingdings" w:hAnsi="Wingdings" w:hint="default"/>
      </w:rPr>
    </w:lvl>
    <w:lvl w:ilvl="6" w:tplc="BAEC60B2" w:tentative="1">
      <w:start w:val="1"/>
      <w:numFmt w:val="bullet"/>
      <w:lvlText w:val="§"/>
      <w:lvlJc w:val="left"/>
      <w:pPr>
        <w:tabs>
          <w:tab w:val="num" w:pos="5040"/>
        </w:tabs>
        <w:ind w:left="5040" w:hanging="360"/>
      </w:pPr>
      <w:rPr>
        <w:rFonts w:ascii="Wingdings" w:hAnsi="Wingdings" w:hint="default"/>
      </w:rPr>
    </w:lvl>
    <w:lvl w:ilvl="7" w:tplc="1BC0FB58" w:tentative="1">
      <w:start w:val="1"/>
      <w:numFmt w:val="bullet"/>
      <w:lvlText w:val="§"/>
      <w:lvlJc w:val="left"/>
      <w:pPr>
        <w:tabs>
          <w:tab w:val="num" w:pos="5760"/>
        </w:tabs>
        <w:ind w:left="5760" w:hanging="360"/>
      </w:pPr>
      <w:rPr>
        <w:rFonts w:ascii="Wingdings" w:hAnsi="Wingdings" w:hint="default"/>
      </w:rPr>
    </w:lvl>
    <w:lvl w:ilvl="8" w:tplc="E668BC16" w:tentative="1">
      <w:start w:val="1"/>
      <w:numFmt w:val="bullet"/>
      <w:lvlText w:val="§"/>
      <w:lvlJc w:val="left"/>
      <w:pPr>
        <w:tabs>
          <w:tab w:val="num" w:pos="6480"/>
        </w:tabs>
        <w:ind w:left="6480" w:hanging="360"/>
      </w:pPr>
      <w:rPr>
        <w:rFonts w:ascii="Wingdings" w:hAnsi="Wingdings" w:hint="default"/>
      </w:rPr>
    </w:lvl>
  </w:abstractNum>
  <w:num w:numId="1" w16cid:durableId="868566550">
    <w:abstractNumId w:val="0"/>
  </w:num>
  <w:num w:numId="2" w16cid:durableId="508953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BA"/>
    <w:rsid w:val="00003A73"/>
    <w:rsid w:val="000107D9"/>
    <w:rsid w:val="00046CA1"/>
    <w:rsid w:val="00076D74"/>
    <w:rsid w:val="000B3D34"/>
    <w:rsid w:val="001056A2"/>
    <w:rsid w:val="001410A1"/>
    <w:rsid w:val="001743C7"/>
    <w:rsid w:val="001B2ECF"/>
    <w:rsid w:val="001E3B07"/>
    <w:rsid w:val="00226303"/>
    <w:rsid w:val="00246E7C"/>
    <w:rsid w:val="00256B19"/>
    <w:rsid w:val="002700C0"/>
    <w:rsid w:val="00271A4F"/>
    <w:rsid w:val="00295F51"/>
    <w:rsid w:val="002A2375"/>
    <w:rsid w:val="002B027F"/>
    <w:rsid w:val="002C6986"/>
    <w:rsid w:val="003022EA"/>
    <w:rsid w:val="00331BCE"/>
    <w:rsid w:val="00333596"/>
    <w:rsid w:val="00346BA4"/>
    <w:rsid w:val="00392938"/>
    <w:rsid w:val="003C0305"/>
    <w:rsid w:val="003D5863"/>
    <w:rsid w:val="003F1DD8"/>
    <w:rsid w:val="003F731E"/>
    <w:rsid w:val="00405200"/>
    <w:rsid w:val="0041373E"/>
    <w:rsid w:val="004215DD"/>
    <w:rsid w:val="004518CC"/>
    <w:rsid w:val="00461289"/>
    <w:rsid w:val="004639C2"/>
    <w:rsid w:val="004C314C"/>
    <w:rsid w:val="004C71C9"/>
    <w:rsid w:val="004E767C"/>
    <w:rsid w:val="00516F0D"/>
    <w:rsid w:val="00556C0C"/>
    <w:rsid w:val="00576C18"/>
    <w:rsid w:val="005A3D44"/>
    <w:rsid w:val="00615EE0"/>
    <w:rsid w:val="00650276"/>
    <w:rsid w:val="00660F89"/>
    <w:rsid w:val="0068663E"/>
    <w:rsid w:val="006A67C0"/>
    <w:rsid w:val="006C507E"/>
    <w:rsid w:val="006D095C"/>
    <w:rsid w:val="006F7064"/>
    <w:rsid w:val="00702812"/>
    <w:rsid w:val="0073570F"/>
    <w:rsid w:val="00763013"/>
    <w:rsid w:val="00780A0F"/>
    <w:rsid w:val="007B3974"/>
    <w:rsid w:val="007C61E8"/>
    <w:rsid w:val="008068D5"/>
    <w:rsid w:val="00837335"/>
    <w:rsid w:val="008A1C16"/>
    <w:rsid w:val="008B522F"/>
    <w:rsid w:val="009120C9"/>
    <w:rsid w:val="00912D0A"/>
    <w:rsid w:val="00916D97"/>
    <w:rsid w:val="00917A1D"/>
    <w:rsid w:val="0098274A"/>
    <w:rsid w:val="00993D41"/>
    <w:rsid w:val="009953D2"/>
    <w:rsid w:val="009A0909"/>
    <w:rsid w:val="009C1858"/>
    <w:rsid w:val="009C3DAB"/>
    <w:rsid w:val="009C7F0E"/>
    <w:rsid w:val="009F401F"/>
    <w:rsid w:val="00A029A7"/>
    <w:rsid w:val="00A02DBF"/>
    <w:rsid w:val="00A341F8"/>
    <w:rsid w:val="00A36C2B"/>
    <w:rsid w:val="00A427EB"/>
    <w:rsid w:val="00A51087"/>
    <w:rsid w:val="00A70A46"/>
    <w:rsid w:val="00AA3A04"/>
    <w:rsid w:val="00AC07D9"/>
    <w:rsid w:val="00AC37E0"/>
    <w:rsid w:val="00AD322A"/>
    <w:rsid w:val="00B51E04"/>
    <w:rsid w:val="00B5505A"/>
    <w:rsid w:val="00B60E1E"/>
    <w:rsid w:val="00B66F4A"/>
    <w:rsid w:val="00B823EA"/>
    <w:rsid w:val="00B85AC3"/>
    <w:rsid w:val="00B9302B"/>
    <w:rsid w:val="00BB6AB1"/>
    <w:rsid w:val="00BD1CAC"/>
    <w:rsid w:val="00C00AB3"/>
    <w:rsid w:val="00C27471"/>
    <w:rsid w:val="00C47633"/>
    <w:rsid w:val="00C70B35"/>
    <w:rsid w:val="00C768F8"/>
    <w:rsid w:val="00D0293B"/>
    <w:rsid w:val="00D029B6"/>
    <w:rsid w:val="00D05C91"/>
    <w:rsid w:val="00D26FFB"/>
    <w:rsid w:val="00D425AC"/>
    <w:rsid w:val="00D96CFF"/>
    <w:rsid w:val="00DA40FA"/>
    <w:rsid w:val="00DE4782"/>
    <w:rsid w:val="00DF0F2F"/>
    <w:rsid w:val="00DF1EED"/>
    <w:rsid w:val="00DF3ABA"/>
    <w:rsid w:val="00E0749E"/>
    <w:rsid w:val="00E134FC"/>
    <w:rsid w:val="00E23601"/>
    <w:rsid w:val="00E96655"/>
    <w:rsid w:val="00EE776F"/>
    <w:rsid w:val="00F2167E"/>
    <w:rsid w:val="00F240F6"/>
    <w:rsid w:val="00F24563"/>
    <w:rsid w:val="00F342A8"/>
    <w:rsid w:val="00F82D54"/>
    <w:rsid w:val="00FA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4FE6C"/>
  <w15:chartTrackingRefBased/>
  <w15:docId w15:val="{CDCE8390-2508-1440-9E87-9A87ACC2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A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A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A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A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ABA"/>
    <w:rPr>
      <w:rFonts w:eastAsiaTheme="majorEastAsia" w:cstheme="majorBidi"/>
      <w:color w:val="272727" w:themeColor="text1" w:themeTint="D8"/>
    </w:rPr>
  </w:style>
  <w:style w:type="paragraph" w:styleId="Title">
    <w:name w:val="Title"/>
    <w:basedOn w:val="Normal"/>
    <w:next w:val="Normal"/>
    <w:link w:val="TitleChar"/>
    <w:uiPriority w:val="10"/>
    <w:qFormat/>
    <w:rsid w:val="00DF3A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A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3ABA"/>
    <w:rPr>
      <w:i/>
      <w:iCs/>
      <w:color w:val="404040" w:themeColor="text1" w:themeTint="BF"/>
    </w:rPr>
  </w:style>
  <w:style w:type="paragraph" w:styleId="ListParagraph">
    <w:name w:val="List Paragraph"/>
    <w:basedOn w:val="Normal"/>
    <w:uiPriority w:val="34"/>
    <w:qFormat/>
    <w:rsid w:val="00DF3ABA"/>
    <w:pPr>
      <w:ind w:left="720"/>
      <w:contextualSpacing/>
    </w:pPr>
  </w:style>
  <w:style w:type="character" w:styleId="IntenseEmphasis">
    <w:name w:val="Intense Emphasis"/>
    <w:basedOn w:val="DefaultParagraphFont"/>
    <w:uiPriority w:val="21"/>
    <w:qFormat/>
    <w:rsid w:val="00DF3ABA"/>
    <w:rPr>
      <w:i/>
      <w:iCs/>
      <w:color w:val="2F5496" w:themeColor="accent1" w:themeShade="BF"/>
    </w:rPr>
  </w:style>
  <w:style w:type="paragraph" w:styleId="IntenseQuote">
    <w:name w:val="Intense Quote"/>
    <w:basedOn w:val="Normal"/>
    <w:next w:val="Normal"/>
    <w:link w:val="IntenseQuoteChar"/>
    <w:uiPriority w:val="30"/>
    <w:qFormat/>
    <w:rsid w:val="00DF3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ABA"/>
    <w:rPr>
      <w:i/>
      <w:iCs/>
      <w:color w:val="2F5496" w:themeColor="accent1" w:themeShade="BF"/>
    </w:rPr>
  </w:style>
  <w:style w:type="character" w:styleId="IntenseReference">
    <w:name w:val="Intense Reference"/>
    <w:basedOn w:val="DefaultParagraphFont"/>
    <w:uiPriority w:val="32"/>
    <w:qFormat/>
    <w:rsid w:val="00DF3ABA"/>
    <w:rPr>
      <w:b/>
      <w:bCs/>
      <w:smallCaps/>
      <w:color w:val="2F5496" w:themeColor="accent1" w:themeShade="BF"/>
      <w:spacing w:val="5"/>
    </w:rPr>
  </w:style>
  <w:style w:type="character" w:styleId="Hyperlink">
    <w:name w:val="Hyperlink"/>
    <w:basedOn w:val="DefaultParagraphFont"/>
    <w:uiPriority w:val="99"/>
    <w:unhideWhenUsed/>
    <w:rsid w:val="00295F51"/>
    <w:rPr>
      <w:color w:val="0563C1" w:themeColor="hyperlink"/>
      <w:u w:val="single"/>
    </w:rPr>
  </w:style>
  <w:style w:type="character" w:styleId="UnresolvedMention">
    <w:name w:val="Unresolved Mention"/>
    <w:basedOn w:val="DefaultParagraphFont"/>
    <w:uiPriority w:val="99"/>
    <w:semiHidden/>
    <w:unhideWhenUsed/>
    <w:rsid w:val="00295F51"/>
    <w:rPr>
      <w:color w:val="605E5C"/>
      <w:shd w:val="clear" w:color="auto" w:fill="E1DFDD"/>
    </w:rPr>
  </w:style>
  <w:style w:type="paragraph" w:styleId="Caption">
    <w:name w:val="caption"/>
    <w:basedOn w:val="Normal"/>
    <w:next w:val="Normal"/>
    <w:uiPriority w:val="35"/>
    <w:unhideWhenUsed/>
    <w:qFormat/>
    <w:rsid w:val="00993D4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531289">
      <w:bodyDiv w:val="1"/>
      <w:marLeft w:val="0"/>
      <w:marRight w:val="0"/>
      <w:marTop w:val="0"/>
      <w:marBottom w:val="0"/>
      <w:divBdr>
        <w:top w:val="none" w:sz="0" w:space="0" w:color="auto"/>
        <w:left w:val="none" w:sz="0" w:space="0" w:color="auto"/>
        <w:bottom w:val="none" w:sz="0" w:space="0" w:color="auto"/>
        <w:right w:val="none" w:sz="0" w:space="0" w:color="auto"/>
      </w:divBdr>
      <w:divsChild>
        <w:div w:id="1751462118">
          <w:marLeft w:val="547"/>
          <w:marRight w:val="0"/>
          <w:marTop w:val="200"/>
          <w:marBottom w:val="120"/>
          <w:divBdr>
            <w:top w:val="none" w:sz="0" w:space="0" w:color="auto"/>
            <w:left w:val="none" w:sz="0" w:space="0" w:color="auto"/>
            <w:bottom w:val="none" w:sz="0" w:space="0" w:color="auto"/>
            <w:right w:val="none" w:sz="0" w:space="0" w:color="auto"/>
          </w:divBdr>
        </w:div>
      </w:divsChild>
    </w:div>
    <w:div w:id="350572236">
      <w:bodyDiv w:val="1"/>
      <w:marLeft w:val="0"/>
      <w:marRight w:val="0"/>
      <w:marTop w:val="0"/>
      <w:marBottom w:val="0"/>
      <w:divBdr>
        <w:top w:val="none" w:sz="0" w:space="0" w:color="auto"/>
        <w:left w:val="none" w:sz="0" w:space="0" w:color="auto"/>
        <w:bottom w:val="none" w:sz="0" w:space="0" w:color="auto"/>
        <w:right w:val="none" w:sz="0" w:space="0" w:color="auto"/>
      </w:divBdr>
      <w:divsChild>
        <w:div w:id="1702970997">
          <w:marLeft w:val="480"/>
          <w:marRight w:val="0"/>
          <w:marTop w:val="0"/>
          <w:marBottom w:val="0"/>
          <w:divBdr>
            <w:top w:val="none" w:sz="0" w:space="0" w:color="auto"/>
            <w:left w:val="none" w:sz="0" w:space="0" w:color="auto"/>
            <w:bottom w:val="none" w:sz="0" w:space="0" w:color="auto"/>
            <w:right w:val="none" w:sz="0" w:space="0" w:color="auto"/>
          </w:divBdr>
          <w:divsChild>
            <w:div w:id="13497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4019">
      <w:bodyDiv w:val="1"/>
      <w:marLeft w:val="0"/>
      <w:marRight w:val="0"/>
      <w:marTop w:val="0"/>
      <w:marBottom w:val="0"/>
      <w:divBdr>
        <w:top w:val="none" w:sz="0" w:space="0" w:color="auto"/>
        <w:left w:val="none" w:sz="0" w:space="0" w:color="auto"/>
        <w:bottom w:val="none" w:sz="0" w:space="0" w:color="auto"/>
        <w:right w:val="none" w:sz="0" w:space="0" w:color="auto"/>
      </w:divBdr>
      <w:divsChild>
        <w:div w:id="1213539798">
          <w:marLeft w:val="480"/>
          <w:marRight w:val="0"/>
          <w:marTop w:val="0"/>
          <w:marBottom w:val="0"/>
          <w:divBdr>
            <w:top w:val="none" w:sz="0" w:space="0" w:color="auto"/>
            <w:left w:val="none" w:sz="0" w:space="0" w:color="auto"/>
            <w:bottom w:val="none" w:sz="0" w:space="0" w:color="auto"/>
            <w:right w:val="none" w:sz="0" w:space="0" w:color="auto"/>
          </w:divBdr>
          <w:divsChild>
            <w:div w:id="12560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98853">
      <w:bodyDiv w:val="1"/>
      <w:marLeft w:val="0"/>
      <w:marRight w:val="0"/>
      <w:marTop w:val="0"/>
      <w:marBottom w:val="0"/>
      <w:divBdr>
        <w:top w:val="none" w:sz="0" w:space="0" w:color="auto"/>
        <w:left w:val="none" w:sz="0" w:space="0" w:color="auto"/>
        <w:bottom w:val="none" w:sz="0" w:space="0" w:color="auto"/>
        <w:right w:val="none" w:sz="0" w:space="0" w:color="auto"/>
      </w:divBdr>
      <w:divsChild>
        <w:div w:id="353072157">
          <w:marLeft w:val="480"/>
          <w:marRight w:val="0"/>
          <w:marTop w:val="0"/>
          <w:marBottom w:val="0"/>
          <w:divBdr>
            <w:top w:val="none" w:sz="0" w:space="0" w:color="auto"/>
            <w:left w:val="none" w:sz="0" w:space="0" w:color="auto"/>
            <w:bottom w:val="none" w:sz="0" w:space="0" w:color="auto"/>
            <w:right w:val="none" w:sz="0" w:space="0" w:color="auto"/>
          </w:divBdr>
          <w:divsChild>
            <w:div w:id="9963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5885">
      <w:bodyDiv w:val="1"/>
      <w:marLeft w:val="0"/>
      <w:marRight w:val="0"/>
      <w:marTop w:val="0"/>
      <w:marBottom w:val="0"/>
      <w:divBdr>
        <w:top w:val="none" w:sz="0" w:space="0" w:color="auto"/>
        <w:left w:val="none" w:sz="0" w:space="0" w:color="auto"/>
        <w:bottom w:val="none" w:sz="0" w:space="0" w:color="auto"/>
        <w:right w:val="none" w:sz="0" w:space="0" w:color="auto"/>
      </w:divBdr>
      <w:divsChild>
        <w:div w:id="1215656608">
          <w:marLeft w:val="480"/>
          <w:marRight w:val="0"/>
          <w:marTop w:val="0"/>
          <w:marBottom w:val="0"/>
          <w:divBdr>
            <w:top w:val="none" w:sz="0" w:space="0" w:color="auto"/>
            <w:left w:val="none" w:sz="0" w:space="0" w:color="auto"/>
            <w:bottom w:val="none" w:sz="0" w:space="0" w:color="auto"/>
            <w:right w:val="none" w:sz="0" w:space="0" w:color="auto"/>
          </w:divBdr>
          <w:divsChild>
            <w:div w:id="1263874962">
              <w:marLeft w:val="0"/>
              <w:marRight w:val="0"/>
              <w:marTop w:val="0"/>
              <w:marBottom w:val="0"/>
              <w:divBdr>
                <w:top w:val="none" w:sz="0" w:space="0" w:color="auto"/>
                <w:left w:val="none" w:sz="0" w:space="0" w:color="auto"/>
                <w:bottom w:val="none" w:sz="0" w:space="0" w:color="auto"/>
                <w:right w:val="none" w:sz="0" w:space="0" w:color="auto"/>
              </w:divBdr>
            </w:div>
            <w:div w:id="21078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8542">
      <w:bodyDiv w:val="1"/>
      <w:marLeft w:val="0"/>
      <w:marRight w:val="0"/>
      <w:marTop w:val="0"/>
      <w:marBottom w:val="0"/>
      <w:divBdr>
        <w:top w:val="none" w:sz="0" w:space="0" w:color="auto"/>
        <w:left w:val="none" w:sz="0" w:space="0" w:color="auto"/>
        <w:bottom w:val="none" w:sz="0" w:space="0" w:color="auto"/>
        <w:right w:val="none" w:sz="0" w:space="0" w:color="auto"/>
      </w:divBdr>
      <w:divsChild>
        <w:div w:id="963656426">
          <w:marLeft w:val="480"/>
          <w:marRight w:val="0"/>
          <w:marTop w:val="0"/>
          <w:marBottom w:val="0"/>
          <w:divBdr>
            <w:top w:val="none" w:sz="0" w:space="0" w:color="auto"/>
            <w:left w:val="none" w:sz="0" w:space="0" w:color="auto"/>
            <w:bottom w:val="none" w:sz="0" w:space="0" w:color="auto"/>
            <w:right w:val="none" w:sz="0" w:space="0" w:color="auto"/>
          </w:divBdr>
          <w:divsChild>
            <w:div w:id="1579706127">
              <w:marLeft w:val="0"/>
              <w:marRight w:val="0"/>
              <w:marTop w:val="0"/>
              <w:marBottom w:val="0"/>
              <w:divBdr>
                <w:top w:val="none" w:sz="0" w:space="0" w:color="auto"/>
                <w:left w:val="none" w:sz="0" w:space="0" w:color="auto"/>
                <w:bottom w:val="none" w:sz="0" w:space="0" w:color="auto"/>
                <w:right w:val="none" w:sz="0" w:space="0" w:color="auto"/>
              </w:divBdr>
            </w:div>
            <w:div w:id="11585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3755">
      <w:bodyDiv w:val="1"/>
      <w:marLeft w:val="0"/>
      <w:marRight w:val="0"/>
      <w:marTop w:val="0"/>
      <w:marBottom w:val="0"/>
      <w:divBdr>
        <w:top w:val="none" w:sz="0" w:space="0" w:color="auto"/>
        <w:left w:val="none" w:sz="0" w:space="0" w:color="auto"/>
        <w:bottom w:val="none" w:sz="0" w:space="0" w:color="auto"/>
        <w:right w:val="none" w:sz="0" w:space="0" w:color="auto"/>
      </w:divBdr>
      <w:divsChild>
        <w:div w:id="1966765452">
          <w:marLeft w:val="480"/>
          <w:marRight w:val="0"/>
          <w:marTop w:val="0"/>
          <w:marBottom w:val="0"/>
          <w:divBdr>
            <w:top w:val="none" w:sz="0" w:space="0" w:color="auto"/>
            <w:left w:val="none" w:sz="0" w:space="0" w:color="auto"/>
            <w:bottom w:val="none" w:sz="0" w:space="0" w:color="auto"/>
            <w:right w:val="none" w:sz="0" w:space="0" w:color="auto"/>
          </w:divBdr>
          <w:divsChild>
            <w:div w:id="54204674">
              <w:marLeft w:val="0"/>
              <w:marRight w:val="0"/>
              <w:marTop w:val="0"/>
              <w:marBottom w:val="0"/>
              <w:divBdr>
                <w:top w:val="none" w:sz="0" w:space="0" w:color="auto"/>
                <w:left w:val="none" w:sz="0" w:space="0" w:color="auto"/>
                <w:bottom w:val="none" w:sz="0" w:space="0" w:color="auto"/>
                <w:right w:val="none" w:sz="0" w:space="0" w:color="auto"/>
              </w:divBdr>
            </w:div>
            <w:div w:id="1874803760">
              <w:marLeft w:val="0"/>
              <w:marRight w:val="0"/>
              <w:marTop w:val="0"/>
              <w:marBottom w:val="0"/>
              <w:divBdr>
                <w:top w:val="none" w:sz="0" w:space="0" w:color="auto"/>
                <w:left w:val="none" w:sz="0" w:space="0" w:color="auto"/>
                <w:bottom w:val="none" w:sz="0" w:space="0" w:color="auto"/>
                <w:right w:val="none" w:sz="0" w:space="0" w:color="auto"/>
              </w:divBdr>
            </w:div>
            <w:div w:id="262691255">
              <w:marLeft w:val="0"/>
              <w:marRight w:val="0"/>
              <w:marTop w:val="0"/>
              <w:marBottom w:val="0"/>
              <w:divBdr>
                <w:top w:val="none" w:sz="0" w:space="0" w:color="auto"/>
                <w:left w:val="none" w:sz="0" w:space="0" w:color="auto"/>
                <w:bottom w:val="none" w:sz="0" w:space="0" w:color="auto"/>
                <w:right w:val="none" w:sz="0" w:space="0" w:color="auto"/>
              </w:divBdr>
            </w:div>
            <w:div w:id="1365792440">
              <w:marLeft w:val="0"/>
              <w:marRight w:val="0"/>
              <w:marTop w:val="0"/>
              <w:marBottom w:val="0"/>
              <w:divBdr>
                <w:top w:val="none" w:sz="0" w:space="0" w:color="auto"/>
                <w:left w:val="none" w:sz="0" w:space="0" w:color="auto"/>
                <w:bottom w:val="none" w:sz="0" w:space="0" w:color="auto"/>
                <w:right w:val="none" w:sz="0" w:space="0" w:color="auto"/>
              </w:divBdr>
            </w:div>
            <w:div w:id="2092044195">
              <w:marLeft w:val="0"/>
              <w:marRight w:val="0"/>
              <w:marTop w:val="0"/>
              <w:marBottom w:val="0"/>
              <w:divBdr>
                <w:top w:val="none" w:sz="0" w:space="0" w:color="auto"/>
                <w:left w:val="none" w:sz="0" w:space="0" w:color="auto"/>
                <w:bottom w:val="none" w:sz="0" w:space="0" w:color="auto"/>
                <w:right w:val="none" w:sz="0" w:space="0" w:color="auto"/>
              </w:divBdr>
            </w:div>
            <w:div w:id="2010786907">
              <w:marLeft w:val="0"/>
              <w:marRight w:val="0"/>
              <w:marTop w:val="0"/>
              <w:marBottom w:val="0"/>
              <w:divBdr>
                <w:top w:val="none" w:sz="0" w:space="0" w:color="auto"/>
                <w:left w:val="none" w:sz="0" w:space="0" w:color="auto"/>
                <w:bottom w:val="none" w:sz="0" w:space="0" w:color="auto"/>
                <w:right w:val="none" w:sz="0" w:space="0" w:color="auto"/>
              </w:divBdr>
            </w:div>
            <w:div w:id="1099253209">
              <w:marLeft w:val="0"/>
              <w:marRight w:val="0"/>
              <w:marTop w:val="0"/>
              <w:marBottom w:val="0"/>
              <w:divBdr>
                <w:top w:val="none" w:sz="0" w:space="0" w:color="auto"/>
                <w:left w:val="none" w:sz="0" w:space="0" w:color="auto"/>
                <w:bottom w:val="none" w:sz="0" w:space="0" w:color="auto"/>
                <w:right w:val="none" w:sz="0" w:space="0" w:color="auto"/>
              </w:divBdr>
            </w:div>
            <w:div w:id="1131170756">
              <w:marLeft w:val="0"/>
              <w:marRight w:val="0"/>
              <w:marTop w:val="0"/>
              <w:marBottom w:val="0"/>
              <w:divBdr>
                <w:top w:val="none" w:sz="0" w:space="0" w:color="auto"/>
                <w:left w:val="none" w:sz="0" w:space="0" w:color="auto"/>
                <w:bottom w:val="none" w:sz="0" w:space="0" w:color="auto"/>
                <w:right w:val="none" w:sz="0" w:space="0" w:color="auto"/>
              </w:divBdr>
            </w:div>
            <w:div w:id="1203707357">
              <w:marLeft w:val="0"/>
              <w:marRight w:val="0"/>
              <w:marTop w:val="0"/>
              <w:marBottom w:val="0"/>
              <w:divBdr>
                <w:top w:val="none" w:sz="0" w:space="0" w:color="auto"/>
                <w:left w:val="none" w:sz="0" w:space="0" w:color="auto"/>
                <w:bottom w:val="none" w:sz="0" w:space="0" w:color="auto"/>
                <w:right w:val="none" w:sz="0" w:space="0" w:color="auto"/>
              </w:divBdr>
            </w:div>
            <w:div w:id="1158770808">
              <w:marLeft w:val="0"/>
              <w:marRight w:val="0"/>
              <w:marTop w:val="0"/>
              <w:marBottom w:val="0"/>
              <w:divBdr>
                <w:top w:val="none" w:sz="0" w:space="0" w:color="auto"/>
                <w:left w:val="none" w:sz="0" w:space="0" w:color="auto"/>
                <w:bottom w:val="none" w:sz="0" w:space="0" w:color="auto"/>
                <w:right w:val="none" w:sz="0" w:space="0" w:color="auto"/>
              </w:divBdr>
            </w:div>
            <w:div w:id="1417945062">
              <w:marLeft w:val="0"/>
              <w:marRight w:val="0"/>
              <w:marTop w:val="0"/>
              <w:marBottom w:val="0"/>
              <w:divBdr>
                <w:top w:val="none" w:sz="0" w:space="0" w:color="auto"/>
                <w:left w:val="none" w:sz="0" w:space="0" w:color="auto"/>
                <w:bottom w:val="none" w:sz="0" w:space="0" w:color="auto"/>
                <w:right w:val="none" w:sz="0" w:space="0" w:color="auto"/>
              </w:divBdr>
            </w:div>
            <w:div w:id="11427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4893">
      <w:bodyDiv w:val="1"/>
      <w:marLeft w:val="0"/>
      <w:marRight w:val="0"/>
      <w:marTop w:val="0"/>
      <w:marBottom w:val="0"/>
      <w:divBdr>
        <w:top w:val="none" w:sz="0" w:space="0" w:color="auto"/>
        <w:left w:val="none" w:sz="0" w:space="0" w:color="auto"/>
        <w:bottom w:val="none" w:sz="0" w:space="0" w:color="auto"/>
        <w:right w:val="none" w:sz="0" w:space="0" w:color="auto"/>
      </w:divBdr>
      <w:divsChild>
        <w:div w:id="1814057679">
          <w:marLeft w:val="547"/>
          <w:marRight w:val="0"/>
          <w:marTop w:val="200"/>
          <w:marBottom w:val="120"/>
          <w:divBdr>
            <w:top w:val="none" w:sz="0" w:space="0" w:color="auto"/>
            <w:left w:val="none" w:sz="0" w:space="0" w:color="auto"/>
            <w:bottom w:val="none" w:sz="0" w:space="0" w:color="auto"/>
            <w:right w:val="none" w:sz="0" w:space="0" w:color="auto"/>
          </w:divBdr>
        </w:div>
      </w:divsChild>
    </w:div>
    <w:div w:id="1918896787">
      <w:bodyDiv w:val="1"/>
      <w:marLeft w:val="0"/>
      <w:marRight w:val="0"/>
      <w:marTop w:val="0"/>
      <w:marBottom w:val="0"/>
      <w:divBdr>
        <w:top w:val="none" w:sz="0" w:space="0" w:color="auto"/>
        <w:left w:val="none" w:sz="0" w:space="0" w:color="auto"/>
        <w:bottom w:val="none" w:sz="0" w:space="0" w:color="auto"/>
        <w:right w:val="none" w:sz="0" w:space="0" w:color="auto"/>
      </w:divBdr>
      <w:divsChild>
        <w:div w:id="34739618">
          <w:marLeft w:val="480"/>
          <w:marRight w:val="0"/>
          <w:marTop w:val="0"/>
          <w:marBottom w:val="0"/>
          <w:divBdr>
            <w:top w:val="none" w:sz="0" w:space="0" w:color="auto"/>
            <w:left w:val="none" w:sz="0" w:space="0" w:color="auto"/>
            <w:bottom w:val="none" w:sz="0" w:space="0" w:color="auto"/>
            <w:right w:val="none" w:sz="0" w:space="0" w:color="auto"/>
          </w:divBdr>
          <w:divsChild>
            <w:div w:id="14275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9545">
      <w:bodyDiv w:val="1"/>
      <w:marLeft w:val="0"/>
      <w:marRight w:val="0"/>
      <w:marTop w:val="0"/>
      <w:marBottom w:val="0"/>
      <w:divBdr>
        <w:top w:val="none" w:sz="0" w:space="0" w:color="auto"/>
        <w:left w:val="none" w:sz="0" w:space="0" w:color="auto"/>
        <w:bottom w:val="none" w:sz="0" w:space="0" w:color="auto"/>
        <w:right w:val="none" w:sz="0" w:space="0" w:color="auto"/>
      </w:divBdr>
      <w:divsChild>
        <w:div w:id="477112145">
          <w:marLeft w:val="480"/>
          <w:marRight w:val="0"/>
          <w:marTop w:val="0"/>
          <w:marBottom w:val="0"/>
          <w:divBdr>
            <w:top w:val="none" w:sz="0" w:space="0" w:color="auto"/>
            <w:left w:val="none" w:sz="0" w:space="0" w:color="auto"/>
            <w:bottom w:val="none" w:sz="0" w:space="0" w:color="auto"/>
            <w:right w:val="none" w:sz="0" w:space="0" w:color="auto"/>
          </w:divBdr>
          <w:divsChild>
            <w:div w:id="14775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029/91WR00506" TargetMode="External"/><Relationship Id="rId26" Type="http://schemas.openxmlformats.org/officeDocument/2006/relationships/hyperlink" Target="https://doi.org/10.5194/tc-11-2847-2017" TargetMode="External"/><Relationship Id="rId3" Type="http://schemas.openxmlformats.org/officeDocument/2006/relationships/settings" Target="settings.xml"/><Relationship Id="rId21" Type="http://schemas.openxmlformats.org/officeDocument/2006/relationships/hyperlink" Target="https://doi.org/10.1029/2020WR029395"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16/j.coldregions.2009.02.008" TargetMode="External"/><Relationship Id="rId25" Type="http://schemas.openxmlformats.org/officeDocument/2006/relationships/hyperlink" Target="https://doi.org/10.1002/hyp.5586" TargetMode="External"/><Relationship Id="rId2" Type="http://schemas.openxmlformats.org/officeDocument/2006/relationships/styles" Target="styles.xml"/><Relationship Id="rId16" Type="http://schemas.openxmlformats.org/officeDocument/2006/relationships/hyperlink" Target="https://doi.org/10.1023/A:1010933404324" TargetMode="External"/><Relationship Id="rId20" Type="http://schemas.openxmlformats.org/officeDocument/2006/relationships/hyperlink" Target="https://doi.org/10.1038/s43247-023-00751-3" TargetMode="External"/><Relationship Id="rId29" Type="http://schemas.openxmlformats.org/officeDocument/2006/relationships/hyperlink" Target="https://doi.org/10.1175/JHM-D-21-007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75/JHM-D-14-0177.1"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029/1999WR900251" TargetMode="External"/><Relationship Id="rId23" Type="http://schemas.openxmlformats.org/officeDocument/2006/relationships/hyperlink" Target="https://doi.org/10.1016/j.advwatres.2012.08.010" TargetMode="External"/><Relationship Id="rId28" Type="http://schemas.openxmlformats.org/officeDocument/2006/relationships/hyperlink" Target="https://doi.org/10.1038/s43017-021-00219-y" TargetMode="External"/><Relationship Id="rId10" Type="http://schemas.openxmlformats.org/officeDocument/2006/relationships/image" Target="media/image6.png"/><Relationship Id="rId19" Type="http://schemas.openxmlformats.org/officeDocument/2006/relationships/hyperlink" Target="https://doi.org/10.1111/1752-1688.1310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5281/zenodo.7012728" TargetMode="External"/><Relationship Id="rId27" Type="http://schemas.openxmlformats.org/officeDocument/2006/relationships/hyperlink" Target="https://doi.org/10.1038/s41558-020-0746-8" TargetMode="External"/><Relationship Id="rId30" Type="http://schemas.openxmlformats.org/officeDocument/2006/relationships/hyperlink" Target="https://doi.org/10.3334/ORNLDAAC/21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15</Pages>
  <Words>3169</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Shelor</dc:creator>
  <cp:keywords/>
  <dc:description/>
  <cp:lastModifiedBy>Griffin Shelor</cp:lastModifiedBy>
  <cp:revision>111</cp:revision>
  <dcterms:created xsi:type="dcterms:W3CDTF">2024-12-13T22:26:00Z</dcterms:created>
  <dcterms:modified xsi:type="dcterms:W3CDTF">2024-12-17T00:54:00Z</dcterms:modified>
</cp:coreProperties>
</file>