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63EB" w14:textId="70D4CAFC" w:rsidR="00E41D91" w:rsidRPr="001A4E13" w:rsidRDefault="00E41D91" w:rsidP="00E41D91">
      <w:pPr>
        <w:rPr>
          <w:rFonts w:ascii="Lora" w:eastAsia="Lora" w:hAnsi="Lora" w:cs="Lora"/>
          <w:b/>
          <w:color w:val="FF0000"/>
          <w:sz w:val="20"/>
          <w:szCs w:val="20"/>
        </w:rPr>
      </w:pPr>
      <w:r w:rsidRPr="001A4E13">
        <w:rPr>
          <w:rFonts w:ascii="Lora" w:eastAsia="Lora" w:hAnsi="Lora" w:cs="Lora"/>
          <w:b/>
          <w:color w:val="FF0000"/>
          <w:sz w:val="20"/>
          <w:szCs w:val="20"/>
        </w:rPr>
        <w:t>Griffin Shelor</w:t>
      </w:r>
    </w:p>
    <w:p w14:paraId="68DF3C28" w14:textId="1D831C3F" w:rsidR="00CA78C1" w:rsidRDefault="00000000">
      <w:pPr>
        <w:jc w:val="center"/>
        <w:rPr>
          <w:rFonts w:ascii="Lora" w:eastAsia="Lora" w:hAnsi="Lora" w:cs="Lora"/>
          <w:b/>
          <w:sz w:val="20"/>
          <w:szCs w:val="20"/>
        </w:rPr>
      </w:pPr>
      <w:r>
        <w:rPr>
          <w:rFonts w:ascii="Lora" w:eastAsia="Lora" w:hAnsi="Lora" w:cs="Lora"/>
          <w:b/>
          <w:sz w:val="20"/>
          <w:szCs w:val="20"/>
        </w:rPr>
        <w:t>ANSWER SHEET – Lab 1</w:t>
      </w:r>
    </w:p>
    <w:p w14:paraId="5713C244" w14:textId="77777777" w:rsidR="00CA78C1" w:rsidRDefault="00000000">
      <w:pPr>
        <w:jc w:val="center"/>
        <w:rPr>
          <w:rFonts w:ascii="Lora" w:eastAsia="Lora" w:hAnsi="Lora" w:cs="Lora"/>
          <w:b/>
          <w:sz w:val="20"/>
          <w:szCs w:val="20"/>
        </w:rPr>
      </w:pPr>
      <w:r>
        <w:rPr>
          <w:rFonts w:ascii="Lora" w:eastAsia="Lora" w:hAnsi="Lora" w:cs="Lora"/>
          <w:b/>
          <w:sz w:val="20"/>
          <w:szCs w:val="20"/>
        </w:rPr>
        <w:t>Due 9/6/2024 at 5 pm</w:t>
      </w:r>
    </w:p>
    <w:p w14:paraId="2C108E96" w14:textId="77777777" w:rsidR="00CA78C1" w:rsidRDefault="00000000">
      <w:pPr>
        <w:rPr>
          <w:rFonts w:ascii="Lora" w:eastAsia="Lora" w:hAnsi="Lora" w:cs="Lora"/>
          <w:i/>
          <w:sz w:val="20"/>
          <w:szCs w:val="20"/>
        </w:rPr>
      </w:pPr>
      <w:r>
        <w:rPr>
          <w:rFonts w:ascii="Lora" w:eastAsia="Lora" w:hAnsi="Lora" w:cs="Lora"/>
          <w:sz w:val="20"/>
          <w:szCs w:val="20"/>
        </w:rPr>
        <w:t xml:space="preserve">Complete your answers on this sheet. These correspond to the bold prompts in the main instructions document. Points allocated per answer and provided below. Upload to </w:t>
      </w:r>
      <w:proofErr w:type="spellStart"/>
      <w:r>
        <w:rPr>
          <w:rFonts w:ascii="Lora" w:eastAsia="Lora" w:hAnsi="Lora" w:cs="Lora"/>
          <w:sz w:val="20"/>
          <w:szCs w:val="20"/>
        </w:rPr>
        <w:t>WebCampus</w:t>
      </w:r>
      <w:proofErr w:type="spellEnd"/>
      <w:r>
        <w:rPr>
          <w:rFonts w:ascii="Lora" w:eastAsia="Lora" w:hAnsi="Lora" w:cs="Lora"/>
          <w:sz w:val="20"/>
          <w:szCs w:val="20"/>
        </w:rPr>
        <w:t xml:space="preserve"> to complete your submission for Lab 1. </w:t>
      </w:r>
      <w:r>
        <w:rPr>
          <w:rFonts w:ascii="Lora" w:eastAsia="Lora" w:hAnsi="Lora" w:cs="Lora"/>
          <w:i/>
          <w:sz w:val="20"/>
          <w:szCs w:val="20"/>
        </w:rPr>
        <w:t>Please type your answers in a readable color other than black.</w:t>
      </w:r>
    </w:p>
    <w:p w14:paraId="123AC8D7" w14:textId="77777777" w:rsidR="00CA78C1" w:rsidRDefault="00000000">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 xml:space="preserve">What is the projection and coordinate system of </w:t>
      </w:r>
      <w:proofErr w:type="spellStart"/>
      <w:r>
        <w:rPr>
          <w:rFonts w:ascii="Lora" w:eastAsia="Lora" w:hAnsi="Lora" w:cs="Lora"/>
          <w:b/>
          <w:color w:val="000000"/>
          <w:sz w:val="20"/>
          <w:szCs w:val="20"/>
        </w:rPr>
        <w:t>RenoSampleData</w:t>
      </w:r>
      <w:proofErr w:type="spellEnd"/>
      <w:r>
        <w:rPr>
          <w:rFonts w:ascii="Lora" w:eastAsia="Lora" w:hAnsi="Lora" w:cs="Lora"/>
          <w:b/>
          <w:color w:val="000000"/>
          <w:sz w:val="20"/>
          <w:szCs w:val="20"/>
        </w:rPr>
        <w:t>? (2 points)</w:t>
      </w:r>
    </w:p>
    <w:p w14:paraId="457940EB" w14:textId="57327F67" w:rsidR="00E41D91" w:rsidRPr="00E41D91" w:rsidRDefault="00E41D91" w:rsidP="00E41D91">
      <w:pPr>
        <w:pBdr>
          <w:top w:val="nil"/>
          <w:left w:val="nil"/>
          <w:bottom w:val="nil"/>
          <w:right w:val="nil"/>
          <w:between w:val="nil"/>
        </w:pBdr>
        <w:ind w:left="720"/>
        <w:rPr>
          <w:rFonts w:ascii="Lora" w:eastAsia="Lora" w:hAnsi="Lora" w:cs="Lora"/>
          <w:b/>
          <w:color w:val="FF0000"/>
          <w:sz w:val="20"/>
          <w:szCs w:val="20"/>
        </w:rPr>
      </w:pPr>
      <w:r>
        <w:rPr>
          <w:rFonts w:ascii="Lora" w:eastAsia="Lora" w:hAnsi="Lora" w:cs="Lora"/>
          <w:b/>
          <w:color w:val="FF0000"/>
          <w:sz w:val="20"/>
          <w:szCs w:val="20"/>
        </w:rPr>
        <w:t xml:space="preserve">The projection and coordinate system of </w:t>
      </w:r>
      <w:proofErr w:type="spellStart"/>
      <w:r>
        <w:rPr>
          <w:rFonts w:ascii="Lora" w:eastAsia="Lora" w:hAnsi="Lora" w:cs="Lora"/>
          <w:b/>
          <w:color w:val="FF0000"/>
          <w:sz w:val="20"/>
          <w:szCs w:val="20"/>
        </w:rPr>
        <w:t>RenoSampleData</w:t>
      </w:r>
      <w:proofErr w:type="spellEnd"/>
      <w:r>
        <w:rPr>
          <w:rFonts w:ascii="Lora" w:eastAsia="Lora" w:hAnsi="Lora" w:cs="Lora"/>
          <w:b/>
          <w:color w:val="FF0000"/>
          <w:sz w:val="20"/>
          <w:szCs w:val="20"/>
        </w:rPr>
        <w:t xml:space="preserve"> is USA Contiguous Albers Equal Area Conic.</w:t>
      </w:r>
    </w:p>
    <w:p w14:paraId="7437AA5B" w14:textId="77777777" w:rsidR="00CA78C1" w:rsidRDefault="00CA78C1">
      <w:pPr>
        <w:rPr>
          <w:rFonts w:ascii="Lora" w:eastAsia="Lora" w:hAnsi="Lora" w:cs="Lora"/>
          <w:b/>
          <w:sz w:val="20"/>
          <w:szCs w:val="20"/>
        </w:rPr>
      </w:pPr>
    </w:p>
    <w:p w14:paraId="168F657D" w14:textId="77777777" w:rsidR="00CA78C1" w:rsidRDefault="00000000">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Looking at the data on your screen at this point, what is one key issue with re-projecting the </w:t>
      </w:r>
      <w:proofErr w:type="spellStart"/>
      <w:r>
        <w:rPr>
          <w:rFonts w:ascii="Lora" w:eastAsia="Lora" w:hAnsi="Lora" w:cs="Lora"/>
          <w:b/>
          <w:color w:val="000000"/>
          <w:sz w:val="20"/>
          <w:szCs w:val="20"/>
        </w:rPr>
        <w:t>RenoSampleData</w:t>
      </w:r>
      <w:proofErr w:type="spellEnd"/>
      <w:r>
        <w:rPr>
          <w:rFonts w:ascii="Lora" w:eastAsia="Lora" w:hAnsi="Lora" w:cs="Lora"/>
          <w:b/>
          <w:color w:val="000000"/>
          <w:sz w:val="20"/>
          <w:szCs w:val="20"/>
        </w:rPr>
        <w:t xml:space="preserve"> to UTM as-is? (1 point)</w:t>
      </w:r>
    </w:p>
    <w:p w14:paraId="16352CA0" w14:textId="36262E98" w:rsidR="00CA78C1" w:rsidRPr="00E41D91" w:rsidRDefault="00E41D91" w:rsidP="00E41D91">
      <w:pPr>
        <w:pBdr>
          <w:top w:val="nil"/>
          <w:left w:val="nil"/>
          <w:bottom w:val="nil"/>
          <w:right w:val="nil"/>
          <w:between w:val="nil"/>
        </w:pBdr>
        <w:spacing w:after="0"/>
        <w:ind w:left="720"/>
        <w:rPr>
          <w:rFonts w:ascii="Lora" w:eastAsia="Lora" w:hAnsi="Lora" w:cs="Lora"/>
          <w:b/>
          <w:color w:val="FF0000"/>
          <w:sz w:val="20"/>
          <w:szCs w:val="20"/>
        </w:rPr>
      </w:pPr>
      <w:r>
        <w:rPr>
          <w:rFonts w:ascii="Lora" w:eastAsia="Lora" w:hAnsi="Lora" w:cs="Lora"/>
          <w:b/>
          <w:color w:val="FF0000"/>
          <w:sz w:val="20"/>
          <w:szCs w:val="20"/>
        </w:rPr>
        <w:t>It includes census block groups in California.</w:t>
      </w:r>
    </w:p>
    <w:p w14:paraId="10FDC328" w14:textId="77777777" w:rsidR="00CA78C1" w:rsidRDefault="00CA78C1">
      <w:pPr>
        <w:rPr>
          <w:rFonts w:ascii="Lora" w:eastAsia="Lora" w:hAnsi="Lora" w:cs="Lora"/>
          <w:b/>
          <w:sz w:val="20"/>
          <w:szCs w:val="20"/>
        </w:rPr>
      </w:pPr>
    </w:p>
    <w:p w14:paraId="72347E84" w14:textId="77777777" w:rsidR="00CA78C1" w:rsidRDefault="00000000">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Take a screenshot of your project/map screen that now shows only the Block Groups in Nevada, with the file name “</w:t>
      </w:r>
      <w:proofErr w:type="spellStart"/>
      <w:r>
        <w:rPr>
          <w:rFonts w:ascii="Lora" w:eastAsia="Lora" w:hAnsi="Lora" w:cs="Lora"/>
          <w:b/>
          <w:color w:val="000000"/>
          <w:sz w:val="20"/>
          <w:szCs w:val="20"/>
        </w:rPr>
        <w:t>RenoAreaBGs</w:t>
      </w:r>
      <w:proofErr w:type="spellEnd"/>
      <w:r>
        <w:rPr>
          <w:rFonts w:ascii="Lora" w:eastAsia="Lora" w:hAnsi="Lora" w:cs="Lora"/>
          <w:b/>
          <w:color w:val="000000"/>
          <w:sz w:val="20"/>
          <w:szCs w:val="20"/>
        </w:rPr>
        <w:t>.” (1 point)</w:t>
      </w:r>
    </w:p>
    <w:p w14:paraId="47102989" w14:textId="7C1B311C" w:rsidR="00E41D91" w:rsidRDefault="00C43488" w:rsidP="00E41D91">
      <w:pPr>
        <w:pBdr>
          <w:top w:val="nil"/>
          <w:left w:val="nil"/>
          <w:bottom w:val="nil"/>
          <w:right w:val="nil"/>
          <w:between w:val="nil"/>
        </w:pBdr>
        <w:ind w:left="720"/>
        <w:rPr>
          <w:rFonts w:ascii="Lora" w:eastAsia="Lora" w:hAnsi="Lora" w:cs="Lora"/>
          <w:b/>
          <w:color w:val="000000"/>
          <w:sz w:val="20"/>
          <w:szCs w:val="20"/>
        </w:rPr>
      </w:pPr>
      <w:r>
        <w:rPr>
          <w:rFonts w:ascii="Lora" w:eastAsia="Lora" w:hAnsi="Lora" w:cs="Lora"/>
          <w:b/>
          <w:noProof/>
          <w:color w:val="000000"/>
          <w:sz w:val="20"/>
          <w:szCs w:val="20"/>
        </w:rPr>
        <w:drawing>
          <wp:inline distT="0" distB="0" distL="0" distR="0" wp14:anchorId="3A37EFDD" wp14:editId="6EED33D5">
            <wp:extent cx="5943600" cy="3521075"/>
            <wp:effectExtent l="0" t="0" r="0" b="0"/>
            <wp:docPr id="157091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19664" name="Picture 15709196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p>
    <w:p w14:paraId="62E67581" w14:textId="77777777" w:rsidR="00CA78C1" w:rsidRDefault="00CA78C1">
      <w:pPr>
        <w:rPr>
          <w:rFonts w:ascii="Lora" w:eastAsia="Lora" w:hAnsi="Lora" w:cs="Lora"/>
          <w:b/>
          <w:sz w:val="20"/>
          <w:szCs w:val="20"/>
        </w:rPr>
      </w:pPr>
    </w:p>
    <w:p w14:paraId="3E36B0C0" w14:textId="77777777" w:rsidR="00CA78C1" w:rsidRDefault="00000000">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What is the projection and coordinate system of the TRINA road segment data? (1 point)</w:t>
      </w:r>
    </w:p>
    <w:p w14:paraId="4B4DC73F" w14:textId="55AC0868" w:rsidR="00C43488" w:rsidRPr="00C43488" w:rsidRDefault="00C43488" w:rsidP="00C43488">
      <w:pPr>
        <w:pBdr>
          <w:top w:val="nil"/>
          <w:left w:val="nil"/>
          <w:bottom w:val="nil"/>
          <w:right w:val="nil"/>
          <w:between w:val="nil"/>
        </w:pBdr>
        <w:spacing w:after="0"/>
        <w:ind w:left="720"/>
        <w:rPr>
          <w:rFonts w:ascii="Lora" w:eastAsia="Lora" w:hAnsi="Lora" w:cs="Lora"/>
          <w:b/>
          <w:color w:val="FF0000"/>
          <w:sz w:val="20"/>
          <w:szCs w:val="20"/>
        </w:rPr>
      </w:pPr>
      <w:r>
        <w:rPr>
          <w:rFonts w:ascii="Lora" w:eastAsia="Lora" w:hAnsi="Lora" w:cs="Lora"/>
          <w:b/>
          <w:color w:val="FF0000"/>
          <w:sz w:val="20"/>
          <w:szCs w:val="20"/>
        </w:rPr>
        <w:t>The projection and coordinate system of the TRINA data is EPSG:28911 NAD 1983 UTM Zone 11N.</w:t>
      </w:r>
    </w:p>
    <w:p w14:paraId="53279C40" w14:textId="77777777" w:rsidR="00CA78C1" w:rsidRDefault="00CA78C1">
      <w:pPr>
        <w:pBdr>
          <w:top w:val="nil"/>
          <w:left w:val="nil"/>
          <w:bottom w:val="nil"/>
          <w:right w:val="nil"/>
          <w:between w:val="nil"/>
        </w:pBdr>
        <w:ind w:left="720"/>
        <w:rPr>
          <w:rFonts w:ascii="Lora" w:eastAsia="Lora" w:hAnsi="Lora" w:cs="Lora"/>
          <w:b/>
          <w:color w:val="000000"/>
          <w:sz w:val="20"/>
          <w:szCs w:val="20"/>
        </w:rPr>
      </w:pPr>
    </w:p>
    <w:p w14:paraId="31A22FAC" w14:textId="77777777" w:rsidR="00CA78C1" w:rsidRDefault="00CA78C1">
      <w:pPr>
        <w:rPr>
          <w:rFonts w:ascii="Lora" w:eastAsia="Lora" w:hAnsi="Lora" w:cs="Lora"/>
          <w:b/>
          <w:sz w:val="20"/>
          <w:szCs w:val="20"/>
        </w:rPr>
      </w:pPr>
    </w:p>
    <w:p w14:paraId="360BACF5" w14:textId="77777777" w:rsidR="00CA78C1" w:rsidRDefault="00000000">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Do we need to reproject the TRINA road segment data to match that of the block groups? Why or why not? (2 point)</w:t>
      </w:r>
    </w:p>
    <w:p w14:paraId="6B887973" w14:textId="6C6B6421" w:rsidR="00C43488" w:rsidRPr="00C43488" w:rsidRDefault="00C43488" w:rsidP="00C43488">
      <w:pPr>
        <w:pBdr>
          <w:top w:val="nil"/>
          <w:left w:val="nil"/>
          <w:bottom w:val="nil"/>
          <w:right w:val="nil"/>
          <w:between w:val="nil"/>
        </w:pBdr>
        <w:ind w:left="720"/>
        <w:rPr>
          <w:rFonts w:ascii="Lora" w:eastAsia="Lora" w:hAnsi="Lora" w:cs="Lora"/>
          <w:b/>
          <w:color w:val="FF0000"/>
          <w:sz w:val="20"/>
          <w:szCs w:val="20"/>
        </w:rPr>
      </w:pPr>
      <w:r>
        <w:rPr>
          <w:rFonts w:ascii="Lora" w:eastAsia="Lora" w:hAnsi="Lora" w:cs="Lora"/>
          <w:b/>
          <w:color w:val="FF0000"/>
          <w:sz w:val="20"/>
          <w:szCs w:val="20"/>
        </w:rPr>
        <w:t>No, we do not need to reproject the TRINA data because the EPSG code already matches that of the block groups.</w:t>
      </w:r>
    </w:p>
    <w:p w14:paraId="78F6F3D0" w14:textId="77777777" w:rsidR="00CA78C1" w:rsidRDefault="00CA78C1">
      <w:pPr>
        <w:rPr>
          <w:rFonts w:ascii="Lora" w:eastAsia="Lora" w:hAnsi="Lora" w:cs="Lora"/>
          <w:b/>
          <w:sz w:val="20"/>
          <w:szCs w:val="20"/>
        </w:rPr>
      </w:pPr>
    </w:p>
    <w:p w14:paraId="34F47756" w14:textId="77777777" w:rsidR="00CA78C1" w:rsidRDefault="00000000">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Place a screenshot below, confirming that the only layers you should now have in your project are the </w:t>
      </w:r>
      <w:proofErr w:type="spellStart"/>
      <w:r>
        <w:rPr>
          <w:rFonts w:ascii="Lora" w:eastAsia="Lora" w:hAnsi="Lora" w:cs="Lora"/>
          <w:b/>
          <w:color w:val="000000"/>
          <w:sz w:val="20"/>
          <w:szCs w:val="20"/>
        </w:rPr>
        <w:t>RenoAreaBGs</w:t>
      </w:r>
      <w:proofErr w:type="spellEnd"/>
      <w:r>
        <w:rPr>
          <w:rFonts w:ascii="Lora" w:eastAsia="Lora" w:hAnsi="Lora" w:cs="Lora"/>
          <w:b/>
          <w:color w:val="000000"/>
          <w:sz w:val="20"/>
          <w:szCs w:val="20"/>
        </w:rPr>
        <w:t xml:space="preserve"> and the </w:t>
      </w:r>
      <w:proofErr w:type="spellStart"/>
      <w:r>
        <w:rPr>
          <w:rFonts w:ascii="Lora" w:eastAsia="Lora" w:hAnsi="Lora" w:cs="Lora"/>
          <w:b/>
          <w:color w:val="000000"/>
          <w:sz w:val="20"/>
          <w:szCs w:val="20"/>
        </w:rPr>
        <w:t>RenoAreaTRINA</w:t>
      </w:r>
      <w:proofErr w:type="spellEnd"/>
      <w:r>
        <w:rPr>
          <w:rFonts w:ascii="Lora" w:eastAsia="Lora" w:hAnsi="Lora" w:cs="Lora"/>
          <w:b/>
          <w:color w:val="000000"/>
          <w:sz w:val="20"/>
          <w:szCs w:val="20"/>
        </w:rPr>
        <w:t xml:space="preserve"> data </w:t>
      </w:r>
      <w:r>
        <w:rPr>
          <w:rFonts w:ascii="Lora" w:eastAsia="Lora" w:hAnsi="Lora" w:cs="Lora"/>
          <w:b/>
          <w:sz w:val="20"/>
          <w:szCs w:val="20"/>
        </w:rPr>
        <w:t>(i.e. show filenames).</w:t>
      </w:r>
      <w:r>
        <w:rPr>
          <w:rFonts w:ascii="Lora" w:eastAsia="Lora" w:hAnsi="Lora" w:cs="Lora"/>
          <w:b/>
          <w:color w:val="000000"/>
          <w:sz w:val="20"/>
          <w:szCs w:val="20"/>
        </w:rPr>
        <w:t xml:space="preserve"> (1 point)</w:t>
      </w:r>
    </w:p>
    <w:p w14:paraId="2192F2FD" w14:textId="4536AF0D" w:rsidR="00CA78C1" w:rsidRDefault="00400FF5">
      <w:pPr>
        <w:pBdr>
          <w:top w:val="nil"/>
          <w:left w:val="nil"/>
          <w:bottom w:val="nil"/>
          <w:right w:val="nil"/>
          <w:between w:val="nil"/>
        </w:pBdr>
        <w:ind w:left="720"/>
        <w:rPr>
          <w:rFonts w:ascii="Lora" w:eastAsia="Lora" w:hAnsi="Lora" w:cs="Lora"/>
          <w:b/>
          <w:color w:val="000000"/>
          <w:sz w:val="20"/>
          <w:szCs w:val="20"/>
        </w:rPr>
      </w:pPr>
      <w:r>
        <w:rPr>
          <w:rFonts w:ascii="Lora" w:eastAsia="Lora" w:hAnsi="Lora" w:cs="Lora"/>
          <w:b/>
          <w:noProof/>
          <w:color w:val="000000"/>
          <w:sz w:val="20"/>
          <w:szCs w:val="20"/>
        </w:rPr>
        <w:drawing>
          <wp:inline distT="0" distB="0" distL="0" distR="0" wp14:anchorId="5DE64F3A" wp14:editId="1E5C5E5A">
            <wp:extent cx="5943600" cy="3434080"/>
            <wp:effectExtent l="0" t="0" r="0" b="0"/>
            <wp:docPr id="11729918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181"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34080"/>
                    </a:xfrm>
                    <a:prstGeom prst="rect">
                      <a:avLst/>
                    </a:prstGeom>
                  </pic:spPr>
                </pic:pic>
              </a:graphicData>
            </a:graphic>
          </wp:inline>
        </w:drawing>
      </w:r>
    </w:p>
    <w:p w14:paraId="1D809819" w14:textId="77777777" w:rsidR="00CA78C1" w:rsidRDefault="00CA78C1">
      <w:pPr>
        <w:rPr>
          <w:rFonts w:ascii="Lora" w:eastAsia="Lora" w:hAnsi="Lora" w:cs="Lora"/>
          <w:b/>
          <w:sz w:val="20"/>
          <w:szCs w:val="20"/>
        </w:rPr>
      </w:pPr>
    </w:p>
    <w:p w14:paraId="6957B5CB" w14:textId="77777777" w:rsidR="00CA78C1" w:rsidRDefault="00000000">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What is the Raster Calculator Expression that you entered to convert the cell values from meters to feet?  (2 points)</w:t>
      </w:r>
    </w:p>
    <w:p w14:paraId="4682AE0F" w14:textId="6933D052" w:rsidR="00400FF5" w:rsidRPr="006E1273" w:rsidRDefault="006E1273" w:rsidP="00400FF5">
      <w:pPr>
        <w:pBdr>
          <w:top w:val="nil"/>
          <w:left w:val="nil"/>
          <w:bottom w:val="nil"/>
          <w:right w:val="nil"/>
          <w:between w:val="nil"/>
        </w:pBdr>
        <w:ind w:left="720"/>
        <w:rPr>
          <w:rFonts w:ascii="Lora" w:eastAsia="Lora" w:hAnsi="Lora" w:cs="Lora"/>
          <w:b/>
          <w:color w:val="FF0000"/>
          <w:sz w:val="20"/>
          <w:szCs w:val="20"/>
        </w:rPr>
      </w:pPr>
      <w:r w:rsidRPr="006E1273">
        <w:rPr>
          <w:rFonts w:ascii="Lora" w:eastAsia="Lora" w:hAnsi="Lora" w:cs="Lora"/>
          <w:b/>
          <w:color w:val="FF0000"/>
          <w:sz w:val="20"/>
          <w:szCs w:val="20"/>
        </w:rPr>
        <w:t>"USGS_13_n40w120@1" * 3.2808399</w:t>
      </w:r>
    </w:p>
    <w:p w14:paraId="64E62E38" w14:textId="77777777" w:rsidR="00CA78C1" w:rsidRDefault="00CA78C1">
      <w:pPr>
        <w:rPr>
          <w:rFonts w:ascii="Lora" w:eastAsia="Lora" w:hAnsi="Lora" w:cs="Lora"/>
          <w:b/>
          <w:sz w:val="20"/>
          <w:szCs w:val="20"/>
        </w:rPr>
      </w:pPr>
    </w:p>
    <w:p w14:paraId="18B746D0" w14:textId="4B1E5C15" w:rsidR="00CA78C1" w:rsidRDefault="00000000" w:rsidP="006E1273">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What is the Raster Calculator Expression that you entered to isolate all raster cells with an elevation greater than 5,000 feet? (2 points)</w:t>
      </w:r>
    </w:p>
    <w:p w14:paraId="597381CA" w14:textId="24D93F86" w:rsidR="006E1273" w:rsidRPr="006E1273" w:rsidRDefault="006E1273" w:rsidP="006E1273">
      <w:pPr>
        <w:pBdr>
          <w:top w:val="nil"/>
          <w:left w:val="nil"/>
          <w:bottom w:val="nil"/>
          <w:right w:val="nil"/>
          <w:between w:val="nil"/>
        </w:pBdr>
        <w:spacing w:after="0"/>
        <w:ind w:left="720"/>
        <w:rPr>
          <w:rFonts w:ascii="Lora" w:eastAsia="Lora" w:hAnsi="Lora" w:cs="Lora"/>
          <w:b/>
          <w:color w:val="FF0000"/>
          <w:sz w:val="20"/>
          <w:szCs w:val="20"/>
        </w:rPr>
      </w:pPr>
      <w:r w:rsidRPr="006E1273">
        <w:rPr>
          <w:rFonts w:ascii="Lora" w:eastAsia="Lora" w:hAnsi="Lora" w:cs="Lora"/>
          <w:b/>
          <w:color w:val="FF0000"/>
          <w:sz w:val="20"/>
          <w:szCs w:val="20"/>
        </w:rPr>
        <w:t>"DEMft@1" &gt;= 5000</w:t>
      </w:r>
    </w:p>
    <w:p w14:paraId="4A2447CB" w14:textId="77777777" w:rsidR="00CA78C1" w:rsidRDefault="00CA78C1">
      <w:pPr>
        <w:rPr>
          <w:rFonts w:ascii="Lora" w:eastAsia="Lora" w:hAnsi="Lora" w:cs="Lora"/>
          <w:b/>
          <w:sz w:val="20"/>
          <w:szCs w:val="20"/>
        </w:rPr>
      </w:pPr>
    </w:p>
    <w:p w14:paraId="6CE3135B" w14:textId="77777777" w:rsidR="00CA78C1" w:rsidRDefault="00000000">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 xml:space="preserve">Take a screenshot and place below, showing these three layers on your map </w:t>
      </w:r>
      <w:r>
        <w:rPr>
          <w:rFonts w:ascii="Lora" w:eastAsia="Lora" w:hAnsi="Lora" w:cs="Lora"/>
          <w:b/>
          <w:sz w:val="20"/>
          <w:szCs w:val="20"/>
        </w:rPr>
        <w:t>and the filenames</w:t>
      </w:r>
      <w:r>
        <w:rPr>
          <w:rFonts w:ascii="Lora" w:eastAsia="Lora" w:hAnsi="Lora" w:cs="Lora"/>
          <w:b/>
          <w:color w:val="000000"/>
          <w:sz w:val="20"/>
          <w:szCs w:val="20"/>
        </w:rPr>
        <w:t xml:space="preserve"> (1 point).</w:t>
      </w:r>
    </w:p>
    <w:p w14:paraId="39449A24" w14:textId="2568DD84" w:rsidR="008767B4" w:rsidRDefault="008767B4" w:rsidP="008767B4">
      <w:pPr>
        <w:pBdr>
          <w:top w:val="nil"/>
          <w:left w:val="nil"/>
          <w:bottom w:val="nil"/>
          <w:right w:val="nil"/>
          <w:between w:val="nil"/>
        </w:pBdr>
        <w:ind w:left="720"/>
        <w:rPr>
          <w:rFonts w:ascii="Lora" w:eastAsia="Lora" w:hAnsi="Lora" w:cs="Lora"/>
          <w:b/>
          <w:color w:val="000000"/>
          <w:sz w:val="20"/>
          <w:szCs w:val="20"/>
        </w:rPr>
      </w:pPr>
      <w:r>
        <w:rPr>
          <w:rFonts w:ascii="Lora" w:eastAsia="Lora" w:hAnsi="Lora" w:cs="Lora"/>
          <w:b/>
          <w:noProof/>
          <w:color w:val="000000"/>
          <w:sz w:val="20"/>
          <w:szCs w:val="20"/>
        </w:rPr>
        <w:lastRenderedPageBreak/>
        <w:drawing>
          <wp:inline distT="0" distB="0" distL="0" distR="0" wp14:anchorId="4306CF38" wp14:editId="4163C0C0">
            <wp:extent cx="5943600" cy="3442970"/>
            <wp:effectExtent l="0" t="0" r="0" b="0"/>
            <wp:docPr id="1569996745"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96745" name="Picture 3" descr="A map of the united stat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42970"/>
                    </a:xfrm>
                    <a:prstGeom prst="rect">
                      <a:avLst/>
                    </a:prstGeom>
                  </pic:spPr>
                </pic:pic>
              </a:graphicData>
            </a:graphic>
          </wp:inline>
        </w:drawing>
      </w:r>
    </w:p>
    <w:p w14:paraId="5E6A7761" w14:textId="77777777" w:rsidR="00CA78C1" w:rsidRDefault="00CA78C1">
      <w:pPr>
        <w:rPr>
          <w:rFonts w:ascii="Lora" w:eastAsia="Lora" w:hAnsi="Lora" w:cs="Lora"/>
          <w:b/>
          <w:sz w:val="20"/>
          <w:szCs w:val="20"/>
        </w:rPr>
      </w:pPr>
    </w:p>
    <w:p w14:paraId="35729EAD" w14:textId="77777777" w:rsidR="00CA78C1" w:rsidRDefault="00000000">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Examine these – where are these road segments? What parts of our road network are they on? Are these areas where you have encountered problems when traveling through snow? (1 point)</w:t>
      </w:r>
    </w:p>
    <w:p w14:paraId="63EEA365" w14:textId="4ED74473" w:rsidR="008767B4" w:rsidRPr="008767B4" w:rsidRDefault="008767B4" w:rsidP="008767B4">
      <w:pPr>
        <w:pBdr>
          <w:top w:val="nil"/>
          <w:left w:val="nil"/>
          <w:bottom w:val="nil"/>
          <w:right w:val="nil"/>
          <w:between w:val="nil"/>
        </w:pBdr>
        <w:spacing w:after="0"/>
        <w:ind w:left="720"/>
        <w:rPr>
          <w:rFonts w:ascii="Lora" w:eastAsia="Lora" w:hAnsi="Lora" w:cs="Lora"/>
          <w:b/>
          <w:color w:val="FF0000"/>
          <w:sz w:val="20"/>
          <w:szCs w:val="20"/>
        </w:rPr>
      </w:pPr>
      <w:r>
        <w:rPr>
          <w:rFonts w:ascii="Lora" w:eastAsia="Lora" w:hAnsi="Lora" w:cs="Lora"/>
          <w:b/>
          <w:color w:val="FF0000"/>
          <w:sz w:val="20"/>
          <w:szCs w:val="20"/>
        </w:rPr>
        <w:t xml:space="preserve">These road segments are mostly in the southern and northern portions of the Reno area, </w:t>
      </w:r>
      <w:r w:rsidR="00A15342">
        <w:rPr>
          <w:rFonts w:ascii="Lora" w:eastAsia="Lora" w:hAnsi="Lora" w:cs="Lora"/>
          <w:b/>
          <w:color w:val="FF0000"/>
          <w:sz w:val="20"/>
          <w:szCs w:val="20"/>
        </w:rPr>
        <w:t xml:space="preserve">moving in directions that head either to or away from the mountains located to the west in the Lake Tahoe area. They appear to be highways leading in and out of Reno. I have not encountered problems here when traveling through snow but that is largely because I am </w:t>
      </w:r>
      <w:proofErr w:type="gramStart"/>
      <w:r w:rsidR="00A15342">
        <w:rPr>
          <w:rFonts w:ascii="Lora" w:eastAsia="Lora" w:hAnsi="Lora" w:cs="Lora"/>
          <w:b/>
          <w:color w:val="FF0000"/>
          <w:sz w:val="20"/>
          <w:szCs w:val="20"/>
        </w:rPr>
        <w:t>well aware</w:t>
      </w:r>
      <w:proofErr w:type="gramEnd"/>
      <w:r w:rsidR="00A15342">
        <w:rPr>
          <w:rFonts w:ascii="Lora" w:eastAsia="Lora" w:hAnsi="Lora" w:cs="Lora"/>
          <w:b/>
          <w:color w:val="FF0000"/>
          <w:sz w:val="20"/>
          <w:szCs w:val="20"/>
        </w:rPr>
        <w:t xml:space="preserve"> I reasonably could encounter problems and so I simply avoid driving in these areas when it is snowing.</w:t>
      </w:r>
    </w:p>
    <w:p w14:paraId="093E35E8" w14:textId="77777777" w:rsidR="00CA78C1" w:rsidRDefault="00CA78C1" w:rsidP="00A15342">
      <w:pPr>
        <w:pBdr>
          <w:top w:val="nil"/>
          <w:left w:val="nil"/>
          <w:bottom w:val="nil"/>
          <w:right w:val="nil"/>
          <w:between w:val="nil"/>
        </w:pBdr>
        <w:rPr>
          <w:rFonts w:ascii="Lora" w:eastAsia="Lora" w:hAnsi="Lora" w:cs="Lora"/>
          <w:b/>
          <w:color w:val="000000"/>
          <w:sz w:val="20"/>
          <w:szCs w:val="20"/>
        </w:rPr>
      </w:pPr>
    </w:p>
    <w:p w14:paraId="32A6BDB4" w14:textId="77777777" w:rsidR="00CA78C1" w:rsidRDefault="00000000">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How many block groups are there that intersect with the top 10 highest AADT road segments above 5000 feet in our region? (1 point)</w:t>
      </w:r>
    </w:p>
    <w:p w14:paraId="02455AFF" w14:textId="79EAD4E4" w:rsidR="00A15342" w:rsidRPr="00A15342" w:rsidRDefault="00A15342" w:rsidP="00A15342">
      <w:pPr>
        <w:pBdr>
          <w:top w:val="nil"/>
          <w:left w:val="nil"/>
          <w:bottom w:val="nil"/>
          <w:right w:val="nil"/>
          <w:between w:val="nil"/>
        </w:pBdr>
        <w:ind w:left="720"/>
        <w:rPr>
          <w:rFonts w:ascii="Lora" w:eastAsia="Lora" w:hAnsi="Lora" w:cs="Lora"/>
          <w:b/>
          <w:color w:val="FF0000"/>
          <w:sz w:val="20"/>
          <w:szCs w:val="20"/>
        </w:rPr>
      </w:pPr>
      <w:r>
        <w:rPr>
          <w:rFonts w:ascii="Lora" w:eastAsia="Lora" w:hAnsi="Lora" w:cs="Lora"/>
          <w:b/>
          <w:color w:val="FF0000"/>
          <w:sz w:val="20"/>
          <w:szCs w:val="20"/>
        </w:rPr>
        <w:t>There are 11 block groups which intersect with the top 10 highest AADT road segments above 5000 ft in our region.</w:t>
      </w:r>
    </w:p>
    <w:p w14:paraId="41C8739D" w14:textId="77777777" w:rsidR="00CA78C1" w:rsidRDefault="00CA78C1">
      <w:pPr>
        <w:rPr>
          <w:rFonts w:ascii="Lora" w:eastAsia="Lora" w:hAnsi="Lora" w:cs="Lora"/>
          <w:b/>
          <w:sz w:val="20"/>
          <w:szCs w:val="20"/>
        </w:rPr>
      </w:pPr>
    </w:p>
    <w:p w14:paraId="420823FA" w14:textId="77777777" w:rsidR="00CA78C1" w:rsidRDefault="00000000">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Take a screenshot of the map of selection output below, showing the block groups clearly. (1 point)</w:t>
      </w:r>
    </w:p>
    <w:p w14:paraId="4009B0FC" w14:textId="379EB3A4" w:rsidR="00A15342" w:rsidRDefault="00A15342" w:rsidP="00A15342">
      <w:pPr>
        <w:pBdr>
          <w:top w:val="nil"/>
          <w:left w:val="nil"/>
          <w:bottom w:val="nil"/>
          <w:right w:val="nil"/>
          <w:between w:val="nil"/>
        </w:pBdr>
        <w:ind w:left="720"/>
        <w:rPr>
          <w:rFonts w:ascii="Lora" w:eastAsia="Lora" w:hAnsi="Lora" w:cs="Lora"/>
          <w:b/>
          <w:color w:val="000000"/>
          <w:sz w:val="20"/>
          <w:szCs w:val="20"/>
        </w:rPr>
      </w:pPr>
      <w:r>
        <w:rPr>
          <w:rFonts w:ascii="Lora" w:eastAsia="Lora" w:hAnsi="Lora" w:cs="Lora"/>
          <w:b/>
          <w:noProof/>
          <w:color w:val="000000"/>
          <w:sz w:val="20"/>
          <w:szCs w:val="20"/>
        </w:rPr>
        <w:lastRenderedPageBreak/>
        <w:drawing>
          <wp:inline distT="0" distB="0" distL="0" distR="0" wp14:anchorId="5E5E67E7" wp14:editId="1EE2F107">
            <wp:extent cx="5943600" cy="3521075"/>
            <wp:effectExtent l="0" t="0" r="0" b="0"/>
            <wp:docPr id="68470740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07402" name="Picture 4"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p>
    <w:p w14:paraId="4D5914C5" w14:textId="77777777" w:rsidR="00CA78C1" w:rsidRDefault="00CA78C1">
      <w:pPr>
        <w:rPr>
          <w:rFonts w:ascii="Lora" w:eastAsia="Lora" w:hAnsi="Lora" w:cs="Lora"/>
          <w:b/>
          <w:sz w:val="20"/>
          <w:szCs w:val="20"/>
        </w:rPr>
      </w:pPr>
    </w:p>
    <w:p w14:paraId="6D7EB96F" w14:textId="24AD3E04" w:rsidR="00CA78C1" w:rsidRDefault="00000000">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Fill in the following table to complete the assignment. We want to produce some summary statistics for the block groups that intersect with the 10 highest AADT road segments above 5000 feet and compare these to the summary statistics of the other block groups in the region, to see if there are any notable differences. Several helpful tips to complete this can be found below the table. </w:t>
      </w:r>
    </w:p>
    <w:p w14:paraId="319CB86F" w14:textId="77777777" w:rsidR="00CA78C1" w:rsidRDefault="00CA78C1">
      <w:pPr>
        <w:pBdr>
          <w:top w:val="nil"/>
          <w:left w:val="nil"/>
          <w:bottom w:val="nil"/>
          <w:right w:val="nil"/>
          <w:between w:val="nil"/>
        </w:pBdr>
        <w:spacing w:after="0"/>
        <w:ind w:left="720"/>
        <w:rPr>
          <w:rFonts w:ascii="Lora" w:eastAsia="Lora" w:hAnsi="Lora" w:cs="Lora"/>
          <w:b/>
          <w:color w:val="000000"/>
          <w:sz w:val="20"/>
          <w:szCs w:val="20"/>
        </w:rPr>
      </w:pPr>
    </w:p>
    <w:p w14:paraId="645C3D62" w14:textId="77777777" w:rsidR="00CA78C1" w:rsidRDefault="00000000">
      <w:pPr>
        <w:pBdr>
          <w:top w:val="nil"/>
          <w:left w:val="nil"/>
          <w:bottom w:val="nil"/>
          <w:right w:val="nil"/>
          <w:between w:val="nil"/>
        </w:pBdr>
        <w:ind w:left="720"/>
        <w:rPr>
          <w:rFonts w:ascii="Lora" w:eastAsia="Lora" w:hAnsi="Lora" w:cs="Lora"/>
          <w:b/>
          <w:color w:val="000000"/>
          <w:sz w:val="20"/>
          <w:szCs w:val="20"/>
        </w:rPr>
      </w:pPr>
      <w:r>
        <w:rPr>
          <w:rFonts w:ascii="Lora" w:eastAsia="Lora" w:hAnsi="Lora" w:cs="Lora"/>
          <w:b/>
          <w:color w:val="000000"/>
          <w:sz w:val="20"/>
          <w:szCs w:val="20"/>
        </w:rPr>
        <w:t>(6 points, 1/3 point for each cell in the table)</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5"/>
        <w:gridCol w:w="1207"/>
        <w:gridCol w:w="1158"/>
        <w:gridCol w:w="1240"/>
        <w:gridCol w:w="1180"/>
        <w:gridCol w:w="1180"/>
        <w:gridCol w:w="1180"/>
      </w:tblGrid>
      <w:tr w:rsidR="00CA78C1" w14:paraId="60D22ACF" w14:textId="77777777">
        <w:tc>
          <w:tcPr>
            <w:tcW w:w="2205" w:type="dxa"/>
          </w:tcPr>
          <w:p w14:paraId="41ABC83F" w14:textId="77777777" w:rsidR="00CA78C1" w:rsidRDefault="00CA78C1">
            <w:pPr>
              <w:jc w:val="center"/>
              <w:rPr>
                <w:rFonts w:ascii="Lora" w:eastAsia="Lora" w:hAnsi="Lora" w:cs="Lora"/>
                <w:b/>
                <w:sz w:val="20"/>
                <w:szCs w:val="20"/>
              </w:rPr>
            </w:pPr>
          </w:p>
        </w:tc>
        <w:tc>
          <w:tcPr>
            <w:tcW w:w="3605" w:type="dxa"/>
            <w:gridSpan w:val="3"/>
          </w:tcPr>
          <w:p w14:paraId="762DE516" w14:textId="77777777" w:rsidR="00CA78C1" w:rsidRDefault="00000000">
            <w:pPr>
              <w:jc w:val="center"/>
              <w:rPr>
                <w:rFonts w:ascii="Lora" w:eastAsia="Lora" w:hAnsi="Lora" w:cs="Lora"/>
                <w:b/>
                <w:sz w:val="20"/>
                <w:szCs w:val="20"/>
              </w:rPr>
            </w:pPr>
            <w:r>
              <w:rPr>
                <w:rFonts w:ascii="Lora" w:eastAsia="Lora" w:hAnsi="Lora" w:cs="Lora"/>
                <w:b/>
                <w:sz w:val="20"/>
                <w:szCs w:val="20"/>
              </w:rPr>
              <w:t>Block Groups with 10 highest AADT road segments</w:t>
            </w:r>
          </w:p>
        </w:tc>
        <w:tc>
          <w:tcPr>
            <w:tcW w:w="3540" w:type="dxa"/>
            <w:gridSpan w:val="3"/>
          </w:tcPr>
          <w:p w14:paraId="59BA72C7" w14:textId="77777777" w:rsidR="00CA78C1" w:rsidRDefault="00000000">
            <w:pPr>
              <w:jc w:val="center"/>
              <w:rPr>
                <w:rFonts w:ascii="Lora" w:eastAsia="Lora" w:hAnsi="Lora" w:cs="Lora"/>
                <w:b/>
                <w:sz w:val="20"/>
                <w:szCs w:val="20"/>
              </w:rPr>
            </w:pPr>
            <w:r>
              <w:rPr>
                <w:rFonts w:ascii="Lora" w:eastAsia="Lora" w:hAnsi="Lora" w:cs="Lora"/>
                <w:b/>
                <w:sz w:val="20"/>
                <w:szCs w:val="20"/>
              </w:rPr>
              <w:t>Other Block Groups in the region</w:t>
            </w:r>
          </w:p>
        </w:tc>
      </w:tr>
      <w:tr w:rsidR="00CA78C1" w14:paraId="713762E9" w14:textId="77777777">
        <w:tc>
          <w:tcPr>
            <w:tcW w:w="2205" w:type="dxa"/>
          </w:tcPr>
          <w:p w14:paraId="79C14454" w14:textId="77777777" w:rsidR="00CA78C1" w:rsidRDefault="00CA78C1">
            <w:pPr>
              <w:jc w:val="center"/>
              <w:rPr>
                <w:rFonts w:ascii="Lora" w:eastAsia="Lora" w:hAnsi="Lora" w:cs="Lora"/>
                <w:b/>
                <w:sz w:val="20"/>
                <w:szCs w:val="20"/>
              </w:rPr>
            </w:pPr>
          </w:p>
        </w:tc>
        <w:tc>
          <w:tcPr>
            <w:tcW w:w="1207" w:type="dxa"/>
          </w:tcPr>
          <w:p w14:paraId="06673165" w14:textId="77777777" w:rsidR="00CA78C1" w:rsidRDefault="00000000">
            <w:pPr>
              <w:jc w:val="center"/>
              <w:rPr>
                <w:rFonts w:ascii="Lora" w:eastAsia="Lora" w:hAnsi="Lora" w:cs="Lora"/>
                <w:b/>
                <w:sz w:val="20"/>
                <w:szCs w:val="20"/>
              </w:rPr>
            </w:pPr>
            <w:r>
              <w:rPr>
                <w:rFonts w:ascii="Lora" w:eastAsia="Lora" w:hAnsi="Lora" w:cs="Lora"/>
                <w:b/>
                <w:sz w:val="20"/>
                <w:szCs w:val="20"/>
              </w:rPr>
              <w:t>Median</w:t>
            </w:r>
          </w:p>
        </w:tc>
        <w:tc>
          <w:tcPr>
            <w:tcW w:w="1158" w:type="dxa"/>
          </w:tcPr>
          <w:p w14:paraId="3FDEB24E" w14:textId="77777777" w:rsidR="00CA78C1" w:rsidRDefault="00000000">
            <w:pPr>
              <w:jc w:val="center"/>
              <w:rPr>
                <w:rFonts w:ascii="Lora" w:eastAsia="Lora" w:hAnsi="Lora" w:cs="Lora"/>
                <w:b/>
                <w:sz w:val="20"/>
                <w:szCs w:val="20"/>
              </w:rPr>
            </w:pPr>
            <w:r>
              <w:rPr>
                <w:rFonts w:ascii="Lora" w:eastAsia="Lora" w:hAnsi="Lora" w:cs="Lora"/>
                <w:b/>
                <w:sz w:val="20"/>
                <w:szCs w:val="20"/>
              </w:rPr>
              <w:t>Min</w:t>
            </w:r>
          </w:p>
        </w:tc>
        <w:tc>
          <w:tcPr>
            <w:tcW w:w="1240" w:type="dxa"/>
          </w:tcPr>
          <w:p w14:paraId="5D6B202B" w14:textId="77777777" w:rsidR="00CA78C1" w:rsidRDefault="00000000">
            <w:pPr>
              <w:jc w:val="center"/>
              <w:rPr>
                <w:rFonts w:ascii="Lora" w:eastAsia="Lora" w:hAnsi="Lora" w:cs="Lora"/>
                <w:b/>
                <w:sz w:val="20"/>
                <w:szCs w:val="20"/>
              </w:rPr>
            </w:pPr>
            <w:r>
              <w:rPr>
                <w:rFonts w:ascii="Lora" w:eastAsia="Lora" w:hAnsi="Lora" w:cs="Lora"/>
                <w:b/>
                <w:sz w:val="20"/>
                <w:szCs w:val="20"/>
              </w:rPr>
              <w:t>Max</w:t>
            </w:r>
          </w:p>
        </w:tc>
        <w:tc>
          <w:tcPr>
            <w:tcW w:w="1180" w:type="dxa"/>
          </w:tcPr>
          <w:p w14:paraId="71BDF68C" w14:textId="77777777" w:rsidR="00CA78C1" w:rsidRDefault="00000000">
            <w:pPr>
              <w:jc w:val="center"/>
              <w:rPr>
                <w:rFonts w:ascii="Lora" w:eastAsia="Lora" w:hAnsi="Lora" w:cs="Lora"/>
                <w:b/>
                <w:sz w:val="20"/>
                <w:szCs w:val="20"/>
              </w:rPr>
            </w:pPr>
            <w:r>
              <w:rPr>
                <w:rFonts w:ascii="Lora" w:eastAsia="Lora" w:hAnsi="Lora" w:cs="Lora"/>
                <w:b/>
                <w:sz w:val="20"/>
                <w:szCs w:val="20"/>
              </w:rPr>
              <w:t>Median</w:t>
            </w:r>
          </w:p>
        </w:tc>
        <w:tc>
          <w:tcPr>
            <w:tcW w:w="1180" w:type="dxa"/>
          </w:tcPr>
          <w:p w14:paraId="1FA84C67" w14:textId="77777777" w:rsidR="00CA78C1" w:rsidRDefault="00000000">
            <w:pPr>
              <w:jc w:val="center"/>
              <w:rPr>
                <w:rFonts w:ascii="Lora" w:eastAsia="Lora" w:hAnsi="Lora" w:cs="Lora"/>
                <w:b/>
                <w:sz w:val="20"/>
                <w:szCs w:val="20"/>
              </w:rPr>
            </w:pPr>
            <w:r>
              <w:rPr>
                <w:rFonts w:ascii="Lora" w:eastAsia="Lora" w:hAnsi="Lora" w:cs="Lora"/>
                <w:b/>
                <w:sz w:val="20"/>
                <w:szCs w:val="20"/>
              </w:rPr>
              <w:t>Min</w:t>
            </w:r>
          </w:p>
        </w:tc>
        <w:tc>
          <w:tcPr>
            <w:tcW w:w="1180" w:type="dxa"/>
          </w:tcPr>
          <w:p w14:paraId="1687C258" w14:textId="77777777" w:rsidR="00CA78C1" w:rsidRDefault="00000000">
            <w:pPr>
              <w:jc w:val="center"/>
              <w:rPr>
                <w:rFonts w:ascii="Lora" w:eastAsia="Lora" w:hAnsi="Lora" w:cs="Lora"/>
                <w:b/>
                <w:sz w:val="20"/>
                <w:szCs w:val="20"/>
              </w:rPr>
            </w:pPr>
            <w:r>
              <w:rPr>
                <w:rFonts w:ascii="Lora" w:eastAsia="Lora" w:hAnsi="Lora" w:cs="Lora"/>
                <w:b/>
                <w:sz w:val="20"/>
                <w:szCs w:val="20"/>
              </w:rPr>
              <w:t>Max</w:t>
            </w:r>
          </w:p>
        </w:tc>
      </w:tr>
      <w:tr w:rsidR="00CA78C1" w14:paraId="5FF01ACA" w14:textId="77777777">
        <w:tc>
          <w:tcPr>
            <w:tcW w:w="2205" w:type="dxa"/>
          </w:tcPr>
          <w:p w14:paraId="74DA86A4" w14:textId="77777777" w:rsidR="00CA78C1" w:rsidRDefault="00000000">
            <w:pPr>
              <w:jc w:val="center"/>
              <w:rPr>
                <w:rFonts w:ascii="Lora" w:eastAsia="Lora" w:hAnsi="Lora" w:cs="Lora"/>
                <w:b/>
                <w:sz w:val="20"/>
                <w:szCs w:val="20"/>
              </w:rPr>
            </w:pPr>
            <w:r>
              <w:rPr>
                <w:rFonts w:ascii="Lora" w:eastAsia="Lora" w:hAnsi="Lora" w:cs="Lora"/>
                <w:b/>
                <w:sz w:val="20"/>
                <w:szCs w:val="20"/>
              </w:rPr>
              <w:t>% of the Population with a Commute over 20 minutes (PctComm20)</w:t>
            </w:r>
          </w:p>
        </w:tc>
        <w:tc>
          <w:tcPr>
            <w:tcW w:w="1207" w:type="dxa"/>
          </w:tcPr>
          <w:p w14:paraId="7E6C4779" w14:textId="0091D84B"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65.023</w:t>
            </w:r>
          </w:p>
        </w:tc>
        <w:tc>
          <w:tcPr>
            <w:tcW w:w="1158" w:type="dxa"/>
          </w:tcPr>
          <w:p w14:paraId="1AFEDD94" w14:textId="3644B9CF"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39.844</w:t>
            </w:r>
          </w:p>
        </w:tc>
        <w:tc>
          <w:tcPr>
            <w:tcW w:w="1240" w:type="dxa"/>
          </w:tcPr>
          <w:p w14:paraId="3E872A8B" w14:textId="4B45784D"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90.284</w:t>
            </w:r>
          </w:p>
        </w:tc>
        <w:tc>
          <w:tcPr>
            <w:tcW w:w="1180" w:type="dxa"/>
          </w:tcPr>
          <w:p w14:paraId="6277DDAD" w14:textId="5B056BFE"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44.4715</w:t>
            </w:r>
          </w:p>
        </w:tc>
        <w:tc>
          <w:tcPr>
            <w:tcW w:w="1180" w:type="dxa"/>
          </w:tcPr>
          <w:p w14:paraId="2B80251E" w14:textId="7A0CD04D"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0</w:t>
            </w:r>
          </w:p>
        </w:tc>
        <w:tc>
          <w:tcPr>
            <w:tcW w:w="1180" w:type="dxa"/>
          </w:tcPr>
          <w:p w14:paraId="6E1CBF9F" w14:textId="1110E4A3"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100</w:t>
            </w:r>
          </w:p>
        </w:tc>
      </w:tr>
      <w:tr w:rsidR="00CA78C1" w14:paraId="79FAE6B3" w14:textId="77777777">
        <w:tc>
          <w:tcPr>
            <w:tcW w:w="2205" w:type="dxa"/>
          </w:tcPr>
          <w:p w14:paraId="1940A41B" w14:textId="4C253C1C" w:rsidR="00CA78C1" w:rsidRDefault="00000000">
            <w:pPr>
              <w:jc w:val="center"/>
              <w:rPr>
                <w:rFonts w:ascii="Lora" w:eastAsia="Lora" w:hAnsi="Lora" w:cs="Lora"/>
                <w:b/>
                <w:sz w:val="20"/>
                <w:szCs w:val="20"/>
              </w:rPr>
            </w:pPr>
            <w:r>
              <w:rPr>
                <w:rFonts w:ascii="Lora" w:eastAsia="Lora" w:hAnsi="Lora" w:cs="Lora"/>
                <w:b/>
                <w:sz w:val="20"/>
                <w:szCs w:val="20"/>
              </w:rPr>
              <w:t>% of the Population that drives alone to work (</w:t>
            </w:r>
            <w:proofErr w:type="spellStart"/>
            <w:r>
              <w:rPr>
                <w:rFonts w:ascii="Lora" w:eastAsia="Lora" w:hAnsi="Lora" w:cs="Lora"/>
                <w:b/>
                <w:sz w:val="20"/>
                <w:szCs w:val="20"/>
              </w:rPr>
              <w:t>PctDr</w:t>
            </w:r>
            <w:r w:rsidR="004F0AA9">
              <w:rPr>
                <w:rFonts w:ascii="Lora" w:eastAsia="Lora" w:hAnsi="Lora" w:cs="Lora"/>
                <w:b/>
                <w:sz w:val="20"/>
                <w:szCs w:val="20"/>
              </w:rPr>
              <w:t>v</w:t>
            </w:r>
            <w:r>
              <w:rPr>
                <w:rFonts w:ascii="Lora" w:eastAsia="Lora" w:hAnsi="Lora" w:cs="Lora"/>
                <w:b/>
                <w:sz w:val="20"/>
                <w:szCs w:val="20"/>
              </w:rPr>
              <w:t>Alon</w:t>
            </w:r>
            <w:proofErr w:type="spellEnd"/>
            <w:r>
              <w:rPr>
                <w:rFonts w:ascii="Lora" w:eastAsia="Lora" w:hAnsi="Lora" w:cs="Lora"/>
                <w:b/>
                <w:sz w:val="20"/>
                <w:szCs w:val="20"/>
              </w:rPr>
              <w:t>)</w:t>
            </w:r>
          </w:p>
        </w:tc>
        <w:tc>
          <w:tcPr>
            <w:tcW w:w="1207" w:type="dxa"/>
          </w:tcPr>
          <w:p w14:paraId="5FE468CA" w14:textId="4850926D"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82.737</w:t>
            </w:r>
          </w:p>
        </w:tc>
        <w:tc>
          <w:tcPr>
            <w:tcW w:w="1158" w:type="dxa"/>
          </w:tcPr>
          <w:p w14:paraId="5894E413" w14:textId="280E7438"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65.032</w:t>
            </w:r>
          </w:p>
        </w:tc>
        <w:tc>
          <w:tcPr>
            <w:tcW w:w="1240" w:type="dxa"/>
          </w:tcPr>
          <w:p w14:paraId="62FE8CCF" w14:textId="595A02A6" w:rsidR="00020AED" w:rsidRPr="004F0AA9" w:rsidRDefault="00020AED" w:rsidP="00020AED">
            <w:pPr>
              <w:jc w:val="center"/>
              <w:rPr>
                <w:rFonts w:ascii="Lora" w:eastAsia="Lora" w:hAnsi="Lora" w:cs="Lora"/>
                <w:color w:val="FF0000"/>
                <w:sz w:val="20"/>
                <w:szCs w:val="20"/>
              </w:rPr>
            </w:pPr>
            <w:r w:rsidRPr="004F0AA9">
              <w:rPr>
                <w:rFonts w:ascii="Lora" w:eastAsia="Lora" w:hAnsi="Lora" w:cs="Lora"/>
                <w:color w:val="FF0000"/>
                <w:sz w:val="20"/>
                <w:szCs w:val="20"/>
              </w:rPr>
              <w:t>92.264</w:t>
            </w:r>
          </w:p>
        </w:tc>
        <w:tc>
          <w:tcPr>
            <w:tcW w:w="1180" w:type="dxa"/>
          </w:tcPr>
          <w:p w14:paraId="5A6CCE38" w14:textId="2D77D75E"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78.622</w:t>
            </w:r>
          </w:p>
        </w:tc>
        <w:tc>
          <w:tcPr>
            <w:tcW w:w="1180" w:type="dxa"/>
          </w:tcPr>
          <w:p w14:paraId="1B301F33" w14:textId="0790915F"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25</w:t>
            </w:r>
          </w:p>
        </w:tc>
        <w:tc>
          <w:tcPr>
            <w:tcW w:w="1180" w:type="dxa"/>
          </w:tcPr>
          <w:p w14:paraId="2029ADBD" w14:textId="13B65ACC"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100</w:t>
            </w:r>
          </w:p>
        </w:tc>
      </w:tr>
      <w:tr w:rsidR="00CA78C1" w14:paraId="38FD0B2C" w14:textId="77777777">
        <w:tc>
          <w:tcPr>
            <w:tcW w:w="2205" w:type="dxa"/>
          </w:tcPr>
          <w:p w14:paraId="29716654" w14:textId="2BB373AA" w:rsidR="00CA78C1" w:rsidRDefault="00000000">
            <w:pPr>
              <w:jc w:val="center"/>
              <w:rPr>
                <w:rFonts w:ascii="Lora" w:eastAsia="Lora" w:hAnsi="Lora" w:cs="Lora"/>
                <w:b/>
                <w:sz w:val="20"/>
                <w:szCs w:val="20"/>
              </w:rPr>
            </w:pPr>
            <w:r>
              <w:rPr>
                <w:rFonts w:ascii="Lora" w:eastAsia="Lora" w:hAnsi="Lora" w:cs="Lora"/>
                <w:b/>
                <w:sz w:val="20"/>
                <w:szCs w:val="20"/>
              </w:rPr>
              <w:t xml:space="preserve">% of the Population with a </w:t>
            </w:r>
            <w:proofErr w:type="gramStart"/>
            <w:r>
              <w:rPr>
                <w:rFonts w:ascii="Lora" w:eastAsia="Lora" w:hAnsi="Lora" w:cs="Lora"/>
                <w:b/>
                <w:sz w:val="20"/>
                <w:szCs w:val="20"/>
              </w:rPr>
              <w:t>Bachelor’s Degree</w:t>
            </w:r>
            <w:proofErr w:type="gramEnd"/>
            <w:r>
              <w:rPr>
                <w:rFonts w:ascii="Lora" w:eastAsia="Lora" w:hAnsi="Lora" w:cs="Lora"/>
                <w:b/>
                <w:sz w:val="20"/>
                <w:szCs w:val="20"/>
              </w:rPr>
              <w:t xml:space="preserve"> o</w:t>
            </w:r>
            <w:r w:rsidR="00020AED">
              <w:rPr>
                <w:rFonts w:ascii="Lora" w:eastAsia="Lora" w:hAnsi="Lora" w:cs="Lora"/>
                <w:b/>
                <w:sz w:val="20"/>
                <w:szCs w:val="20"/>
              </w:rPr>
              <w:t>r</w:t>
            </w:r>
            <w:r>
              <w:rPr>
                <w:rFonts w:ascii="Lora" w:eastAsia="Lora" w:hAnsi="Lora" w:cs="Lora"/>
                <w:b/>
                <w:sz w:val="20"/>
                <w:szCs w:val="20"/>
              </w:rPr>
              <w:t xml:space="preserve"> higher (Pct Bach)</w:t>
            </w:r>
          </w:p>
        </w:tc>
        <w:tc>
          <w:tcPr>
            <w:tcW w:w="1207" w:type="dxa"/>
          </w:tcPr>
          <w:p w14:paraId="7E6F5D62" w14:textId="46677FEC"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27.01</w:t>
            </w:r>
          </w:p>
        </w:tc>
        <w:tc>
          <w:tcPr>
            <w:tcW w:w="1158" w:type="dxa"/>
          </w:tcPr>
          <w:p w14:paraId="115E73A3" w14:textId="13F685DB"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3.69</w:t>
            </w:r>
          </w:p>
        </w:tc>
        <w:tc>
          <w:tcPr>
            <w:tcW w:w="1240" w:type="dxa"/>
          </w:tcPr>
          <w:p w14:paraId="6F86F16E" w14:textId="26E48DD5" w:rsidR="00CA78C1" w:rsidRPr="004F0AA9" w:rsidRDefault="00020AED">
            <w:pPr>
              <w:jc w:val="center"/>
              <w:rPr>
                <w:rFonts w:ascii="Lora" w:eastAsia="Lora" w:hAnsi="Lora" w:cs="Lora"/>
                <w:color w:val="FF0000"/>
                <w:sz w:val="20"/>
                <w:szCs w:val="20"/>
              </w:rPr>
            </w:pPr>
            <w:r w:rsidRPr="004F0AA9">
              <w:rPr>
                <w:rFonts w:ascii="Lora" w:eastAsia="Lora" w:hAnsi="Lora" w:cs="Lora"/>
                <w:color w:val="FF0000"/>
                <w:sz w:val="20"/>
                <w:szCs w:val="20"/>
              </w:rPr>
              <w:t>62.604</w:t>
            </w:r>
          </w:p>
        </w:tc>
        <w:tc>
          <w:tcPr>
            <w:tcW w:w="1180" w:type="dxa"/>
          </w:tcPr>
          <w:p w14:paraId="26E8F22A" w14:textId="6FDBC1AA"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27.990</w:t>
            </w:r>
          </w:p>
        </w:tc>
        <w:tc>
          <w:tcPr>
            <w:tcW w:w="1180" w:type="dxa"/>
          </w:tcPr>
          <w:p w14:paraId="519EE9A2" w14:textId="5CA18760"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0</w:t>
            </w:r>
          </w:p>
        </w:tc>
        <w:tc>
          <w:tcPr>
            <w:tcW w:w="1180" w:type="dxa"/>
          </w:tcPr>
          <w:p w14:paraId="5875C46A" w14:textId="3F9AC90C" w:rsidR="00CA78C1" w:rsidRPr="004F0AA9" w:rsidRDefault="004F0AA9">
            <w:pPr>
              <w:jc w:val="center"/>
              <w:rPr>
                <w:rFonts w:ascii="Lora" w:eastAsia="Lora" w:hAnsi="Lora" w:cs="Lora"/>
                <w:color w:val="FF0000"/>
                <w:sz w:val="20"/>
                <w:szCs w:val="20"/>
              </w:rPr>
            </w:pPr>
            <w:r w:rsidRPr="004F0AA9">
              <w:rPr>
                <w:rFonts w:ascii="Lora" w:eastAsia="Lora" w:hAnsi="Lora" w:cs="Lora"/>
                <w:color w:val="FF0000"/>
                <w:sz w:val="20"/>
                <w:szCs w:val="20"/>
              </w:rPr>
              <w:t>94.139</w:t>
            </w:r>
          </w:p>
        </w:tc>
      </w:tr>
    </w:tbl>
    <w:p w14:paraId="5EA269B4" w14:textId="77777777" w:rsidR="00CA78C1" w:rsidRDefault="00CA78C1">
      <w:pPr>
        <w:rPr>
          <w:rFonts w:ascii="Lora" w:eastAsia="Lora" w:hAnsi="Lora" w:cs="Lora"/>
          <w:sz w:val="20"/>
          <w:szCs w:val="20"/>
        </w:rPr>
      </w:pPr>
    </w:p>
    <w:p w14:paraId="40158475" w14:textId="46459803" w:rsidR="00CA78C1" w:rsidRDefault="00000000" w:rsidP="004F0AA9">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 xml:space="preserve">Describe the findings a little bit. Are there major differences in the three population characteristics of interest (commutes over 20 minutes, driving alone to work, and having </w:t>
      </w:r>
      <w:r>
        <w:rPr>
          <w:rFonts w:ascii="Lora" w:eastAsia="Lora" w:hAnsi="Lora" w:cs="Lora"/>
          <w:b/>
          <w:color w:val="000000"/>
          <w:sz w:val="20"/>
          <w:szCs w:val="20"/>
        </w:rPr>
        <w:lastRenderedPageBreak/>
        <w:t xml:space="preserve">a </w:t>
      </w:r>
      <w:r>
        <w:rPr>
          <w:rFonts w:ascii="Lora" w:eastAsia="Lora" w:hAnsi="Lora" w:cs="Lora"/>
          <w:b/>
          <w:sz w:val="20"/>
          <w:szCs w:val="20"/>
        </w:rPr>
        <w:t>bachelor's</w:t>
      </w:r>
      <w:r>
        <w:rPr>
          <w:rFonts w:ascii="Lora" w:eastAsia="Lora" w:hAnsi="Lora" w:cs="Lora"/>
          <w:b/>
          <w:color w:val="000000"/>
          <w:sz w:val="20"/>
          <w:szCs w:val="20"/>
        </w:rPr>
        <w:t xml:space="preserve"> degree or higher) between block groups with relatively high passing traffic volumes susceptible to snowfall (and subsequently, impacts of snow on travel in the winter), and those that don’t? What might be an explanation for any of the differences you see? Just speculate here – no need to dig into any research online. (3 points)</w:t>
      </w:r>
    </w:p>
    <w:p w14:paraId="148763FC" w14:textId="104F804B" w:rsidR="00CA78C1" w:rsidRPr="00B653B4" w:rsidRDefault="004F0AA9" w:rsidP="00B653B4">
      <w:pPr>
        <w:pBdr>
          <w:top w:val="nil"/>
          <w:left w:val="nil"/>
          <w:bottom w:val="nil"/>
          <w:right w:val="nil"/>
          <w:between w:val="nil"/>
        </w:pBdr>
        <w:ind w:left="720"/>
        <w:rPr>
          <w:rFonts w:ascii="Lora" w:eastAsia="Lora" w:hAnsi="Lora" w:cs="Lora"/>
          <w:b/>
          <w:color w:val="FF0000"/>
          <w:sz w:val="20"/>
          <w:szCs w:val="20"/>
        </w:rPr>
      </w:pPr>
      <w:r>
        <w:rPr>
          <w:rFonts w:ascii="Lora" w:eastAsia="Lora" w:hAnsi="Lora" w:cs="Lora"/>
          <w:b/>
          <w:color w:val="FF0000"/>
          <w:sz w:val="20"/>
          <w:szCs w:val="20"/>
        </w:rPr>
        <w:t>The biggest difference between the block groups intersecting the top 10 highest is the ranges between the min and maximum percentages of population fitting each characteristic of interest. In block groups intersecting the top 10 roads, there is generally a much smaller range between the min and max values, especially for the percentage of people who drive alone, where even the population in the top 10 block group with the lowest percentage of the population that drives alone is still more likely to drive alone than not. This may be due to these block groups being more rural and having less access to public transit and carpools and thus containing people who must be more independent in how they commute to work.</w:t>
      </w:r>
      <w:r w:rsidR="00B653B4">
        <w:rPr>
          <w:rFonts w:ascii="Lora" w:eastAsia="Lora" w:hAnsi="Lora" w:cs="Lora"/>
          <w:b/>
          <w:color w:val="FF0000"/>
          <w:sz w:val="20"/>
          <w:szCs w:val="20"/>
        </w:rPr>
        <w:t xml:space="preserve"> Block groups intersecting the top 10 most highly travelled roadways also have noticeably higher minimum and median percentages of the population with a commute over 20 minutes, further indicating the possibility that they are further removed from areas with higher urbanization and thus less convenient access to places they may work. There is also a large gap in the maximum percentage of the population who has a college degree, with the block groups intersecting the top 10 roadways having a much lower maximum percentage than the other block groups. People in rural areas are typically less likely to have a college degree compared to urban area, so this gap could potentially be explained by a systemic gap between rural and urban areas as well.</w:t>
      </w:r>
    </w:p>
    <w:p w14:paraId="2913681B" w14:textId="77777777" w:rsidR="00CA78C1" w:rsidRDefault="00CA78C1">
      <w:pPr>
        <w:rPr>
          <w:b/>
        </w:rPr>
      </w:pPr>
    </w:p>
    <w:p w14:paraId="688D9811" w14:textId="77777777" w:rsidR="00CA78C1" w:rsidRDefault="00CA78C1">
      <w:pPr>
        <w:jc w:val="center"/>
      </w:pPr>
    </w:p>
    <w:sectPr w:rsidR="00CA78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embedRegular r:id="rId1" w:fontKey="{4CC34438-361C-0541-8302-DB2F9D936E60}"/>
    <w:embedBold r:id="rId2" w:fontKey="{D6B26439-819A-EC44-AC2E-5C7F837A3D62}"/>
  </w:font>
  <w:font w:name="Times New Roman">
    <w:panose1 w:val="02020603050405020304"/>
    <w:charset w:val="00"/>
    <w:family w:val="roman"/>
    <w:pitch w:val="variable"/>
    <w:sig w:usb0="E0002EFF" w:usb1="C000785B" w:usb2="00000009" w:usb3="00000000" w:csb0="000001FF" w:csb1="00000000"/>
    <w:embedRegular r:id="rId3" w:fontKey="{BC62AD2B-5823-C541-9C90-9EB33243C627}"/>
  </w:font>
  <w:font w:name="Georgia">
    <w:panose1 w:val="02040502050405020303"/>
    <w:charset w:val="00"/>
    <w:family w:val="roman"/>
    <w:pitch w:val="variable"/>
    <w:sig w:usb0="00000287" w:usb1="00000000" w:usb2="00000000" w:usb3="00000000" w:csb0="0000009F" w:csb1="00000000"/>
    <w:embedRegular r:id="rId4" w:fontKey="{BDBD2404-37ED-A44E-92A2-295E6B44687C}"/>
    <w:embedItalic r:id="rId5" w:fontKey="{30F74437-5811-A646-A119-EB81F431C3BD}"/>
  </w:font>
  <w:font w:name="Lora">
    <w:panose1 w:val="00000000000000000000"/>
    <w:charset w:val="4D"/>
    <w:family w:val="auto"/>
    <w:pitch w:val="variable"/>
    <w:sig w:usb0="A00002FF" w:usb1="5000204B" w:usb2="00000000" w:usb3="00000000" w:csb0="00000097" w:csb1="00000000"/>
    <w:embedRegular r:id="rId6" w:fontKey="{23CC5979-1154-734C-900F-01E9163996BB}"/>
    <w:embedBold r:id="rId7" w:fontKey="{E1905DAB-D307-5345-B319-DE93D174920C}"/>
    <w:embedItalic r:id="rId8" w:fontKey="{14213A30-5A15-484E-8B23-B5605853C570}"/>
  </w:font>
  <w:font w:name="Calibri Light">
    <w:panose1 w:val="020F0302020204030204"/>
    <w:charset w:val="00"/>
    <w:family w:val="swiss"/>
    <w:pitch w:val="variable"/>
    <w:sig w:usb0="E0002AFF" w:usb1="C000247B" w:usb2="00000009" w:usb3="00000000" w:csb0="000001FF" w:csb1="00000000"/>
    <w:embedRegular r:id="rId9" w:fontKey="{DF6FCE66-F899-944D-80DD-D4DBA17056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5C5C5E"/>
    <w:multiLevelType w:val="multilevel"/>
    <w:tmpl w:val="BC42A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429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8C1"/>
    <w:rsid w:val="00020AED"/>
    <w:rsid w:val="001A4E13"/>
    <w:rsid w:val="00400FF5"/>
    <w:rsid w:val="004F0AA9"/>
    <w:rsid w:val="006E1273"/>
    <w:rsid w:val="007305B6"/>
    <w:rsid w:val="008767B4"/>
    <w:rsid w:val="00A15342"/>
    <w:rsid w:val="00B653B4"/>
    <w:rsid w:val="00C43488"/>
    <w:rsid w:val="00CA78C1"/>
    <w:rsid w:val="00E41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931572"/>
  <w15:docId w15:val="{7978E2D6-5648-3146-9DC3-FA9726A4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A70C4"/>
    <w:pPr>
      <w:ind w:left="720"/>
      <w:contextualSpacing/>
    </w:pPr>
  </w:style>
  <w:style w:type="table" w:styleId="TableGrid">
    <w:name w:val="Table Grid"/>
    <w:basedOn w:val="TableNormal"/>
    <w:uiPriority w:val="39"/>
    <w:rsid w:val="00BA7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5wBQbIoHXZiDaL5A978q2Ujrg==">CgMxLjA4AHIhMWVCMW5Ja3FsQ28tV1oyUUdJMThNWGlQQllrVFhOMHpx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B Kelley</dc:creator>
  <cp:lastModifiedBy>gshelor</cp:lastModifiedBy>
  <cp:revision>5</cp:revision>
  <dcterms:created xsi:type="dcterms:W3CDTF">2021-08-18T22:55:00Z</dcterms:created>
  <dcterms:modified xsi:type="dcterms:W3CDTF">2024-08-29T02:23:00Z</dcterms:modified>
</cp:coreProperties>
</file>