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0A1628"/>
          <w:sz w:val="56"/>
          <w:szCs w:val="56"/>
        </w:rPr>
        <w:t xml:space="preserve">Project B.A.N.A.N.A.</w:t>
      </w:r>
    </w:p>
    <w:p>
      <w:pPr>
        <w:spacing w:after="80" w:before="0"/>
        <w:jc w:val="center"/>
      </w:pPr>
      <w:r>
        <w:rPr>
          <w:rFonts w:ascii="Calibri" w:cs="Calibri" w:eastAsia="Calibri" w:hAnsi="Calibri"/>
          <w:color w:val="1B3A6B"/>
          <w:sz w:val="28"/>
          <w:szCs w:val="28"/>
        </w:rPr>
        <w:t xml:space="preserve">Reducing Hallucination in Financial AI Through</w:t>
      </w:r>
    </w:p>
    <w:p>
      <w:pPr>
        <w:spacing w:after="280" w:before="0"/>
        <w:jc w:val="center"/>
      </w:pPr>
      <w:r>
        <w:rPr>
          <w:rFonts w:ascii="Calibri" w:cs="Calibri" w:eastAsia="Calibri" w:hAnsi="Calibri"/>
          <w:b/>
          <w:bCs/>
          <w:color w:val="1B3A6B"/>
          <w:sz w:val="28"/>
          <w:szCs w:val="28"/>
        </w:rPr>
        <w:t xml:space="preserve">Retrieval-Augmented Agentic Design</w:t>
      </w:r>
    </w:p>
    <w:p>
      <w:pPr>
        <w:spacing w:after="120" w:before="0"/>
        <w:jc w:val="center"/>
      </w:pPr>
      <w:r>
        <w:rPr>
          <w:rFonts w:ascii="Calibri" w:cs="Calibri" w:eastAsia="Calibri" w:hAnsi="Calibri"/>
          <w:b/>
          <w:bCs/>
          <w:color w:val="F0A500"/>
          <w:sz w:val="26"/>
          <w:szCs w:val="26"/>
        </w:rPr>
        <w:t xml:space="preserve">Presentation Speaker Script</w:t>
      </w:r>
    </w:p>
    <w:p>
      <w:pPr>
        <w:spacing w:after="80" w:before="0"/>
        <w:jc w:val="center"/>
      </w:pPr>
      <w:r>
        <w:rPr>
          <w:rFonts w:ascii="Calibri" w:cs="Calibri" w:eastAsia="Calibri" w:hAnsi="Calibri"/>
          <w:color w:val="555555"/>
          <w:sz w:val="22"/>
          <w:szCs w:val="22"/>
        </w:rPr>
        <w:t xml:space="preserve">Gangadhar Singh Shiva  ·  Akshobhya Rao BV  ·  Ananya Chandraker</w:t>
      </w:r>
    </w:p>
    <w:p>
      <w:pPr>
        <w:spacing w:after="80" w:before="0"/>
        <w:jc w:val="center"/>
      </w:pPr>
      <w:r>
        <w:rPr>
          <w:rFonts w:ascii="Calibri" w:cs="Calibri" w:eastAsia="Calibri" w:hAnsi="Calibri"/>
          <w:color w:val="888888"/>
          <w:sz w:val="20"/>
          <w:szCs w:val="20"/>
        </w:rPr>
        <w:t xml:space="preserve">MS Applied Artificial Intelligence · University of San Diego · April 2026</w:t>
      </w:r>
    </w:p>
    <w:p>
      <w:pPr>
        <w:spacing w:after="200" w:before="0"/>
        <w:jc w:val="center"/>
      </w:pPr>
      <w:r>
        <w:rPr>
          <w:rFonts w:ascii="Calibri" w:cs="Calibri" w:eastAsia="Calibri" w:hAnsi="Calibri"/>
          <w:color w:val="AAAAAA"/>
          <w:sz w:val="18"/>
          <w:szCs w:val="18"/>
        </w:rPr>
        <w:t xml:space="preserve">AAI590 Capstone · Technical Report MSAAI-2026-05</w:t>
      </w:r>
    </w:p>
    <w:p>
      <w:pPr>
        <w:pBdr>
          <w:bottom w:val="single" w:color="F0A500" w:sz="4"/>
        </w:pBdr>
        <w:spacing w:after="400" w:before="0"/>
      </w:pPr>
      <w:r>
        <w:t xml:space="preserve"/>
      </w:r>
    </w:p>
    <w:p>
      <w:pPr>
        <w:spacing w:after="120" w:before="80"/>
      </w:pPr>
      <w:r>
        <w:rPr>
          <w:rFonts w:ascii="Calibri" w:cs="Calibri" w:eastAsia="Calibri" w:hAnsi="Calibri"/>
          <w:color w:val="555555"/>
          <w:sz w:val="22"/>
          <w:szCs w:val="22"/>
        </w:rPr>
        <w:t xml:space="preserve">This document provides the complete speaker script for the Project B.A.N.A.N.A. capstone presentation. Each section corresponds to one slide. Speaker notes, emphasis cues, and transition prompts are included throughout.</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1  ·  </w:t>
            </w:r>
            <w:r>
              <w:rPr>
                <w:rFonts w:ascii="Calibri" w:cs="Calibri" w:eastAsia="Calibri" w:hAnsi="Calibri"/>
                <w:b/>
                <w:bCs/>
                <w:color w:val="FFFFFF"/>
                <w:spacing w:val="30"/>
                <w:sz w:val="22"/>
                <w:szCs w:val="22"/>
              </w:rPr>
              <w:t xml:space="preserve">TITLE SLIDE</w:t>
            </w:r>
          </w:p>
        </w:tc>
      </w:tr>
    </w:tbl>
    <w:p>
      <w:pPr>
        <w:spacing w:after="100" w:before="100"/>
      </w:pPr>
      <w:r>
        <w:t xml:space="preserve"/>
      </w:r>
    </w:p>
    <w:p>
      <w:pPr>
        <w:pStyle w:val="Heading2"/>
      </w:pPr>
      <w:r>
        <w:rPr>
          <w:rFonts w:ascii="Calibri" w:cs="Calibri" w:eastAsia="Calibri" w:hAnsi="Calibri"/>
          <w:b/>
          <w:bCs/>
          <w:color w:val="1B3A6B"/>
          <w:sz w:val="24"/>
          <w:szCs w:val="24"/>
        </w:rPr>
        <w:t xml:space="preserve">Opening Remarks</w:t>
      </w:r>
    </w:p>
    <w:p>
      <w:pPr>
        <w:spacing w:after="120" w:before="80"/>
      </w:pPr>
      <w:r>
        <w:rPr>
          <w:rFonts w:ascii="Calibri" w:cs="Calibri" w:eastAsia="Calibri" w:hAnsi="Calibri"/>
          <w:sz w:val="22"/>
          <w:szCs w:val="22"/>
        </w:rPr>
        <w:t xml:space="preserve">Good [morning/afternoon], everyone. Thank you for being here.</w:t>
      </w:r>
    </w:p>
    <w:p>
      <w:pPr>
        <w:spacing w:after="100" w:before="100"/>
      </w:pPr>
      <w:r>
        <w:t xml:space="preserve"/>
      </w:r>
    </w:p>
    <w:p>
      <w:pPr>
        <w:spacing w:after="120" w:before="80"/>
      </w:pPr>
      <w:r>
        <w:rPr>
          <w:rFonts w:ascii="Calibri" w:cs="Calibri" w:eastAsia="Calibri" w:hAnsi="Calibri"/>
          <w:sz w:val="22"/>
          <w:szCs w:val="22"/>
        </w:rPr>
        <w:t xml:space="preserve">Today, we present the results of our AAI590 capstone project — Project B.A.N.A.N.A. That stands for Brokerage Analytic Network and Autonomous Node Assistant.</w:t>
      </w:r>
    </w:p>
    <w:p>
      <w:pPr>
        <w:spacing w:after="100" w:before="100"/>
      </w:pPr>
      <w:r>
        <w:t xml:space="preserve"/>
      </w:r>
    </w:p>
    <w:p>
      <w:pPr>
        <w:spacing w:after="120" w:before="80"/>
      </w:pPr>
      <w:r>
        <w:rPr>
          <w:rFonts w:ascii="Calibri" w:cs="Calibri" w:eastAsia="Calibri" w:hAnsi="Calibri"/>
          <w:sz w:val="22"/>
          <w:szCs w:val="22"/>
        </w:rPr>
        <w:t xml:space="preserve">The driving question behind this work is straightforward: can we build a financial AI system that is genuinely trustworthy — one whose outputs are always traceable to verifiable sources, with zero fabrication?</w:t>
      </w:r>
    </w:p>
    <w:p>
      <w:pPr>
        <w:spacing w:after="100" w:before="100"/>
      </w:pPr>
      <w:r>
        <w:t xml:space="preserve"/>
      </w:r>
    </w:p>
    <w:p>
      <w:pPr>
        <w:spacing w:after="120" w:before="80"/>
      </w:pPr>
      <w:r>
        <w:rPr>
          <w:rFonts w:ascii="Calibri" w:cs="Calibri" w:eastAsia="Calibri" w:hAnsi="Calibri"/>
          <w:sz w:val="22"/>
          <w:szCs w:val="22"/>
        </w:rPr>
        <w:t xml:space="preserve">The short answer is yes — but it requires re-thinking how the system is assembled from the ground up. Over the next few minutes, we’ll walk you through our architecture, our results, and what we learned along the way.</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Briefly introduce each team member by name before advancing.</w:t>
      </w:r>
    </w:p>
    <w:p>
      <w:pPr>
        <w:spacing w:after="100" w:before="100"/>
      </w:pPr>
      <w:r>
        <w:t xml:space="preserve"/>
      </w:r>
    </w:p>
    <w:p>
      <w:pPr>
        <w:spacing w:after="120" w:before="80"/>
      </w:pPr>
      <w:r>
        <w:rPr>
          <w:rFonts w:ascii="Calibri" w:cs="Calibri" w:eastAsia="Calibri" w:hAnsi="Calibri"/>
          <w:sz w:val="22"/>
          <w:szCs w:val="22"/>
        </w:rPr>
        <w:t xml:space="preserve">On the right side of this slide you’ll see the headline numbers we’ll unpack in detail: 83.3% attack deflection, zero hallucination probes leaked, and a 1.77-times latency improvement over a plain LLM baseline.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2  ·  </w:t>
            </w:r>
            <w:r>
              <w:rPr>
                <w:rFonts w:ascii="Calibri" w:cs="Calibri" w:eastAsia="Calibri" w:hAnsi="Calibri"/>
                <w:b/>
                <w:bCs/>
                <w:color w:val="FFFFFF"/>
                <w:spacing w:val="30"/>
                <w:sz w:val="22"/>
                <w:szCs w:val="22"/>
              </w:rPr>
              <w:t xml:space="preserve">THE PROBLEM: HALLUCINATION IN FINANCIAL AI</w:t>
            </w:r>
          </w:p>
        </w:tc>
      </w:tr>
    </w:tbl>
    <w:p>
      <w:pPr>
        <w:spacing w:after="100" w:before="100"/>
      </w:pPr>
      <w:r>
        <w:t xml:space="preserve"/>
      </w:r>
    </w:p>
    <w:p>
      <w:pPr>
        <w:pStyle w:val="Heading2"/>
      </w:pPr>
      <w:r>
        <w:rPr>
          <w:rFonts w:ascii="Calibri" w:cs="Calibri" w:eastAsia="Calibri" w:hAnsi="Calibri"/>
          <w:b/>
          <w:bCs/>
          <w:color w:val="1B3A6B"/>
          <w:sz w:val="24"/>
          <w:szCs w:val="24"/>
        </w:rPr>
        <w:t xml:space="preserve">Setting the Stage</w:t>
      </w:r>
    </w:p>
    <w:p>
      <w:pPr>
        <w:spacing w:after="120" w:before="80"/>
      </w:pPr>
      <w:r>
        <w:rPr>
          <w:rFonts w:ascii="Calibri" w:cs="Calibri" w:eastAsia="Calibri" w:hAnsi="Calibri"/>
          <w:sz w:val="22"/>
          <w:szCs w:val="22"/>
        </w:rPr>
        <w:t xml:space="preserve">Let’s begin with the problem.</w:t>
      </w:r>
    </w:p>
    <w:p>
      <w:pPr>
        <w:spacing w:after="100" w:before="100"/>
      </w:pPr>
      <w:r>
        <w:t xml:space="preserve"/>
      </w:r>
    </w:p>
    <w:p>
      <w:pPr>
        <w:spacing w:after="120" w:before="80"/>
      </w:pPr>
      <w:r>
        <w:rPr>
          <w:rFonts w:ascii="Calibri" w:cs="Calibri" w:eastAsia="Calibri" w:hAnsi="Calibri"/>
          <w:sz w:val="22"/>
          <w:szCs w:val="22"/>
        </w:rPr>
        <w:t xml:space="preserve">Modern financial markets simultaneously produce structured time-series data — prices, volumes, order flow — alongside enormous volumes of unstructured text: regulatory filings, earnings call transcripts, social commentary. No human team can synthesise all of that material under real-world time constraints.</w:t>
      </w:r>
    </w:p>
    <w:p>
      <w:pPr>
        <w:spacing w:after="100" w:before="100"/>
      </w:pPr>
      <w:r>
        <w:t xml:space="preserve"/>
      </w:r>
    </w:p>
    <w:p>
      <w:pPr>
        <w:spacing w:after="120" w:before="80"/>
      </w:pPr>
      <w:r>
        <w:rPr>
          <w:rFonts w:ascii="Calibri" w:cs="Calibri" w:eastAsia="Calibri" w:hAnsi="Calibri"/>
          <w:sz w:val="22"/>
          <w:szCs w:val="22"/>
        </w:rPr>
        <w:t xml:space="preserve">Large language models seem like the obvious solution. But their well-documented weakness — hallucination — is especially dangerous here.</w:t>
      </w:r>
    </w:p>
    <w:p>
      <w:pPr>
        <w:spacing w:after="100" w:before="100"/>
      </w:pPr>
      <w:r>
        <w:t xml:space="preserve"/>
      </w:r>
    </w:p>
    <w:p>
      <w:pPr>
        <w:spacing w:after="120" w:before="80"/>
      </w:pPr>
      <w:r>
        <w:rPr>
          <w:rFonts w:ascii="Calibri" w:cs="Calibri" w:eastAsia="Calibri" w:hAnsi="Calibri"/>
          <w:sz w:val="22"/>
          <w:szCs w:val="22"/>
        </w:rPr>
        <w:t xml:space="preserve">What is hallucination? It’s when a model asserts facts that are internally plausible but cannot be traced to any authoritative source. In everyday writing tasks, that’s an inconvenience. In finance, even a single fabricated revenue figure or misattributed SEC filing can constitute material misinformation — with serious regulatory and reputational consequences.</w:t>
      </w:r>
    </w:p>
    <w:p>
      <w:pPr>
        <w:spacing w:after="100" w:before="100"/>
      </w:pPr>
      <w:r>
        <w:t xml:space="preserve"/>
      </w:r>
    </w:p>
    <w:p>
      <w:pPr>
        <w:spacing w:after="120" w:before="80"/>
      </w:pPr>
      <w:r>
        <w:rPr>
          <w:rFonts w:ascii="Calibri" w:cs="Calibri" w:eastAsia="Calibri" w:hAnsi="Calibri"/>
          <w:sz w:val="22"/>
          <w:szCs w:val="22"/>
        </w:rPr>
        <w:t xml:space="preserve">Research is clear on this. Bang et al. and Azamfirei et al. both found that raw LLM output is unfit for financial use without explicit grounding. Ji et al. give us a useful taxonomy: three classes of failure — numeric errors, temporal errors where stale data is presented as current, and attribution errors where claims are linked to the wrong source.</w:t>
      </w:r>
    </w:p>
    <w:p>
      <w:pPr>
        <w:spacing w:after="100" w:before="100"/>
      </w:pPr>
      <w:r>
        <w:t xml:space="preserve"/>
      </w:r>
    </w:p>
    <w:p>
      <w:pPr>
        <w:spacing w:after="120" w:before="80"/>
      </w:pPr>
      <w:r>
        <w:rPr>
          <w:rFonts w:ascii="Calibri" w:cs="Calibri" w:eastAsia="Calibri" w:hAnsi="Calibri"/>
          <w:sz w:val="22"/>
          <w:szCs w:val="22"/>
        </w:rPr>
        <w:t xml:space="preserve">Our system was designed specifically to intercept all three classes.</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Pause briefly after ‘material misinformation’ to let the severity land.</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3  ·  </w:t>
            </w:r>
            <w:r>
              <w:rPr>
                <w:rFonts w:ascii="Calibri" w:cs="Calibri" w:eastAsia="Calibri" w:hAnsi="Calibri"/>
                <w:b/>
                <w:bCs/>
                <w:color w:val="FFFFFF"/>
                <w:spacing w:val="30"/>
                <w:sz w:val="22"/>
                <w:szCs w:val="22"/>
              </w:rPr>
              <w:t xml:space="preserve">SYSTEM ARCHITECTURE: THREE-LAYER DESIGN</w:t>
            </w:r>
          </w:p>
        </w:tc>
      </w:tr>
    </w:tbl>
    <w:p>
      <w:pPr>
        <w:spacing w:after="100" w:before="100"/>
      </w:pPr>
      <w:r>
        <w:t xml:space="preserve"/>
      </w:r>
    </w:p>
    <w:p>
      <w:pPr>
        <w:pStyle w:val="Heading2"/>
      </w:pPr>
      <w:r>
        <w:rPr>
          <w:rFonts w:ascii="Calibri" w:cs="Calibri" w:eastAsia="Calibri" w:hAnsi="Calibri"/>
          <w:b/>
          <w:bCs/>
          <w:color w:val="1B3A6B"/>
          <w:sz w:val="24"/>
          <w:szCs w:val="24"/>
        </w:rPr>
        <w:t xml:space="preserve">The Architecture</w:t>
      </w:r>
    </w:p>
    <w:p>
      <w:pPr>
        <w:spacing w:after="120" w:before="80"/>
      </w:pPr>
      <w:r>
        <w:rPr>
          <w:rFonts w:ascii="Calibri" w:cs="Calibri" w:eastAsia="Calibri" w:hAnsi="Calibri"/>
          <w:sz w:val="22"/>
          <w:szCs w:val="22"/>
        </w:rPr>
        <w:t xml:space="preserve">Project B.A.N.A.N.A. is organised in three concentric layers — we call them the Outer Peel, the Pulp, and the Core.</w:t>
      </w:r>
    </w:p>
    <w:p>
      <w:pPr>
        <w:spacing w:after="100" w:before="100"/>
      </w:pPr>
      <w:r>
        <w:t xml:space="preserve"/>
      </w:r>
    </w:p>
    <w:p>
      <w:pPr>
        <w:spacing w:after="120" w:before="80"/>
      </w:pPr>
      <w:r>
        <w:rPr>
          <w:rFonts w:ascii="Calibri" w:cs="Calibri" w:eastAsia="Calibri" w:hAnsi="Calibri"/>
          <w:sz w:val="22"/>
          <w:szCs w:val="22"/>
        </w:rPr>
        <w:t xml:space="preserve">The Outer Peel is the data ingestion layer. It consists of three MCP microservices that pull live data at query time — no static training corpus. Market data comes from Alpha Vantage OHLCV, regulatory content from SEC EDGAR, and social signals from Twitter/X with VADER sentiment scoring.</w:t>
      </w:r>
    </w:p>
    <w:p>
      <w:pPr>
        <w:spacing w:after="100" w:before="100"/>
      </w:pPr>
      <w:r>
        <w:t xml:space="preserve"/>
      </w:r>
    </w:p>
    <w:p>
      <w:pPr>
        <w:spacing w:after="120" w:before="80"/>
      </w:pPr>
      <w:r>
        <w:rPr>
          <w:rFonts w:ascii="Calibri" w:cs="Calibri" w:eastAsia="Calibri" w:hAnsi="Calibri"/>
          <w:sz w:val="22"/>
          <w:szCs w:val="22"/>
        </w:rPr>
        <w:t xml:space="preserve">Fetching data at inference time is a deliberate architectural decision. It is the primary countermeasure against hallucination — the model cannot confabulate facts that are fetched fresh from authoritative sources on every single query.</w:t>
      </w:r>
    </w:p>
    <w:p>
      <w:pPr>
        <w:spacing w:after="100" w:before="100"/>
      </w:pPr>
      <w:r>
        <w:t xml:space="preserve"/>
      </w:r>
    </w:p>
    <w:p>
      <w:pPr>
        <w:spacing w:after="120" w:before="80"/>
      </w:pPr>
      <w:r>
        <w:rPr>
          <w:rFonts w:ascii="Calibri" w:cs="Calibri" w:eastAsia="Calibri" w:hAnsi="Calibri"/>
          <w:sz w:val="22"/>
          <w:szCs w:val="22"/>
        </w:rPr>
        <w:t xml:space="preserve">The Pulp is the orchestration layer — an eleven-node LangGraph directed acyclic graph. This is where retrieval, validation, guard checks, and sentiment analysis happen. We’ll go into this in detail on the next slides.</w:t>
      </w:r>
    </w:p>
    <w:p>
      <w:pPr>
        <w:spacing w:after="100" w:before="100"/>
      </w:pPr>
      <w:r>
        <w:t xml:space="preserve"/>
      </w:r>
    </w:p>
    <w:p>
      <w:pPr>
        <w:spacing w:after="120" w:before="80"/>
      </w:pPr>
      <w:r>
        <w:rPr>
          <w:rFonts w:ascii="Calibri" w:cs="Calibri" w:eastAsia="Calibri" w:hAnsi="Calibri"/>
          <w:sz w:val="22"/>
          <w:szCs w:val="22"/>
        </w:rPr>
        <w:t xml:space="preserve">The Core contains ChromaDB — our vector store — and the two ML model singletons: the all-MiniLM-L6-v2 sentence transformer for embedding and ProsusAI/FinBERT for financial sentiment classification.</w:t>
      </w:r>
    </w:p>
    <w:p>
      <w:pPr>
        <w:spacing w:after="100" w:before="100"/>
      </w:pPr>
      <w:r>
        <w:t xml:space="preserve"/>
      </w:r>
    </w:p>
    <w:p>
      <w:pPr>
        <w:spacing w:after="120" w:before="80"/>
      </w:pPr>
      <w:r>
        <w:rPr>
          <w:rFonts w:ascii="Calibri" w:cs="Calibri" w:eastAsia="Calibri" w:hAnsi="Calibri"/>
          <w:sz w:val="22"/>
          <w:szCs w:val="22"/>
        </w:rPr>
        <w:t xml:space="preserve">The most consequential design decision is highlighted at the bottom of this slide: the answer assembly node does not invoke a generative LLM. It directly concatenates verified retrieved documents. This makes grounding a structural property of the system — not a probabilistic outcome of prompt engineering.</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Emphasise the ‘no generative LLM in answer assembly’ point — it is the central novelty.</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4  ·  </w:t>
            </w:r>
            <w:r>
              <w:rPr>
                <w:rFonts w:ascii="Calibri" w:cs="Calibri" w:eastAsia="Calibri" w:hAnsi="Calibri"/>
                <w:b/>
                <w:bCs/>
                <w:color w:val="FFFFFF"/>
                <w:spacing w:val="30"/>
                <w:sz w:val="22"/>
                <w:szCs w:val="22"/>
              </w:rPr>
              <w:t xml:space="preserve">SEVEN-LAYER DEFENCE-IN-DEPTH</w:t>
            </w:r>
          </w:p>
        </w:tc>
      </w:tr>
    </w:tbl>
    <w:p>
      <w:pPr>
        <w:spacing w:after="100" w:before="100"/>
      </w:pPr>
      <w:r>
        <w:t xml:space="preserve"/>
      </w:r>
    </w:p>
    <w:p>
      <w:pPr>
        <w:pStyle w:val="Heading2"/>
      </w:pPr>
      <w:r>
        <w:rPr>
          <w:rFonts w:ascii="Calibri" w:cs="Calibri" w:eastAsia="Calibri" w:hAnsi="Calibri"/>
          <w:b/>
          <w:bCs/>
          <w:color w:val="1B3A6B"/>
          <w:sz w:val="24"/>
          <w:szCs w:val="24"/>
        </w:rPr>
        <w:t xml:space="preserve">The Guard Architecture</w:t>
      </w:r>
    </w:p>
    <w:p>
      <w:pPr>
        <w:spacing w:after="120" w:before="80"/>
      </w:pPr>
      <w:r>
        <w:rPr>
          <w:rFonts w:ascii="Calibri" w:cs="Calibri" w:eastAsia="Calibri" w:hAnsi="Calibri"/>
          <w:sz w:val="22"/>
          <w:szCs w:val="22"/>
        </w:rPr>
        <w:t xml:space="preserve">The pipeline’s safety properties come from seven independent guard layers applied in strict pipeline order. Let’s walk through each one.</w:t>
      </w:r>
    </w:p>
    <w:p>
      <w:pPr>
        <w:spacing w:after="100" w:before="100"/>
      </w:pPr>
      <w:r>
        <w:t xml:space="preserve"/>
      </w:r>
    </w:p>
    <w:p>
      <w:pPr>
        <w:spacing w:after="120" w:before="80"/>
      </w:pPr>
      <w:r>
        <w:rPr>
          <w:rFonts w:ascii="Calibri" w:cs="Calibri" w:eastAsia="Calibri" w:hAnsi="Calibri"/>
          <w:sz w:val="22"/>
          <w:szCs w:val="22"/>
        </w:rPr>
        <w:t xml:space="preserve">Layer one, intent_node, screens for advisory-style queries — anything asking the system to buy, sell, or predict. These are blocked immediately.</w:t>
      </w:r>
    </w:p>
    <w:p>
      <w:pPr>
        <w:spacing w:after="100" w:before="100"/>
      </w:pPr>
      <w:r>
        <w:t xml:space="preserve"/>
      </w:r>
    </w:p>
    <w:p>
      <w:pPr>
        <w:spacing w:after="120" w:before="80"/>
      </w:pPr>
      <w:r>
        <w:rPr>
          <w:rFonts w:ascii="Calibri" w:cs="Calibri" w:eastAsia="Calibri" w:hAnsi="Calibri"/>
          <w:sz w:val="22"/>
          <w:szCs w:val="22"/>
        </w:rPr>
        <w:t xml:space="preserve">Layer two, the first check in fetch_node, validates that the queried company exists in our ENTITY_REGISTRY. This blocks fictional company hallucination outright.</w:t>
      </w:r>
    </w:p>
    <w:p>
      <w:pPr>
        <w:spacing w:after="100" w:before="100"/>
      </w:pPr>
      <w:r>
        <w:t xml:space="preserve"/>
      </w:r>
    </w:p>
    <w:p>
      <w:pPr>
        <w:spacing w:after="120" w:before="80"/>
      </w:pPr>
      <w:r>
        <w:rPr>
          <w:rFonts w:ascii="Calibri" w:cs="Calibri" w:eastAsia="Calibri" w:hAnsi="Calibri"/>
          <w:sz w:val="22"/>
          <w:szCs w:val="22"/>
        </w:rPr>
        <w:t xml:space="preserve">Layer three blocks temporal fabrication by enforcing a year whitelist of 2022 to 2024. Queries requesting future or unsupported filing dates are rejected before any MCP call is made.</w:t>
      </w:r>
    </w:p>
    <w:p>
      <w:pPr>
        <w:spacing w:after="100" w:before="100"/>
      </w:pPr>
      <w:r>
        <w:t xml:space="preserve"/>
      </w:r>
    </w:p>
    <w:p>
      <w:pPr>
        <w:spacing w:after="120" w:before="80"/>
      </w:pPr>
      <w:r>
        <w:rPr>
          <w:rFonts w:ascii="Calibri" w:cs="Calibri" w:eastAsia="Calibri" w:hAnsi="Calibri"/>
          <w:sz w:val="22"/>
          <w:szCs w:val="22"/>
        </w:rPr>
        <w:t xml:space="preserve">Layer four, validate_node, applies four data quality criteria to every MCP response: it must not echo the query verbatim, must contain at least one numeric character, must reference a known entity, and must not contain a known placeholder sentinel string. That fourth criterion was added after adversarial testing — more on that shortly.</w:t>
      </w:r>
    </w:p>
    <w:p>
      <w:pPr>
        <w:spacing w:after="100" w:before="100"/>
      </w:pPr>
      <w:r>
        <w:t xml:space="preserve"/>
      </w:r>
    </w:p>
    <w:p>
      <w:pPr>
        <w:spacing w:after="120" w:before="80"/>
      </w:pPr>
      <w:r>
        <w:rPr>
          <w:rFonts w:ascii="Calibri" w:cs="Calibri" w:eastAsia="Calibri" w:hAnsi="Calibri"/>
          <w:sz w:val="22"/>
          <w:szCs w:val="22"/>
        </w:rPr>
        <w:t xml:space="preserve">Layer five, ticker_guard_node, was inserted after we discovered cross-ticker vector store contamination. It filters retrieved documents to retain only those explicitly containing the queried ticker symbol.</w:t>
      </w:r>
    </w:p>
    <w:p>
      <w:pPr>
        <w:spacing w:after="100" w:before="100"/>
      </w:pPr>
      <w:r>
        <w:t xml:space="preserve"/>
      </w:r>
    </w:p>
    <w:p>
      <w:pPr>
        <w:spacing w:after="120" w:before="80"/>
      </w:pPr>
      <w:r>
        <w:rPr>
          <w:rFonts w:ascii="Calibri" w:cs="Calibri" w:eastAsia="Calibri" w:hAnsi="Calibri"/>
          <w:sz w:val="22"/>
          <w:szCs w:val="22"/>
        </w:rPr>
        <w:t xml:space="preserve">Layer six gates on cosine similarity — only documents scoring 0.55 or above against the query pass through.</w:t>
      </w:r>
    </w:p>
    <w:p>
      <w:pPr>
        <w:spacing w:after="100" w:before="100"/>
      </w:pPr>
      <w:r>
        <w:t xml:space="preserve"/>
      </w:r>
    </w:p>
    <w:p>
      <w:pPr>
        <w:spacing w:after="120" w:before="80"/>
      </w:pPr>
      <w:r>
        <w:rPr>
          <w:rFonts w:ascii="Calibri" w:cs="Calibri" w:eastAsia="Calibri" w:hAnsi="Calibri"/>
          <w:sz w:val="22"/>
          <w:szCs w:val="22"/>
        </w:rPr>
        <w:t xml:space="preserve">Layer seven gates on FinBERT’s confidence score. Reports are only generated when the model is at least 70% confident in its sentiment classification.</w:t>
      </w:r>
    </w:p>
    <w:p>
      <w:pPr>
        <w:spacing w:after="100" w:before="100"/>
      </w:pPr>
      <w:r>
        <w:t xml:space="preserve"/>
      </w:r>
    </w:p>
    <w:p>
      <w:pPr>
        <w:spacing w:after="120" w:before="80"/>
      </w:pPr>
      <w:r>
        <w:rPr>
          <w:rFonts w:ascii="Calibri" w:cs="Calibri" w:eastAsia="Calibri" w:hAnsi="Calibri"/>
          <w:sz w:val="22"/>
          <w:szCs w:val="22"/>
        </w:rPr>
        <w:t xml:space="preserve">The panel on the right summarises the two vulnerabilities we discovered through adversarial probing and patched. Post-fix, the blocked rate rose from 78.6% to 88.2% — without degrading performance on legitimate queries.</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Point to each guard row as you describe it. The numbered gold circles make it easy to follow.</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5  ·  </w:t>
            </w:r>
            <w:r>
              <w:rPr>
                <w:rFonts w:ascii="Calibri" w:cs="Calibri" w:eastAsia="Calibri" w:hAnsi="Calibri"/>
                <w:b/>
                <w:bCs/>
                <w:color w:val="FFFFFF"/>
                <w:spacing w:val="30"/>
                <w:sz w:val="22"/>
                <w:szCs w:val="22"/>
              </w:rPr>
              <w:t xml:space="preserve">11-NODE LANGGRAPH PIPELINE &amp; ML MODELS</w:t>
            </w:r>
          </w:p>
        </w:tc>
      </w:tr>
    </w:tbl>
    <w:p>
      <w:pPr>
        <w:spacing w:after="100" w:before="100"/>
      </w:pPr>
      <w:r>
        <w:t xml:space="preserve"/>
      </w:r>
    </w:p>
    <w:p>
      <w:pPr>
        <w:pStyle w:val="Heading2"/>
      </w:pPr>
      <w:r>
        <w:rPr>
          <w:rFonts w:ascii="Calibri" w:cs="Calibri" w:eastAsia="Calibri" w:hAnsi="Calibri"/>
          <w:b/>
          <w:bCs/>
          <w:color w:val="1B3A6B"/>
          <w:sz w:val="24"/>
          <w:szCs w:val="24"/>
        </w:rPr>
        <w:t xml:space="preserve">Pipeline Topology</w:t>
      </w:r>
    </w:p>
    <w:p>
      <w:pPr>
        <w:spacing w:after="120" w:before="80"/>
      </w:pPr>
      <w:r>
        <w:rPr>
          <w:rFonts w:ascii="Calibri" w:cs="Calibri" w:eastAsia="Calibri" w:hAnsi="Calibri"/>
          <w:sz w:val="22"/>
          <w:szCs w:val="22"/>
        </w:rPr>
        <w:t xml:space="preserve">The pipeline executes in a fixed topological order with a single conditional branch after the reflection node.</w:t>
      </w:r>
    </w:p>
    <w:p>
      <w:pPr>
        <w:spacing w:after="100" w:before="100"/>
      </w:pPr>
      <w:r>
        <w:t xml:space="preserve"/>
      </w:r>
    </w:p>
    <w:p>
      <w:pPr>
        <w:spacing w:after="120" w:before="80"/>
      </w:pPr>
      <w:r>
        <w:rPr>
          <w:rFonts w:ascii="Calibri" w:cs="Calibri" w:eastAsia="Calibri" w:hAnsi="Calibri"/>
          <w:sz w:val="22"/>
          <w:szCs w:val="22"/>
        </w:rPr>
        <w:t xml:space="preserve">The flow is: intent → fetch → validate → store → retrieve → ticker_guard → evaluate → answer → analyst → reflection → scribe or end.</w:t>
      </w:r>
    </w:p>
    <w:p>
      <w:pPr>
        <w:spacing w:after="100" w:before="100"/>
      </w:pPr>
      <w:r>
        <w:t xml:space="preserve"/>
      </w:r>
    </w:p>
    <w:p>
      <w:pPr>
        <w:spacing w:after="120" w:before="80"/>
      </w:pPr>
      <w:r>
        <w:rPr>
          <w:rFonts w:ascii="Calibri" w:cs="Calibri" w:eastAsia="Calibri" w:hAnsi="Calibri"/>
          <w:sz w:val="22"/>
          <w:szCs w:val="22"/>
        </w:rPr>
        <w:t xml:space="preserve">Nodes are classified into four types: guard nodes, which check conditions and may halt the pipeline; enricher and retriever nodes, which add data without blocking; agent nodes, which apply ML models; and the output node.</w:t>
      </w:r>
    </w:p>
    <w:p>
      <w:pPr>
        <w:spacing w:after="100" w:before="100"/>
      </w:pPr>
      <w:r>
        <w:t xml:space="preserve"/>
      </w:r>
    </w:p>
    <w:p>
      <w:pPr>
        <w:spacing w:after="120" w:before="80"/>
      </w:pPr>
      <w:r>
        <w:rPr>
          <w:rFonts w:ascii="Calibri" w:cs="Calibri" w:eastAsia="Calibri" w:hAnsi="Calibri"/>
          <w:sz w:val="22"/>
          <w:szCs w:val="22"/>
        </w:rPr>
        <w:t xml:space="preserve">All state is held in a typed AgentState TypedDict. When any guard node sets block_reason, all downstream nodes skip execution automatically — a fail-fast pattern with no explicit inter-node branching.</w:t>
      </w:r>
    </w:p>
    <w:p>
      <w:pPr>
        <w:spacing w:after="100" w:before="100"/>
      </w:pPr>
      <w:r>
        <w:t xml:space="preserve"/>
      </w:r>
    </w:p>
    <w:p>
      <w:pPr>
        <w:pStyle w:val="Heading2"/>
      </w:pPr>
      <w:r>
        <w:rPr>
          <w:rFonts w:ascii="Calibri" w:cs="Calibri" w:eastAsia="Calibri" w:hAnsi="Calibri"/>
          <w:b/>
          <w:bCs/>
          <w:color w:val="1B3A6B"/>
          <w:sz w:val="24"/>
          <w:szCs w:val="24"/>
        </w:rPr>
        <w:t xml:space="preserve">ML Models</w:t>
      </w:r>
    </w:p>
    <w:p>
      <w:pPr>
        <w:spacing w:after="120" w:before="80"/>
      </w:pPr>
      <w:r>
        <w:rPr>
          <w:rFonts w:ascii="Calibri" w:cs="Calibri" w:eastAsia="Calibri" w:hAnsi="Calibri"/>
          <w:sz w:val="22"/>
          <w:szCs w:val="22"/>
        </w:rPr>
        <w:t xml:space="preserve">Two models power the system. The all-MiniLM-L6-v2 sentence transformer maps variable-length text to a fixed 384-dimensional dense embedding space. Critically, the same model instance is used for both indexing and querying — using different models would introduce distributional mismatch that corrupts threshold calibration.</w:t>
      </w:r>
    </w:p>
    <w:p>
      <w:pPr>
        <w:spacing w:after="100" w:before="100"/>
      </w:pPr>
      <w:r>
        <w:t xml:space="preserve"/>
      </w:r>
    </w:p>
    <w:p>
      <w:pPr>
        <w:spacing w:after="120" w:before="80"/>
      </w:pPr>
      <w:r>
        <w:rPr>
          <w:rFonts w:ascii="Calibri" w:cs="Calibri" w:eastAsia="Calibri" w:hAnsi="Calibri"/>
          <w:sz w:val="22"/>
          <w:szCs w:val="22"/>
        </w:rPr>
        <w:t xml:space="preserve">ProsusAI/FinBERT handles financial sentiment classification. It was selected over general BERT because it correctly handles finance-specific vocabulary — terms like ‘liability’, ‘write-down’, and ‘headwinds’ that general models systematically misclassify. Both models are loaded once at startup as singletons, eliminating 3 to 7 second per-request initialisation overhead.</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The TinyLlama box is greyed out to visually reinforce that it is not part of the optimised pipeline.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6  ·  </w:t>
            </w:r>
            <w:r>
              <w:rPr>
                <w:rFonts w:ascii="Calibri" w:cs="Calibri" w:eastAsia="Calibri" w:hAnsi="Calibri"/>
                <w:b/>
                <w:bCs/>
                <w:color w:val="FFFFFF"/>
                <w:spacing w:val="30"/>
                <w:sz w:val="22"/>
                <w:szCs w:val="22"/>
              </w:rPr>
              <w:t xml:space="preserve">EVALUATION RESULTS</w:t>
            </w:r>
          </w:p>
        </w:tc>
      </w:tr>
    </w:tbl>
    <w:p>
      <w:pPr>
        <w:spacing w:after="100" w:before="100"/>
      </w:pPr>
      <w:r>
        <w:t xml:space="preserve"/>
      </w:r>
    </w:p>
    <w:p>
      <w:pPr>
        <w:pStyle w:val="Heading2"/>
      </w:pPr>
      <w:r>
        <w:rPr>
          <w:rFonts w:ascii="Calibri" w:cs="Calibri" w:eastAsia="Calibri" w:hAnsi="Calibri"/>
          <w:b/>
          <w:bCs/>
          <w:color w:val="1B3A6B"/>
          <w:sz w:val="24"/>
          <w:szCs w:val="24"/>
        </w:rPr>
        <w:t xml:space="preserve">Live API Evaluation — April 2, 2026</w:t>
      </w:r>
    </w:p>
    <w:p>
      <w:pPr>
        <w:spacing w:after="120" w:before="80"/>
      </w:pPr>
      <w:r>
        <w:rPr>
          <w:rFonts w:ascii="Calibri" w:cs="Calibri" w:eastAsia="Calibri" w:hAnsi="Calibri"/>
          <w:sz w:val="22"/>
          <w:szCs w:val="22"/>
        </w:rPr>
        <w:t xml:space="preserve">Our primary evaluation ran eighteen queries across six adversarial categories in live API mode against the production Kubernetes cluster — thirty-six total runs across Baseline and Optimized modes.</w:t>
      </w:r>
    </w:p>
    <w:p>
      <w:pPr>
        <w:spacing w:after="100" w:before="100"/>
      </w:pPr>
      <w:r>
        <w:t xml:space="preserve"/>
      </w:r>
    </w:p>
    <w:p>
      <w:pPr>
        <w:spacing w:after="120" w:before="80"/>
      </w:pPr>
      <w:r>
        <w:rPr>
          <w:rFonts w:ascii="Calibri" w:cs="Calibri" w:eastAsia="Calibri" w:hAnsi="Calibri"/>
          <w:sz w:val="22"/>
          <w:szCs w:val="22"/>
        </w:rPr>
        <w:t xml:space="preserve">The headline numbers are in the top row. The OPTIMIZED configuration deflected 83.3% of attack inputs, stopped all three hallucination probes, and produced fully grounded answers for all eighteen queries. Latency improved by a factor of 1.77.</w:t>
      </w:r>
    </w:p>
    <w:p>
      <w:pPr>
        <w:spacing w:after="100" w:before="100"/>
      </w:pPr>
      <w:r>
        <w:t xml:space="preserve"/>
      </w:r>
    </w:p>
    <w:p>
      <w:pPr>
        <w:pStyle w:val="Heading2"/>
      </w:pPr>
      <w:r>
        <w:rPr>
          <w:rFonts w:ascii="Calibri" w:cs="Calibri" w:eastAsia="Calibri" w:hAnsi="Calibri"/>
          <w:b/>
          <w:bCs/>
          <w:color w:val="1B3A6B"/>
          <w:sz w:val="24"/>
          <w:szCs w:val="24"/>
        </w:rPr>
        <w:t xml:space="preserve">Guard Performance Breakdown</w:t>
      </w:r>
    </w:p>
    <w:p>
      <w:pPr>
        <w:spacing w:after="120" w:before="80"/>
      </w:pPr>
      <w:r>
        <w:rPr>
          <w:rFonts w:ascii="Calibri" w:cs="Calibri" w:eastAsia="Calibri" w:hAnsi="Calibri"/>
          <w:sz w:val="22"/>
          <w:szCs w:val="22"/>
        </w:rPr>
        <w:t xml:space="preserve">The table on the left shows which guards fired and how often. BLOCKED_ADVISORY_QUERY led with four hits, responding in under 80 milliseconds on average. BLOCKED_UNKNOWN_ENTITY caught three queries for fictional tickers. BLOCKED_UNSUPPORTED_YEAR stopped two fabricated date queries. BLOCKED_INVALID_TOOL intercepted two confidential data requests. BLOCKED_LOW_SIMILARITY stopped the final hallucination probe.</w:t>
      </w:r>
    </w:p>
    <w:p>
      <w:pPr>
        <w:spacing w:after="100" w:before="100"/>
      </w:pPr>
      <w:r>
        <w:t xml:space="preserve"/>
      </w:r>
    </w:p>
    <w:p>
      <w:pPr>
        <w:spacing w:after="120" w:before="80"/>
      </w:pPr>
      <w:r>
        <w:rPr>
          <w:rFonts w:ascii="Calibri" w:cs="Calibri" w:eastAsia="Calibri" w:hAnsi="Calibri"/>
          <w:sz w:val="22"/>
          <w:szCs w:val="22"/>
        </w:rPr>
        <w:t xml:space="preserve">One interesting result: BLOCKED_STALE_DOCUMENTS fired three times — twice on expected probe targets, but once unexpectedly on a legitimate FACTUAL SEC filing query. This is a configuration-level issue, not an architectural flaw. A per-source TTL would resolve it.</w:t>
      </w:r>
    </w:p>
    <w:p>
      <w:pPr>
        <w:spacing w:after="100" w:before="100"/>
      </w:pPr>
      <w:r>
        <w:t xml:space="preserve"/>
      </w:r>
    </w:p>
    <w:p>
      <w:pPr>
        <w:spacing w:after="120" w:before="80"/>
      </w:pPr>
      <w:r>
        <w:rPr>
          <w:rFonts w:ascii="Calibri" w:cs="Calibri" w:eastAsia="Calibri" w:hAnsi="Calibri"/>
          <w:sz w:val="22"/>
          <w:szCs w:val="22"/>
        </w:rPr>
        <w:t xml:space="preserve">At the bottom of the slide you can see the pre-fix versus post-fix comparison. Before patching, two probes leaked. After patching, zero leaked — the first clean full-probe sweep in the project’s evaluation history.</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The stacked bar chart on the right visualises the per-category outcome split — note that FACTUAL is the only category with grounded responses.</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7  ·  </w:t>
            </w:r>
            <w:r>
              <w:rPr>
                <w:rFonts w:ascii="Calibri" w:cs="Calibri" w:eastAsia="Calibri" w:hAnsi="Calibri"/>
                <w:b/>
                <w:bCs/>
                <w:color w:val="FFFFFF"/>
                <w:spacing w:val="30"/>
                <w:sz w:val="22"/>
                <w:szCs w:val="22"/>
              </w:rPr>
              <w:t xml:space="preserve">PERFORMANCE: LATENCY &amp; THROUGHPUT</w:t>
            </w:r>
          </w:p>
        </w:tc>
      </w:tr>
    </w:tbl>
    <w:p>
      <w:pPr>
        <w:spacing w:after="100" w:before="100"/>
      </w:pPr>
      <w:r>
        <w:t xml:space="preserve"/>
      </w:r>
    </w:p>
    <w:p>
      <w:pPr>
        <w:pStyle w:val="Heading2"/>
      </w:pPr>
      <w:r>
        <w:rPr>
          <w:rFonts w:ascii="Calibri" w:cs="Calibri" w:eastAsia="Calibri" w:hAnsi="Calibri"/>
          <w:b/>
          <w:bCs/>
          <w:color w:val="1B3A6B"/>
          <w:sz w:val="24"/>
          <w:szCs w:val="24"/>
        </w:rPr>
        <w:t xml:space="preserve">Latency Analysis</w:t>
      </w:r>
    </w:p>
    <w:p>
      <w:pPr>
        <w:spacing w:after="120" w:before="80"/>
      </w:pPr>
      <w:r>
        <w:rPr>
          <w:rFonts w:ascii="Calibri" w:cs="Calibri" w:eastAsia="Calibri" w:hAnsi="Calibri"/>
          <w:sz w:val="22"/>
          <w:szCs w:val="22"/>
        </w:rPr>
        <w:t xml:space="preserve">The OPTIMIZED pipeline averaged 1.70 seconds versus Baseline’s 3.01 seconds — a 1.77-times overall speedup.</w:t>
      </w:r>
    </w:p>
    <w:p>
      <w:pPr>
        <w:spacing w:after="100" w:before="100"/>
      </w:pPr>
      <w:r>
        <w:t xml:space="preserve"/>
      </w:r>
    </w:p>
    <w:p>
      <w:pPr>
        <w:spacing w:after="120" w:before="80"/>
      </w:pPr>
      <w:r>
        <w:rPr>
          <w:rFonts w:ascii="Calibri" w:cs="Calibri" w:eastAsia="Calibri" w:hAnsi="Calibri"/>
          <w:sz w:val="22"/>
          <w:szCs w:val="22"/>
        </w:rPr>
        <w:t xml:space="preserve">The FACTUAL category drives almost the entire gap. In Baseline mode, answering a factual query requires full TinyLlama generation — averaging 10.96 seconds. In OPTIMIZED mode, the same query uses cached RAG retrieval — averaging 4.97 seconds, a 2.2-times improvement on that category alone.</w:t>
      </w:r>
    </w:p>
    <w:p>
      <w:pPr>
        <w:spacing w:after="100" w:before="100"/>
      </w:pPr>
      <w:r>
        <w:t xml:space="preserve"/>
      </w:r>
    </w:p>
    <w:p>
      <w:pPr>
        <w:spacing w:after="120" w:before="80"/>
      </w:pPr>
      <w:r>
        <w:rPr>
          <w:rFonts w:ascii="Calibri" w:cs="Calibri" w:eastAsia="Calibri" w:hAnsi="Calibri"/>
          <w:sz w:val="22"/>
          <w:szCs w:val="22"/>
        </w:rPr>
        <w:t xml:space="preserve">Advisory, nonexistent-entity, and fabricated-date queries are all intercepted at the earliest guard nodes and return in well under 0.2 seconds in both modes. Their latency is essentially negligible.</w:t>
      </w:r>
    </w:p>
    <w:p>
      <w:pPr>
        <w:spacing w:after="100" w:before="100"/>
      </w:pPr>
      <w:r>
        <w:t xml:space="preserve"/>
      </w:r>
    </w:p>
    <w:p>
      <w:pPr>
        <w:spacing w:after="120" w:before="80"/>
      </w:pPr>
      <w:r>
        <w:rPr>
          <w:rFonts w:ascii="Calibri" w:cs="Calibri" w:eastAsia="Calibri" w:hAnsi="Calibri"/>
          <w:sz w:val="22"/>
          <w:szCs w:val="22"/>
        </w:rPr>
        <w:t xml:space="preserve">The one category where OPTIMIZED is marginally slower is HAL_PROBE at 0.91 times Baseline speed. This happens because the stale-document check in that probe’s guard requires a complete MCP fetch before the guard can fire.</w:t>
      </w:r>
    </w:p>
    <w:p>
      <w:pPr>
        <w:spacing w:after="100" w:before="100"/>
      </w:pPr>
      <w:r>
        <w:t xml:space="preserve"/>
      </w:r>
    </w:p>
    <w:p>
      <w:pPr>
        <w:spacing w:after="120" w:before="80"/>
      </w:pPr>
      <w:r>
        <w:rPr>
          <w:rFonts w:ascii="Calibri" w:cs="Calibri" w:eastAsia="Calibri" w:hAnsi="Calibri"/>
          <w:sz w:val="22"/>
          <w:szCs w:val="22"/>
        </w:rPr>
        <w:t xml:space="preserve">The speedup table on the right summarises this per category. The key takeaway is the OVERALL AVERAGE: 1.77 times faster, with the OPTIMIZED system simultaneously providing better safety guarantees.</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The bar chart clearly shows the TinyLlama FACTUAL bar dwarfing all others — this is the visual anchor for the latency story.</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8  ·  </w:t>
            </w:r>
            <w:r>
              <w:rPr>
                <w:rFonts w:ascii="Calibri" w:cs="Calibri" w:eastAsia="Calibri" w:hAnsi="Calibri"/>
                <w:b/>
                <w:bCs/>
                <w:color w:val="FFFFFF"/>
                <w:spacing w:val="30"/>
                <w:sz w:val="22"/>
                <w:szCs w:val="22"/>
              </w:rPr>
              <w:t xml:space="preserve">KEY FINDINGS &amp; DISCUSSION</w:t>
            </w:r>
          </w:p>
        </w:tc>
      </w:tr>
    </w:tbl>
    <w:p>
      <w:pPr>
        <w:spacing w:after="100" w:before="100"/>
      </w:pPr>
      <w:r>
        <w:t xml:space="preserve"/>
      </w:r>
    </w:p>
    <w:p>
      <w:pPr>
        <w:pStyle w:val="Heading2"/>
      </w:pPr>
      <w:r>
        <w:rPr>
          <w:rFonts w:ascii="Calibri" w:cs="Calibri" w:eastAsia="Calibri" w:hAnsi="Calibri"/>
          <w:b/>
          <w:bCs/>
          <w:color w:val="1B3A6B"/>
          <w:sz w:val="24"/>
          <w:szCs w:val="24"/>
        </w:rPr>
        <w:t xml:space="preserve">Four Critical Insights</w:t>
      </w:r>
    </w:p>
    <w:p>
      <w:pPr>
        <w:spacing w:after="120" w:before="80"/>
      </w:pPr>
      <w:r>
        <w:rPr>
          <w:rFonts w:ascii="Calibri" w:cs="Calibri" w:eastAsia="Calibri" w:hAnsi="Calibri"/>
          <w:sz w:val="22"/>
          <w:szCs w:val="22"/>
        </w:rPr>
        <w:t xml:space="preserve">We want to highlight four findings that go beyond the headline metrics.</w:t>
      </w:r>
    </w:p>
    <w:p>
      <w:pPr>
        <w:spacing w:after="100" w:before="100"/>
      </w:pPr>
      <w:r>
        <w:t xml:space="preserve"/>
      </w:r>
    </w:p>
    <w:p>
      <w:pPr>
        <w:spacing w:after="120" w:before="80"/>
      </w:pPr>
      <w:r>
        <w:rPr>
          <w:rFonts w:ascii="Calibri" w:cs="Calibri" w:eastAsia="Calibri" w:hAnsi="Calibri"/>
          <w:sz w:val="22"/>
          <w:szCs w:val="22"/>
        </w:rPr>
        <w:t xml:space="preserve">Finding one: evaluation mode profoundly affects measured safety. The same eighteen queries showed three out of three probe leaks in in-process benchmarking, and zero out of three through the live API. The guard chain is only activated through the FastAPI endpoint. This is a critical methodological result: in-process unit testing of individual pipeline nodes cannot detect failure modes that only emerge from the full guard chain. All future RAG safety benchmarking must pass through the complete production stack.</w:t>
      </w:r>
    </w:p>
    <w:p>
      <w:pPr>
        <w:spacing w:after="100" w:before="100"/>
      </w:pPr>
      <w:r>
        <w:t xml:space="preserve"/>
      </w:r>
    </w:p>
    <w:p>
      <w:pPr>
        <w:spacing w:after="120" w:before="80"/>
      </w:pPr>
      <w:r>
        <w:rPr>
          <w:rFonts w:ascii="Calibri" w:cs="Calibri" w:eastAsia="Calibri" w:hAnsi="Calibri"/>
          <w:sz w:val="22"/>
          <w:szCs w:val="22"/>
        </w:rPr>
        <w:t xml:space="preserve">Finding two: grounded equals true is insufficient as a safety indicator. Our standard hallucination rate metric continued to report 0.0 even while two active vulnerabilities were simultaneously present. A grounded flag only confirms that the pipeline produced an answer — it does not verify that the retrieved content actually answers the posed question, or that its temporal scope is correct.</w:t>
      </w:r>
    </w:p>
    <w:p>
      <w:pPr>
        <w:spacing w:after="100" w:before="100"/>
      </w:pPr>
      <w:r>
        <w:t xml:space="preserve"/>
      </w:r>
    </w:p>
    <w:p>
      <w:pPr>
        <w:spacing w:after="120" w:before="80"/>
      </w:pPr>
      <w:r>
        <w:rPr>
          <w:rFonts w:ascii="Calibri" w:cs="Calibri" w:eastAsia="Calibri" w:hAnsi="Calibri"/>
          <w:sz w:val="22"/>
          <w:szCs w:val="22"/>
        </w:rPr>
        <w:t xml:space="preserve">Finding three: removing the LLM from answer assembly gives an architectural grounding guarantee, but responses are raw concatenated document strings, not fluent prose. For OHLCV figures and filing metadata, this is acceptable. For narrative synthesis, a tightly constrained generative stage conditioned only on verified passages would be the right extension.</w:t>
      </w:r>
    </w:p>
    <w:p>
      <w:pPr>
        <w:spacing w:after="100" w:before="100"/>
      </w:pPr>
      <w:r>
        <w:t xml:space="preserve"/>
      </w:r>
    </w:p>
    <w:p>
      <w:pPr>
        <w:spacing w:after="120" w:before="80"/>
      </w:pPr>
      <w:r>
        <w:rPr>
          <w:rFonts w:ascii="Calibri" w:cs="Calibri" w:eastAsia="Calibri" w:hAnsi="Calibri"/>
          <w:sz w:val="22"/>
          <w:szCs w:val="22"/>
        </w:rPr>
        <w:t xml:space="preserve">Finding four: FinBERT achieved 73.47% accuracy on our 49-sentence evaluation set — below our 80% production threshold. The primary failure modes are implicit positives, such as M&amp;A announcements expressed factually rather than enthusiastically, and social media idioms absent from FinBERT’s training corpus. Both are addressable without architectural changes.</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Allow time for questions on the ‘evaluation mode problem’ — it tends to generate discussion.</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0" w:before="0"/>
            </w:pPr>
            <w:r>
              <w:rPr>
                <w:rFonts w:ascii="Calibri" w:cs="Calibri" w:eastAsia="Calibri" w:hAnsi="Calibri"/>
                <w:b/>
                <w:bCs/>
                <w:color w:val="F0A500"/>
                <w:sz w:val="22"/>
                <w:szCs w:val="22"/>
              </w:rPr>
              <w:t xml:space="preserve">SLIDE 9  ·  </w:t>
            </w:r>
            <w:r>
              <w:rPr>
                <w:rFonts w:ascii="Calibri" w:cs="Calibri" w:eastAsia="Calibri" w:hAnsi="Calibri"/>
                <w:b/>
                <w:bCs/>
                <w:color w:val="FFFFFF"/>
                <w:spacing w:val="30"/>
                <w:sz w:val="22"/>
                <w:szCs w:val="22"/>
              </w:rPr>
              <w:t xml:space="preserve">CONCLUSION &amp; FUTURE WORK</w:t>
            </w:r>
          </w:p>
        </w:tc>
      </w:tr>
    </w:tbl>
    <w:p>
      <w:pPr>
        <w:spacing w:after="100" w:before="100"/>
      </w:pPr>
      <w:r>
        <w:t xml:space="preserve"/>
      </w:r>
    </w:p>
    <w:p>
      <w:pPr>
        <w:pStyle w:val="Heading2"/>
      </w:pPr>
      <w:r>
        <w:rPr>
          <w:rFonts w:ascii="Calibri" w:cs="Calibri" w:eastAsia="Calibri" w:hAnsi="Calibri"/>
          <w:b/>
          <w:bCs/>
          <w:color w:val="1B3A6B"/>
          <w:sz w:val="24"/>
          <w:szCs w:val="24"/>
        </w:rPr>
        <w:t xml:space="preserve">What We Proved</w:t>
      </w:r>
    </w:p>
    <w:p>
      <w:pPr>
        <w:spacing w:after="120" w:before="80"/>
      </w:pPr>
      <w:r>
        <w:rPr>
          <w:rFonts w:ascii="Calibri" w:cs="Calibri" w:eastAsia="Calibri" w:hAnsi="Calibri"/>
          <w:sz w:val="22"/>
          <w:szCs w:val="22"/>
        </w:rPr>
        <w:t xml:space="preserve">To summarise: Project B.A.N.A.N.A. demonstrates that a layered guard-based RAG architecture with LLM-free answer assembly can achieve zero measured hallucination on live financial queries.</w:t>
      </w:r>
    </w:p>
    <w:p>
      <w:pPr>
        <w:spacing w:after="100" w:before="100"/>
      </w:pPr>
      <w:r>
        <w:t xml:space="preserve"/>
      </w:r>
    </w:p>
    <w:p>
      <w:pPr>
        <w:spacing w:after="120" w:before="80"/>
      </w:pPr>
      <w:r>
        <w:rPr>
          <w:rFonts w:ascii="Calibri" w:cs="Calibri" w:eastAsia="Calibri" w:hAnsi="Calibri"/>
          <w:sz w:val="22"/>
          <w:szCs w:val="22"/>
        </w:rPr>
        <w:t xml:space="preserve">Our seven-layer defence model blocked 83.3% of adversarial inputs across six threat categories. All three purpose-designed hallucination probes were contained in live API testing. The OPTIMIZED pipeline runs at 1.77 times lower latency than a plain LLM baseline.</w:t>
      </w:r>
    </w:p>
    <w:p>
      <w:pPr>
        <w:spacing w:after="100" w:before="100"/>
      </w:pPr>
      <w:r>
        <w:t xml:space="preserve"/>
      </w:r>
    </w:p>
    <w:p>
      <w:pPr>
        <w:spacing w:after="120" w:before="80"/>
      </w:pPr>
      <w:r>
        <w:rPr>
          <w:rFonts w:ascii="Calibri" w:cs="Calibri" w:eastAsia="Calibri" w:hAnsi="Calibri"/>
          <w:sz w:val="22"/>
          <w:szCs w:val="22"/>
        </w:rPr>
        <w:t xml:space="preserve">Two active vulnerabilities — a social data sentinel bypass and cross-ticker vector store contamination — were discovered through adversarial probing and patched with minimal targeted interventions.</w:t>
      </w:r>
    </w:p>
    <w:p>
      <w:pPr>
        <w:spacing w:after="100" w:before="100"/>
      </w:pPr>
      <w:r>
        <w:t xml:space="preserve"/>
      </w:r>
    </w:p>
    <w:p>
      <w:pPr>
        <w:spacing w:after="120" w:before="80"/>
      </w:pPr>
      <w:r>
        <w:rPr>
          <w:rFonts w:ascii="Calibri" w:cs="Calibri" w:eastAsia="Calibri" w:hAnsi="Calibri"/>
          <w:sz w:val="22"/>
          <w:szCs w:val="22"/>
        </w:rPr>
        <w:t xml:space="preserve">The central methodological finding is that RAG pipeline safety evaluation must be conducted end-to-end through the complete production endpoint. In-process benchmarking is insufficient.</w:t>
      </w:r>
    </w:p>
    <w:p>
      <w:pPr>
        <w:spacing w:after="100" w:before="100"/>
      </w:pPr>
      <w:r>
        <w:t xml:space="preserve"/>
      </w:r>
    </w:p>
    <w:p>
      <w:pPr>
        <w:pStyle w:val="Heading2"/>
      </w:pPr>
      <w:r>
        <w:rPr>
          <w:rFonts w:ascii="Calibri" w:cs="Calibri" w:eastAsia="Calibri" w:hAnsi="Calibri"/>
          <w:b/>
          <w:bCs/>
          <w:color w:val="1B3A6B"/>
          <w:sz w:val="24"/>
          <w:szCs w:val="24"/>
        </w:rPr>
        <w:t xml:space="preserve">Future Work</w:t>
      </w:r>
    </w:p>
    <w:p>
      <w:pPr>
        <w:spacing w:after="120" w:before="80"/>
      </w:pPr>
      <w:r>
        <w:rPr>
          <w:rFonts w:ascii="Calibri" w:cs="Calibri" w:eastAsia="Calibri" w:hAnsi="Calibri"/>
          <w:sz w:val="22"/>
          <w:szCs w:val="22"/>
        </w:rPr>
        <w:t xml:space="preserve">Three incremental improvements would bring the system to full production readiness:</w:t>
      </w:r>
    </w:p>
    <w:p>
      <w:pPr>
        <w:spacing w:after="100" w:before="100"/>
      </w:pPr>
      <w:r>
        <w:t xml:space="preserve"/>
      </w:r>
    </w:p>
    <w:p>
      <w:pPr>
        <w:pStyle w:val="ListParagraph"/>
        <w:numPr>
          <w:ilvl w:val="0"/>
          <w:numId w:val="2"/>
        </w:numPr>
        <w:spacing w:after="60" w:before="60"/>
      </w:pPr>
      <w:r>
        <w:rPr>
          <w:rFonts w:ascii="Calibri" w:cs="Calibri" w:eastAsia="Calibri" w:hAnsi="Calibri"/>
          <w:sz w:val="22"/>
          <w:szCs w:val="22"/>
        </w:rPr>
        <w:t xml:space="preserve">Date-range metadata filters on ChromaDB retrieval to close the temporal grounding gap for historical queries.</w:t>
      </w:r>
    </w:p>
    <w:p>
      <w:pPr>
        <w:pStyle w:val="ListParagraph"/>
        <w:numPr>
          <w:ilvl w:val="0"/>
          <w:numId w:val="2"/>
        </w:numPr>
        <w:spacing w:after="60" w:before="60"/>
      </w:pPr>
      <w:r>
        <w:rPr>
          <w:rFonts w:ascii="Calibri" w:cs="Calibri" w:eastAsia="Calibri" w:hAnsi="Calibri"/>
          <w:sz w:val="22"/>
          <w:szCs w:val="22"/>
        </w:rPr>
        <w:t xml:space="preserve">VADER tiebreaker integration or FinBERT social-domain fine-tuning to push sentiment accuracy above 80%.</w:t>
      </w:r>
    </w:p>
    <w:p>
      <w:pPr>
        <w:pStyle w:val="ListParagraph"/>
        <w:numPr>
          <w:ilvl w:val="0"/>
          <w:numId w:val="2"/>
        </w:numPr>
        <w:spacing w:after="60" w:before="60"/>
      </w:pPr>
      <w:r>
        <w:rPr>
          <w:rFonts w:ascii="Calibri" w:cs="Calibri" w:eastAsia="Calibri" w:hAnsi="Calibri"/>
          <w:sz w:val="22"/>
          <w:szCs w:val="22"/>
        </w:rPr>
        <w:t xml:space="preserve">Per-source TTL configuration and Kubernetes ConfigMap promotion of key thresholds to enable live tuning without downtime.</w:t>
      </w:r>
    </w:p>
    <w:p>
      <w:pPr>
        <w:spacing w:after="100" w:before="100"/>
      </w:pPr>
      <w:r>
        <w:t xml:space="preserve"/>
      </w:r>
    </w:p>
    <w:p>
      <w:pPr>
        <w:spacing w:after="120" w:before="80"/>
      </w:pPr>
      <w:r>
        <w:rPr>
          <w:rFonts w:ascii="Calibri" w:cs="Calibri" w:eastAsia="Calibri" w:hAnsi="Calibri"/>
          <w:sz w:val="22"/>
          <w:szCs w:val="22"/>
        </w:rPr>
        <w:t xml:space="preserve">The system’s clean microservice decomposition — MCP servers, LangGraph nodes, and ChromaDB are each independently replaceable — means all of these are incremental configuration changes, not architectural overhauls.</w:t>
      </w:r>
    </w:p>
    <w:p>
      <w:pPr>
        <w:spacing w:after="100" w:before="100"/>
      </w:pPr>
      <w:r>
        <w:t xml:space="preserve"/>
      </w:r>
    </w:p>
    <w:p>
      <w:pPr>
        <w:spacing w:after="120" w:before="80"/>
      </w:pPr>
      <w:r>
        <w:rPr>
          <w:rFonts w:ascii="Calibri" w:cs="Calibri" w:eastAsia="Calibri" w:hAnsi="Calibri"/>
          <w:sz w:val="22"/>
          <w:szCs w:val="22"/>
        </w:rPr>
        <w:t xml:space="preserve">Thank you. We are happy to take questions.</w:t>
      </w:r>
    </w:p>
    <w:p>
      <w:pPr>
        <w:spacing w:after="100" w:before="100"/>
      </w:pPr>
      <w:r>
        <w:t xml:space="preserve"/>
      </w:r>
    </w:p>
    <w:p>
      <w:pPr>
        <w:spacing w:after="60" w:before="60"/>
        <w:ind w:left="720"/>
      </w:pPr>
      <w:r>
        <w:rPr>
          <w:rFonts w:ascii="Calibri" w:cs="Calibri" w:eastAsia="Calibri" w:hAnsi="Calibri"/>
          <w:b/>
          <w:bCs/>
          <w:color w:val="B8860B"/>
          <w:sz w:val="20"/>
          <w:szCs w:val="20"/>
        </w:rPr>
        <w:t xml:space="preserve">Presenter note: </w:t>
      </w:r>
      <w:r>
        <w:rPr>
          <w:rFonts w:ascii="Calibri" w:cs="Calibri" w:eastAsia="Calibri" w:hAnsi="Calibri"/>
          <w:color w:val="555555"/>
          <w:sz w:val="20"/>
          <w:szCs w:val="20"/>
        </w:rPr>
        <w:t xml:space="preserve">End with a confident pause. Have the results slide (slide 6) ready to reopen if questions arise about specific guard counts or latency numbers.</w:t>
      </w:r>
    </w:p>
    <w:p>
      <w:pPr>
        <w:spacing w:after="100" w:before="100"/>
      </w:pPr>
      <w:r>
        <w:t xml:space="preserve"/>
      </w:r>
    </w:p>
    <w:p>
      <w:pPr>
        <w:spacing w:after="100" w:before="100"/>
      </w:pPr>
      <w:r>
        <w:t xml:space="preserve"/>
      </w:r>
    </w:p>
    <w:p>
      <w:pPr>
        <w:pBdr>
          <w:top w:val="single" w:color="0A1628" w:sz="4"/>
        </w:pBdr>
        <w:spacing w:after="200" w:before="400"/>
      </w:pPr>
      <w:r>
        <w:rPr>
          <w:rFonts w:ascii="Calibri" w:cs="Calibri" w:eastAsia="Calibri" w:hAnsi="Calibri"/>
          <w:b/>
          <w:bCs/>
          <w:color w:val="0A1628"/>
          <w:sz w:val="28"/>
          <w:szCs w:val="28"/>
        </w:rPr>
        <w:t xml:space="preserve">Presentation Notes</w:t>
      </w:r>
    </w:p>
    <w:p>
      <w:pPr>
        <w:spacing w:after="120" w:before="80"/>
      </w:pPr>
      <w:r>
        <w:rPr>
          <w:rFonts w:ascii="Calibri" w:cs="Calibri" w:eastAsia="Calibri" w:hAnsi="Calibri"/>
          <w:sz w:val="22"/>
          <w:szCs w:val="22"/>
        </w:rPr>
        <w:t xml:space="preserve">Total estimated presentation time: 20–25 minutes plus Q&amp;A.</w:t>
      </w:r>
    </w:p>
    <w:p>
      <w:pPr>
        <w:spacing w:after="100" w:before="100"/>
      </w:pPr>
      <w:r>
        <w:t xml:space="preserve"/>
      </w:r>
    </w:p>
    <w:p>
      <w:pPr>
        <w:pStyle w:val="ListParagraph"/>
        <w:numPr>
          <w:ilvl w:val="0"/>
          <w:numId w:val="2"/>
        </w:numPr>
        <w:spacing w:after="60" w:before="60"/>
      </w:pPr>
      <w:r>
        <w:rPr>
          <w:rFonts w:ascii="Calibri" w:cs="Calibri" w:eastAsia="Calibri" w:hAnsi="Calibri"/>
          <w:sz w:val="22"/>
          <w:szCs w:val="22"/>
        </w:rPr>
        <w:t xml:space="preserve">Slides 1–2: ~3 minutes — Introduction and problem framing</w:t>
      </w:r>
    </w:p>
    <w:p>
      <w:pPr>
        <w:pStyle w:val="ListParagraph"/>
        <w:numPr>
          <w:ilvl w:val="0"/>
          <w:numId w:val="2"/>
        </w:numPr>
        <w:spacing w:after="60" w:before="60"/>
      </w:pPr>
      <w:r>
        <w:rPr>
          <w:rFonts w:ascii="Calibri" w:cs="Calibri" w:eastAsia="Calibri" w:hAnsi="Calibri"/>
          <w:sz w:val="22"/>
          <w:szCs w:val="22"/>
        </w:rPr>
        <w:t xml:space="preserve">Slides 3–5: ~7 minutes — Architecture and pipeline deep-dive</w:t>
      </w:r>
    </w:p>
    <w:p>
      <w:pPr>
        <w:pStyle w:val="ListParagraph"/>
        <w:numPr>
          <w:ilvl w:val="0"/>
          <w:numId w:val="2"/>
        </w:numPr>
        <w:spacing w:after="60" w:before="60"/>
      </w:pPr>
      <w:r>
        <w:rPr>
          <w:rFonts w:ascii="Calibri" w:cs="Calibri" w:eastAsia="Calibri" w:hAnsi="Calibri"/>
          <w:sz w:val="22"/>
          <w:szCs w:val="22"/>
        </w:rPr>
        <w:t xml:space="preserve">Slides 6–7: ~5 minutes — Results and performance</w:t>
      </w:r>
    </w:p>
    <w:p>
      <w:pPr>
        <w:pStyle w:val="ListParagraph"/>
        <w:numPr>
          <w:ilvl w:val="0"/>
          <w:numId w:val="2"/>
        </w:numPr>
        <w:spacing w:after="60" w:before="60"/>
      </w:pPr>
      <w:r>
        <w:rPr>
          <w:rFonts w:ascii="Calibri" w:cs="Calibri" w:eastAsia="Calibri" w:hAnsi="Calibri"/>
          <w:sz w:val="22"/>
          <w:szCs w:val="22"/>
        </w:rPr>
        <w:t xml:space="preserve">Slides 8–9: ~5 minutes — Discussion and conclusion</w:t>
      </w:r>
    </w:p>
    <w:p>
      <w:pPr>
        <w:pStyle w:val="ListParagraph"/>
        <w:numPr>
          <w:ilvl w:val="0"/>
          <w:numId w:val="2"/>
        </w:numPr>
        <w:spacing w:after="60" w:before="60"/>
      </w:pPr>
      <w:r>
        <w:rPr>
          <w:rFonts w:ascii="Calibri" w:cs="Calibri" w:eastAsia="Calibri" w:hAnsi="Calibri"/>
          <w:sz w:val="22"/>
          <w:szCs w:val="22"/>
        </w:rPr>
        <w:t xml:space="preserve">Q&amp;A: ~10 minutes</w:t>
      </w:r>
    </w:p>
    <w:p>
      <w:pPr>
        <w:spacing w:after="100" w:before="100"/>
      </w:pPr>
      <w:r>
        <w:t xml:space="preserve"/>
      </w:r>
    </w:p>
    <w:p>
      <w:pPr>
        <w:spacing w:after="120" w:before="80"/>
      </w:pPr>
      <w:r>
        <w:rPr>
          <w:rFonts w:ascii="Calibri" w:cs="Calibri" w:eastAsia="Calibri" w:hAnsi="Calibri"/>
          <w:b/>
          <w:bCs/>
          <w:sz w:val="22"/>
          <w:szCs w:val="22"/>
        </w:rPr>
        <w:t xml:space="preserve">Key talking points to emphasise:</w:t>
      </w:r>
    </w:p>
    <w:p>
      <w:pPr>
        <w:pStyle w:val="ListParagraph"/>
        <w:numPr>
          <w:ilvl w:val="0"/>
          <w:numId w:val="2"/>
        </w:numPr>
        <w:spacing w:after="60" w:before="60"/>
      </w:pPr>
      <w:r>
        <w:rPr>
          <w:rFonts w:ascii="Calibri" w:cs="Calibri" w:eastAsia="Calibri" w:hAnsi="Calibri"/>
          <w:sz w:val="22"/>
          <w:szCs w:val="22"/>
        </w:rPr>
        <w:t xml:space="preserve">LLM-free answer assembly is the central architectural novelty.</w:t>
      </w:r>
    </w:p>
    <w:p>
      <w:pPr>
        <w:pStyle w:val="ListParagraph"/>
        <w:numPr>
          <w:ilvl w:val="0"/>
          <w:numId w:val="2"/>
        </w:numPr>
        <w:spacing w:after="60" w:before="60"/>
      </w:pPr>
      <w:r>
        <w:rPr>
          <w:rFonts w:ascii="Calibri" w:cs="Calibri" w:eastAsia="Calibri" w:hAnsi="Calibri"/>
          <w:sz w:val="22"/>
          <w:szCs w:val="22"/>
        </w:rPr>
        <w:t xml:space="preserve">The evaluation mode problem is the central methodological finding.</w:t>
      </w:r>
    </w:p>
    <w:p>
      <w:pPr>
        <w:pStyle w:val="ListParagraph"/>
        <w:numPr>
          <w:ilvl w:val="0"/>
          <w:numId w:val="2"/>
        </w:numPr>
        <w:spacing w:after="60" w:before="60"/>
      </w:pPr>
      <w:r>
        <w:rPr>
          <w:rFonts w:ascii="Calibri" w:cs="Calibri" w:eastAsia="Calibri" w:hAnsi="Calibri"/>
          <w:sz w:val="22"/>
          <w:szCs w:val="22"/>
        </w:rPr>
        <w:t xml:space="preserve">Post-fix results represent the first clean probe sweep in the project’s history.</w:t>
      </w:r>
    </w:p>
    <w:p>
      <w:pPr>
        <w:pStyle w:val="ListParagraph"/>
        <w:numPr>
          <w:ilvl w:val="0"/>
          <w:numId w:val="2"/>
        </w:numPr>
        <w:spacing w:after="60" w:before="60"/>
      </w:pPr>
      <w:r>
        <w:rPr>
          <w:rFonts w:ascii="Calibri" w:cs="Calibri" w:eastAsia="Calibri" w:hAnsi="Calibri"/>
          <w:sz w:val="22"/>
          <w:szCs w:val="22"/>
        </w:rPr>
        <w:t xml:space="preserve">All three future work items are configuration changes, not re-architecture.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A1628"/>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2026-04-04T16:02:54.878Z</dcterms:created>
  <dcterms:modified xsi:type="dcterms:W3CDTF">2026-04-04T16:02:54.880Z</dcterms:modified>
</cp:coreProperties>
</file>

<file path=docProps/custom.xml><?xml version="1.0" encoding="utf-8"?>
<Properties xmlns="http://schemas.openxmlformats.org/officeDocument/2006/custom-properties" xmlns:vt="http://schemas.openxmlformats.org/officeDocument/2006/docPropsVTypes"/>
</file>