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Arial" w:cs="Arial" w:eastAsia="Arial" w:hAnsi="Arial"/>
          <w:b/>
          <w:bCs/>
          <w:color w:val="1F5C4D"/>
          <w:sz w:val="56"/>
          <w:szCs w:val="56"/>
        </w:rPr>
        <w:t xml:space="preserve">SAFARIKA</w:t>
      </w:r>
    </w:p>
    <w:p>
      <w:pPr>
        <w:spacing w:after="60"/>
      </w:pPr>
      <w:r>
        <w:rPr>
          <w:rFonts w:ascii="Arial" w:cs="Arial" w:eastAsia="Arial" w:hAnsi="Arial"/>
          <w:color w:val="555555"/>
          <w:sz w:val="26"/>
          <w:szCs w:val="26"/>
        </w:rPr>
        <w:t xml:space="preserve">Export Intelligence &amp; Onboarding Navigator</w:t>
      </w:r>
    </w:p>
    <w:p>
      <w:pPr>
        <w:pBdr>
          <w:bottom w:val="single" w:color="C9A227" w:sz="12" w:space="6"/>
        </w:pBdr>
        <w:spacing w:after="220"/>
      </w:pPr>
      <w:r>
        <w:t xml:space="preserve"/>
      </w:r>
    </w:p>
    <w:p>
      <w:pPr>
        <w:spacing w:after="40"/>
      </w:pPr>
      <w:r>
        <w:rPr>
          <w:rFonts w:ascii="Arial" w:cs="Arial" w:eastAsia="Arial" w:hAnsi="Arial"/>
          <w:b/>
          <w:bCs/>
          <w:sz w:val="36"/>
          <w:szCs w:val="36"/>
        </w:rPr>
        <w:t xml:space="preserve">Challenges &amp; Findings Log</w:t>
      </w:r>
    </w:p>
    <w:p>
      <w:pPr>
        <w:spacing w:after="500"/>
      </w:pPr>
      <w:r>
        <w:rPr>
          <w:rFonts w:ascii="Arial" w:cs="Arial" w:eastAsia="Arial" w:hAnsi="Arial"/>
          <w:i/>
          <w:iCs/>
          <w:color w:val="555555"/>
          <w:sz w:val="23"/>
          <w:szCs w:val="23"/>
        </w:rPr>
        <w:t xml:space="preserve">A running record of problems hit during development and how each was resolved.</w:t>
      </w:r>
    </w:p>
    <w:p>
      <w:pPr>
        <w:spacing w:after="140" w:before="0" w:line="276"/>
      </w:pPr>
      <w:r>
        <w:rPr>
          <w:rFonts w:ascii="Arial" w:cs="Arial" w:eastAsia="Arial" w:hAnsi="Arial"/>
          <w:b/>
          <w:bCs/>
          <w:sz w:val="22"/>
          <w:szCs w:val="22"/>
        </w:rPr>
        <w:t xml:space="preserve">Purpose:  </w:t>
      </w:r>
      <w:r>
        <w:rPr>
          <w:rFonts w:ascii="Arial" w:cs="Arial" w:eastAsia="Arial" w:hAnsi="Arial"/>
          <w:sz w:val="22"/>
          <w:szCs w:val="22"/>
        </w:rPr>
        <w:t xml:space="preserve">a living log; add an entry each time something blocks the build and note what fixed it</w:t>
      </w:r>
    </w:p>
    <w:p>
      <w:pPr>
        <w:spacing w:after="140" w:before="0" w:line="276"/>
      </w:pPr>
      <w:r>
        <w:rPr>
          <w:rFonts w:ascii="Arial" w:cs="Arial" w:eastAsia="Arial" w:hAnsi="Arial"/>
          <w:b/>
          <w:bCs/>
          <w:sz w:val="22"/>
          <w:szCs w:val="22"/>
        </w:rPr>
        <w:t xml:space="preserve">Maintained by:  </w:t>
      </w:r>
      <w:r>
        <w:rPr>
          <w:rFonts w:ascii="Arial" w:cs="Arial" w:eastAsia="Arial" w:hAnsi="Arial"/>
          <w:sz w:val="22"/>
          <w:szCs w:val="22"/>
        </w:rPr>
        <w:t xml:space="preserve">Hemanth · Shiva Rohith · Bhargav</w:t>
      </w:r>
    </w:p>
    <w:p>
      <w:pPr>
        <w:spacing w:after="140" w:before="0" w:line="276"/>
      </w:pPr>
      <w:r>
        <w:rPr>
          <w:rFonts w:ascii="Arial" w:cs="Arial" w:eastAsia="Arial" w:hAnsi="Arial"/>
          <w:b/>
          <w:bCs/>
          <w:sz w:val="22"/>
          <w:szCs w:val="22"/>
        </w:rPr>
        <w:t xml:space="preserve">Last updated:  </w:t>
      </w:r>
      <w:r>
        <w:rPr>
          <w:rFonts w:ascii="Arial" w:cs="Arial" w:eastAsia="Arial" w:hAnsi="Arial"/>
          <w:sz w:val="22"/>
          <w:szCs w:val="22"/>
        </w:rPr>
        <w:t xml:space="preserve">20 June 2026</w:t>
      </w:r>
    </w:p>
    <w:p>
      <w:r>
        <w:br w:type="page"/>
      </w:r>
    </w:p>
    <w:p>
      <w:pPr>
        <w:spacing w:after="160"/>
      </w:pPr>
      <w:r>
        <w:rPr>
          <w:rFonts w:ascii="Arial" w:cs="Arial" w:eastAsia="Arial" w:hAnsi="Arial"/>
          <w:b/>
          <w:bCs/>
          <w:color w:val="1F5C4D"/>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rPr>
          <w:rFonts w:ascii="Arial" w:cs="Arial" w:eastAsia="Arial" w:hAnsi="Arial"/>
        </w:rPr>
        <w:t xml:space="preserve">How to use this log</w:t>
      </w:r>
    </w:p>
    <w:p>
      <w:pPr>
        <w:spacing w:after="140" w:before="0" w:line="276"/>
      </w:pPr>
      <w:r>
        <w:rPr>
          <w:rFonts w:ascii="Arial" w:cs="Arial" w:eastAsia="Arial" w:hAnsi="Arial"/>
          <w:sz w:val="22"/>
          <w:szCs w:val="22"/>
        </w:rPr>
        <w:t xml:space="preserve">This document records the real obstacles met while building Safarika and what was done about each one. It serves two purposes: it keeps the team from re-solving the same problem twice, and it feeds the limitations and methodology sections of the thesis, where an honest account of what went wrong and how it was handled carries real weight.</w:t>
      </w:r>
    </w:p>
    <w:p>
      <w:pPr>
        <w:spacing w:after="140" w:before="0" w:line="276"/>
      </w:pPr>
      <w:r>
        <w:rPr>
          <w:rFonts w:ascii="Arial" w:cs="Arial" w:eastAsia="Arial" w:hAnsi="Arial"/>
          <w:sz w:val="22"/>
          <w:szCs w:val="22"/>
        </w:rPr>
        <w:t xml:space="preserve">Keep it simple. When something blocks the build, add a numbered finding using the format below: what happened, why, what was tried, and what finally worked. Update the summary table at the top and the “last updated” date on the cover. Anticipated risks that haven't bitten yet go in the watch-list near the end, and graduate into findings only if they actually cause trouble.</w:t>
      </w:r>
    </w:p>
    <w:p>
      <w:pPr>
        <w:pStyle w:val="Heading1"/>
      </w:pPr>
      <w:r>
        <w:rPr>
          <w:rFonts w:ascii="Arial" w:cs="Arial" w:eastAsia="Arial" w:hAnsi="Arial"/>
        </w:rP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500"/>
        <w:gridCol w:w="3360"/>
        <w:gridCol w:w="1300"/>
      </w:tblGrid>
      <w:tr>
        <w:trPr>
          <w:tblHeader/>
        </w:trPr>
        <w:tc>
          <w:tcPr>
            <w:tcW w:type="dxa" w:w="70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jc w:val="center"/>
            </w:pPr>
            <w:r>
              <w:rPr>
                <w:rFonts w:ascii="Arial" w:cs="Arial" w:eastAsia="Arial" w:hAnsi="Arial"/>
                <w:b/>
                <w:bCs/>
                <w:color w:val="FFFFFF"/>
                <w:sz w:val="19"/>
                <w:szCs w:val="19"/>
              </w:rPr>
              <w:t xml:space="preserve">#</w:t>
            </w:r>
          </w:p>
        </w:tc>
        <w:tc>
          <w:tcPr>
            <w:tcW w:type="dxa" w:w="150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Date</w:t>
            </w:r>
          </w:p>
        </w:tc>
        <w:tc>
          <w:tcPr>
            <w:tcW w:type="dxa" w:w="250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Area</w:t>
            </w:r>
          </w:p>
        </w:tc>
        <w:tc>
          <w:tcPr>
            <w:tcW w:type="dxa" w:w="336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Issue</w:t>
            </w:r>
          </w:p>
        </w:tc>
        <w:tc>
          <w:tcPr>
            <w:tcW w:type="dxa" w:w="130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Status</w:t>
            </w:r>
          </w:p>
        </w:tc>
      </w:tr>
      <w:tr>
        <w:tc>
          <w:tcPr>
            <w:tcW w:type="dxa" w:w="7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jc w:val="center"/>
            </w:pPr>
            <w:r>
              <w:rPr>
                <w:rFonts w:ascii="Arial" w:cs="Arial" w:eastAsia="Arial" w:hAnsi="Arial"/>
                <w:b/>
                <w:bCs/>
                <w:sz w:val="19"/>
                <w:szCs w:val="19"/>
              </w:rPr>
              <w:t xml:space="preserve">1</w:t>
            </w:r>
          </w:p>
        </w:tc>
        <w:tc>
          <w:tcPr>
            <w:tcW w:type="dxa" w:w="15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20 Jun 2026</w:t>
            </w:r>
          </w:p>
        </w:tc>
        <w:tc>
          <w:tcPr>
            <w:tcW w:type="dxa" w:w="25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Phase 4 — Multilingual</w:t>
            </w:r>
          </w:p>
        </w:tc>
        <w:tc>
          <w:tcPr>
            <w:tcW w:type="dxa" w:w="33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Bhashini registration closed to individual developers</w:t>
            </w:r>
          </w:p>
        </w:tc>
        <w:tc>
          <w:tcPr>
            <w:tcW w:type="dxa" w:w="13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color w:val="2E7D52"/>
                <w:sz w:val="19"/>
                <w:szCs w:val="19"/>
              </w:rPr>
              <w:t xml:space="preserve">Resolved</w:t>
            </w:r>
          </w:p>
        </w:tc>
      </w:tr>
      <w:tr>
        <w:tc>
          <w:tcPr>
            <w:tcW w:type="dxa" w:w="7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jc w:val="center"/>
            </w:pPr>
            <w:r>
              <w:rPr>
                <w:rFonts w:ascii="Arial" w:cs="Arial" w:eastAsia="Arial" w:hAnsi="Arial"/>
                <w:b/>
                <w:bCs/>
                <w:sz w:val="19"/>
                <w:szCs w:val="19"/>
              </w:rPr>
              <w:t xml:space="preserve">2</w:t>
            </w:r>
          </w:p>
        </w:tc>
        <w:tc>
          <w:tcPr>
            <w:tcW w:type="dxa" w:w="15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20 Jun 2026</w:t>
            </w:r>
          </w:p>
        </w:tc>
        <w:tc>
          <w:tcPr>
            <w:tcW w:type="dxa" w:w="25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Phase 4 — Registration</w:t>
            </w:r>
          </w:p>
        </w:tc>
        <w:tc>
          <w:tcPr>
            <w:tcW w:type="dxa" w:w="336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ULCA form required an unknown AISHE code</w:t>
            </w:r>
          </w:p>
        </w:tc>
        <w:tc>
          <w:tcPr>
            <w:tcW w:type="dxa" w:w="13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color w:val="2E7D52"/>
                <w:sz w:val="19"/>
                <w:szCs w:val="19"/>
              </w:rPr>
              <w:t xml:space="preserve">Resolved</w:t>
            </w:r>
          </w:p>
        </w:tc>
      </w:tr>
    </w:tbl>
    <w:p>
      <w:r>
        <w:br w:type="page"/>
      </w:r>
    </w:p>
    <w:p>
      <w:pPr>
        <w:pStyle w:val="Heading1"/>
      </w:pPr>
      <w:r>
        <w:rPr>
          <w:rFonts w:ascii="Arial" w:cs="Arial" w:eastAsia="Arial" w:hAnsi="Arial"/>
        </w:rPr>
        <w:t xml:space="preserve">Finding 1 — Bhashini registration is closed to individual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Date</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20 June 2026</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Area</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Phase 4 — Multilingual layer (translation provider)</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Issue</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Bhashini’s developer access (via the ULCA platform) is built for institutions, not individuals. Registration asks for an AISHE code, then an organisation website and address, an uploaded ID proving you are an employee of that organisation, and it states the organisation may be notified that its identity was used. There is no honest path for a student building a personal academic project.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Impact</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Blocked the planned provider for the multilingual layer. Phase 4 could not begin as written, and the translation step sits in the middle of the user journey, so the whole onboarding flow depended on resolving it.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What we tried</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1) Looked up the AISHE code of the bachelor’s institution (BVRIT Narsapur, C-19569). 2) Considered registering under the current university in France. 3) Re-checked the form for an individual / startup / non-academic organisation type. The redesigned form still demanded institutional proof and an employee-ID upload and warned the organisation would be intimated, so none of these was a clean, truthful fit.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Resolution</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Switched the translation provider to the Google Cloud Translation API (v2 Basic). It covers Hindi, Tamil, Marathi, and Gujarati, reuses the existing Google key (the same one used for Gemini, once the Cloud Translation API is enabled on that project), and has a permanent free tier of 500,000 characters per month. No institutional onboarding. The change is isolated to one service module — the inbound/outbound design, the response middleware, the caching strategy, and the terminology glossary are all unchanged.</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Status</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color w:val="2E7D52"/>
                <w:sz w:val="19"/>
                <w:szCs w:val="19"/>
              </w:rPr>
              <w:t xml:space="preserve">Resolved. </w:t>
            </w:r>
            <w:r>
              <w:rPr>
                <w:rFonts w:ascii="Arial" w:cs="Arial" w:eastAsia="Arial" w:hAnsi="Arial"/>
                <w:sz w:val="19"/>
                <w:szCs w:val="19"/>
              </w:rPr>
              <w:t xml:space="preserve">Bhashini moved to future work.</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Thesis note</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Worth writing up rather than hiding. A national language platform meant to serve Indian users gates developer access behind institutional employment, which excludes individual and student builders — a relevant accessibility observation for a project about lowering barriers for small exporters. Record Bhashini as the intended provider, the registration barrier as the reason for substitution, and Bhashini integration as future work.</w:t>
            </w:r>
          </w:p>
        </w:tc>
      </w:tr>
    </w:tbl>
    <w:p>
      <w:r>
        <w:br w:type="page"/>
      </w:r>
    </w:p>
    <w:p>
      <w:pPr>
        <w:pStyle w:val="Heading1"/>
      </w:pPr>
      <w:r>
        <w:rPr>
          <w:rFonts w:ascii="Arial" w:cs="Arial" w:eastAsia="Arial" w:hAnsi="Arial"/>
        </w:rPr>
        <w:t xml:space="preserve">Finding 2 — ULCA form required an unknown AISHE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Date</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20 June 2026</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Area</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Phase 4 — Multilingual layer (registration step)</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Issue</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The first blocker on the ULCA registration form was a mandatory AISHE code field, which the team did not have on hand. AISHE codes identify recognised Indian higher-education institutions, and the form would not proceed without one.</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What we tried</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Looked the code up from public records and cross-checked it against the AISHE dashboard. The official aishe.gov.in lookup was intermittently unreachable during the attempt, so public mirrors were used to confirm the value.</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Resolution</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Found it: </w:t>
            </w:r>
            <w:r>
              <w:rPr>
                <w:rFonts w:ascii="Arial" w:cs="Arial" w:eastAsia="Arial" w:hAnsi="Arial"/>
                <w:b/>
                <w:bCs/>
                <w:sz w:val="19"/>
                <w:szCs w:val="19"/>
              </w:rPr>
              <w:t xml:space="preserve">BVRIT Narsapur = C-19569</w:t>
            </w:r>
            <w:r>
              <w:rPr>
                <w:rFonts w:ascii="Arial" w:cs="Arial" w:eastAsia="Arial" w:hAnsi="Arial"/>
                <w:sz w:val="19"/>
                <w:szCs w:val="19"/>
              </w:rPr>
              <w:t xml:space="preserve">. This unblocked the field.</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Status</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color w:val="B26A00"/>
                <w:sz w:val="19"/>
                <w:szCs w:val="19"/>
              </w:rPr>
              <w:t xml:space="preserve">Resolved, then superseded. </w:t>
            </w:r>
            <w:r>
              <w:rPr>
                <w:rFonts w:ascii="Arial" w:cs="Arial" w:eastAsia="Arial" w:hAnsi="Arial"/>
                <w:sz w:val="19"/>
                <w:szCs w:val="19"/>
              </w:rPr>
              <w:t xml:space="preserve">Clearing this field only exposed the deeper institutional-onboarding requirement in Finding 1, which made the whole Bhashini path impractical regardless. Kept on record because the lookup itself was a real obstacle others may hit.</w:t>
            </w:r>
          </w:p>
        </w:tc>
      </w:tr>
    </w:tbl>
    <w:p>
      <w:r>
        <w:br w:type="page"/>
      </w:r>
    </w:p>
    <w:p>
      <w:pPr>
        <w:pStyle w:val="Heading1"/>
      </w:pPr>
      <w:r>
        <w:rPr>
          <w:rFonts w:ascii="Arial" w:cs="Arial" w:eastAsia="Arial" w:hAnsi="Arial"/>
        </w:rPr>
        <w:t xml:space="preserve">Anticipated challenges (watch-list)</w:t>
      </w:r>
    </w:p>
    <w:p>
      <w:pPr>
        <w:spacing w:after="140" w:before="0" w:line="276"/>
      </w:pPr>
      <w:r>
        <w:rPr>
          <w:rFonts w:ascii="Arial" w:cs="Arial" w:eastAsia="Arial" w:hAnsi="Arial"/>
          <w:sz w:val="22"/>
          <w:szCs w:val="22"/>
        </w:rPr>
        <w:t xml:space="preserve">These haven’t caused a problem yet, but they are known risks with a mitigation already designed in. Move any of them up into a numbered finding if it actually bites.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Area</w:t>
            </w:r>
          </w:p>
        </w:tc>
        <w:tc>
          <w:tcPr>
            <w:tcW w:type="dxa" w:w="338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Risk</w:t>
            </w:r>
          </w:p>
        </w:tc>
        <w:tc>
          <w:tcPr>
            <w:tcW w:type="dxa" w:w="3380"/>
            <w:tcBorders>
              <w:top w:val="single" w:color="D0D7D4" w:sz="1"/>
              <w:left w:val="single" w:color="D0D7D4" w:sz="1"/>
              <w:bottom w:val="single" w:color="D0D7D4" w:sz="1"/>
              <w:right w:val="single" w:color="D0D7D4" w:sz="1"/>
            </w:tcBorders>
            <w:shd w:fill="1F5C4D" w:color="auto" w:val="clear"/>
            <w:tcMar>
              <w:top w:type="dxa" w:w="60"/>
              <w:left w:type="dxa" w:w="120"/>
              <w:bottom w:type="dxa" w:w="60"/>
              <w:right w:type="dxa" w:w="120"/>
            </w:tcMar>
          </w:tcPr>
          <w:p>
            <w:pPr>
              <w:spacing w:after="0" w:line="256"/>
            </w:pPr>
            <w:r>
              <w:rPr>
                <w:rFonts w:ascii="Arial" w:cs="Arial" w:eastAsia="Arial" w:hAnsi="Arial"/>
                <w:b/>
                <w:bCs/>
                <w:color w:val="FFFFFF"/>
                <w:sz w:val="19"/>
                <w:szCs w:val="19"/>
              </w:rPr>
              <w:t xml:space="preserve">Mitigation in place</w:t>
            </w:r>
          </w:p>
        </w:tc>
      </w:tr>
      <w:tr>
        <w:tc>
          <w:tcPr>
            <w:tcW w:type="dxa" w:w="26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Phase 0–1 — Comtrade</w:t>
            </w:r>
          </w:p>
        </w:tc>
        <w:tc>
          <w:tcPr>
            <w:tcW w:type="dxa" w:w="338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The subscription key can take several days to approve</w:t>
            </w:r>
          </w:p>
        </w:tc>
        <w:tc>
          <w:tcPr>
            <w:tcW w:type="dxa" w:w="338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Requested early, before Phase 0 closes</w:t>
            </w:r>
          </w:p>
        </w:tc>
      </w:tr>
      <w:tr>
        <w:tc>
          <w:tcPr>
            <w:tcW w:type="dxa" w:w="26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Phase 1 — Comtrade</w:t>
            </w:r>
          </w:p>
        </w:tc>
        <w:tc>
          <w:tcPr>
            <w:tcW w:type="dxa" w:w="338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Rate limit of five calls per second</w:t>
            </w:r>
          </w:p>
        </w:tc>
        <w:tc>
          <w:tcPr>
            <w:tcW w:type="dxa" w:w="338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Responses cached in MongoDB for seven days</w:t>
            </w:r>
          </w:p>
        </w:tc>
      </w:tr>
      <w:tr>
        <w:tc>
          <w:tcPr>
            <w:tcW w:type="dxa" w:w="26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Phase 2 — HS classifier</w:t>
            </w:r>
          </w:p>
        </w:tc>
        <w:tc>
          <w:tcPr>
            <w:tcW w:type="dxa" w:w="338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The LLM invents plausible but non-existent HS codes</w:t>
            </w:r>
          </w:p>
        </w:tc>
        <w:tc>
          <w:tcPr>
            <w:tcW w:type="dxa" w:w="338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Model picks only from the official WCO list stored in Mongo; it never recalls codes</w:t>
            </w:r>
          </w:p>
        </w:tc>
      </w:tr>
      <w:tr>
        <w:tc>
          <w:tcPr>
            <w:tcW w:type="dxa" w:w="26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Phase 4 — Translation</w:t>
            </w:r>
          </w:p>
        </w:tc>
        <w:tc>
          <w:tcPr>
            <w:tcW w:type="dxa" w:w="338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Export jargon (RCMC, AD Code) gets mangled in translation</w:t>
            </w:r>
          </w:p>
        </w:tc>
        <w:tc>
          <w:tcPr>
            <w:tcW w:type="dxa" w:w="338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Glossary skip-list; translate the prose, pin the terms</w:t>
            </w:r>
          </w:p>
        </w:tc>
      </w:tr>
      <w:tr>
        <w:tc>
          <w:tcPr>
            <w:tcW w:type="dxa" w:w="260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Phase 4 — Translation</w:t>
            </w:r>
          </w:p>
        </w:tc>
        <w:tc>
          <w:tcPr>
            <w:tcW w:type="dxa" w:w="338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Free tier is 500k characters per month</w:t>
            </w:r>
          </w:p>
        </w:tc>
        <w:tc>
          <w:tcPr>
            <w:tcW w:type="dxa" w:w="338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sz w:val="19"/>
                <w:szCs w:val="19"/>
              </w:rPr>
              <w:t xml:space="preserve">Cache static compliance and HS text; only the user’s typed input is translated live</w:t>
            </w:r>
          </w:p>
        </w:tc>
      </w:tr>
      <w:tr>
        <w:tc>
          <w:tcPr>
            <w:tcW w:type="dxa" w:w="26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All phases — Keys</w:t>
            </w:r>
          </w:p>
        </w:tc>
        <w:tc>
          <w:tcPr>
            <w:tcW w:type="dxa" w:w="338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A key leaks if shipped inside the mobile app</w:t>
            </w:r>
          </w:p>
        </w:tc>
        <w:tc>
          <w:tcPr>
            <w:tcW w:type="dxa" w:w="338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sz w:val="19"/>
                <w:szCs w:val="19"/>
              </w:rPr>
              <w:t xml:space="preserve">All keys stay server-side; the app only ever calls the backend</w:t>
            </w:r>
          </w:p>
        </w:tc>
      </w:tr>
    </w:tbl>
    <w:p>
      <w:pPr>
        <w:pStyle w:val="Heading1"/>
      </w:pPr>
      <w:r>
        <w:rPr>
          <w:rFonts w:ascii="Arial" w:cs="Arial" w:eastAsia="Arial" w:hAnsi="Arial"/>
        </w:rPr>
        <w:t xml:space="preserve">Entry template (copy for new findings)</w:t>
      </w:r>
    </w:p>
    <w:p>
      <w:pPr>
        <w:spacing w:after="140" w:before="0" w:line="276"/>
      </w:pPr>
      <w:r>
        <w:rPr>
          <w:rFonts w:ascii="Arial" w:cs="Arial" w:eastAsia="Arial" w:hAnsi="Arial"/>
          <w:sz w:val="22"/>
          <w:szCs w:val="22"/>
        </w:rPr>
        <w:t xml:space="preserve">When something new blocks the build, copy this block, fill it in, add a row to the summary table, and update the cover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Date</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color w:val="555555"/>
                <w:sz w:val="19"/>
                <w:szCs w:val="19"/>
              </w:rPr>
              <w:t xml:space="preserve">&lt;when it was hit&gt;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Area</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color w:val="555555"/>
                <w:sz w:val="19"/>
                <w:szCs w:val="19"/>
              </w:rPr>
              <w:t xml:space="preserve">&lt;which phase or module&gt;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Issue</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color w:val="555555"/>
                <w:sz w:val="19"/>
                <w:szCs w:val="19"/>
              </w:rPr>
              <w:t xml:space="preserve">&lt;what happened, plainly&gt;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Impact</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color w:val="555555"/>
                <w:sz w:val="19"/>
                <w:szCs w:val="19"/>
              </w:rPr>
              <w:t xml:space="preserve">&lt;what it blocked or slowed&gt;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What we tried</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color w:val="555555"/>
                <w:sz w:val="19"/>
                <w:szCs w:val="19"/>
              </w:rPr>
              <w:t xml:space="preserve">&lt;the attempts, in order&gt;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Resolution</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color w:val="555555"/>
                <w:sz w:val="19"/>
                <w:szCs w:val="19"/>
              </w:rPr>
              <w:t xml:space="preserve">&lt;what finally worked&gt;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Status</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color w:val="555555"/>
                <w:sz w:val="19"/>
                <w:szCs w:val="19"/>
              </w:rPr>
              <w:t xml:space="preserve">&lt;Resolved / Open / Superseded&gt;</w:t>
            </w:r>
          </w:p>
        </w:tc>
      </w:tr>
      <w:tr>
        <w:tc>
          <w:tcPr>
            <w:tcW w:type="dxa" w:w="1900"/>
            <w:tcBorders>
              <w:top w:val="single" w:color="D0D7D4" w:sz="1"/>
              <w:left w:val="single" w:color="D0D7D4" w:sz="1"/>
              <w:bottom w:val="single" w:color="D0D7D4" w:sz="1"/>
              <w:right w:val="single" w:color="D0D7D4" w:sz="1"/>
            </w:tcBorders>
            <w:shd w:fill="EEF3F1" w:color="auto" w:val="clear"/>
            <w:tcMar>
              <w:top w:type="dxa" w:w="60"/>
              <w:left w:type="dxa" w:w="120"/>
              <w:bottom w:type="dxa" w:w="60"/>
              <w:right w:type="dxa" w:w="120"/>
            </w:tcMar>
          </w:tcPr>
          <w:p>
            <w:pPr>
              <w:spacing w:after="0" w:line="256"/>
            </w:pPr>
            <w:r>
              <w:rPr>
                <w:rFonts w:ascii="Arial" w:cs="Arial" w:eastAsia="Arial" w:hAnsi="Arial"/>
                <w:b/>
                <w:bCs/>
                <w:sz w:val="19"/>
                <w:szCs w:val="19"/>
              </w:rPr>
              <w:t xml:space="preserve">Thesis note</w:t>
            </w:r>
          </w:p>
        </w:tc>
        <w:tc>
          <w:tcPr>
            <w:tcW w:type="dxa" w:w="7460"/>
            <w:tcBorders>
              <w:top w:val="single" w:color="D0D7D4" w:sz="1"/>
              <w:left w:val="single" w:color="D0D7D4" w:sz="1"/>
              <w:bottom w:val="single" w:color="D0D7D4" w:sz="1"/>
              <w:right w:val="single" w:color="D0D7D4" w:sz="1"/>
            </w:tcBorders>
            <w:shd w:fill="FFFFFF" w:color="auto" w:val="clear"/>
            <w:tcMar>
              <w:top w:type="dxa" w:w="60"/>
              <w:left w:type="dxa" w:w="120"/>
              <w:bottom w:type="dxa" w:w="60"/>
              <w:right w:type="dxa" w:w="120"/>
            </w:tcMar>
          </w:tcPr>
          <w:p>
            <w:pPr>
              <w:spacing w:after="0" w:line="256"/>
            </w:pPr>
            <w:r>
              <w:rPr>
                <w:rFonts w:ascii="Arial" w:cs="Arial" w:eastAsia="Arial" w:hAnsi="Arial"/>
                <w:color w:val="555555"/>
                <w:sz w:val="19"/>
                <w:szCs w:val="19"/>
              </w:rPr>
              <w:t xml:space="preserve">&lt;anything worth saying in the write-up; delete if none&gt;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4" w:sz="4" w:space="6"/>
      </w:pBdr>
      <w:tabs>
        <w:tab w:val="right" w:pos="9360"/>
      </w:tabs>
    </w:pPr>
    <w:r>
      <w:rPr>
        <w:rFonts w:ascii="Arial" w:cs="Arial" w:eastAsia="Arial" w:hAnsi="Arial"/>
        <w:b/>
        <w:bCs/>
        <w:color w:val="1F5C4D"/>
        <w:sz w:val="18"/>
        <w:szCs w:val="18"/>
      </w:rPr>
      <w:t xml:space="preserve">Safarika</w:t>
    </w:r>
    <w:r>
      <w:rPr>
        <w:rFonts w:ascii="Arial" w:cs="Arial" w:eastAsia="Arial" w:hAnsi="Arial"/>
        <w:color w:val="555555"/>
        <w:sz w:val="18"/>
        <w:szCs w:val="18"/>
      </w:rPr>
      <w:t xml:space="preserve">	Challenges &amp; Findings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C98A" w:sz="4" w:space="4"/>
      </w:pBdr>
      <w:spacing w:after="150" w:before="300"/>
      <w:outlineLvl w:val="0"/>
    </w:pPr>
    <w:rPr>
      <w:rFonts w:ascii="Arial" w:cs="Arial" w:eastAsia="Arial" w:hAnsi="Arial"/>
      <w:b/>
      <w:bCs/>
      <w:color w:val="1F5C4D"/>
      <w:sz w:val="28"/>
      <w:szCs w:val="28"/>
    </w:rPr>
  </w:style>
  <w:style w:type="paragraph" w:styleId="Heading2">
    <w:name w:val="Heading 2"/>
    <w:basedOn w:val="Normal"/>
    <w:next w:val="Normal"/>
    <w:qFormat/>
    <w:pPr>
      <w:spacing w:after="110" w:before="240"/>
      <w:outlineLvl w:val="1"/>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Safarika — Challenges &amp; Findings Log</dc:title>
  <dc:creator>Safarika Team</dc:creator>
  <cp:lastModifiedBy>Un-named</cp:lastModifiedBy>
  <cp:revision>1</cp:revision>
  <dcterms:created xsi:type="dcterms:W3CDTF">2026-06-20T13:52:17.530Z</dcterms:created>
  <dcterms:modified xsi:type="dcterms:W3CDTF">2026-06-20T13:52:17.530Z</dcterms:modified>
</cp:coreProperties>
</file>

<file path=docProps/custom.xml><?xml version="1.0" encoding="utf-8"?>
<Properties xmlns="http://schemas.openxmlformats.org/officeDocument/2006/custom-properties" xmlns:vt="http://schemas.openxmlformats.org/officeDocument/2006/docPropsVTypes"/>
</file>