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1F5C4D"/>
          <w:sz w:val="64"/>
          <w:szCs w:val="64"/>
        </w:rPr>
        <w:t xml:space="preserve">SAFARIKA</w:t>
      </w:r>
    </w:p>
    <w:p>
      <w:pPr>
        <w:spacing w:after="60"/>
      </w:pPr>
      <w:r>
        <w:rPr>
          <w:rFonts w:ascii="Arial" w:cs="Arial" w:eastAsia="Arial" w:hAnsi="Arial"/>
          <w:color w:val="555555"/>
          <w:sz w:val="30"/>
          <w:szCs w:val="30"/>
        </w:rPr>
        <w:t xml:space="preserve">Export Intelligence &amp; Onboarding Navigator</w:t>
      </w:r>
    </w:p>
    <w:p>
      <w:pPr>
        <w:pBdr>
          <w:bottom w:val="single" w:color="C9A227" w:sz="12" w:space="6"/>
        </w:pBdr>
        <w:spacing w:after="220"/>
      </w:pPr>
      <w:r>
        <w:t xml:space="preserve"/>
      </w:r>
    </w:p>
    <w:p>
      <w:pPr>
        <w:spacing w:after="40"/>
      </w:pPr>
      <w:r>
        <w:rPr>
          <w:rFonts w:ascii="Arial" w:cs="Arial" w:eastAsia="Arial" w:hAnsi="Arial"/>
          <w:b/>
          <w:bCs/>
          <w:sz w:val="36"/>
          <w:szCs w:val="36"/>
        </w:rPr>
        <w:t xml:space="preserve">Development Roadmap</w:t>
      </w:r>
    </w:p>
    <w:p>
      <w:pPr>
        <w:spacing w:after="600"/>
      </w:pPr>
      <w:r>
        <w:rPr>
          <w:rFonts w:ascii="Arial" w:cs="Arial" w:eastAsia="Arial" w:hAnsi="Arial"/>
          <w:i/>
          <w:iCs/>
          <w:color w:val="555555"/>
          <w:sz w:val="24"/>
          <w:szCs w:val="24"/>
        </w:rPr>
        <w:t xml:space="preserve">From an empty repository to a working MVP, a benchmark, and a thesis.</w:t>
      </w:r>
    </w:p>
    <w:p>
      <w:pPr>
        <w:spacing w:after="140" w:before="0" w:line="276"/>
      </w:pPr>
      <w:r>
        <w:rPr>
          <w:rFonts w:ascii="Arial" w:cs="Arial" w:eastAsia="Arial" w:hAnsi="Arial"/>
          <w:b/>
          <w:bCs/>
          <w:sz w:val="22"/>
          <w:szCs w:val="22"/>
        </w:rPr>
        <w:t xml:space="preserve">Team:  </w:t>
      </w:r>
      <w:r>
        <w:rPr>
          <w:rFonts w:ascii="Arial" w:cs="Arial" w:eastAsia="Arial" w:hAnsi="Arial"/>
          <w:sz w:val="22"/>
          <w:szCs w:val="22"/>
        </w:rPr>
        <w:t xml:space="preserve">Hemanth · Shiva Rohith · Bhargav</w:t>
      </w:r>
    </w:p>
    <w:p>
      <w:pPr>
        <w:spacing w:after="140" w:before="0" w:line="276"/>
      </w:pPr>
      <w:r>
        <w:rPr>
          <w:rFonts w:ascii="Arial" w:cs="Arial" w:eastAsia="Arial" w:hAnsi="Arial"/>
          <w:b/>
          <w:bCs/>
          <w:sz w:val="22"/>
          <w:szCs w:val="22"/>
        </w:rPr>
        <w:t xml:space="preserve">Platform:  </w:t>
      </w:r>
      <w:r>
        <w:rPr>
          <w:rFonts w:ascii="Arial" w:cs="Arial" w:eastAsia="Arial" w:hAnsi="Arial"/>
          <w:sz w:val="22"/>
          <w:szCs w:val="22"/>
        </w:rPr>
        <w:t xml:space="preserve">Android (React Native / Expo)</w:t>
      </w:r>
    </w:p>
    <w:p>
      <w:pPr>
        <w:spacing w:after="140" w:before="0" w:line="276"/>
      </w:pPr>
      <w:r>
        <w:rPr>
          <w:rFonts w:ascii="Arial" w:cs="Arial" w:eastAsia="Arial" w:hAnsi="Arial"/>
          <w:b/>
          <w:bCs/>
          <w:sz w:val="22"/>
          <w:szCs w:val="22"/>
        </w:rPr>
        <w:t xml:space="preserve">Target completion:  </w:t>
      </w:r>
      <w:r>
        <w:rPr>
          <w:rFonts w:ascii="Arial" w:cs="Arial" w:eastAsia="Arial" w:hAnsi="Arial"/>
          <w:sz w:val="22"/>
          <w:szCs w:val="22"/>
        </w:rPr>
        <w:t xml:space="preserve">10 July 2026</w:t>
      </w:r>
    </w:p>
    <w:p>
      <w:r>
        <w:br w:type="page"/>
      </w:r>
    </w:p>
    <w:p>
      <w:pPr>
        <w:spacing w:after="160"/>
      </w:pPr>
      <w:r>
        <w:rPr>
          <w:rFonts w:ascii="Arial" w:cs="Arial" w:eastAsia="Arial" w:hAnsi="Arial"/>
          <w:b/>
          <w:bCs/>
          <w:color w:val="1F5C4D"/>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20"/>
      </w:pPr>
      <w:r>
        <w:rPr>
          <w:rFonts w:ascii="Arial" w:cs="Arial" w:eastAsia="Arial" w:hAnsi="Arial"/>
        </w:rPr>
        <w:t xml:space="preserve">The problem we're solving</w:t>
      </w:r>
    </w:p>
    <w:p>
      <w:pPr>
        <w:spacing w:after="140" w:before="0" w:line="276"/>
      </w:pPr>
      <w:r>
        <w:rPr>
          <w:rFonts w:ascii="Arial" w:cs="Arial" w:eastAsia="Arial" w:hAnsi="Arial"/>
          <w:sz w:val="22"/>
          <w:szCs w:val="22"/>
        </w:rPr>
        <w:t xml:space="preserve">India has more than 63 million registered MSMEs, and fewer than one in eight of them sells anything abroad. The reason usually isn't product quality or weak demand. It's that nobody has shown these businesses how exporting actually works.</w:t>
      </w:r>
    </w:p>
    <w:p>
      <w:pPr>
        <w:spacing w:after="140" w:before="0" w:line="276"/>
      </w:pPr>
      <w:r>
        <w:rPr>
          <w:rFonts w:ascii="Arial" w:cs="Arial" w:eastAsia="Arial" w:hAnsi="Arial"/>
          <w:sz w:val="22"/>
          <w:szCs w:val="22"/>
        </w:rPr>
        <w:t xml:space="preserve">Take a brass-handicraft workshop in Moradabad. Before a single crate leaves the country, the owner has to answer a string of questions on their own: which countries are buying what they make, what India requires on the way out, what the destination country demands on arrival, which documents have to be in order, and where to register. Today that means six to eight weeks of piecing together half-answers from government portals, WhatsApp groups, and consultants who charge for information that is, in principle, public.</w:t>
      </w:r>
    </w:p>
    <w:p>
      <w:pPr>
        <w:spacing w:after="140" w:before="0" w:line="276"/>
      </w:pPr>
      <w:r>
        <w:rPr>
          <w:rFonts w:ascii="Arial" w:cs="Arial" w:eastAsia="Arial" w:hAnsi="Arial"/>
          <w:sz w:val="22"/>
          <w:szCs w:val="22"/>
        </w:rPr>
        <w:t xml:space="preserve">Safarika is the companion that walks a first-time exporter through all of it. One Android app that reads live demand data, classifies the product, lays out the compliance steps for both India and the buyer's country, and does it in the language the user actually speaks. The name carries the idea: every merchant deserves a guided journey, and a journey goes better with the right companion.</w:t>
      </w:r>
    </w:p>
    <w:p>
      <w:pPr>
        <w:spacing w:after="140" w:before="0" w:line="276"/>
      </w:pPr>
      <w:r>
        <w:rPr>
          <w:rFonts w:ascii="Arial" w:cs="Arial" w:eastAsia="Arial" w:hAnsi="Arial"/>
          <w:sz w:val="22"/>
          <w:szCs w:val="22"/>
        </w:rPr>
        <w:t xml:space="preserve">This document is the build plan. We start from an empty repository, with UN Comtrade and Bhashini access already provisioned, and finish with a working MVP, a benchmark against the tools that exist today, and a thesis. The work splits into nine phases, and the sections below cover what each one delivers, what it depends on, and roughly how long it takes.</w:t>
      </w:r>
    </w:p>
    <w:p>
      <w:pPr>
        <w:pStyle w:val="Heading1"/>
        <w:spacing w:after="160" w:before="320"/>
      </w:pPr>
      <w:r>
        <w:rPr>
          <w:rFonts w:ascii="Arial" w:cs="Arial" w:eastAsia="Arial" w:hAnsi="Arial"/>
        </w:rPr>
        <w:t xml:space="preserve">What we're building with</w:t>
      </w:r>
    </w:p>
    <w:p>
      <w:pPr>
        <w:spacing w:after="140" w:before="0" w:line="276"/>
      </w:pPr>
      <w:r>
        <w:rPr>
          <w:rFonts w:ascii="Arial" w:cs="Arial" w:eastAsia="Arial" w:hAnsi="Arial"/>
          <w:sz w:val="22"/>
          <w:szCs w:val="22"/>
        </w:rPr>
        <w:t xml:space="preserve">The stack is deliberately ordinary. None of these are exotic choices, and that's the point: a small team on a tight calendar should spend its time on the trade logic, not on fighting unfamiliar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pPr>
            <w:r>
              <w:rPr>
                <w:rFonts w:ascii="Arial" w:cs="Arial" w:eastAsia="Arial" w:hAnsi="Arial"/>
                <w:b/>
                <w:bCs/>
                <w:color w:val="FFFFFF"/>
                <w:sz w:val="21"/>
                <w:szCs w:val="21"/>
              </w:rPr>
              <w:t xml:space="preserve">Layer</w:t>
            </w:r>
          </w:p>
        </w:tc>
        <w:tc>
          <w:tcPr>
            <w:tcW w:type="dxa" w:w="370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pPr>
            <w:r>
              <w:rPr>
                <w:rFonts w:ascii="Arial" w:cs="Arial" w:eastAsia="Arial" w:hAnsi="Arial"/>
                <w:b/>
                <w:bCs/>
                <w:color w:val="FFFFFF"/>
                <w:sz w:val="21"/>
                <w:szCs w:val="21"/>
              </w:rPr>
              <w:t xml:space="preserve">Technology</w:t>
            </w:r>
          </w:p>
        </w:tc>
        <w:tc>
          <w:tcPr>
            <w:tcW w:type="dxa" w:w="306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pPr>
            <w:r>
              <w:rPr>
                <w:rFonts w:ascii="Arial" w:cs="Arial" w:eastAsia="Arial" w:hAnsi="Arial"/>
                <w:b/>
                <w:bCs/>
                <w:color w:val="FFFFFF"/>
                <w:sz w:val="21"/>
                <w:szCs w:val="21"/>
              </w:rPr>
              <w:t xml:space="preserve">Why</w:t>
            </w:r>
          </w:p>
        </w:tc>
      </w:tr>
      <w:tr>
        <w:tc>
          <w:tcPr>
            <w:tcW w:type="dxa" w:w="26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Frontend</w:t>
            </w:r>
          </w:p>
        </w:tc>
        <w:tc>
          <w:tcPr>
            <w:tcW w:type="dxa" w:w="3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React Native (Expo), Android</w:t>
            </w:r>
          </w:p>
        </w:tc>
        <w:tc>
          <w:tcPr>
            <w:tcW w:type="dxa" w:w="30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One codebase, fast to iterate, easy to build an APK for the demo.</w:t>
            </w:r>
          </w:p>
        </w:tc>
      </w:tr>
      <w:tr>
        <w:tc>
          <w:tcPr>
            <w:tcW w:type="dxa" w:w="26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Backend</w:t>
            </w:r>
          </w:p>
        </w:tc>
        <w:tc>
          <w:tcPr>
            <w:tcW w:type="dxa" w:w="37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Node.js + Express (REST)</w:t>
            </w:r>
          </w:p>
        </w:tc>
        <w:tc>
          <w:tcPr>
            <w:tcW w:type="dxa" w:w="30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Lightweight, well-documented, quick to stand up microservice-style endpoints.</w:t>
            </w:r>
          </w:p>
        </w:tc>
      </w:tr>
      <w:tr>
        <w:tc>
          <w:tcPr>
            <w:tcW w:type="dxa" w:w="26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Database</w:t>
            </w:r>
          </w:p>
        </w:tc>
        <w:tc>
          <w:tcPr>
            <w:tcW w:type="dxa" w:w="3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MongoDB Atlas</w:t>
            </w:r>
          </w:p>
        </w:tc>
        <w:tc>
          <w:tcPr>
            <w:tcW w:type="dxa" w:w="30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Compliance rules have no fixed shape; a document store handles the variation.</w:t>
            </w:r>
          </w:p>
        </w:tc>
      </w:tr>
      <w:tr>
        <w:tc>
          <w:tcPr>
            <w:tcW w:type="dxa" w:w="26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AI / LLM</w:t>
            </w:r>
          </w:p>
        </w:tc>
        <w:tc>
          <w:tcPr>
            <w:tcW w:type="dxa" w:w="37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GPT-4o or Gemini</w:t>
            </w:r>
          </w:p>
        </w:tc>
        <w:tc>
          <w:tcPr>
            <w:tcW w:type="dxa" w:w="30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Classification suggestions and plain-language explanation, never the source of truth.</w:t>
            </w:r>
          </w:p>
        </w:tc>
      </w:tr>
      <w:tr>
        <w:tc>
          <w:tcPr>
            <w:tcW w:type="dxa" w:w="26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Trade data</w:t>
            </w:r>
          </w:p>
        </w:tc>
        <w:tc>
          <w:tcPr>
            <w:tcW w:type="dxa" w:w="3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UN Comtrade (cached)</w:t>
            </w:r>
          </w:p>
        </w:tc>
        <w:tc>
          <w:tcPr>
            <w:tcW w:type="dxa" w:w="30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Free, public demand data; cached locally so we don't hit rate limits on every search.</w:t>
            </w:r>
          </w:p>
        </w:tc>
      </w:tr>
      <w:tr>
        <w:tc>
          <w:tcPr>
            <w:tcW w:type="dxa" w:w="26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Translation</w:t>
            </w:r>
          </w:p>
        </w:tc>
        <w:tc>
          <w:tcPr>
            <w:tcW w:type="dxa" w:w="37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Google Cloud Translation API</w:t>
            </w:r>
          </w:p>
        </w:tc>
        <w:tc>
          <w:tcPr>
            <w:tcW w:type="dxa" w:w="30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Covers Hindi, Tamil, Marathi, Gujarati; reuses the Google key. Bhashini deferred to future work.</w:t>
            </w:r>
          </w:p>
        </w:tc>
      </w:tr>
      <w:tr>
        <w:tc>
          <w:tcPr>
            <w:tcW w:type="dxa" w:w="26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Deployment</w:t>
            </w:r>
          </w:p>
        </w:tc>
        <w:tc>
          <w:tcPr>
            <w:tcW w:type="dxa" w:w="3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Docker, Render / Google Cloud</w:t>
            </w:r>
          </w:p>
        </w:tc>
        <w:tc>
          <w:tcPr>
            <w:tcW w:type="dxa" w:w="30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Free tiers are enough for an MVP, and git-based deploys keep the loop short.</w:t>
            </w:r>
          </w:p>
        </w:tc>
      </w:tr>
    </w:tbl>
    <w:p>
      <w:pPr>
        <w:pStyle w:val="Heading2"/>
        <w:spacing w:after="120" w:before="240"/>
      </w:pPr>
      <w:r>
        <w:rPr>
          <w:rFonts w:ascii="Arial" w:cs="Arial" w:eastAsia="Arial" w:hAnsi="Arial"/>
        </w:rPr>
        <w:t xml:space="preserve">Three decisions worth explaining</w:t>
      </w:r>
    </w:p>
    <w:p>
      <w:pPr>
        <w:spacing w:after="140" w:before="0" w:line="276"/>
      </w:pPr>
      <w:r>
        <w:rPr>
          <w:rFonts w:ascii="Arial" w:cs="Arial" w:eastAsia="Arial" w:hAnsi="Arial"/>
          <w:b/>
          <w:bCs/>
          <w:sz w:val="22"/>
          <w:szCs w:val="22"/>
        </w:rPr>
        <w:t xml:space="preserve">Mongo over a relational database. </w:t>
      </w:r>
      <w:r>
        <w:rPr>
          <w:rFonts w:ascii="Arial" w:cs="Arial" w:eastAsia="Arial" w:hAnsi="Arial"/>
          <w:sz w:val="22"/>
          <w:szCs w:val="22"/>
        </w:rPr>
        <w:t xml:space="preserve">The documents the UAE wants for textiles look nothing like what the US wants for electronics. Rather than reshape a rigid schema every time a country does something unusual, we store each rule as a flexible document and move on.</w:t>
      </w:r>
    </w:p>
    <w:p>
      <w:pPr>
        <w:spacing w:after="140" w:before="0" w:line="276"/>
      </w:pPr>
      <w:r>
        <w:rPr>
          <w:rFonts w:ascii="Arial" w:cs="Arial" w:eastAsia="Arial" w:hAnsi="Arial"/>
          <w:b/>
          <w:bCs/>
          <w:sz w:val="22"/>
          <w:szCs w:val="22"/>
        </w:rPr>
        <w:t xml:space="preserve">The model does not remember HS codes. </w:t>
      </w:r>
      <w:r>
        <w:rPr>
          <w:rFonts w:ascii="Arial" w:cs="Arial" w:eastAsia="Arial" w:hAnsi="Arial"/>
          <w:sz w:val="22"/>
          <w:szCs w:val="22"/>
        </w:rPr>
        <w:t xml:space="preserve">Ask an LLM for a six-digit HS code and it will happily produce a plausible one that doesn't exist. So the official WCO nomenclature lives in our own database, and the model's only job is to pick the best match from a shortlist we hand it. It classifies; it does not recall.</w:t>
      </w:r>
    </w:p>
    <w:p>
      <w:pPr>
        <w:spacing w:after="140" w:before="0" w:line="276"/>
      </w:pPr>
      <w:r>
        <w:rPr>
          <w:rFonts w:ascii="Arial" w:cs="Arial" w:eastAsia="Arial" w:hAnsi="Arial"/>
          <w:b/>
          <w:bCs/>
          <w:sz w:val="22"/>
          <w:szCs w:val="22"/>
        </w:rPr>
        <w:t xml:space="preserve">Compliance is deterministic first, AI second. </w:t>
      </w:r>
      <w:r>
        <w:rPr>
          <w:rFonts w:ascii="Arial" w:cs="Arial" w:eastAsia="Arial" w:hAnsi="Arial"/>
          <w:sz w:val="22"/>
          <w:szCs w:val="22"/>
        </w:rPr>
        <w:t xml:space="preserve">A lookup table decides what is actually required. The LLM only translates and explains the result. We never let it be the authority on a rule, because a confidently wrong compliance answer is worse than no answer at all.</w:t>
      </w:r>
    </w:p>
    <w:p>
      <w:r>
        <w:br w:type="page"/>
      </w:r>
    </w:p>
    <w:p>
      <w:pPr>
        <w:pStyle w:val="Heading1"/>
        <w:spacing w:after="160" w:before="320"/>
      </w:pPr>
      <w:r>
        <w:rPr>
          <w:rFonts w:ascii="Arial" w:cs="Arial" w:eastAsia="Arial" w:hAnsi="Arial"/>
        </w:rPr>
        <w:t xml:space="preserve">How the build breaks down</w:t>
      </w:r>
    </w:p>
    <w:p>
      <w:pPr>
        <w:spacing w:after="140" w:before="0" w:line="276"/>
      </w:pPr>
      <w:r>
        <w:rPr>
          <w:rFonts w:ascii="Arial" w:cs="Arial" w:eastAsia="Arial" w:hAnsi="Arial"/>
          <w:sz w:val="22"/>
          <w:szCs w:val="22"/>
        </w:rPr>
        <w:t xml:space="preserve">Phases run mostly in sequence, though 2 through 4 can overlap once the data layer is in place. Each phase below is small enough to finish and verify before the next one starts, which matters more than it sounds: a half-built feature that nobody confirmed works is the fastest way to lose a week later.</w:t>
      </w:r>
    </w:p>
    <w:p>
      <w:pPr>
        <w:pStyle w:val="Heading2"/>
        <w:spacing w:after="120" w:before="240"/>
      </w:pPr>
      <w:r>
        <w:rPr>
          <w:rFonts w:ascii="Arial" w:cs="Arial" w:eastAsia="Arial" w:hAnsi="Arial"/>
        </w:rPr>
        <w:t xml:space="preserve">Phase 0 — Skeleton and environment  ·  1–2 days</w:t>
      </w:r>
    </w:p>
    <w:p>
      <w:pPr>
        <w:spacing w:after="140" w:before="0" w:line="276"/>
      </w:pPr>
      <w:r>
        <w:rPr>
          <w:rFonts w:ascii="Arial" w:cs="Arial" w:eastAsia="Arial" w:hAnsi="Arial"/>
          <w:sz w:val="22"/>
          <w:szCs w:val="22"/>
        </w:rPr>
        <w:t xml:space="preserve">Before any feature exists, both apps have to run. The backend is an Express server answering a health check at /api/health on localhost:3000. The mobile side is an Expo app showing a blank home screen on the emulator and successfully talking to that backend. When those two shake hands, the foundation is done.</w:t>
      </w:r>
    </w:p>
    <w:p>
      <w:pPr>
        <w:spacing w:after="60" w:before="0" w:line="276"/>
      </w:pPr>
      <w:r>
        <w:rPr>
          <w:rFonts w:ascii="Arial" w:cs="Arial" w:eastAsia="Arial" w:hAnsi="Arial"/>
          <w:b/>
          <w:bCs/>
          <w:sz w:val="22"/>
          <w:szCs w:val="22"/>
        </w:rPr>
        <w:t xml:space="preserve">Deliverables:</w:t>
      </w:r>
    </w:p>
    <w:p>
      <w:pPr>
        <w:pStyle w:val="ListParagraph"/>
        <w:numPr>
          <w:ilvl w:val="0"/>
          <w:numId w:val="2"/>
        </w:numPr>
        <w:spacing w:after="80" w:line="276"/>
      </w:pPr>
      <w:r>
        <w:rPr>
          <w:rFonts w:ascii="Arial" w:cs="Arial" w:eastAsia="Arial" w:hAnsi="Arial"/>
          <w:sz w:val="22"/>
          <w:szCs w:val="22"/>
        </w:rPr>
        <w:t xml:space="preserve">Repository laid out as /backend, /mobile, /docs, with a sensible .gitignore</w:t>
      </w:r>
    </w:p>
    <w:p>
      <w:pPr>
        <w:pStyle w:val="ListParagraph"/>
        <w:numPr>
          <w:ilvl w:val="0"/>
          <w:numId w:val="2"/>
        </w:numPr>
        <w:spacing w:after="80" w:line="276"/>
      </w:pPr>
      <w:r>
        <w:rPr>
          <w:rFonts w:ascii="Arial" w:cs="Arial" w:eastAsia="Arial" w:hAnsi="Arial"/>
          <w:sz w:val="22"/>
          <w:szCs w:val="22"/>
        </w:rPr>
        <w:t xml:space="preserve">An .env template for the keys: OPENAI_API_KEY, COMTRADE_API_KEY, BHASHINI_API_KEY, MONGODB_URI</w:t>
      </w:r>
    </w:p>
    <w:p>
      <w:pPr>
        <w:pStyle w:val="ListParagraph"/>
        <w:numPr>
          <w:ilvl w:val="0"/>
          <w:numId w:val="2"/>
        </w:numPr>
        <w:spacing w:after="80" w:line="276"/>
      </w:pPr>
      <w:r>
        <w:rPr>
          <w:rFonts w:ascii="Arial" w:cs="Arial" w:eastAsia="Arial" w:hAnsi="Arial"/>
          <w:sz w:val="22"/>
          <w:szCs w:val="22"/>
        </w:rPr>
        <w:t xml:space="preserve">A free MongoDB Atlas cluster created and its connection string working</w:t>
      </w:r>
    </w:p>
    <w:p>
      <w:pPr>
        <w:pStyle w:val="ListParagraph"/>
        <w:numPr>
          <w:ilvl w:val="0"/>
          <w:numId w:val="2"/>
        </w:numPr>
        <w:spacing w:after="80" w:line="276"/>
      </w:pPr>
      <w:r>
        <w:rPr>
          <w:rFonts w:ascii="Arial" w:cs="Arial" w:eastAsia="Arial" w:hAnsi="Arial"/>
          <w:sz w:val="22"/>
          <w:szCs w:val="22"/>
        </w:rPr>
        <w:t xml:space="preserve">A basic Dockerfile for the backend and a docker-compose for a local Mongo container</w:t>
      </w:r>
    </w:p>
    <w:p>
      <w:pPr>
        <w:pStyle w:val="Heading2"/>
        <w:spacing w:after="120" w:before="240"/>
      </w:pPr>
      <w:r>
        <w:rPr>
          <w:rFonts w:ascii="Arial" w:cs="Arial" w:eastAsia="Arial" w:hAnsi="Arial"/>
        </w:rPr>
        <w:t xml:space="preserve">Phase 1 — Core data layer  ·  3–4 days  ·  needs Phase 0</w:t>
      </w:r>
    </w:p>
    <w:p>
      <w:pPr>
        <w:spacing w:after="140" w:before="0" w:line="276"/>
      </w:pPr>
      <w:r>
        <w:rPr>
          <w:rFonts w:ascii="Arial" w:cs="Arial" w:eastAsia="Arial" w:hAnsi="Arial"/>
          <w:sz w:val="22"/>
          <w:szCs w:val="22"/>
        </w:rPr>
        <w:t xml:space="preserve">This is where the data model gets defined and the Comtrade integration becomes a service we can reuse everywhere. Four collections carry the app: Product, ComplianceRule, OnboardingProgress, and ComtradeCache.</w:t>
      </w:r>
    </w:p>
    <w:p>
      <w:pPr>
        <w:spacing w:after="140" w:before="0" w:line="276"/>
      </w:pPr>
      <w:r>
        <w:rPr>
          <w:rFonts w:ascii="Arial" w:cs="Arial" w:eastAsia="Arial" w:hAnsi="Arial"/>
          <w:sz w:val="22"/>
          <w:szCs w:val="22"/>
        </w:rPr>
        <w:t xml:space="preserve">The cache earns its place. Comtrade is slow and rate-limited, so we keep results for seven days rather than calling it on every search. The first user-facing endpoint, POST /api/market-demand, takes a product category and returns the top importing countries with volumes and trend. We test it against real categories like textiles and electronics and confirm the cache is doing its job.</w:t>
      </w:r>
    </w:p>
    <w:p>
      <w:pPr>
        <w:pStyle w:val="Heading2"/>
        <w:spacing w:after="120" w:before="240"/>
      </w:pPr>
      <w:r>
        <w:rPr>
          <w:rFonts w:ascii="Arial" w:cs="Arial" w:eastAsia="Arial" w:hAnsi="Arial"/>
        </w:rPr>
        <w:t xml:space="preserve">Phase 2 — HS code classifier  ·  4–5 days  ·  needs Phases 0–1</w:t>
      </w:r>
    </w:p>
    <w:p>
      <w:pPr>
        <w:spacing w:after="140" w:before="0" w:line="276"/>
      </w:pPr>
      <w:r>
        <w:rPr>
          <w:rFonts w:ascii="Arial" w:cs="Arial" w:eastAsia="Arial" w:hAnsi="Arial"/>
          <w:sz w:val="22"/>
          <w:szCs w:val="22"/>
        </w:rPr>
        <w:t xml:space="preserve">The classifier takes a free-text product description and returns three candidate HS codes with confidence scores. As noted above, the model picks from the official nomenclature we store; it does not invent codes. POST /api/classify is the endpoint, returning a ranked shortlist.</w:t>
      </w:r>
    </w:p>
    <w:p>
      <w:pPr>
        <w:spacing w:after="140" w:before="0" w:line="276"/>
      </w:pPr>
      <w:r>
        <w:rPr>
          <w:rFonts w:ascii="Arial" w:cs="Arial" w:eastAsia="Arial" w:hAnsi="Arial"/>
          <w:b/>
          <w:bCs/>
          <w:sz w:val="22"/>
          <w:szCs w:val="22"/>
        </w:rPr>
        <w:t xml:space="preserve">One habit to build in from day one: </w:t>
      </w:r>
      <w:r>
        <w:rPr>
          <w:rFonts w:ascii="Arial" w:cs="Arial" w:eastAsia="Arial" w:hAnsi="Arial"/>
          <w:sz w:val="22"/>
          <w:szCs w:val="22"/>
        </w:rPr>
        <w:t xml:space="preserve">log every classification with its input, the model's output, and the correct answer. That log is not housekeeping. It becomes the raw accuracy data for the benchmark in Phase 8, so it's far cheaper to collect it as we go than to reconstruct it at the end.</w:t>
      </w:r>
    </w:p>
    <w:p>
      <w:pPr>
        <w:pStyle w:val="Heading2"/>
        <w:spacing w:after="120" w:before="240"/>
      </w:pPr>
      <w:r>
        <w:rPr>
          <w:rFonts w:ascii="Arial" w:cs="Arial" w:eastAsia="Arial" w:hAnsi="Arial"/>
        </w:rPr>
        <w:t xml:space="preserve">Phase 3 — Compliance rule engine  ·  4–5 days  ·  needs Phase 1</w:t>
      </w:r>
    </w:p>
    <w:p>
      <w:pPr>
        <w:spacing w:after="140" w:before="0" w:line="276"/>
      </w:pPr>
      <w:r>
        <w:rPr>
          <w:rFonts w:ascii="Arial" w:cs="Arial" w:eastAsia="Arial" w:hAnsi="Arial"/>
          <w:sz w:val="22"/>
          <w:szCs w:val="22"/>
        </w:rPr>
        <w:t xml:space="preserve">Two layers, in order. First, deterministic lookups: if the destination is the UAE and the product is textiles, return checklist X. Second, an explanation layer where the LLM restates that checklist in plain Hindi or Tamil. The model never decides what's required; it only makes the answer readable.</w:t>
      </w:r>
    </w:p>
    <w:p>
      <w:pPr>
        <w:spacing w:after="140" w:before="0" w:line="276"/>
      </w:pPr>
      <w:r>
        <w:rPr>
          <w:rFonts w:ascii="Arial" w:cs="Arial" w:eastAsia="Arial" w:hAnsi="Arial"/>
          <w:sz w:val="22"/>
          <w:szCs w:val="22"/>
        </w:rPr>
        <w:t xml:space="preserve">To start, we populate around eight destination countries (UAE, USA, UK, Singapore, Bangladesh, Vietnam, Thailand, Australia) across three or four categories (textiles, electronics, handicrafts, metals). POST /api/compliance-check returns the document checklist, the incentive schemes that apply, and an estimated number of days to be ready.</w:t>
      </w:r>
    </w:p>
    <w:p>
      <w:pPr>
        <w:pStyle w:val="Heading2"/>
        <w:spacing w:after="120" w:before="240"/>
      </w:pPr>
      <w:r>
        <w:rPr>
          <w:rFonts w:ascii="Arial" w:cs="Arial" w:eastAsia="Arial" w:hAnsi="Arial"/>
        </w:rPr>
        <w:t xml:space="preserve">Phase 4 — Multilingual layer (Google Translate)  ·  2–3 days  ·  needs Phases 2–3</w:t>
      </w:r>
    </w:p>
    <w:p>
      <w:pPr>
        <w:spacing w:after="140" w:before="0" w:line="276"/>
      </w:pPr>
      <w:r>
        <w:rPr>
          <w:rFonts w:ascii="Arial" w:cs="Arial" w:eastAsia="Arial" w:hAnsi="Arial"/>
          <w:sz w:val="22"/>
          <w:szCs w:val="22"/>
        </w:rPr>
        <w:t xml:space="preserve">Translation goes in as middleware. We prove the Hindi pipeline end to end first, then add Tamil, Marathi, and Gujarati once it holds up, because adding three more languages to a broken pipeline just multiplies the debugging. A middleware wraps the user-facing responses, the mobile app carries a language picker whose choice is stored locally, and every API call passes the chosen language along. The test that matters: classify a product, then read its HS code and compliance checklist back in Hindi and confirm it's actually legible.</w:t>
      </w:r>
    </w:p>
    <w:p>
      <w:pPr>
        <w:spacing w:after="140" w:before="40" w:line="276"/>
      </w:pPr>
      <w:r>
        <w:rPr>
          <w:rFonts w:ascii="Arial" w:cs="Arial" w:eastAsia="Arial" w:hAnsi="Arial"/>
          <w:sz w:val="22"/>
          <w:szCs w:val="22"/>
        </w:rPr>
        <w:t xml:space="preserve">A note on the provider. The proposal named Bhashini, the government's Indian-language platform, but its developer registration now requires institutional onboarding (organisation website, address, an employee ID upload, and it notifies the organisation), which an individual student can't realistically clear within the project timeline. So the implemented layer uses the Google Cloud Translation API, which covers all four target languages and reuses the same Google key as the LLM. Bhashini integration stays as documented future work, and the swap is isolated to one service module.</w:t>
      </w:r>
    </w:p>
    <w:p>
      <w:pPr>
        <w:pStyle w:val="Heading2"/>
        <w:spacing w:after="120" w:before="240"/>
      </w:pPr>
      <w:r>
        <w:rPr>
          <w:rFonts w:ascii="Arial" w:cs="Arial" w:eastAsia="Arial" w:hAnsi="Arial"/>
        </w:rPr>
        <w:t xml:space="preserve">Phase 5 — Mobile onboarding flow  ·  5–6 days  ·  needs Phases 0–4</w:t>
      </w:r>
    </w:p>
    <w:p>
      <w:pPr>
        <w:spacing w:after="140" w:before="0" w:line="276"/>
      </w:pPr>
      <w:r>
        <w:rPr>
          <w:rFonts w:ascii="Arial" w:cs="Arial" w:eastAsia="Arial" w:hAnsi="Arial"/>
          <w:sz w:val="22"/>
          <w:szCs w:val="22"/>
        </w:rPr>
        <w:t xml:space="preserve">This is the wizard that ties the backend modules into one journey. Eight screens, in order:</w:t>
      </w:r>
    </w:p>
    <w:p>
      <w:pPr>
        <w:pStyle w:val="ListParagraph"/>
        <w:numPr>
          <w:ilvl w:val="0"/>
          <w:numId w:val="3"/>
        </w:numPr>
        <w:spacing w:after="80" w:line="276"/>
      </w:pPr>
      <w:r>
        <w:rPr>
          <w:rFonts w:ascii="Arial" w:cs="Arial" w:eastAsia="Arial" w:hAnsi="Arial"/>
          <w:b/>
          <w:bCs/>
          <w:sz w:val="22"/>
          <w:szCs w:val="22"/>
        </w:rPr>
        <w:t xml:space="preserve">Login</w:t>
      </w:r>
      <w:r>
        <w:rPr>
          <w:rFonts w:ascii="Arial" w:cs="Arial" w:eastAsia="Arial" w:hAnsi="Arial"/>
          <w:sz w:val="22"/>
          <w:szCs w:val="22"/>
        </w:rPr>
        <w:t xml:space="preserve"> — email and password, store the JWT</w:t>
      </w:r>
    </w:p>
    <w:p>
      <w:pPr>
        <w:pStyle w:val="ListParagraph"/>
        <w:numPr>
          <w:ilvl w:val="0"/>
          <w:numId w:val="3"/>
        </w:numPr>
        <w:spacing w:after="80" w:line="276"/>
      </w:pPr>
      <w:r>
        <w:rPr>
          <w:rFonts w:ascii="Arial" w:cs="Arial" w:eastAsia="Arial" w:hAnsi="Arial"/>
          <w:b/>
          <w:bCs/>
          <w:sz w:val="22"/>
          <w:szCs w:val="22"/>
        </w:rPr>
        <w:t xml:space="preserve">Product entry</w:t>
      </w:r>
      <w:r>
        <w:rPr>
          <w:rFonts w:ascii="Arial" w:cs="Arial" w:eastAsia="Arial" w:hAnsi="Arial"/>
          <w:sz w:val="22"/>
          <w:szCs w:val="22"/>
        </w:rPr>
        <w:t xml:space="preserve"> — describe the product, call /api/classify</w:t>
      </w:r>
    </w:p>
    <w:p>
      <w:pPr>
        <w:pStyle w:val="ListParagraph"/>
        <w:numPr>
          <w:ilvl w:val="0"/>
          <w:numId w:val="3"/>
        </w:numPr>
        <w:spacing w:after="80" w:line="276"/>
      </w:pPr>
      <w:r>
        <w:rPr>
          <w:rFonts w:ascii="Arial" w:cs="Arial" w:eastAsia="Arial" w:hAnsi="Arial"/>
          <w:b/>
          <w:bCs/>
          <w:sz w:val="22"/>
          <w:szCs w:val="22"/>
        </w:rPr>
        <w:t xml:space="preserve">HS code results</w:t>
      </w:r>
      <w:r>
        <w:rPr>
          <w:rFonts w:ascii="Arial" w:cs="Arial" w:eastAsia="Arial" w:hAnsi="Arial"/>
          <w:sz w:val="22"/>
          <w:szCs w:val="22"/>
        </w:rPr>
        <w:t xml:space="preserve"> — show the top three, let the user choose</w:t>
      </w:r>
    </w:p>
    <w:p>
      <w:pPr>
        <w:pStyle w:val="ListParagraph"/>
        <w:numPr>
          <w:ilvl w:val="0"/>
          <w:numId w:val="3"/>
        </w:numPr>
        <w:spacing w:after="80" w:line="276"/>
      </w:pPr>
      <w:r>
        <w:rPr>
          <w:rFonts w:ascii="Arial" w:cs="Arial" w:eastAsia="Arial" w:hAnsi="Arial"/>
          <w:b/>
          <w:bCs/>
          <w:sz w:val="22"/>
          <w:szCs w:val="22"/>
        </w:rPr>
        <w:t xml:space="preserve">Market intelligence</w:t>
      </w:r>
      <w:r>
        <w:rPr>
          <w:rFonts w:ascii="Arial" w:cs="Arial" w:eastAsia="Arial" w:hAnsi="Arial"/>
          <w:sz w:val="22"/>
          <w:szCs w:val="22"/>
        </w:rPr>
        <w:t xml:space="preserve"> — top importing countries from /api/market-demand</w:t>
      </w:r>
    </w:p>
    <w:p>
      <w:pPr>
        <w:pStyle w:val="ListParagraph"/>
        <w:numPr>
          <w:ilvl w:val="0"/>
          <w:numId w:val="3"/>
        </w:numPr>
        <w:spacing w:after="80" w:line="276"/>
      </w:pPr>
      <w:r>
        <w:rPr>
          <w:rFonts w:ascii="Arial" w:cs="Arial" w:eastAsia="Arial" w:hAnsi="Arial"/>
          <w:b/>
          <w:bCs/>
          <w:sz w:val="22"/>
          <w:szCs w:val="22"/>
        </w:rPr>
        <w:t xml:space="preserve">Destination picker</w:t>
      </w:r>
      <w:r>
        <w:rPr>
          <w:rFonts w:ascii="Arial" w:cs="Arial" w:eastAsia="Arial" w:hAnsi="Arial"/>
          <w:sz w:val="22"/>
          <w:szCs w:val="22"/>
        </w:rPr>
        <w:t xml:space="preserve"> — pick a country, call /api/compliance-check</w:t>
      </w:r>
    </w:p>
    <w:p>
      <w:pPr>
        <w:pStyle w:val="ListParagraph"/>
        <w:numPr>
          <w:ilvl w:val="0"/>
          <w:numId w:val="3"/>
        </w:numPr>
        <w:spacing w:after="80" w:line="276"/>
      </w:pPr>
      <w:r>
        <w:rPr>
          <w:rFonts w:ascii="Arial" w:cs="Arial" w:eastAsia="Arial" w:hAnsi="Arial"/>
          <w:b/>
          <w:bCs/>
          <w:sz w:val="22"/>
          <w:szCs w:val="22"/>
        </w:rPr>
        <w:t xml:space="preserve">Compliance checklist</w:t>
      </w:r>
      <w:r>
        <w:rPr>
          <w:rFonts w:ascii="Arial" w:cs="Arial" w:eastAsia="Arial" w:hAnsi="Arial"/>
          <w:sz w:val="22"/>
          <w:szCs w:val="22"/>
        </w:rPr>
        <w:t xml:space="preserve"> — the documents and schemes that apply</w:t>
      </w:r>
    </w:p>
    <w:p>
      <w:pPr>
        <w:pStyle w:val="ListParagraph"/>
        <w:numPr>
          <w:ilvl w:val="0"/>
          <w:numId w:val="3"/>
        </w:numPr>
        <w:spacing w:after="80" w:line="276"/>
      </w:pPr>
      <w:r>
        <w:rPr>
          <w:rFonts w:ascii="Arial" w:cs="Arial" w:eastAsia="Arial" w:hAnsi="Arial"/>
          <w:b/>
          <w:bCs/>
          <w:sz w:val="22"/>
          <w:szCs w:val="22"/>
        </w:rPr>
        <w:t xml:space="preserve">Document readiness</w:t>
      </w:r>
      <w:r>
        <w:rPr>
          <w:rFonts w:ascii="Arial" w:cs="Arial" w:eastAsia="Arial" w:hAnsi="Arial"/>
          <w:sz w:val="22"/>
          <w:szCs w:val="22"/>
        </w:rPr>
        <w:t xml:space="preserve"> — checkboxes for RCMC, AD Code, ECGC, and the rest</w:t>
      </w:r>
    </w:p>
    <w:p>
      <w:pPr>
        <w:pStyle w:val="ListParagraph"/>
        <w:numPr>
          <w:ilvl w:val="0"/>
          <w:numId w:val="3"/>
        </w:numPr>
        <w:spacing w:after="80" w:line="276"/>
      </w:pPr>
      <w:r>
        <w:rPr>
          <w:rFonts w:ascii="Arial" w:cs="Arial" w:eastAsia="Arial" w:hAnsi="Arial"/>
          <w:b/>
          <w:bCs/>
          <w:sz w:val="22"/>
          <w:szCs w:val="22"/>
        </w:rPr>
        <w:t xml:space="preserve">Export summary</w:t>
      </w:r>
      <w:r>
        <w:rPr>
          <w:rFonts w:ascii="Arial" w:cs="Arial" w:eastAsia="Arial" w:hAnsi="Arial"/>
          <w:sz w:val="22"/>
          <w:szCs w:val="22"/>
        </w:rPr>
        <w:t xml:space="preserve"> — save progress, share or print the checklist</w:t>
      </w:r>
    </w:p>
    <w:p>
      <w:pPr>
        <w:spacing w:after="140" w:before="60" w:line="276"/>
      </w:pPr>
      <w:r>
        <w:rPr>
          <w:rFonts w:ascii="Arial" w:cs="Arial" w:eastAsia="Arial" w:hAnsi="Arial"/>
          <w:sz w:val="22"/>
          <w:szCs w:val="22"/>
        </w:rPr>
        <w:t xml:space="preserve">Function before polish. A progress bar sits at the top of every screen so the user always knows where they are in the eight steps, and any failed call shows a retry button with a fallback message instead of a blank screen.</w:t>
      </w:r>
    </w:p>
    <w:p>
      <w:pPr>
        <w:pStyle w:val="Heading2"/>
        <w:spacing w:after="120" w:before="240"/>
      </w:pPr>
      <w:r>
        <w:rPr>
          <w:rFonts w:ascii="Arial" w:cs="Arial" w:eastAsia="Arial" w:hAnsi="Arial"/>
        </w:rPr>
        <w:t xml:space="preserve">Phase 6 — Integration, auth, and error handling  ·  2–3 days  ·  needs Phase 5</w:t>
      </w:r>
    </w:p>
    <w:p>
      <w:pPr>
        <w:spacing w:after="140" w:before="0" w:line="276"/>
      </w:pPr>
      <w:r>
        <w:rPr>
          <w:rFonts w:ascii="Arial" w:cs="Arial" w:eastAsia="Arial" w:hAnsi="Arial"/>
          <w:sz w:val="22"/>
          <w:szCs w:val="22"/>
        </w:rPr>
        <w:t xml:space="preserve">Now everything has to work together. JWT auth covers signup and login and guards the protected endpoints. The error middleware exists because three external services will eventually fail us: the LLM will time out, Comtrade will throttle, Bhashini will hiccup. Each of those needs a sensible fallback and a clear retry instruction rather than a crash. Basic request logging (timestamp, endpoint, user, response time, errors) goes in, and we run one full pass as a fresh user: classify a product, choose a destination, get the checklist, mark documents done.</w:t>
      </w:r>
    </w:p>
    <w:p>
      <w:pPr>
        <w:pStyle w:val="Heading2"/>
        <w:spacing w:after="120" w:before="240"/>
      </w:pPr>
      <w:r>
        <w:rPr>
          <w:rFonts w:ascii="Arial" w:cs="Arial" w:eastAsia="Arial" w:hAnsi="Arial"/>
        </w:rPr>
        <w:t xml:space="preserve">Phase 7 — Deployment  ·  2 days  ·  needs Phase 6</w:t>
      </w:r>
    </w:p>
    <w:p>
      <w:pPr>
        <w:spacing w:after="140" w:before="0" w:line="276"/>
      </w:pPr>
      <w:r>
        <w:rPr>
          <w:rFonts w:ascii="Arial" w:cs="Arial" w:eastAsia="Arial" w:hAnsi="Arial"/>
          <w:sz w:val="22"/>
          <w:szCs w:val="22"/>
        </w:rPr>
        <w:t xml:space="preserve">The backend gets Dockerised and deployed to a free tier, Render or Google Cloud, and we write down the live URL. On the mobile side we generate a signed APK (eas build for Expo, or a signed build out of Android Studio) and test it on a real device against the deployed backend, not just the emulator. The demo runs on hardware, so it should be proven on hardware.</w:t>
      </w:r>
    </w:p>
    <w:p>
      <w:pPr>
        <w:pStyle w:val="Heading2"/>
        <w:spacing w:after="120" w:before="240"/>
      </w:pPr>
      <w:r>
        <w:rPr>
          <w:rFonts w:ascii="Arial" w:cs="Arial" w:eastAsia="Arial" w:hAnsi="Arial"/>
        </w:rPr>
        <w:t xml:space="preserve">Phase 8 — Benchmark, thesis, and final deliverables  ·  4–5 days  ·  runs alongside the rest</w:t>
      </w:r>
    </w:p>
    <w:p>
      <w:pPr>
        <w:spacing w:after="140" w:before="0" w:line="276"/>
      </w:pPr>
      <w:r>
        <w:rPr>
          <w:rFonts w:ascii="Arial" w:cs="Arial" w:eastAsia="Arial" w:hAnsi="Arial"/>
          <w:sz w:val="22"/>
          <w:szCs w:val="22"/>
        </w:rPr>
        <w:t xml:space="preserve">The research case rests on a comparison with the two tools that already exist: DGFT Trade Connect and the International Trade Council's Export Ready platform. We measure three things:</w:t>
      </w:r>
    </w:p>
    <w:p>
      <w:pPr>
        <w:pStyle w:val="ListParagraph"/>
        <w:numPr>
          <w:ilvl w:val="0"/>
          <w:numId w:val="2"/>
        </w:numPr>
        <w:spacing w:after="80" w:line="276"/>
      </w:pPr>
      <w:r>
        <w:rPr>
          <w:rFonts w:ascii="Arial" w:cs="Arial" w:eastAsia="Arial" w:hAnsi="Arial"/>
          <w:b/>
          <w:bCs/>
          <w:sz w:val="22"/>
          <w:szCs w:val="22"/>
        </w:rPr>
        <w:t xml:space="preserve">Accuracy. </w:t>
      </w:r>
      <w:r>
        <w:rPr>
          <w:rFonts w:ascii="Arial" w:cs="Arial" w:eastAsia="Arial" w:hAnsi="Arial"/>
          <w:sz w:val="22"/>
          <w:szCs w:val="22"/>
        </w:rPr>
        <w:t xml:space="preserve">HS code classification on 50 test products, scored against official government classifications.</w:t>
      </w:r>
    </w:p>
    <w:p>
      <w:pPr>
        <w:pStyle w:val="ListParagraph"/>
        <w:numPr>
          <w:ilvl w:val="0"/>
          <w:numId w:val="2"/>
        </w:numPr>
        <w:spacing w:after="80" w:line="276"/>
      </w:pPr>
      <w:r>
        <w:rPr>
          <w:rFonts w:ascii="Arial" w:cs="Arial" w:eastAsia="Arial" w:hAnsi="Arial"/>
          <w:b/>
          <w:bCs/>
          <w:sz w:val="22"/>
          <w:szCs w:val="22"/>
        </w:rPr>
        <w:t xml:space="preserve">Usability. </w:t>
      </w:r>
      <w:r>
        <w:rPr>
          <w:rFonts w:ascii="Arial" w:cs="Arial" w:eastAsia="Arial" w:hAnsi="Arial"/>
          <w:sz w:val="22"/>
          <w:szCs w:val="22"/>
        </w:rPr>
        <w:t xml:space="preserve">The number of clicks to get from a product description to an export checklist, compared across all three tools.</w:t>
      </w:r>
    </w:p>
    <w:p>
      <w:pPr>
        <w:pStyle w:val="ListParagraph"/>
        <w:numPr>
          <w:ilvl w:val="0"/>
          <w:numId w:val="2"/>
        </w:numPr>
        <w:spacing w:after="80" w:line="276"/>
      </w:pPr>
      <w:r>
        <w:rPr>
          <w:rFonts w:ascii="Arial" w:cs="Arial" w:eastAsia="Arial" w:hAnsi="Arial"/>
          <w:b/>
          <w:bCs/>
          <w:sz w:val="22"/>
          <w:szCs w:val="22"/>
        </w:rPr>
        <w:t xml:space="preserve">Time to readiness. </w:t>
      </w:r>
      <w:r>
        <w:rPr>
          <w:rFonts w:ascii="Arial" w:cs="Arial" w:eastAsia="Arial" w:hAnsi="Arial"/>
          <w:sz w:val="22"/>
          <w:szCs w:val="22"/>
        </w:rPr>
        <w:t xml:space="preserve">How long a test user takes to finish the full onboarding on each platform.</w:t>
      </w:r>
    </w:p>
    <w:p>
      <w:pPr>
        <w:spacing w:after="140" w:before="60" w:line="276"/>
      </w:pPr>
      <w:r>
        <w:rPr>
          <w:rFonts w:ascii="Arial" w:cs="Arial" w:eastAsia="Arial" w:hAnsi="Arial"/>
          <w:sz w:val="22"/>
          <w:szCs w:val="22"/>
        </w:rPr>
        <w:t xml:space="preserve">The thesis follows the standard arc: problem and literature review, system architecture and design, implementation of the four core modules, evaluation and benchmark results, contributions to the state of the art, then limitations and future work.</w:t>
      </w:r>
    </w:p>
    <w:p>
      <w:pPr>
        <w:spacing w:after="140" w:before="0" w:line="276"/>
      </w:pPr>
      <w:r>
        <w:rPr>
          <w:rFonts w:ascii="Arial" w:cs="Arial" w:eastAsia="Arial" w:hAnsi="Arial"/>
          <w:b/>
          <w:bCs/>
          <w:sz w:val="22"/>
          <w:szCs w:val="22"/>
        </w:rPr>
        <w:t xml:space="preserve">The AI usage appendix is mandatory. </w:t>
      </w:r>
      <w:r>
        <w:rPr>
          <w:rFonts w:ascii="Arial" w:cs="Arial" w:eastAsia="Arial" w:hAnsi="Arial"/>
          <w:sz w:val="22"/>
          <w:szCs w:val="22"/>
        </w:rPr>
        <w:t xml:space="preserve">Every LLM prompt and response used in the project gets logged with its module, input, output, date, and context, and is submitted alongside the thesis. It's easiest to keep this log running from Phase 2 onward rather than assembling it the night before.</w:t>
      </w:r>
    </w:p>
    <w:p>
      <w:r>
        <w:br w:type="page"/>
      </w:r>
    </w:p>
    <w:p>
      <w:pPr>
        <w:pStyle w:val="Heading1"/>
        <w:spacing w:after="160" w:before="320"/>
      </w:pPr>
      <w:r>
        <w:rPr>
          <w:rFonts w:ascii="Arial" w:cs="Arial" w:eastAsia="Arial" w:hAnsi="Arial"/>
        </w:rPr>
        <w:t xml:space="preserve">Lining up with the academic deadlines</w:t>
      </w:r>
    </w:p>
    <w:p>
      <w:pPr>
        <w:spacing w:after="140" w:before="0" w:line="276"/>
      </w:pPr>
      <w:r>
        <w:rPr>
          <w:rFonts w:ascii="Arial" w:cs="Arial" w:eastAsia="Arial" w:hAnsi="Arial"/>
          <w:sz w:val="22"/>
          <w:szCs w:val="22"/>
        </w:rPr>
        <w:t xml:space="preserve">The engineering phases sit inside a fixed academic calendar, and the two have to stay in step. The table below maps each submission date to what needs to be working technically by then. Two checkpoints carry the most weight: Hackathon 2 in mid-June, where a working app has to exist, and the final demo week in 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pPr>
            <w:r>
              <w:rPr>
                <w:rFonts w:ascii="Arial" w:cs="Arial" w:eastAsia="Arial" w:hAnsi="Arial"/>
                <w:b/>
                <w:bCs/>
                <w:color w:val="FFFFFF"/>
                <w:sz w:val="21"/>
                <w:szCs w:val="21"/>
              </w:rPr>
              <w:t xml:space="preserve">Date</w:t>
            </w:r>
          </w:p>
        </w:tc>
        <w:tc>
          <w:tcPr>
            <w:tcW w:type="dxa" w:w="366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pPr>
            <w:r>
              <w:rPr>
                <w:rFonts w:ascii="Arial" w:cs="Arial" w:eastAsia="Arial" w:hAnsi="Arial"/>
                <w:b/>
                <w:bCs/>
                <w:color w:val="FFFFFF"/>
                <w:sz w:val="21"/>
                <w:szCs w:val="21"/>
              </w:rPr>
              <w:t xml:space="preserve">Academic milestone</w:t>
            </w:r>
          </w:p>
        </w:tc>
        <w:tc>
          <w:tcPr>
            <w:tcW w:type="dxa" w:w="400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pPr>
            <w:r>
              <w:rPr>
                <w:rFonts w:ascii="Arial" w:cs="Arial" w:eastAsia="Arial" w:hAnsi="Arial"/>
                <w:b/>
                <w:bCs/>
                <w:color w:val="FFFFFF"/>
                <w:sz w:val="21"/>
                <w:szCs w:val="21"/>
              </w:rPr>
              <w:t xml:space="preserve">What has to be working</w:t>
            </w:r>
          </w:p>
        </w:tc>
      </w:tr>
      <w:tr>
        <w:tc>
          <w:tcPr>
            <w:tcW w:type="dxa" w:w="1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19 Apr</w:t>
            </w:r>
          </w:p>
        </w:tc>
        <w:tc>
          <w:tcPr>
            <w:tcW w:type="dxa" w:w="36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Project proposal submitted</w:t>
            </w:r>
          </w:p>
        </w:tc>
        <w:tc>
          <w:tcPr>
            <w:tcW w:type="dxa" w:w="40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w:t>
            </w:r>
          </w:p>
        </w:tc>
      </w:tr>
      <w:tr>
        <w:tc>
          <w:tcPr>
            <w:tcW w:type="dxa" w:w="17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28 Apr</w:t>
            </w:r>
          </w:p>
        </w:tc>
        <w:tc>
          <w:tcPr>
            <w:tcW w:type="dxa" w:w="36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Literature review workshop notes</w:t>
            </w:r>
          </w:p>
        </w:tc>
        <w:tc>
          <w:tcPr>
            <w:tcW w:type="dxa" w:w="40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w:t>
            </w:r>
          </w:p>
        </w:tc>
      </w:tr>
      <w:tr>
        <w:tc>
          <w:tcPr>
            <w:tcW w:type="dxa" w:w="1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6 May</w:t>
            </w:r>
          </w:p>
        </w:tc>
        <w:tc>
          <w:tcPr>
            <w:tcW w:type="dxa" w:w="36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Hackathon 1 — Prototype Sprint</w:t>
            </w:r>
          </w:p>
        </w:tc>
        <w:tc>
          <w:tcPr>
            <w:tcW w:type="dxa" w:w="40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HS classifier demo (Phase 2) and onboarding wireframes (Phase 5 design)</w:t>
            </w:r>
          </w:p>
        </w:tc>
      </w:tr>
      <w:tr>
        <w:tc>
          <w:tcPr>
            <w:tcW w:type="dxa" w:w="17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8 May</w:t>
            </w:r>
          </w:p>
        </w:tc>
        <w:tc>
          <w:tcPr>
            <w:tcW w:type="dxa" w:w="36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Annotated bibliography, 8–10 sources</w:t>
            </w:r>
          </w:p>
        </w:tc>
        <w:tc>
          <w:tcPr>
            <w:tcW w:type="dxa" w:w="40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w:t>
            </w:r>
          </w:p>
        </w:tc>
      </w:tr>
      <w:tr>
        <w:tc>
          <w:tcPr>
            <w:tcW w:type="dxa" w:w="1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15 May</w:t>
            </w:r>
          </w:p>
        </w:tc>
        <w:tc>
          <w:tcPr>
            <w:tcW w:type="dxa" w:w="36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Literature review outline</w:t>
            </w:r>
          </w:p>
        </w:tc>
        <w:tc>
          <w:tcPr>
            <w:tcW w:type="dxa" w:w="40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w:t>
            </w:r>
          </w:p>
        </w:tc>
      </w:tr>
      <w:tr>
        <w:tc>
          <w:tcPr>
            <w:tcW w:type="dxa" w:w="17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29 May</w:t>
            </w:r>
          </w:p>
        </w:tc>
        <w:tc>
          <w:tcPr>
            <w:tcW w:type="dxa" w:w="36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Literature review document</w:t>
            </w:r>
          </w:p>
        </w:tc>
        <w:tc>
          <w:tcPr>
            <w:tcW w:type="dxa" w:w="40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w:t>
            </w:r>
          </w:p>
        </w:tc>
      </w:tr>
      <w:tr>
        <w:tc>
          <w:tcPr>
            <w:tcW w:type="dxa" w:w="1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17 Jun</w:t>
            </w:r>
          </w:p>
        </w:tc>
        <w:tc>
          <w:tcPr>
            <w:tcW w:type="dxa" w:w="36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Hackathon 2 — MVP Sprint</w:t>
            </w:r>
          </w:p>
        </w:tc>
        <w:tc>
          <w:tcPr>
            <w:tcW w:type="dxa" w:w="40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Working app: demand intelligence, compliance check, onboarding (Phases 1–6)</w:t>
            </w:r>
          </w:p>
        </w:tc>
      </w:tr>
      <w:tr>
        <w:tc>
          <w:tcPr>
            <w:tcW w:type="dxa" w:w="17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22 Jun</w:t>
            </w:r>
          </w:p>
        </w:tc>
        <w:tc>
          <w:tcPr>
            <w:tcW w:type="dxa" w:w="36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Thesis + GenAI document</w:t>
            </w:r>
          </w:p>
        </w:tc>
        <w:tc>
          <w:tcPr>
            <w:tcW w:type="dxa" w:w="40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AI usage appendix and prompt log complete (Phase 8)</w:t>
            </w:r>
          </w:p>
        </w:tc>
      </w:tr>
      <w:tr>
        <w:tc>
          <w:tcPr>
            <w:tcW w:type="dxa" w:w="17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6–10 Jul</w:t>
            </w:r>
          </w:p>
        </w:tc>
        <w:tc>
          <w:tcPr>
            <w:tcW w:type="dxa" w:w="36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Action Learning Week</w:t>
            </w:r>
          </w:p>
        </w:tc>
        <w:tc>
          <w:tcPr>
            <w:tcW w:type="dxa" w:w="40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Live demo and poster, on a deployed build (Phase 7)</w:t>
            </w:r>
          </w:p>
        </w:tc>
      </w:tr>
      <w:tr>
        <w:tc>
          <w:tcPr>
            <w:tcW w:type="dxa" w:w="17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10 Jul</w:t>
            </w:r>
          </w:p>
        </w:tc>
        <w:tc>
          <w:tcPr>
            <w:tcW w:type="dxa" w:w="36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Final submission</w:t>
            </w:r>
          </w:p>
        </w:tc>
        <w:tc>
          <w:tcPr>
            <w:tcW w:type="dxa" w:w="40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Deployed MVP and project poster handed in by 18:00</w:t>
            </w:r>
          </w:p>
        </w:tc>
      </w:tr>
    </w:tbl>
    <w:p>
      <w:pPr>
        <w:pStyle w:val="Heading1"/>
        <w:spacing w:after="160" w:before="320"/>
      </w:pPr>
      <w:r>
        <w:rPr>
          <w:rFonts w:ascii="Arial" w:cs="Arial" w:eastAsia="Arial" w:hAnsi="Arial"/>
        </w:rPr>
        <w:t xml:space="preserve">Timeline at a glance</w:t>
      </w:r>
    </w:p>
    <w:p>
      <w:pPr>
        <w:spacing w:after="140" w:before="0" w:line="276"/>
      </w:pPr>
      <w:r>
        <w:rPr>
          <w:rFonts w:ascii="Arial" w:cs="Arial" w:eastAsia="Arial" w:hAnsi="Arial"/>
          <w:sz w:val="22"/>
          <w:szCs w:val="22"/>
        </w:rPr>
        <w:t xml:space="preserve">Phases run sequentially, except 2 through 4, which can overlap once the data layer exists. The full build is roughly 25 to 32 focused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60"/>
        <w:gridCol w:w="2500"/>
      </w:tblGrid>
      <w:tr>
        <w:trPr>
          <w:tblHeader/>
        </w:trPr>
        <w:tc>
          <w:tcPr>
            <w:tcW w:type="dxa" w:w="110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pPr>
            <w:r>
              <w:rPr>
                <w:rFonts w:ascii="Arial" w:cs="Arial" w:eastAsia="Arial" w:hAnsi="Arial"/>
                <w:b/>
                <w:bCs/>
                <w:color w:val="FFFFFF"/>
                <w:sz w:val="21"/>
                <w:szCs w:val="21"/>
              </w:rPr>
              <w:t xml:space="preserve">Phase</w:t>
            </w:r>
          </w:p>
        </w:tc>
        <w:tc>
          <w:tcPr>
            <w:tcW w:type="dxa" w:w="576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pPr>
            <w:r>
              <w:rPr>
                <w:rFonts w:ascii="Arial" w:cs="Arial" w:eastAsia="Arial" w:hAnsi="Arial"/>
                <w:b/>
                <w:bCs/>
                <w:color w:val="FFFFFF"/>
                <w:sz w:val="21"/>
                <w:szCs w:val="21"/>
              </w:rPr>
              <w:t xml:space="preserve">Focus</w:t>
            </w:r>
          </w:p>
        </w:tc>
        <w:tc>
          <w:tcPr>
            <w:tcW w:type="dxa" w:w="2500"/>
            <w:tcBorders>
              <w:top w:val="single" w:color="D0D7D4" w:sz="1"/>
              <w:left w:val="single" w:color="D0D7D4" w:sz="1"/>
              <w:bottom w:val="single" w:color="D0D7D4" w:sz="1"/>
              <w:right w:val="single" w:color="D0D7D4" w:sz="1"/>
            </w:tcBorders>
            <w:shd w:fill="1F5C4D" w:color="auto" w:val="clear"/>
            <w:tcMar>
              <w:top w:type="dxa" w:w="70"/>
              <w:left w:type="dxa" w:w="130"/>
              <w:bottom w:type="dxa" w:w="70"/>
              <w:right w:type="dxa" w:w="130"/>
            </w:tcMar>
          </w:tcPr>
          <w:p>
            <w:pPr>
              <w:spacing w:after="0" w:line="264"/>
              <w:jc w:val="right"/>
            </w:pPr>
            <w:r>
              <w:rPr>
                <w:rFonts w:ascii="Arial" w:cs="Arial" w:eastAsia="Arial" w:hAnsi="Arial"/>
                <w:b/>
                <w:bCs/>
                <w:color w:val="FFFFFF"/>
                <w:sz w:val="21"/>
                <w:szCs w:val="21"/>
              </w:rPr>
              <w:t xml:space="preserve">Duration</w:t>
            </w:r>
          </w:p>
        </w:tc>
      </w:tr>
      <w:tr>
        <w:tc>
          <w:tcPr>
            <w:tcW w:type="dxa" w:w="11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0</w:t>
            </w:r>
          </w:p>
        </w:tc>
        <w:tc>
          <w:tcPr>
            <w:tcW w:type="dxa" w:w="57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Project skeleton, repo, environment setup</w:t>
            </w:r>
          </w:p>
        </w:tc>
        <w:tc>
          <w:tcPr>
            <w:tcW w:type="dxa" w:w="25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1–2 days</w:t>
            </w:r>
          </w:p>
        </w:tc>
      </w:tr>
      <w:tr>
        <w:tc>
          <w:tcPr>
            <w:tcW w:type="dxa" w:w="11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1</w:t>
            </w:r>
          </w:p>
        </w:tc>
        <w:tc>
          <w:tcPr>
            <w:tcW w:type="dxa" w:w="57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MongoDB schemas, Comtrade service</w:t>
            </w:r>
          </w:p>
        </w:tc>
        <w:tc>
          <w:tcPr>
            <w:tcW w:type="dxa" w:w="25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3–4 days</w:t>
            </w:r>
          </w:p>
        </w:tc>
      </w:tr>
      <w:tr>
        <w:tc>
          <w:tcPr>
            <w:tcW w:type="dxa" w:w="11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2</w:t>
            </w:r>
          </w:p>
        </w:tc>
        <w:tc>
          <w:tcPr>
            <w:tcW w:type="dxa" w:w="57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HS code classifier (LLM + reference data)</w:t>
            </w:r>
          </w:p>
        </w:tc>
        <w:tc>
          <w:tcPr>
            <w:tcW w:type="dxa" w:w="25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4–5 days</w:t>
            </w:r>
          </w:p>
        </w:tc>
      </w:tr>
      <w:tr>
        <w:tc>
          <w:tcPr>
            <w:tcW w:type="dxa" w:w="11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3</w:t>
            </w:r>
          </w:p>
        </w:tc>
        <w:tc>
          <w:tcPr>
            <w:tcW w:type="dxa" w:w="57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Compliance rule engine (static + LLM)</w:t>
            </w:r>
          </w:p>
        </w:tc>
        <w:tc>
          <w:tcPr>
            <w:tcW w:type="dxa" w:w="25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4–5 days</w:t>
            </w:r>
          </w:p>
        </w:tc>
      </w:tr>
      <w:tr>
        <w:tc>
          <w:tcPr>
            <w:tcW w:type="dxa" w:w="11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4</w:t>
            </w:r>
          </w:p>
        </w:tc>
        <w:tc>
          <w:tcPr>
            <w:tcW w:type="dxa" w:w="57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Google Translate middleware</w:t>
            </w:r>
          </w:p>
        </w:tc>
        <w:tc>
          <w:tcPr>
            <w:tcW w:type="dxa" w:w="25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2–3 days</w:t>
            </w:r>
          </w:p>
        </w:tc>
      </w:tr>
      <w:tr>
        <w:tc>
          <w:tcPr>
            <w:tcW w:type="dxa" w:w="11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5</w:t>
            </w:r>
          </w:p>
        </w:tc>
        <w:tc>
          <w:tcPr>
            <w:tcW w:type="dxa" w:w="57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React Native mobile UI and wizard</w:t>
            </w:r>
          </w:p>
        </w:tc>
        <w:tc>
          <w:tcPr>
            <w:tcW w:type="dxa" w:w="25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5–6 days</w:t>
            </w:r>
          </w:p>
        </w:tc>
      </w:tr>
      <w:tr>
        <w:tc>
          <w:tcPr>
            <w:tcW w:type="dxa" w:w="11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6</w:t>
            </w:r>
          </w:p>
        </w:tc>
        <w:tc>
          <w:tcPr>
            <w:tcW w:type="dxa" w:w="57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Auth, error handling, integration testing</w:t>
            </w:r>
          </w:p>
        </w:tc>
        <w:tc>
          <w:tcPr>
            <w:tcW w:type="dxa" w:w="25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2–3 days</w:t>
            </w:r>
          </w:p>
        </w:tc>
      </w:tr>
      <w:tr>
        <w:tc>
          <w:tcPr>
            <w:tcW w:type="dxa" w:w="11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7</w:t>
            </w:r>
          </w:p>
        </w:tc>
        <w:tc>
          <w:tcPr>
            <w:tcW w:type="dxa" w:w="576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pPr>
            <w:r>
              <w:rPr>
                <w:rFonts w:ascii="Arial" w:cs="Arial" w:eastAsia="Arial" w:hAnsi="Arial"/>
                <w:sz w:val="21"/>
                <w:szCs w:val="21"/>
              </w:rPr>
              <w:t xml:space="preserve">Docker, cloud deployment, APK build</w:t>
            </w:r>
          </w:p>
        </w:tc>
        <w:tc>
          <w:tcPr>
            <w:tcW w:type="dxa" w:w="2500"/>
            <w:tcBorders>
              <w:top w:val="single" w:color="D0D7D4" w:sz="1"/>
              <w:left w:val="single" w:color="D0D7D4" w:sz="1"/>
              <w:bottom w:val="single" w:color="D0D7D4" w:sz="1"/>
              <w:right w:val="single" w:color="D0D7D4" w:sz="1"/>
            </w:tcBorders>
            <w:shd w:fill="EEF3F1"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2 days</w:t>
            </w:r>
          </w:p>
        </w:tc>
      </w:tr>
      <w:tr>
        <w:tc>
          <w:tcPr>
            <w:tcW w:type="dxa" w:w="11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center"/>
            </w:pPr>
            <w:r>
              <w:rPr>
                <w:rFonts w:ascii="Arial" w:cs="Arial" w:eastAsia="Arial" w:hAnsi="Arial"/>
                <w:b/>
                <w:bCs/>
                <w:sz w:val="21"/>
                <w:szCs w:val="21"/>
              </w:rPr>
              <w:t xml:space="preserve">8</w:t>
            </w:r>
          </w:p>
        </w:tc>
        <w:tc>
          <w:tcPr>
            <w:tcW w:type="dxa" w:w="576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pPr>
            <w:r>
              <w:rPr>
                <w:rFonts w:ascii="Arial" w:cs="Arial" w:eastAsia="Arial" w:hAnsi="Arial"/>
                <w:sz w:val="21"/>
                <w:szCs w:val="21"/>
              </w:rPr>
              <w:t xml:space="preserve">Benchmarking, thesis, AI appendix</w:t>
            </w:r>
          </w:p>
        </w:tc>
        <w:tc>
          <w:tcPr>
            <w:tcW w:type="dxa" w:w="2500"/>
            <w:tcBorders>
              <w:top w:val="single" w:color="D0D7D4" w:sz="1"/>
              <w:left w:val="single" w:color="D0D7D4" w:sz="1"/>
              <w:bottom w:val="single" w:color="D0D7D4" w:sz="1"/>
              <w:right w:val="single" w:color="D0D7D4" w:sz="1"/>
            </w:tcBorders>
            <w:shd w:fill="FFFFFF" w:color="auto" w:val="clear"/>
            <w:tcMar>
              <w:top w:type="dxa" w:w="70"/>
              <w:left w:type="dxa" w:w="130"/>
              <w:bottom w:type="dxa" w:w="70"/>
              <w:right w:type="dxa" w:w="130"/>
            </w:tcMar>
          </w:tcPr>
          <w:p>
            <w:pPr>
              <w:spacing w:after="0" w:line="264"/>
              <w:jc w:val="right"/>
            </w:pPr>
            <w:r>
              <w:rPr>
                <w:rFonts w:ascii="Arial" w:cs="Arial" w:eastAsia="Arial" w:hAnsi="Arial"/>
                <w:sz w:val="21"/>
                <w:szCs w:val="21"/>
              </w:rPr>
              <w:t xml:space="preserve">4–5 days (finalise)</w:t>
            </w:r>
          </w:p>
        </w:tc>
      </w:tr>
      <w:tr>
        <w:tc>
          <w:tcPr>
            <w:tcW w:type="dxa" w:w="1100"/>
            <w:tcBorders>
              <w:top w:val="single" w:color="D0D7D4" w:sz="1"/>
              <w:left w:val="single" w:color="D0D7D4" w:sz="1"/>
              <w:bottom w:val="single" w:color="D0D7D4" w:sz="1"/>
              <w:right w:val="single" w:color="D0D7D4" w:sz="1"/>
            </w:tcBorders>
            <w:shd w:fill="FFF7DE" w:color="auto" w:val="clear"/>
            <w:tcMar>
              <w:top w:type="dxa" w:w="70"/>
              <w:left w:type="dxa" w:w="130"/>
              <w:bottom w:type="dxa" w:w="70"/>
              <w:right w:type="dxa" w:w="130"/>
            </w:tcMar>
          </w:tcPr>
          <w:p>
            <w:pPr>
              <w:spacing w:after="0" w:line="264"/>
            </w:pPr>
            <w:r>
              <w:rPr>
                <w:rFonts w:ascii="Arial" w:cs="Arial" w:eastAsia="Arial" w:hAnsi="Arial"/>
                <w:sz w:val="21"/>
                <w:szCs w:val="21"/>
              </w:rPr>
              <w:t xml:space="preserve"/>
            </w:r>
          </w:p>
        </w:tc>
        <w:tc>
          <w:tcPr>
            <w:tcW w:type="dxa" w:w="5760"/>
            <w:tcBorders>
              <w:top w:val="single" w:color="D0D7D4" w:sz="1"/>
              <w:left w:val="single" w:color="D0D7D4" w:sz="1"/>
              <w:bottom w:val="single" w:color="D0D7D4" w:sz="1"/>
              <w:right w:val="single" w:color="D0D7D4" w:sz="1"/>
            </w:tcBorders>
            <w:shd w:fill="FFF7DE" w:color="auto" w:val="clear"/>
            <w:tcMar>
              <w:top w:type="dxa" w:w="70"/>
              <w:left w:type="dxa" w:w="130"/>
              <w:bottom w:type="dxa" w:w="70"/>
              <w:right w:type="dxa" w:w="130"/>
            </w:tcMar>
          </w:tcPr>
          <w:p>
            <w:pPr>
              <w:spacing w:after="0" w:line="264"/>
            </w:pPr>
            <w:r>
              <w:rPr>
                <w:rFonts w:ascii="Arial" w:cs="Arial" w:eastAsia="Arial" w:hAnsi="Arial"/>
                <w:b/>
                <w:bCs/>
                <w:sz w:val="21"/>
                <w:szCs w:val="21"/>
              </w:rPr>
              <w:t xml:space="preserve">Total focused working days</w:t>
            </w:r>
          </w:p>
        </w:tc>
        <w:tc>
          <w:tcPr>
            <w:tcW w:type="dxa" w:w="2500"/>
            <w:tcBorders>
              <w:top w:val="single" w:color="D0D7D4" w:sz="1"/>
              <w:left w:val="single" w:color="D0D7D4" w:sz="1"/>
              <w:bottom w:val="single" w:color="D0D7D4" w:sz="1"/>
              <w:right w:val="single" w:color="D0D7D4" w:sz="1"/>
            </w:tcBorders>
            <w:shd w:fill="FFF7DE" w:color="auto" w:val="clear"/>
            <w:tcMar>
              <w:top w:type="dxa" w:w="70"/>
              <w:left w:type="dxa" w:w="130"/>
              <w:bottom w:type="dxa" w:w="70"/>
              <w:right w:type="dxa" w:w="130"/>
            </w:tcMar>
          </w:tcPr>
          <w:p>
            <w:pPr>
              <w:spacing w:after="0" w:line="264"/>
              <w:jc w:val="right"/>
            </w:pPr>
            <w:r>
              <w:rPr>
                <w:rFonts w:ascii="Arial" w:cs="Arial" w:eastAsia="Arial" w:hAnsi="Arial"/>
                <w:b/>
                <w:bCs/>
                <w:sz w:val="21"/>
                <w:szCs w:val="21"/>
              </w:rPr>
              <w:t xml:space="preserve">25–32 days</w:t>
            </w:r>
          </w:p>
        </w:tc>
      </w:tr>
    </w:tbl>
    <w:p>
      <w:pPr>
        <w:pStyle w:val="Heading1"/>
        <w:spacing w:after="160" w:before="320"/>
      </w:pPr>
      <w:r>
        <w:rPr>
          <w:rFonts w:ascii="Arial" w:cs="Arial" w:eastAsia="Arial" w:hAnsi="Arial"/>
        </w:rPr>
        <w:t xml:space="preserve">What we do next</w:t>
      </w:r>
    </w:p>
    <w:p>
      <w:pPr>
        <w:pStyle w:val="ListParagraph"/>
        <w:numPr>
          <w:ilvl w:val="0"/>
          <w:numId w:val="4"/>
        </w:numPr>
        <w:spacing w:after="80" w:line="276"/>
      </w:pPr>
      <w:r>
        <w:rPr>
          <w:rFonts w:ascii="Arial" w:cs="Arial" w:eastAsia="Arial" w:hAnsi="Arial"/>
          <w:b/>
          <w:bCs/>
          <w:sz w:val="22"/>
          <w:szCs w:val="22"/>
        </w:rPr>
        <w:t xml:space="preserve">Confirm the keys. </w:t>
      </w:r>
      <w:r>
        <w:rPr>
          <w:rFonts w:ascii="Arial" w:cs="Arial" w:eastAsia="Arial" w:hAnsi="Arial"/>
          <w:sz w:val="22"/>
          <w:szCs w:val="22"/>
        </w:rPr>
        <w:t xml:space="preserve">The Gemini (or OpenAI) key, the UN Comtrade key, and the Google Cloud Translation API (enabled on the same Google project) all need to be in hand before Phase 0 closes.</w:t>
      </w:r>
    </w:p>
    <w:p>
      <w:pPr>
        <w:pStyle w:val="ListParagraph"/>
        <w:numPr>
          <w:ilvl w:val="0"/>
          <w:numId w:val="4"/>
        </w:numPr>
        <w:spacing w:after="80" w:line="276"/>
      </w:pPr>
      <w:r>
        <w:rPr>
          <w:rFonts w:ascii="Arial" w:cs="Arial" w:eastAsia="Arial" w:hAnsi="Arial"/>
          <w:b/>
          <w:bCs/>
          <w:sz w:val="22"/>
          <w:szCs w:val="22"/>
        </w:rPr>
        <w:t xml:space="preserve">Stand up Phase 0. </w:t>
      </w:r>
      <w:r>
        <w:rPr>
          <w:rFonts w:ascii="Arial" w:cs="Arial" w:eastAsia="Arial" w:hAnsi="Arial"/>
          <w:sz w:val="22"/>
          <w:szCs w:val="22"/>
        </w:rPr>
        <w:t xml:space="preserve">Scaffold the repo and get Express and React Native both running locally and talking to each other.</w:t>
      </w:r>
    </w:p>
    <w:p>
      <w:pPr>
        <w:pStyle w:val="ListParagraph"/>
        <w:numPr>
          <w:ilvl w:val="0"/>
          <w:numId w:val="4"/>
        </w:numPr>
        <w:spacing w:after="80" w:line="276"/>
      </w:pPr>
      <w:r>
        <w:rPr>
          <w:rFonts w:ascii="Arial" w:cs="Arial" w:eastAsia="Arial" w:hAnsi="Arial"/>
          <w:b/>
          <w:bCs/>
          <w:sz w:val="22"/>
          <w:szCs w:val="22"/>
        </w:rPr>
        <w:t xml:space="preserve">Start Phase 1 in parallel. </w:t>
      </w:r>
      <w:r>
        <w:rPr>
          <w:rFonts w:ascii="Arial" w:cs="Arial" w:eastAsia="Arial" w:hAnsi="Arial"/>
          <w:sz w:val="22"/>
          <w:szCs w:val="22"/>
        </w:rPr>
        <w:t xml:space="preserve">Begin the MongoDB schema design while the skeleton is still settling.</w:t>
      </w:r>
    </w:p>
    <w:p>
      <w:pPr>
        <w:pStyle w:val="ListParagraph"/>
        <w:numPr>
          <w:ilvl w:val="0"/>
          <w:numId w:val="4"/>
        </w:numPr>
        <w:spacing w:after="80" w:line="276"/>
      </w:pPr>
      <w:r>
        <w:rPr>
          <w:rFonts w:ascii="Arial" w:cs="Arial" w:eastAsia="Arial" w:hAnsi="Arial"/>
          <w:b/>
          <w:bCs/>
          <w:sz w:val="22"/>
          <w:szCs w:val="22"/>
        </w:rPr>
        <w:t xml:space="preserve">Check in weekly. </w:t>
      </w:r>
      <w:r>
        <w:rPr>
          <w:rFonts w:ascii="Arial" w:cs="Arial" w:eastAsia="Arial" w:hAnsi="Arial"/>
          <w:sz w:val="22"/>
          <w:szCs w:val="22"/>
        </w:rPr>
        <w:t xml:space="preserve">Review what closed, name any blockers honestly, and adjust the schedule before a slip turns into a scramble.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4" w:sz="4" w:space="6"/>
      </w:pBdr>
      <w:tabs>
        <w:tab w:val="right" w:pos="9360"/>
      </w:tabs>
    </w:pPr>
    <w:r>
      <w:rPr>
        <w:rFonts w:ascii="Arial" w:cs="Arial" w:eastAsia="Arial" w:hAnsi="Arial"/>
        <w:b/>
        <w:bCs/>
        <w:color w:val="1F5C4D"/>
        <w:sz w:val="18"/>
        <w:szCs w:val="18"/>
      </w:rPr>
      <w:t xml:space="preserve">Safarika</w:t>
    </w:r>
    <w:r>
      <w:rPr>
        <w:rFonts w:ascii="Arial" w:cs="Arial" w:eastAsia="Arial" w:hAnsi="Arial"/>
        <w:color w:val="555555"/>
        <w:sz w:val="18"/>
        <w:szCs w:val="18"/>
      </w:rPr>
      <w:t xml:space="preserve">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98A" w:sz="4" w:space="4"/>
      </w:pBdr>
      <w:spacing w:after="160" w:before="320"/>
      <w:outlineLvl w:val="0"/>
    </w:pPr>
    <w:rPr>
      <w:rFonts w:ascii="Arial" w:cs="Arial" w:eastAsia="Arial" w:hAnsi="Arial"/>
      <w:b/>
      <w:bCs/>
      <w:color w:val="1F5C4D"/>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Safarika — Development Roadmap</dc:title>
  <dc:creator>Safarika Team</dc:creator>
  <cp:lastModifiedBy>Un-named</cp:lastModifiedBy>
  <cp:revision>1</cp:revision>
  <dcterms:created xsi:type="dcterms:W3CDTF">2026-06-20T09:54:03.128Z</dcterms:created>
  <dcterms:modified xsi:type="dcterms:W3CDTF">2026-06-20T09:54:03.140Z</dcterms:modified>
</cp:coreProperties>
</file>

<file path=docProps/custom.xml><?xml version="1.0" encoding="utf-8"?>
<Properties xmlns="http://schemas.openxmlformats.org/officeDocument/2006/custom-properties" xmlns:vt="http://schemas.openxmlformats.org/officeDocument/2006/docPropsVTypes"/>
</file>