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Calibri" w:cs="Calibri" w:eastAsia="Calibri" w:hAnsi="Calibri"/>
          <w:b/>
          <w:bCs/>
          <w:color w:val="2E6CB5"/>
          <w:spacing w:val="60"/>
          <w:sz w:val="32"/>
          <w:szCs w:val="32"/>
        </w:rPr>
        <w:t xml:space="preserve">CRM PLATFORM</w:t>
      </w:r>
    </w:p>
    <w:p>
      <w:pPr>
        <w:spacing w:after="500"/>
        <w:jc w:val="center"/>
      </w:pPr>
      <w:r>
        <w:rPr>
          <w:rFonts w:ascii="Calibri" w:cs="Calibri" w:eastAsia="Calibri" w:hAnsi="Calibri"/>
          <w:i/>
          <w:iCs/>
          <w:color w:val="5A6472"/>
          <w:sz w:val="22"/>
          <w:szCs w:val="22"/>
        </w:rPr>
        <w:t xml:space="preserve">Enterprise Field-Service CRM Suite</w:t>
      </w:r>
    </w:p>
    <w:p>
      <w:pPr>
        <w:pBdr>
          <w:top w:val="single" w:color="1F3A5F" w:sz="12" w:space="8"/>
          <w:bottom w:val="single" w:color="1F3A5F" w:sz="12" w:space="8"/>
        </w:pBdr>
        <w:spacing w:after="200" w:before="200"/>
        <w:jc w:val="center"/>
      </w:pPr>
      <w:r>
        <w:rPr>
          <w:rFonts w:ascii="Calibri" w:cs="Calibri" w:eastAsia="Calibri" w:hAnsi="Calibri"/>
          <w:b/>
          <w:bCs/>
          <w:color w:val="1F3A5F"/>
          <w:sz w:val="48"/>
          <w:szCs w:val="48"/>
        </w:rPr>
        <w:t xml:space="preserve">MATERIAL MANAGEMENT</w:t>
      </w:r>
    </w:p>
    <w:p>
      <w:pPr>
        <w:spacing w:after="700"/>
        <w:jc w:val="center"/>
      </w:pPr>
      <w:r>
        <w:rPr>
          <w:rFonts w:ascii="Calibri" w:cs="Calibri" w:eastAsia="Calibri" w:hAnsi="Calibri"/>
          <w:color w:val="5A6472"/>
          <w:sz w:val="24"/>
          <w:szCs w:val="24"/>
        </w:rPr>
        <w:t xml:space="preserve">Inventory, Requests &amp; Procurement — Requirements Spec</w:t>
      </w:r>
    </w:p>
    <w:p>
      <w:pPr>
        <w:jc w:val="center"/>
      </w:pPr>
      <w:tbl>
        <w:tblPr>
          <w:tblW w:type="dxa" w:w="6800"/>
          <w:tblBorders>
            <w:top w:val="single" w:color="C9D4E3" w:sz="4"/>
            <w:left w:val="single" w:color="C9D4E3" w:sz="4"/>
            <w:bottom w:val="single" w:color="C9D4E3" w:sz="4"/>
            <w:right w:val="single" w:color="C9D4E3" w:sz="4"/>
            <w:insideH w:val="single" w:color="C9D4E3" w:sz="4"/>
            <w:insideV w:val="single" w:color="C9D4E3" w:sz="4"/>
          </w:tblBorders>
        </w:tblPr>
        <w:tblGrid>
          <w:gridCol w:w="2600"/>
          <w:gridCol w:w="4200"/>
        </w:tblGrid>
        <w:tr>
          <w:trPr>
            <w:tblHeader/>
          </w:trPr>
          <w:tc>
            <w:tcPr>
              <w:tcW w:type="dxa" w:w="26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Attribute</w:t>
              </w:r>
            </w:p>
          </w:tc>
          <w:tc>
            <w:tcPr>
              <w:tcW w:type="dxa" w:w="4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Detail</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Document</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 Management — SRS</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Module</w:t>
              </w:r>
            </w:p>
          </w:tc>
          <w:tc>
            <w:tcPr>
              <w:tcW w:type="dxa" w:w="4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 Management (Module 6 of 8)</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Version</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1.0 — Draft for Review</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Date</w:t>
              </w:r>
            </w:p>
          </w:tc>
          <w:tc>
            <w:tcPr>
              <w:tcW w:type="dxa" w:w="4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31 January 2026</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Backend Stack</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Express.js (Node.js) + PostgreSQL</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Clients</w:t>
              </w:r>
            </w:p>
          </w:tc>
          <w:tc>
            <w:tcPr>
              <w:tcW w:type="dxa" w:w="4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Web Dashboard + Mobile App</w:t>
              </w:r>
            </w:p>
          </w:tc>
        </w:tr>
      </w:tbl>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1. Document Overview</w:t>
      </w:r>
    </w:p>
    <w:p>
      <w:pPr>
        <w:pStyle w:val="Heading2"/>
        <w:spacing w:after="100" w:before="240"/>
      </w:pPr>
      <w:r>
        <w:rPr>
          <w:rFonts w:ascii="Calibri" w:cs="Calibri" w:eastAsia="Calibri" w:hAnsi="Calibri"/>
          <w:b/>
          <w:bCs/>
          <w:color w:val="2E6CB5"/>
          <w:sz w:val="25"/>
          <w:szCs w:val="25"/>
        </w:rPr>
        <w:t xml:space="preserve">1.1 Purpose</w:t>
      </w:r>
    </w:p>
    <w:p>
      <w:pPr>
        <w:spacing w:after="100" w:line="276"/>
      </w:pPr>
      <w:r>
        <w:rPr>
          <w:rFonts w:ascii="Calibri" w:cs="Calibri" w:eastAsia="Calibri" w:hAnsi="Calibri"/>
          <w:color w:val="2B2B2B"/>
          <w:sz w:val="21"/>
          <w:szCs w:val="21"/>
        </w:rPr>
        <w:t xml:space="preserve">To manage stock and material flow across regional warehouses: what is on hand, what is reserved and issued to projects and service work, what must be procured, and how material moves between locations. It shares the product catalog with Sales and supplies AMC and Project work.</w:t>
      </w:r>
    </w:p>
    <w:p>
      <w:pPr>
        <w:pStyle w:val="Heading2"/>
        <w:spacing w:after="100" w:before="240"/>
      </w:pPr>
      <w:r>
        <w:rPr>
          <w:rFonts w:ascii="Calibri" w:cs="Calibri" w:eastAsia="Calibri" w:hAnsi="Calibri"/>
          <w:b/>
          <w:bCs/>
          <w:color w:val="2E6CB5"/>
          <w:sz w:val="25"/>
          <w:szCs w:val="25"/>
        </w:rPr>
        <w:t xml:space="preserve">1.2 Scope</w:t>
      </w:r>
    </w:p>
    <w:p>
      <w:pPr>
        <w:pStyle w:val="ListParagraph"/>
        <w:numPr>
          <w:ilvl w:val="0"/>
          <w:numId w:val="2"/>
        </w:numPr>
        <w:spacing w:after="60" w:line="268"/>
      </w:pPr>
      <w:r>
        <w:rPr>
          <w:rFonts w:ascii="Calibri" w:cs="Calibri" w:eastAsia="Calibri" w:hAnsi="Calibri"/>
          <w:color w:val="2B2B2B"/>
          <w:sz w:val="21"/>
          <w:szCs w:val="21"/>
        </w:rPr>
        <w:t xml:space="preserve">Shared product/material catalog (master data).</w:t>
      </w:r>
    </w:p>
    <w:p>
      <w:pPr>
        <w:pStyle w:val="ListParagraph"/>
        <w:numPr>
          <w:ilvl w:val="0"/>
          <w:numId w:val="2"/>
        </w:numPr>
        <w:spacing w:after="60" w:line="268"/>
      </w:pPr>
      <w:r>
        <w:rPr>
          <w:rFonts w:ascii="Calibri" w:cs="Calibri" w:eastAsia="Calibri" w:hAnsi="Calibri"/>
          <w:color w:val="2B2B2B"/>
          <w:sz w:val="21"/>
          <w:szCs w:val="21"/>
        </w:rPr>
        <w:t xml:space="preserve">Inventory per region / warehouse; stock in, out and transfer.</w:t>
      </w:r>
    </w:p>
    <w:p>
      <w:pPr>
        <w:pStyle w:val="ListParagraph"/>
        <w:numPr>
          <w:ilvl w:val="0"/>
          <w:numId w:val="2"/>
        </w:numPr>
        <w:spacing w:after="60" w:line="268"/>
      </w:pPr>
      <w:r>
        <w:rPr>
          <w:rFonts w:ascii="Calibri" w:cs="Calibri" w:eastAsia="Calibri" w:hAnsi="Calibri"/>
          <w:color w:val="2B2B2B"/>
          <w:sz w:val="21"/>
          <w:szCs w:val="21"/>
        </w:rPr>
        <w:t xml:space="preserve">Material requests and reservations from Task, Project and AMC.</w:t>
      </w:r>
    </w:p>
    <w:p>
      <w:pPr>
        <w:pStyle w:val="ListParagraph"/>
        <w:numPr>
          <w:ilvl w:val="0"/>
          <w:numId w:val="2"/>
        </w:numPr>
        <w:spacing w:after="60" w:line="268"/>
      </w:pPr>
      <w:r>
        <w:rPr>
          <w:rFonts w:ascii="Calibri" w:cs="Calibri" w:eastAsia="Calibri" w:hAnsi="Calibri"/>
          <w:color w:val="2B2B2B"/>
          <w:sz w:val="21"/>
          <w:szCs w:val="21"/>
        </w:rPr>
        <w:t xml:space="preserve">Procurement: purchase orders, goods receipt (GRN) and suppliers.</w:t>
      </w:r>
    </w:p>
    <w:p>
      <w:pPr>
        <w:pStyle w:val="ListParagraph"/>
        <w:numPr>
          <w:ilvl w:val="0"/>
          <w:numId w:val="2"/>
        </w:numPr>
        <w:spacing w:after="60" w:line="268"/>
      </w:pPr>
      <w:r>
        <w:rPr>
          <w:rFonts w:ascii="Calibri" w:cs="Calibri" w:eastAsia="Calibri" w:hAnsi="Calibri"/>
          <w:color w:val="2B2B2B"/>
          <w:sz w:val="21"/>
          <w:szCs w:val="21"/>
        </w:rPr>
        <w:t xml:space="preserve">Reorder alerts and stock reports.</w:t>
      </w:r>
    </w:p>
    <w:p>
      <w:pPr>
        <w:pStyle w:val="Heading2"/>
        <w:spacing w:after="100" w:before="240"/>
      </w:pPr>
      <w:r>
        <w:rPr>
          <w:rFonts w:ascii="Calibri" w:cs="Calibri" w:eastAsia="Calibri" w:hAnsi="Calibri"/>
          <w:b/>
          <w:bCs/>
          <w:color w:val="2E6CB5"/>
          <w:sz w:val="25"/>
          <w:szCs w:val="25"/>
        </w:rPr>
        <w:t xml:space="preserve">1.3 Out of Scope</w:t>
      </w:r>
    </w:p>
    <w:p>
      <w:pPr>
        <w:pStyle w:val="ListParagraph"/>
        <w:numPr>
          <w:ilvl w:val="0"/>
          <w:numId w:val="2"/>
        </w:numPr>
        <w:spacing w:after="60" w:line="268"/>
      </w:pPr>
      <w:r>
        <w:rPr>
          <w:rFonts w:ascii="Calibri" w:cs="Calibri" w:eastAsia="Calibri" w:hAnsi="Calibri"/>
          <w:color w:val="2B2B2B"/>
          <w:sz w:val="21"/>
          <w:szCs w:val="21"/>
        </w:rPr>
        <w:t xml:space="preserve">Pricing rules for quoting — owned by Sales (reads the shared catalog).</w:t>
      </w:r>
    </w:p>
    <w:p>
      <w:pPr>
        <w:pStyle w:val="ListParagraph"/>
        <w:numPr>
          <w:ilvl w:val="0"/>
          <w:numId w:val="2"/>
        </w:numPr>
        <w:spacing w:after="60" w:line="268"/>
      </w:pPr>
      <w:r>
        <w:rPr>
          <w:rFonts w:ascii="Calibri" w:cs="Calibri" w:eastAsia="Calibri" w:hAnsi="Calibri"/>
          <w:color w:val="2B2B2B"/>
          <w:sz w:val="21"/>
          <w:szCs w:val="21"/>
        </w:rPr>
        <w:t xml:space="preserve">Financial accounting / ledgers (integration point only).</w:t>
      </w:r>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Platform Architecture (Shared Foundation)</w:t>
      </w:r>
    </w:p>
    <w:p>
      <w:pPr>
        <w:spacing w:after="100" w:line="276"/>
      </w:pPr>
      <w:r>
        <w:rPr>
          <w:rFonts w:ascii="Calibri" w:cs="Calibri" w:eastAsia="Calibri" w:hAnsi="Calibri"/>
          <w:color w:val="2B2B2B"/>
          <w:sz w:val="21"/>
          <w:szCs w:val="21"/>
        </w:rPr>
        <w:t xml:space="preserve">This module runs on the common CRM platform defined in the Sales Module SRS (Section 5). The essentials, repeated here for standalone reading:</w:t>
      </w:r>
    </w:p>
    <w:p>
      <w:pPr>
        <w:pStyle w:val="ListParagraph"/>
        <w:numPr>
          <w:ilvl w:val="0"/>
          <w:numId w:val="2"/>
        </w:numPr>
        <w:spacing w:after="60" w:line="268"/>
      </w:pPr>
      <w:r>
        <w:rPr>
          <w:rFonts w:ascii="Calibri" w:cs="Calibri" w:eastAsia="Calibri" w:hAnsi="Calibri"/>
          <w:b/>
          <w:bCs/>
          <w:color w:val="2B2B2B"/>
          <w:sz w:val="21"/>
          <w:szCs w:val="21"/>
        </w:rPr>
        <w:t xml:space="preserve">Stack: </w:t>
      </w:r>
      <w:r>
        <w:rPr>
          <w:rFonts w:ascii="Calibri" w:cs="Calibri" w:eastAsia="Calibri" w:hAnsi="Calibri"/>
          <w:color w:val="2B2B2B"/>
          <w:sz w:val="21"/>
          <w:szCs w:val="21"/>
        </w:rPr>
        <w:t xml:space="preserve">Express.js on Node.js backend, PostgreSQL database, serving a Web dashboard and a Mobile app through one shared REST/JSON API.</w:t>
      </w:r>
    </w:p>
    <w:p>
      <w:pPr>
        <w:pStyle w:val="ListParagraph"/>
        <w:numPr>
          <w:ilvl w:val="0"/>
          <w:numId w:val="2"/>
        </w:numPr>
        <w:spacing w:after="60" w:line="268"/>
      </w:pPr>
      <w:r>
        <w:rPr>
          <w:rFonts w:ascii="Calibri" w:cs="Calibri" w:eastAsia="Calibri" w:hAnsi="Calibri"/>
          <w:b/>
          <w:bCs/>
          <w:color w:val="2B2B2B"/>
          <w:sz w:val="21"/>
          <w:szCs w:val="21"/>
        </w:rPr>
        <w:t xml:space="preserve">Modular by convention, service-ready: </w:t>
      </w:r>
      <w:r>
        <w:rPr>
          <w:rFonts w:ascii="Calibri" w:cs="Calibri" w:eastAsia="Calibri" w:hAnsi="Calibri"/>
          <w:color w:val="2B2B2B"/>
          <w:sz w:val="21"/>
          <w:szCs w:val="21"/>
        </w:rPr>
        <w:t xml:space="preserve">each module is its own folder (routes → controllers → services → repositories) that communicates only via service functions and a domain event emitter — never by touching another module's tables.</w:t>
      </w:r>
    </w:p>
    <w:p>
      <w:pPr>
        <w:pStyle w:val="ListParagraph"/>
        <w:numPr>
          <w:ilvl w:val="0"/>
          <w:numId w:val="2"/>
        </w:numPr>
        <w:spacing w:after="60" w:line="268"/>
      </w:pPr>
      <w:r>
        <w:rPr>
          <w:rFonts w:ascii="Calibri" w:cs="Calibri" w:eastAsia="Calibri" w:hAnsi="Calibri"/>
          <w:b/>
          <w:bCs/>
          <w:color w:val="2B2B2B"/>
          <w:sz w:val="21"/>
          <w:szCs w:val="21"/>
        </w:rPr>
        <w:t xml:space="preserve">Multi-region isolation: </w:t>
      </w:r>
      <w:r>
        <w:rPr>
          <w:rFonts w:ascii="Calibri" w:cs="Calibri" w:eastAsia="Calibri" w:hAnsi="Calibri"/>
          <w:color w:val="2B2B2B"/>
          <w:sz w:val="21"/>
          <w:szCs w:val="21"/>
        </w:rPr>
        <w:t xml:space="preserve">every business row carries a region_id; an Express middleware scopes queries and PostgreSQL Row-Level Security enforces it at the database. Super Admin can elevate across regions (audited).</w:t>
      </w:r>
    </w:p>
    <w:p>
      <w:pPr>
        <w:pStyle w:val="ListParagraph"/>
        <w:numPr>
          <w:ilvl w:val="0"/>
          <w:numId w:val="2"/>
        </w:numPr>
        <w:spacing w:after="60" w:line="268"/>
      </w:pPr>
      <w:r>
        <w:rPr>
          <w:rFonts w:ascii="Calibri" w:cs="Calibri" w:eastAsia="Calibri" w:hAnsi="Calibri"/>
          <w:b/>
          <w:bCs/>
          <w:color w:val="2B2B2B"/>
          <w:sz w:val="21"/>
          <w:szCs w:val="21"/>
        </w:rPr>
        <w:t xml:space="preserve">RBAC: </w:t>
      </w:r>
      <w:r>
        <w:rPr>
          <w:rFonts w:ascii="Calibri" w:cs="Calibri" w:eastAsia="Calibri" w:hAnsi="Calibri"/>
          <w:color w:val="2B2B2B"/>
          <w:sz w:val="21"/>
          <w:szCs w:val="21"/>
        </w:rPr>
        <w:t xml:space="preserve">access = role × region × ownership, enforced by Express middleware on each route.</w:t>
      </w:r>
    </w:p>
    <w:p>
      <w:pPr>
        <w:pStyle w:val="ListParagraph"/>
        <w:numPr>
          <w:ilvl w:val="0"/>
          <w:numId w:val="2"/>
        </w:numPr>
        <w:spacing w:after="60" w:line="268"/>
      </w:pPr>
      <w:r>
        <w:rPr>
          <w:rFonts w:ascii="Calibri" w:cs="Calibri" w:eastAsia="Calibri" w:hAnsi="Calibri"/>
          <w:b/>
          <w:bCs/>
          <w:color w:val="2B2B2B"/>
          <w:sz w:val="21"/>
          <w:szCs w:val="21"/>
        </w:rPr>
        <w:t xml:space="preserve">Audit: </w:t>
      </w:r>
      <w:r>
        <w:rPr>
          <w:rFonts w:ascii="Calibri" w:cs="Calibri" w:eastAsia="Calibri" w:hAnsi="Calibri"/>
          <w:color w:val="2B2B2B"/>
          <w:sz w:val="21"/>
          <w:szCs w:val="21"/>
        </w:rPr>
        <w:t xml:space="preserve">append-only activity logs; issued/closed records are immutable; no hard deletes.</w:t>
      </w:r>
    </w:p>
    <w:p>
      <w:pPr>
        <w:spacing w:after="100" w:line="276"/>
      </w:pPr>
      <w:r>
        <w:rPr>
          <w:rFonts w:ascii="Calibri" w:cs="Calibri" w:eastAsia="Calibri" w:hAnsi="Calibri"/>
          <w:b/>
          <w:bCs/>
          <w:color w:val="2B2B2B"/>
          <w:sz w:val="21"/>
          <w:szCs w:val="21"/>
        </w:rPr>
        <w:t xml:space="preserve">Catalog note: </w:t>
      </w:r>
      <w:r>
        <w:rPr>
          <w:rFonts w:ascii="Calibri" w:cs="Calibri" w:eastAsia="Calibri" w:hAnsi="Calibri"/>
          <w:color w:val="2B2B2B"/>
          <w:sz w:val="21"/>
          <w:szCs w:val="21"/>
        </w:rPr>
        <w:t xml:space="preserve">the product/material catalog is a single shared master (defined in the Sales SRS, Section 4.6). Material Management owns stock and movement; Sales owns commercial pricing. Both point at the same CatalogItem.</w:t>
      </w:r>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3. User Roles &amp; Permissions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500"/>
        <w:gridCol w:w="6260"/>
      </w:tblGrid>
      <w:tr>
        <w:trPr>
          <w:tblHeader/>
        </w:trPr>
        <w:tc>
          <w:tcPr>
            <w:tcW w:type="dxa" w:w="25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Role</w:t>
            </w:r>
          </w:p>
        </w:tc>
        <w:tc>
          <w:tcPr>
            <w:tcW w:type="dxa" w:w="62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Capability</w:t>
            </w:r>
          </w:p>
        </w:tc>
      </w:tr>
      <w:tr>
        <w:tc>
          <w:tcPr>
            <w:tcW w:type="dxa" w:w="25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Store Keeper / Inventory Officer</w:t>
            </w:r>
          </w:p>
        </w:tc>
        <w:tc>
          <w:tcPr>
            <w:tcW w:type="dxa" w:w="62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Record stock in/out, fulfil requests, run stock-takes, raise reorder.</w:t>
            </w:r>
          </w:p>
        </w:tc>
      </w:tr>
      <w:tr>
        <w:tc>
          <w:tcPr>
            <w:tcW w:type="dxa" w:w="25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Purchase Officer</w:t>
            </w:r>
          </w:p>
        </w:tc>
        <w:tc>
          <w:tcPr>
            <w:tcW w:type="dxa" w:w="62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Create purchase orders, manage suppliers, record GRN.</w:t>
            </w:r>
          </w:p>
        </w:tc>
      </w:tr>
      <w:tr>
        <w:tc>
          <w:tcPr>
            <w:tcW w:type="dxa" w:w="25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Field Engineer</w:t>
            </w:r>
          </w:p>
        </w:tc>
        <w:tc>
          <w:tcPr>
            <w:tcW w:type="dxa" w:w="62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Raise material requests from the field (mobile); confirm receipt.</w:t>
            </w:r>
          </w:p>
        </w:tc>
      </w:tr>
      <w:tr>
        <w:tc>
          <w:tcPr>
            <w:tcW w:type="dxa" w:w="25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Regional Admin</w:t>
            </w:r>
          </w:p>
        </w:tc>
        <w:tc>
          <w:tcPr>
            <w:tcW w:type="dxa" w:w="62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Approve POs/transfers, view regional stock, set reorder levels.</w:t>
            </w:r>
          </w:p>
        </w:tc>
      </w:tr>
      <w:tr>
        <w:tc>
          <w:tcPr>
            <w:tcW w:type="dxa" w:w="25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Super Admin</w:t>
            </w:r>
          </w:p>
        </w:tc>
        <w:tc>
          <w:tcPr>
            <w:tcW w:type="dxa" w:w="62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Cross-region stock visibility &amp; transfers, catalog governance.</w:t>
            </w:r>
          </w:p>
        </w:tc>
      </w:tr>
    </w:tbl>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4. Functional Requirements</w:t>
      </w:r>
    </w:p>
    <w:p>
      <w:pPr>
        <w:pStyle w:val="Heading2"/>
        <w:spacing w:after="100" w:before="240"/>
      </w:pPr>
      <w:r>
        <w:rPr>
          <w:rFonts w:ascii="Calibri" w:cs="Calibri" w:eastAsia="Calibri" w:hAnsi="Calibri"/>
          <w:b/>
          <w:bCs/>
          <w:color w:val="2E6CB5"/>
          <w:sz w:val="25"/>
          <w:szCs w:val="25"/>
        </w:rPr>
        <w:t xml:space="preserve">4.1 Catalog &amp; Warehouses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300"/>
        <w:gridCol w:w="7460"/>
      </w:tblGrid>
      <w:tr>
        <w:trPr>
          <w:tblHeader/>
        </w:trPr>
        <w:tc>
          <w:tcPr>
            <w:tcW w:type="dxa" w:w="13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74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MM-1.1</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Use the shared CatalogItem master (code, name, category, unit, tax class).</w:t>
            </w:r>
          </w:p>
        </w:tc>
      </w:tr>
      <w:tr>
        <w:tc>
          <w:tcPr>
            <w:tcW w:type="dxa" w:w="1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MM-1.2</w:t>
            </w:r>
          </w:p>
        </w:tc>
        <w:tc>
          <w:tcPr>
            <w:tcW w:type="dxa" w:w="7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Define warehouses/stores, each mapped to a region.</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MM-1.3</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Track stock-on-hand per item per warehouse, with unit of measure.</w:t>
            </w:r>
          </w:p>
        </w:tc>
      </w:tr>
      <w:tr>
        <w:tc>
          <w:tcPr>
            <w:tcW w:type="dxa" w:w="1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MM-1.4</w:t>
            </w:r>
          </w:p>
        </w:tc>
        <w:tc>
          <w:tcPr>
            <w:tcW w:type="dxa" w:w="7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Set min / reorder / max levels per item per warehouse.</w:t>
            </w:r>
          </w:p>
        </w:tc>
      </w:tr>
    </w:tbl>
    <w:p>
      <w:pPr>
        <w:pStyle w:val="Heading2"/>
        <w:spacing w:after="100" w:before="240"/>
      </w:pPr>
      <w:r>
        <w:rPr>
          <w:rFonts w:ascii="Calibri" w:cs="Calibri" w:eastAsia="Calibri" w:hAnsi="Calibri"/>
          <w:b/>
          <w:bCs/>
          <w:color w:val="2E6CB5"/>
          <w:sz w:val="25"/>
          <w:szCs w:val="25"/>
        </w:rPr>
        <w:t xml:space="preserve">4.2 Stock Movement</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300"/>
        <w:gridCol w:w="7460"/>
      </w:tblGrid>
      <w:tr>
        <w:trPr>
          <w:tblHeader/>
        </w:trPr>
        <w:tc>
          <w:tcPr>
            <w:tcW w:type="dxa" w:w="13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74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MM-2.1</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Stock In: from GRN, returns, or opening balance.</w:t>
            </w:r>
          </w:p>
        </w:tc>
      </w:tr>
      <w:tr>
        <w:tc>
          <w:tcPr>
            <w:tcW w:type="dxa" w:w="1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MM-2.2</w:t>
            </w:r>
          </w:p>
        </w:tc>
        <w:tc>
          <w:tcPr>
            <w:tcW w:type="dxa" w:w="7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Stock Out: issue against a material request (project/service/task).</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MM-2.3</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Stock Transfer: move stock between warehouses / regions (approval-gated).</w:t>
            </w:r>
          </w:p>
        </w:tc>
      </w:tr>
      <w:tr>
        <w:tc>
          <w:tcPr>
            <w:tcW w:type="dxa" w:w="1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MM-2.4</w:t>
            </w:r>
          </w:p>
        </w:tc>
        <w:tc>
          <w:tcPr>
            <w:tcW w:type="dxa" w:w="7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Every movement is a ledger entry — immutable, fully attributable (who/when/why).</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MM-2.5</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Periodic stock-take / physical count with variance adjustment (approved).</w:t>
            </w:r>
          </w:p>
        </w:tc>
      </w:tr>
    </w:tbl>
    <w:p>
      <w:pPr>
        <w:pStyle w:val="Heading2"/>
        <w:spacing w:after="100" w:before="240"/>
      </w:pPr>
      <w:r>
        <w:rPr>
          <w:rFonts w:ascii="Calibri" w:cs="Calibri" w:eastAsia="Calibri" w:hAnsi="Calibri"/>
          <w:b/>
          <w:bCs/>
          <w:color w:val="2E6CB5"/>
          <w:sz w:val="25"/>
          <w:szCs w:val="25"/>
        </w:rPr>
        <w:t xml:space="preserve">4.3 Material Requests &amp; Reservations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300"/>
        <w:gridCol w:w="7460"/>
      </w:tblGrid>
      <w:tr>
        <w:trPr>
          <w:tblHeader/>
        </w:trPr>
        <w:tc>
          <w:tcPr>
            <w:tcW w:type="dxa" w:w="13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74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MM-3.1</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Accept material requests originating from Task, Project (BOM) and AMC (spares).</w:t>
            </w:r>
          </w:p>
        </w:tc>
      </w:tr>
      <w:tr>
        <w:tc>
          <w:tcPr>
            <w:tcW w:type="dxa" w:w="1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MM-3.2</w:t>
            </w:r>
          </w:p>
        </w:tc>
        <w:tc>
          <w:tcPr>
            <w:tcW w:type="dxa" w:w="7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Request lifecycle: Raised → Approved → Reserved → Issued → Received / Partially-fulfilled.</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MM-3.3</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Reserve stock so it cannot be double-committed; release on cancellation.</w:t>
            </w:r>
          </w:p>
        </w:tc>
      </w:tr>
      <w:tr>
        <w:tc>
          <w:tcPr>
            <w:tcW w:type="dxa" w:w="1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MM-3.4</w:t>
            </w:r>
          </w:p>
        </w:tc>
        <w:tc>
          <w:tcPr>
            <w:tcW w:type="dxa" w:w="7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If stock is insufficient, flag shortfall and optionally trigger procurement.</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MM-3.5</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Advisory stock-availability check for Sales quotations (non-blocking).</w:t>
            </w:r>
          </w:p>
        </w:tc>
      </w:tr>
    </w:tbl>
    <w:p>
      <w:pPr>
        <w:pStyle w:val="Heading2"/>
        <w:spacing w:after="100" w:before="240"/>
      </w:pPr>
      <w:r>
        <w:rPr>
          <w:rFonts w:ascii="Calibri" w:cs="Calibri" w:eastAsia="Calibri" w:hAnsi="Calibri"/>
          <w:b/>
          <w:bCs/>
          <w:color w:val="2E6CB5"/>
          <w:sz w:val="25"/>
          <w:szCs w:val="25"/>
        </w:rPr>
        <w:t xml:space="preserve">4.4 Procurement</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300"/>
        <w:gridCol w:w="7460"/>
      </w:tblGrid>
      <w:tr>
        <w:trPr>
          <w:tblHeader/>
        </w:trPr>
        <w:tc>
          <w:tcPr>
            <w:tcW w:type="dxa" w:w="13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74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MM-4.1</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Maintain a supplier master (contact, terms, catalog items supplied).</w:t>
            </w:r>
          </w:p>
        </w:tc>
      </w:tr>
      <w:tr>
        <w:tc>
          <w:tcPr>
            <w:tcW w:type="dxa" w:w="1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MM-4.2</w:t>
            </w:r>
          </w:p>
        </w:tc>
        <w:tc>
          <w:tcPr>
            <w:tcW w:type="dxa" w:w="7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Create a Purchase Order (PO) manually or from a reorder/shortfall suggestion.</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MM-4.3</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PO approval workflow by value threshold (region-configurable).</w:t>
            </w:r>
          </w:p>
        </w:tc>
      </w:tr>
      <w:tr>
        <w:tc>
          <w:tcPr>
            <w:tcW w:type="dxa" w:w="1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MM-4.4</w:t>
            </w:r>
          </w:p>
        </w:tc>
        <w:tc>
          <w:tcPr>
            <w:tcW w:type="dxa" w:w="7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Record Goods Receipt (GRN) against a PO; part-receipts supported; stock auto-updated.</w:t>
            </w:r>
          </w:p>
        </w:tc>
      </w:tr>
      <w:tr>
        <w:tc>
          <w:tcPr>
            <w:tcW w:type="dxa" w:w="1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MM-4.5</w:t>
            </w:r>
          </w:p>
        </w:tc>
        <w:tc>
          <w:tcPr>
            <w:tcW w:type="dxa" w:w="7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Track PO status: Draft → Approved → Sent → Partially Received → Closed.</w:t>
            </w:r>
          </w:p>
        </w:tc>
      </w:tr>
    </w:tbl>
    <w:tbl>
      <w:tblPr>
        <w:tblW w:type="dxa" w:w="9360"/>
        <w:tblBorders>
          <w:top w:val="single" w:color="EAF1FA" w:sz="4"/>
          <w:left w:val="single" w:color="2E6CB5" w:sz="24"/>
          <w:bottom w:val="single" w:color="EAF1FA" w:sz="4"/>
          <w:right w:val="single" w:color="EAF1FA" w:sz="4"/>
          <w:insideH w:val="none"/>
          <w:insideV w:val="none"/>
        </w:tblBorders>
      </w:tblPr>
      <w:tblGrid>
        <w:gridCol w:w="9360"/>
      </w:tblGrid>
      <w:tr>
        <w:tc>
          <w:tcPr>
            <w:tcW w:type="dxa" w:w="9360"/>
            <w:shd w:fill="EAF1FA" w:color="auto" w:val="clear"/>
            <w:tcMar>
              <w:top w:type="dxa" w:w="120"/>
              <w:left w:type="dxa" w:w="160"/>
              <w:bottom w:type="dxa" w:w="120"/>
              <w:right w:type="dxa" w:w="140"/>
            </w:tcMar>
          </w:tcPr>
          <w:p>
            <w:pPr>
              <w:spacing w:after="40"/>
            </w:pPr>
            <w:r>
              <w:rPr>
                <w:rFonts w:ascii="Calibri" w:cs="Calibri" w:eastAsia="Calibri" w:hAnsi="Calibri"/>
                <w:b/>
                <w:bCs/>
                <w:color w:val="2E6CB5"/>
                <w:sz w:val="21"/>
                <w:szCs w:val="21"/>
              </w:rPr>
              <w:t xml:space="preserve">Reorder automation</w:t>
            </w:r>
          </w:p>
          <w:p>
            <w:pPr>
              <w:spacing w:after="20" w:line="260"/>
            </w:pPr>
            <w:r>
              <w:rPr>
                <w:rFonts w:ascii="Calibri" w:cs="Calibri" w:eastAsia="Calibri" w:hAnsi="Calibri"/>
                <w:color w:val="2B2B2B"/>
                <w:sz w:val="20"/>
                <w:szCs w:val="20"/>
              </w:rPr>
              <w:t xml:space="preserve">When stock-on-hand for an item falls at/below its reorder level, the system raises a reorder suggestion for the Purchase Officer — optionally auto-drafting a PO to the default supplier.</w:t>
            </w:r>
          </w:p>
        </w:tc>
      </w:tr>
    </w:tbl>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5. Core Data Model</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100"/>
        <w:gridCol w:w="6660"/>
      </w:tblGrid>
      <w:tr>
        <w:trPr>
          <w:tblHeader/>
        </w:trPr>
        <w:tc>
          <w:tcPr>
            <w:tcW w:type="dxa" w:w="21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8"/>
                <w:szCs w:val="18"/>
              </w:rPr>
              <w:t xml:space="preserve">Entity</w:t>
            </w:r>
          </w:p>
        </w:tc>
        <w:tc>
          <w:tcPr>
            <w:tcW w:type="dxa" w:w="66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8"/>
                <w:szCs w:val="18"/>
              </w:rPr>
              <w:t xml:space="preserve">Key Fields</w:t>
            </w:r>
          </w:p>
        </w:tc>
      </w:tr>
      <w:tr>
        <w:tc>
          <w:tcPr>
            <w:tcW w:type="dxa" w:w="21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Warehouse</w:t>
            </w:r>
          </w:p>
        </w:tc>
        <w:tc>
          <w:tcPr>
            <w:tcW w:type="dxa" w:w="66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name, region_id, location</w:t>
            </w:r>
          </w:p>
        </w:tc>
      </w:tr>
      <w:tr>
        <w:tc>
          <w:tcPr>
            <w:tcW w:type="dxa" w:w="21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StockLevel</w:t>
            </w:r>
          </w:p>
        </w:tc>
        <w:tc>
          <w:tcPr>
            <w:tcW w:type="dxa" w:w="66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warehouse_id, catalog_item_id, on_hand, reserved, reorder_level</w:t>
            </w:r>
          </w:p>
        </w:tc>
      </w:tr>
      <w:tr>
        <w:tc>
          <w:tcPr>
            <w:tcW w:type="dxa" w:w="21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StockMovement</w:t>
            </w:r>
          </w:p>
        </w:tc>
        <w:tc>
          <w:tcPr>
            <w:tcW w:type="dxa" w:w="66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type (in/out/transfer/adjust), item_id, from_wh, to_wh, qty, ref, actor, timestamp</w:t>
            </w:r>
          </w:p>
        </w:tc>
      </w:tr>
      <w:tr>
        <w:tc>
          <w:tcPr>
            <w:tcW w:type="dxa" w:w="21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MaterialRequest</w:t>
            </w:r>
          </w:p>
        </w:tc>
        <w:tc>
          <w:tcPr>
            <w:tcW w:type="dxa" w:w="66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source (task/project/amc), source_ref, status, region_id</w:t>
            </w:r>
          </w:p>
        </w:tc>
      </w:tr>
      <w:tr>
        <w:tc>
          <w:tcPr>
            <w:tcW w:type="dxa" w:w="21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MaterialRequestLine</w:t>
            </w:r>
          </w:p>
        </w:tc>
        <w:tc>
          <w:tcPr>
            <w:tcW w:type="dxa" w:w="66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request_id, item_id, qty_requested, qty_issued</w:t>
            </w:r>
          </w:p>
        </w:tc>
      </w:tr>
      <w:tr>
        <w:tc>
          <w:tcPr>
            <w:tcW w:type="dxa" w:w="21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Supplier</w:t>
            </w:r>
          </w:p>
        </w:tc>
        <w:tc>
          <w:tcPr>
            <w:tcW w:type="dxa" w:w="66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name, terms, contact, region_id</w:t>
            </w:r>
          </w:p>
        </w:tc>
      </w:tr>
      <w:tr>
        <w:tc>
          <w:tcPr>
            <w:tcW w:type="dxa" w:w="21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PurchaseOrder</w:t>
            </w:r>
          </w:p>
        </w:tc>
        <w:tc>
          <w:tcPr>
            <w:tcW w:type="dxa" w:w="66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supplier_id, status, value, warehouse_id, region_id</w:t>
            </w:r>
          </w:p>
        </w:tc>
      </w:tr>
      <w:tr>
        <w:tc>
          <w:tcPr>
            <w:tcW w:type="dxa" w:w="21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Grn</w:t>
            </w:r>
          </w:p>
        </w:tc>
        <w:tc>
          <w:tcPr>
            <w:tcW w:type="dxa" w:w="66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po_id, received_qty[], received_at</w:t>
            </w:r>
          </w:p>
        </w:tc>
      </w:tr>
    </w:tbl>
    <w:p>
      <w:pPr>
        <w:pStyle w:val="Heading1"/>
        <w:pBdr>
          <w:bottom w:val="single" w:color="2E6CB5" w:sz="10" w:space="4"/>
        </w:pBdr>
        <w:spacing w:after="140" w:before="320"/>
      </w:pPr>
      <w:r>
        <w:rPr>
          <w:rFonts w:ascii="Calibri" w:cs="Calibri" w:eastAsia="Calibri" w:hAnsi="Calibri"/>
          <w:b/>
          <w:bCs/>
          <w:color w:val="1F3A5F"/>
          <w:sz w:val="30"/>
          <w:szCs w:val="30"/>
        </w:rPr>
        <w:t xml:space="preserve">6. Integration &amp; Hand-offs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3200"/>
        <w:gridCol w:w="5560"/>
      </w:tblGrid>
      <w:tr>
        <w:trPr>
          <w:tblHeader/>
        </w:trPr>
        <w:tc>
          <w:tcPr>
            <w:tcW w:type="dxa" w:w="3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Interaction</w:t>
            </w:r>
          </w:p>
        </w:tc>
        <w:tc>
          <w:tcPr>
            <w:tcW w:type="dxa" w:w="5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Module</w:t>
            </w:r>
          </w:p>
        </w:tc>
      </w:tr>
      <w:tr>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Shares catalog master</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w:t>
            </w:r>
          </w:p>
        </w:tc>
      </w:tr>
      <w:tr>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Advisory stock check for quotes</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w:t>
            </w:r>
          </w:p>
        </w:tc>
      </w:tr>
      <w:tr>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Fulfils project BOM reservations</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Project</w:t>
            </w:r>
          </w:p>
        </w:tc>
      </w:tr>
      <w:tr>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Fulfils spare-part requests</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AMC Management</w:t>
            </w:r>
          </w:p>
        </w:tc>
      </w:tr>
      <w:tr>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Material-requirement tasks</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Task Management</w:t>
            </w:r>
          </w:p>
        </w:tc>
      </w:tr>
    </w:tbl>
    <w:p>
      <w:pPr>
        <w:pStyle w:val="Heading1"/>
        <w:pBdr>
          <w:bottom w:val="single" w:color="2E6CB5" w:sz="10" w:space="4"/>
        </w:pBdr>
        <w:spacing w:after="140" w:before="320"/>
      </w:pPr>
      <w:r>
        <w:rPr>
          <w:rFonts w:ascii="Calibri" w:cs="Calibri" w:eastAsia="Calibri" w:hAnsi="Calibri"/>
          <w:b/>
          <w:bCs/>
          <w:color w:val="1F3A5F"/>
          <w:sz w:val="30"/>
          <w:szCs w:val="30"/>
        </w:rPr>
        <w:t xml:space="preserve">7. Reports &amp; Notifications</w:t>
      </w:r>
    </w:p>
    <w:p>
      <w:pPr>
        <w:pStyle w:val="ListParagraph"/>
        <w:numPr>
          <w:ilvl w:val="0"/>
          <w:numId w:val="2"/>
        </w:numPr>
        <w:spacing w:after="60" w:line="268"/>
      </w:pPr>
      <w:r>
        <w:rPr>
          <w:rFonts w:ascii="Calibri" w:cs="Calibri" w:eastAsia="Calibri" w:hAnsi="Calibri"/>
          <w:color w:val="2B2B2B"/>
          <w:sz w:val="21"/>
          <w:szCs w:val="21"/>
        </w:rPr>
        <w:t xml:space="preserve">Stock-on-hand and valuation per warehouse / region.</w:t>
      </w:r>
    </w:p>
    <w:p>
      <w:pPr>
        <w:pStyle w:val="ListParagraph"/>
        <w:numPr>
          <w:ilvl w:val="0"/>
          <w:numId w:val="2"/>
        </w:numPr>
        <w:spacing w:after="60" w:line="268"/>
      </w:pPr>
      <w:r>
        <w:rPr>
          <w:rFonts w:ascii="Calibri" w:cs="Calibri" w:eastAsia="Calibri" w:hAnsi="Calibri"/>
          <w:color w:val="2B2B2B"/>
          <w:sz w:val="21"/>
          <w:szCs w:val="21"/>
        </w:rPr>
        <w:t xml:space="preserve">Fast/slow-moving and below-reorder items.</w:t>
      </w:r>
    </w:p>
    <w:p>
      <w:pPr>
        <w:pStyle w:val="ListParagraph"/>
        <w:numPr>
          <w:ilvl w:val="0"/>
          <w:numId w:val="2"/>
        </w:numPr>
        <w:spacing w:after="60" w:line="268"/>
      </w:pPr>
      <w:r>
        <w:rPr>
          <w:rFonts w:ascii="Calibri" w:cs="Calibri" w:eastAsia="Calibri" w:hAnsi="Calibri"/>
          <w:color w:val="2B2B2B"/>
          <w:sz w:val="21"/>
          <w:szCs w:val="21"/>
        </w:rPr>
        <w:t xml:space="preserve">Material consumption by project / service.</w:t>
      </w:r>
    </w:p>
    <w:p>
      <w:pPr>
        <w:pStyle w:val="ListParagraph"/>
        <w:numPr>
          <w:ilvl w:val="0"/>
          <w:numId w:val="2"/>
        </w:numPr>
        <w:spacing w:after="60" w:line="268"/>
      </w:pPr>
      <w:r>
        <w:rPr>
          <w:rFonts w:ascii="Calibri" w:cs="Calibri" w:eastAsia="Calibri" w:hAnsi="Calibri"/>
          <w:color w:val="2B2B2B"/>
          <w:sz w:val="21"/>
          <w:szCs w:val="21"/>
        </w:rPr>
        <w:t xml:space="preserve">PO status and pending GRNs.</w:t>
      </w:r>
    </w:p>
    <w:p>
      <w:pPr>
        <w:pStyle w:val="ListParagraph"/>
        <w:numPr>
          <w:ilvl w:val="0"/>
          <w:numId w:val="2"/>
        </w:numPr>
        <w:spacing w:after="60" w:line="268"/>
      </w:pPr>
      <w:r>
        <w:rPr>
          <w:rFonts w:ascii="Calibri" w:cs="Calibri" w:eastAsia="Calibri" w:hAnsi="Calibri"/>
          <w:color w:val="2B2B2B"/>
          <w:sz w:val="21"/>
          <w:szCs w:val="21"/>
        </w:rPr>
        <w:t xml:space="preserve">Notifications: low-stock alert, request awaiting approval, PO received, transfer approval.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3" w:sz="6" w:space="4"/>
      </w:pBdr>
      <w:spacing w:before="40"/>
      <w:jc w:val="center"/>
    </w:pPr>
    <w:r>
      <w:rPr>
        <w:rFonts w:ascii="Calibri" w:cs="Calibri" w:eastAsia="Calibri" w:hAnsi="Calibri"/>
        <w:color w:val="5A6472"/>
        <w:sz w:val="16"/>
        <w:szCs w:val="16"/>
      </w:rPr>
      <w:t xml:space="preserve">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3" w:sz="6" w:space="4"/>
      </w:pBdr>
      <w:spacing w:after="60"/>
    </w:pPr>
    <w:r>
      <w:rPr>
        <w:rFonts w:ascii="Calibri" w:cs="Calibri" w:eastAsia="Calibri" w:hAnsi="Calibri"/>
        <w:color w:val="5A6472"/>
        <w:sz w:val="16"/>
        <w:szCs w:val="16"/>
      </w:rPr>
      <w:t xml:space="preserve">CRM Platform  ·  Material Management SRS</w:t>
    </w:r>
    <w:r>
      <w:ptab w:alignment="right" w:relativeTo="margin" w:leader="none"/>
    </w:r>
    <w:r>
      <w:rPr>
        <w:rFonts w:ascii="Calibri" w:cs="Calibri" w:eastAsia="Calibri" w:hAnsi="Calibri"/>
        <w:color w:val="5A6472"/>
        <w:sz w:val="16"/>
        <w:szCs w:val="16"/>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6CB5"/>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Management — SRS</dc:title>
  <dc:creator>CRM Platform Team</dc:creator>
  <cp:lastModifiedBy>Un-named</cp:lastModifiedBy>
  <cp:revision>1</cp:revision>
  <dcterms:created xsi:type="dcterms:W3CDTF">2026-07-20T07:32:14.454Z</dcterms:created>
  <dcterms:modified xsi:type="dcterms:W3CDTF">2026-07-20T07:32:14.454Z</dcterms:modified>
</cp:coreProperties>
</file>

<file path=docProps/custom.xml><?xml version="1.0" encoding="utf-8"?>
<Properties xmlns="http://schemas.openxmlformats.org/officeDocument/2006/custom-properties" xmlns:vt="http://schemas.openxmlformats.org/officeDocument/2006/docPropsVTypes"/>
</file>