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Calibri" w:cs="Calibri" w:eastAsia="Calibri" w:hAnsi="Calibri"/>
          <w:b/>
          <w:bCs/>
          <w:color w:val="2E6CB5"/>
          <w:spacing w:val="60"/>
          <w:sz w:val="32"/>
          <w:szCs w:val="32"/>
        </w:rPr>
        <w:t xml:space="preserve">CRM PLATFORM</w:t>
      </w:r>
    </w:p>
    <w:p>
      <w:pPr>
        <w:spacing w:after="500"/>
        <w:jc w:val="center"/>
      </w:pPr>
      <w:r>
        <w:rPr>
          <w:rFonts w:ascii="Calibri" w:cs="Calibri" w:eastAsia="Calibri" w:hAnsi="Calibri"/>
          <w:i/>
          <w:iCs/>
          <w:color w:val="5A6472"/>
          <w:sz w:val="22"/>
          <w:szCs w:val="22"/>
        </w:rPr>
        <w:t xml:space="preserve">Enterprise Field-Service CRM Suite</w:t>
      </w:r>
    </w:p>
    <w:p>
      <w:pPr>
        <w:pBdr>
          <w:top w:val="single" w:color="1F3A5F" w:sz="12" w:space="8"/>
          <w:bottom w:val="single" w:color="1F3A5F" w:sz="12" w:space="8"/>
        </w:pBdr>
        <w:spacing w:after="200" w:before="200"/>
        <w:jc w:val="center"/>
      </w:pPr>
      <w:r>
        <w:rPr>
          <w:rFonts w:ascii="Calibri" w:cs="Calibri" w:eastAsia="Calibri" w:hAnsi="Calibri"/>
          <w:b/>
          <w:bCs/>
          <w:color w:val="1F3A5F"/>
          <w:sz w:val="56"/>
          <w:szCs w:val="56"/>
        </w:rPr>
        <w:t xml:space="preserve">SALES MODULE</w:t>
      </w:r>
    </w:p>
    <w:p>
      <w:pPr>
        <w:spacing w:after="700"/>
        <w:jc w:val="center"/>
      </w:pPr>
      <w:r>
        <w:rPr>
          <w:rFonts w:ascii="Calibri" w:cs="Calibri" w:eastAsia="Calibri" w:hAnsi="Calibri"/>
          <w:color w:val="5A6472"/>
          <w:sz w:val="26"/>
          <w:szCs w:val="26"/>
        </w:rPr>
        <w:t xml:space="preserve">Requirements &amp; Architecture Specification</w:t>
      </w:r>
    </w:p>
    <w:p>
      <w:pPr>
        <w:spacing w:after="40"/>
        <w:jc w:val="center"/>
      </w:pPr>
      <w:r>
        <w:t xml:space="preserve"/>
      </w:r>
    </w:p>
    <w:p>
      <w:pPr>
        <w:jc w:val="center"/>
      </w:pPr>
      <w:tbl>
        <w:tblPr>
          <w:tblW w:type="dxa" w:w="6800"/>
          <w:tblBorders>
            <w:top w:val="single" w:color="C9D4E3" w:sz="4"/>
            <w:left w:val="single" w:color="C9D4E3" w:sz="4"/>
            <w:bottom w:val="single" w:color="C9D4E3" w:sz="4"/>
            <w:right w:val="single" w:color="C9D4E3" w:sz="4"/>
            <w:insideH w:val="single" w:color="C9D4E3" w:sz="4"/>
            <w:insideV w:val="single" w:color="C9D4E3" w:sz="4"/>
          </w:tblBorders>
        </w:tblPr>
        <w:tblGrid>
          <w:gridCol w:w="2600"/>
          <w:gridCol w:w="4200"/>
        </w:tblGrid>
        <w:tr>
          <w:trPr>
            <w:tblHeader/>
          </w:trPr>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Attribute</w:t>
              </w:r>
            </w:p>
          </w:tc>
          <w:tc>
            <w:tcPr>
              <w:tcW w:type="dxa" w:w="4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Detail</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Document</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 Module — Software Requirements Specification (SRS)</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Module</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 (Module 1 of 8)</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Version</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1.0 — Draft for Review</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Date</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31 January 2026</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Backend Stack</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Express.js (Node.js) + PostgreSQL</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Clients</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Web Dashboard + Mobile App (Android/iOS)</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Status</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Baseline</w:t>
              </w:r>
            </w:p>
          </w:tc>
        </w:tr>
      </w:tbl>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1. Document Overview</w:t>
      </w:r>
    </w:p>
    <w:p>
      <w:pPr>
        <w:pStyle w:val="Heading2"/>
        <w:spacing w:after="100" w:before="240"/>
      </w:pPr>
      <w:r>
        <w:rPr>
          <w:rFonts w:ascii="Calibri" w:cs="Calibri" w:eastAsia="Calibri" w:hAnsi="Calibri"/>
          <w:b/>
          <w:bCs/>
          <w:color w:val="2E6CB5"/>
          <w:sz w:val="25"/>
          <w:szCs w:val="25"/>
        </w:rPr>
        <w:t xml:space="preserve">1.1 Purpose</w:t>
      </w:r>
    </w:p>
    <w:p>
      <w:pPr>
        <w:spacing w:after="100" w:line="276"/>
      </w:pPr>
      <w:r>
        <w:rPr>
          <w:rFonts w:ascii="Calibri" w:cs="Calibri" w:eastAsia="Calibri" w:hAnsi="Calibri"/>
          <w:color w:val="2B2B2B"/>
          <w:sz w:val="21"/>
          <w:szCs w:val="21"/>
        </w:rPr>
        <w:t xml:space="preserve">This document defines the functional and non-functional requirements for the Sales Module of the CRM Platform. The Sales Module is the commercial front-end of the CRM — it captures every business opportunity from first enquiry through to a won deal, and hands the resulting work (installations, AMC contracts, material needs) to the operational modules of the platform.</w:t>
      </w:r>
    </w:p>
    <w:p>
      <w:pPr>
        <w:spacing w:after="100" w:line="276"/>
      </w:pPr>
      <w:r>
        <w:rPr>
          <w:rFonts w:ascii="Calibri" w:cs="Calibri" w:eastAsia="Calibri" w:hAnsi="Calibri"/>
          <w:color w:val="2B2B2B"/>
          <w:sz w:val="21"/>
          <w:szCs w:val="21"/>
        </w:rPr>
        <w:t xml:space="preserve">It is written to serve three audiences at once: business stakeholders who validate scope, backend engineers who implement the Express.js/PostgreSQL services, and front-end teams building the Web and Mobile clients.</w:t>
      </w:r>
    </w:p>
    <w:p>
      <w:pPr>
        <w:pStyle w:val="Heading2"/>
        <w:spacing w:after="100" w:before="240"/>
      </w:pPr>
      <w:r>
        <w:rPr>
          <w:rFonts w:ascii="Calibri" w:cs="Calibri" w:eastAsia="Calibri" w:hAnsi="Calibri"/>
          <w:b/>
          <w:bCs/>
          <w:color w:val="2E6CB5"/>
          <w:sz w:val="25"/>
          <w:szCs w:val="25"/>
        </w:rPr>
        <w:t xml:space="preserve">1.2 Scope</w:t>
      </w:r>
    </w:p>
    <w:p>
      <w:pPr>
        <w:spacing w:after="100" w:line="276"/>
      </w:pPr>
      <w:r>
        <w:rPr>
          <w:rFonts w:ascii="Calibri" w:cs="Calibri" w:eastAsia="Calibri" w:hAnsi="Calibri"/>
          <w:color w:val="2B2B2B"/>
          <w:sz w:val="21"/>
          <w:szCs w:val="21"/>
        </w:rPr>
        <w:t xml:space="preserve">The Sales Module covers four commercial workstreams selected for this build:</w:t>
      </w:r>
    </w:p>
    <w:p>
      <w:pPr>
        <w:pStyle w:val="ListParagraph"/>
        <w:numPr>
          <w:ilvl w:val="0"/>
          <w:numId w:val="2"/>
        </w:numPr>
        <w:spacing w:after="60" w:line="268"/>
      </w:pPr>
      <w:r>
        <w:rPr>
          <w:rFonts w:ascii="Calibri" w:cs="Calibri" w:eastAsia="Calibri" w:hAnsi="Calibri"/>
          <w:b/>
          <w:bCs/>
          <w:color w:val="2B2B2B"/>
          <w:sz w:val="21"/>
          <w:szCs w:val="21"/>
        </w:rPr>
        <w:t xml:space="preserve">Lead &amp; Enquiry Management</w:t>
      </w:r>
      <w:r>
        <w:rPr>
          <w:rFonts w:ascii="Calibri" w:cs="Calibri" w:eastAsia="Calibri" w:hAnsi="Calibri"/>
          <w:color w:val="2B2B2B"/>
          <w:sz w:val="21"/>
          <w:szCs w:val="21"/>
        </w:rPr>
        <w:t xml:space="preserve"> — capturing, qualifying and nurturing prospects.</w:t>
      </w:r>
    </w:p>
    <w:p>
      <w:pPr>
        <w:pStyle w:val="ListParagraph"/>
        <w:numPr>
          <w:ilvl w:val="0"/>
          <w:numId w:val="2"/>
        </w:numPr>
        <w:spacing w:after="60" w:line="268"/>
      </w:pPr>
      <w:r>
        <w:rPr>
          <w:rFonts w:ascii="Calibri" w:cs="Calibri" w:eastAsia="Calibri" w:hAnsi="Calibri"/>
          <w:b/>
          <w:bCs/>
          <w:color w:val="2B2B2B"/>
          <w:sz w:val="21"/>
          <w:szCs w:val="21"/>
        </w:rPr>
        <w:t xml:space="preserve">Quotation Management</w:t>
      </w:r>
      <w:r>
        <w:rPr>
          <w:rFonts w:ascii="Calibri" w:cs="Calibri" w:eastAsia="Calibri" w:hAnsi="Calibri"/>
          <w:color w:val="2B2B2B"/>
          <w:sz w:val="21"/>
          <w:szCs w:val="21"/>
        </w:rPr>
        <w:t xml:space="preserve"> — building, versioning, approving and issuing quotations.</w:t>
      </w:r>
    </w:p>
    <w:p>
      <w:pPr>
        <w:pStyle w:val="ListParagraph"/>
        <w:numPr>
          <w:ilvl w:val="0"/>
          <w:numId w:val="2"/>
        </w:numPr>
        <w:spacing w:after="60" w:line="268"/>
      </w:pPr>
      <w:r>
        <w:rPr>
          <w:rFonts w:ascii="Calibri" w:cs="Calibri" w:eastAsia="Calibri" w:hAnsi="Calibri"/>
          <w:b/>
          <w:bCs/>
          <w:color w:val="2B2B2B"/>
          <w:sz w:val="21"/>
          <w:szCs w:val="21"/>
        </w:rPr>
        <w:t xml:space="preserve">AMC Contract Sales &amp; Renewals</w:t>
      </w:r>
      <w:r>
        <w:rPr>
          <w:rFonts w:ascii="Calibri" w:cs="Calibri" w:eastAsia="Calibri" w:hAnsi="Calibri"/>
          <w:color w:val="2B2B2B"/>
          <w:sz w:val="21"/>
          <w:szCs w:val="21"/>
        </w:rPr>
        <w:t xml:space="preserve"> — selling and renewing Annual Maintenance Contracts.</w:t>
      </w:r>
    </w:p>
    <w:p>
      <w:pPr>
        <w:pStyle w:val="ListParagraph"/>
        <w:numPr>
          <w:ilvl w:val="0"/>
          <w:numId w:val="2"/>
        </w:numPr>
        <w:spacing w:after="60" w:line="268"/>
      </w:pPr>
      <w:r>
        <w:rPr>
          <w:rFonts w:ascii="Calibri" w:cs="Calibri" w:eastAsia="Calibri" w:hAnsi="Calibri"/>
          <w:b/>
          <w:bCs/>
          <w:color w:val="2B2B2B"/>
          <w:sz w:val="21"/>
          <w:szCs w:val="21"/>
        </w:rPr>
        <w:t xml:space="preserve">New Installation Project Sales</w:t>
      </w:r>
      <w:r>
        <w:rPr>
          <w:rFonts w:ascii="Calibri" w:cs="Calibri" w:eastAsia="Calibri" w:hAnsi="Calibri"/>
          <w:color w:val="2B2B2B"/>
          <w:sz w:val="21"/>
          <w:szCs w:val="21"/>
        </w:rPr>
        <w:t xml:space="preserve"> — quoting and winning new system installation projects.</w:t>
      </w:r>
    </w:p>
    <w:p>
      <w:pPr>
        <w:pStyle w:val="ListParagraph"/>
        <w:numPr>
          <w:ilvl w:val="0"/>
          <w:numId w:val="2"/>
        </w:numPr>
        <w:spacing w:after="60" w:line="268"/>
      </w:pPr>
      <w:r>
        <w:rPr>
          <w:rFonts w:ascii="Calibri" w:cs="Calibri" w:eastAsia="Calibri" w:hAnsi="Calibri"/>
          <w:b/>
          <w:bCs/>
          <w:color w:val="2B2B2B"/>
          <w:sz w:val="21"/>
          <w:szCs w:val="21"/>
        </w:rPr>
        <w:t xml:space="preserve">Product / Material Catalog &amp; Pricing</w:t>
      </w:r>
      <w:r>
        <w:rPr>
          <w:rFonts w:ascii="Calibri" w:cs="Calibri" w:eastAsia="Calibri" w:hAnsi="Calibri"/>
          <w:color w:val="2B2B2B"/>
          <w:sz w:val="21"/>
          <w:szCs w:val="21"/>
        </w:rPr>
        <w:t xml:space="preserve"> — the master catalog and price rules that quotations draw from.</w:t>
      </w:r>
    </w:p>
    <w:p>
      <w:pPr>
        <w:pStyle w:val="Heading2"/>
        <w:spacing w:after="100" w:before="240"/>
      </w:pPr>
      <w:r>
        <w:rPr>
          <w:rFonts w:ascii="Calibri" w:cs="Calibri" w:eastAsia="Calibri" w:hAnsi="Calibri"/>
          <w:b/>
          <w:bCs/>
          <w:color w:val="2E6CB5"/>
          <w:sz w:val="25"/>
          <w:szCs w:val="25"/>
        </w:rPr>
        <w:t xml:space="preserve">1.3 Out of Scope (Handled by Other Modules)</w:t>
      </w:r>
    </w:p>
    <w:p>
      <w:pPr>
        <w:spacing w:after="100" w:line="276"/>
      </w:pPr>
      <w:r>
        <w:rPr>
          <w:rFonts w:ascii="Calibri" w:cs="Calibri" w:eastAsia="Calibri" w:hAnsi="Calibri"/>
          <w:color w:val="2B2B2B"/>
          <w:sz w:val="21"/>
          <w:szCs w:val="21"/>
        </w:rPr>
        <w:t xml:space="preserve">The Sales Module creates records and triggers downstream work, but does not execute it. The following are owned elsewhere and integrated via defined hand-off points (see Section 8):</w:t>
      </w:r>
    </w:p>
    <w:p>
      <w:pPr>
        <w:pStyle w:val="ListParagraph"/>
        <w:numPr>
          <w:ilvl w:val="0"/>
          <w:numId w:val="2"/>
        </w:numPr>
        <w:spacing w:after="60" w:line="268"/>
      </w:pPr>
      <w:r>
        <w:rPr>
          <w:rFonts w:ascii="Calibri" w:cs="Calibri" w:eastAsia="Calibri" w:hAnsi="Calibri"/>
          <w:color w:val="2B2B2B"/>
          <w:sz w:val="21"/>
          <w:szCs w:val="21"/>
        </w:rPr>
        <w:t xml:space="preserve">Task assignment and field execution — Task Management Module.</w:t>
      </w:r>
    </w:p>
    <w:p>
      <w:pPr>
        <w:pStyle w:val="ListParagraph"/>
        <w:numPr>
          <w:ilvl w:val="0"/>
          <w:numId w:val="2"/>
        </w:numPr>
        <w:spacing w:after="60" w:line="268"/>
      </w:pPr>
      <w:r>
        <w:rPr>
          <w:rFonts w:ascii="Calibri" w:cs="Calibri" w:eastAsia="Calibri" w:hAnsi="Calibri"/>
          <w:color w:val="2B2B2B"/>
          <w:sz w:val="21"/>
          <w:szCs w:val="21"/>
        </w:rPr>
        <w:t xml:space="preserve">Service ticket lifecycle after an AMC is live — AMC Management Module.</w:t>
      </w:r>
    </w:p>
    <w:p>
      <w:pPr>
        <w:pStyle w:val="ListParagraph"/>
        <w:numPr>
          <w:ilvl w:val="0"/>
          <w:numId w:val="2"/>
        </w:numPr>
        <w:spacing w:after="60" w:line="268"/>
      </w:pPr>
      <w:r>
        <w:rPr>
          <w:rFonts w:ascii="Calibri" w:cs="Calibri" w:eastAsia="Calibri" w:hAnsi="Calibri"/>
          <w:color w:val="2B2B2B"/>
          <w:sz w:val="21"/>
          <w:szCs w:val="21"/>
        </w:rPr>
        <w:t xml:space="preserve">Installation delivery and site work — Project / New Installation Module.</w:t>
      </w:r>
    </w:p>
    <w:p>
      <w:pPr>
        <w:pStyle w:val="ListParagraph"/>
        <w:numPr>
          <w:ilvl w:val="0"/>
          <w:numId w:val="2"/>
        </w:numPr>
        <w:spacing w:after="60" w:line="268"/>
      </w:pPr>
      <w:r>
        <w:rPr>
          <w:rFonts w:ascii="Calibri" w:cs="Calibri" w:eastAsia="Calibri" w:hAnsi="Calibri"/>
          <w:color w:val="2B2B2B"/>
          <w:sz w:val="21"/>
          <w:szCs w:val="21"/>
        </w:rPr>
        <w:t xml:space="preserve">Stock movement and procurement — Material Management Module.</w:t>
      </w:r>
    </w:p>
    <w:p>
      <w:pPr>
        <w:pStyle w:val="ListParagraph"/>
        <w:numPr>
          <w:ilvl w:val="0"/>
          <w:numId w:val="2"/>
        </w:numPr>
        <w:spacing w:after="60" w:line="268"/>
      </w:pPr>
      <w:r>
        <w:rPr>
          <w:rFonts w:ascii="Calibri" w:cs="Calibri" w:eastAsia="Calibri" w:hAnsi="Calibri"/>
          <w:color w:val="2B2B2B"/>
          <w:sz w:val="21"/>
          <w:szCs w:val="21"/>
        </w:rPr>
        <w:t xml:space="preserve">Field-engineer attendance — Attendance Module.</w:t>
      </w:r>
    </w:p>
    <w:p>
      <w:pPr>
        <w:pStyle w:val="Heading2"/>
        <w:spacing w:after="100" w:before="240"/>
      </w:pPr>
      <w:r>
        <w:rPr>
          <w:rFonts w:ascii="Calibri" w:cs="Calibri" w:eastAsia="Calibri" w:hAnsi="Calibri"/>
          <w:b/>
          <w:bCs/>
          <w:color w:val="2E6CB5"/>
          <w:sz w:val="25"/>
          <w:szCs w:val="25"/>
        </w:rPr>
        <w:t xml:space="preserve">1.4 Definitions &amp; Abbreviations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000"/>
        <w:gridCol w:w="6760"/>
      </w:tblGrid>
      <w:tr>
        <w:trPr>
          <w:tblHeader/>
        </w:trPr>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Term</w:t>
            </w:r>
          </w:p>
        </w:tc>
        <w:tc>
          <w:tcPr>
            <w:tcW w:type="dxa" w:w="67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Meaning</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Lead</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An unqualified expression of interest from a potential customer.</w:t>
            </w:r>
          </w:p>
        </w:tc>
      </w:tr>
      <w:tr>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Enquiry</w:t>
            </w:r>
          </w:p>
        </w:tc>
        <w:tc>
          <w:tcPr>
            <w:tcW w:type="dxa" w:w="6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 specific request for pricing or service, usually tied to a product/site.</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Opportunity</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 qualified lead actively being pursued through the sales pipeline.</w:t>
            </w:r>
          </w:p>
        </w:tc>
      </w:tr>
      <w:tr>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Quotation</w:t>
            </w:r>
          </w:p>
        </w:tc>
        <w:tc>
          <w:tcPr>
            <w:tcW w:type="dxa" w:w="6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 formal, versioned price offer issued to a customer.</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Annual Maintenance Contract — recurring service agreement.</w:t>
            </w:r>
          </w:p>
        </w:tc>
      </w:tr>
      <w:tr>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RBAC</w:t>
            </w:r>
          </w:p>
        </w:tc>
        <w:tc>
          <w:tcPr>
            <w:tcW w:type="dxa" w:w="6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Role-Based Access Control.</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Region</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 geographic business unit (e.g. GGN, DL) with its own Admin.</w:t>
            </w:r>
          </w:p>
        </w:tc>
      </w:tr>
      <w:tr>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SRS</w:t>
            </w:r>
          </w:p>
        </w:tc>
        <w:tc>
          <w:tcPr>
            <w:tcW w:type="dxa" w:w="6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Software Requirements Specification (this document).</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2. System Context</w:t>
      </w:r>
    </w:p>
    <w:p>
      <w:pPr>
        <w:spacing w:after="100" w:line="276"/>
      </w:pPr>
      <w:r>
        <w:rPr>
          <w:rFonts w:ascii="Calibri" w:cs="Calibri" w:eastAsia="Calibri" w:hAnsi="Calibri"/>
          <w:color w:val="2B2B2B"/>
          <w:sz w:val="21"/>
          <w:szCs w:val="21"/>
        </w:rPr>
        <w:t xml:space="preserve">The CRM is a modular platform. The Sales Module sits at the front of the value chain: it converts demand into committed work and feeds four downstream modules.</w:t>
      </w:r>
    </w:p>
    <w:p>
      <w:pPr>
        <w:pStyle w:val="Heading2"/>
        <w:spacing w:after="100" w:before="240"/>
      </w:pPr>
      <w:r>
        <w:rPr>
          <w:rFonts w:ascii="Calibri" w:cs="Calibri" w:eastAsia="Calibri" w:hAnsi="Calibri"/>
          <w:b/>
          <w:bCs/>
          <w:color w:val="2E6CB5"/>
          <w:sz w:val="25"/>
          <w:szCs w:val="25"/>
        </w:rPr>
        <w:t xml:space="preserve">2.1 Where Sales Fits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300"/>
        <w:gridCol w:w="3300"/>
        <w:gridCol w:w="3160"/>
      </w:tblGrid>
      <w:tr>
        <w:trPr>
          <w:tblHeader/>
        </w:trPr>
        <w:tc>
          <w:tcPr>
            <w:tcW w:type="dxa" w:w="23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Stage</w:t>
            </w:r>
          </w:p>
        </w:tc>
        <w:tc>
          <w:tcPr>
            <w:tcW w:type="dxa" w:w="33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Sales Module Action</w:t>
            </w:r>
          </w:p>
        </w:tc>
        <w:tc>
          <w:tcPr>
            <w:tcW w:type="dxa" w:w="31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Hands Off To</w:t>
            </w:r>
          </w:p>
        </w:tc>
      </w:tr>
      <w:tr>
        <w:tc>
          <w:tcPr>
            <w:tcW w:type="dxa" w:w="2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Demand</w:t>
            </w:r>
          </w:p>
        </w:tc>
        <w:tc>
          <w:tcPr>
            <w:tcW w:type="dxa" w:w="3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Capture lead / enquiry</w:t>
            </w:r>
          </w:p>
        </w:tc>
        <w:tc>
          <w:tcPr>
            <w:tcW w:type="dxa" w:w="3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t>
            </w:r>
          </w:p>
        </w:tc>
      </w:tr>
      <w:tr>
        <w:tc>
          <w:tcPr>
            <w:tcW w:type="dxa" w:w="2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Qualify</w:t>
            </w:r>
          </w:p>
        </w:tc>
        <w:tc>
          <w:tcPr>
            <w:tcW w:type="dxa" w:w="3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Convert to opportunity, assign owner</w:t>
            </w:r>
          </w:p>
        </w:tc>
        <w:tc>
          <w:tcPr>
            <w:tcW w:type="dxa" w:w="3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t>
            </w:r>
          </w:p>
        </w:tc>
      </w:tr>
      <w:tr>
        <w:tc>
          <w:tcPr>
            <w:tcW w:type="dxa" w:w="2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Offer</w:t>
            </w:r>
          </w:p>
        </w:tc>
        <w:tc>
          <w:tcPr>
            <w:tcW w:type="dxa" w:w="3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Build &amp; issue quotation from catalog</w:t>
            </w:r>
          </w:p>
        </w:tc>
        <w:tc>
          <w:tcPr>
            <w:tcW w:type="dxa" w:w="3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(stock check)</w:t>
            </w:r>
          </w:p>
        </w:tc>
      </w:tr>
      <w:tr>
        <w:tc>
          <w:tcPr>
            <w:tcW w:type="dxa" w:w="2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Win — Installation</w:t>
            </w:r>
          </w:p>
        </w:tc>
        <w:tc>
          <w:tcPr>
            <w:tcW w:type="dxa" w:w="3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Mark opportunity Won → create Project</w:t>
            </w:r>
          </w:p>
        </w:tc>
        <w:tc>
          <w:tcPr>
            <w:tcW w:type="dxa" w:w="3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 Module</w:t>
            </w:r>
          </w:p>
        </w:tc>
      </w:tr>
      <w:tr>
        <w:tc>
          <w:tcPr>
            <w:tcW w:type="dxa" w:w="2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Win — AMC</w:t>
            </w:r>
          </w:p>
        </w:tc>
        <w:tc>
          <w:tcPr>
            <w:tcW w:type="dxa" w:w="33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 renew AMC contract</w:t>
            </w:r>
          </w:p>
        </w:tc>
        <w:tc>
          <w:tcPr>
            <w:tcW w:type="dxa" w:w="3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Management Module</w:t>
            </w:r>
          </w:p>
        </w:tc>
      </w:tr>
      <w:tr>
        <w:tc>
          <w:tcPr>
            <w:tcW w:type="dxa" w:w="2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Execute</w:t>
            </w:r>
          </w:p>
        </w:tc>
        <w:tc>
          <w:tcPr>
            <w:tcW w:type="dxa" w:w="33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 stays read-only observer</w:t>
            </w:r>
          </w:p>
        </w:tc>
        <w:tc>
          <w:tcPr>
            <w:tcW w:type="dxa" w:w="3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Management Module</w:t>
            </w:r>
          </w:p>
        </w:tc>
      </w:tr>
    </w:tbl>
    <w:p>
      <w:pPr>
        <w:pStyle w:val="Heading2"/>
        <w:spacing w:after="100" w:before="240"/>
      </w:pPr>
      <w:r>
        <w:rPr>
          <w:rFonts w:ascii="Calibri" w:cs="Calibri" w:eastAsia="Calibri" w:hAnsi="Calibri"/>
          <w:b/>
          <w:bCs/>
          <w:color w:val="2E6CB5"/>
          <w:sz w:val="25"/>
          <w:szCs w:val="25"/>
        </w:rPr>
        <w:t xml:space="preserve">2.2 Guiding Principles</w:t>
      </w:r>
    </w:p>
    <w:p>
      <w:pPr>
        <w:pStyle w:val="ListParagraph"/>
        <w:numPr>
          <w:ilvl w:val="0"/>
          <w:numId w:val="2"/>
        </w:numPr>
        <w:spacing w:after="60" w:line="268"/>
      </w:pPr>
      <w:r>
        <w:rPr>
          <w:rFonts w:ascii="Calibri" w:cs="Calibri" w:eastAsia="Calibri" w:hAnsi="Calibri"/>
          <w:b/>
          <w:bCs/>
          <w:color w:val="2B2B2B"/>
          <w:sz w:val="21"/>
          <w:szCs w:val="21"/>
        </w:rPr>
        <w:t xml:space="preserve">Region-aware by design. </w:t>
      </w:r>
      <w:r>
        <w:rPr>
          <w:rFonts w:ascii="Calibri" w:cs="Calibri" w:eastAsia="Calibri" w:hAnsi="Calibri"/>
          <w:color w:val="2B2B2B"/>
          <w:sz w:val="21"/>
          <w:szCs w:val="21"/>
        </w:rPr>
        <w:t xml:space="preserve">Every record is stamped with a Region; users only see data for their region unless explicitly elevated.</w:t>
      </w:r>
    </w:p>
    <w:p>
      <w:pPr>
        <w:pStyle w:val="ListParagraph"/>
        <w:numPr>
          <w:ilvl w:val="0"/>
          <w:numId w:val="2"/>
        </w:numPr>
        <w:spacing w:after="60" w:line="268"/>
      </w:pPr>
      <w:r>
        <w:rPr>
          <w:rFonts w:ascii="Calibri" w:cs="Calibri" w:eastAsia="Calibri" w:hAnsi="Calibri"/>
          <w:b/>
          <w:bCs/>
          <w:color w:val="2B2B2B"/>
          <w:sz w:val="21"/>
          <w:szCs w:val="21"/>
        </w:rPr>
        <w:t xml:space="preserve">Single source of truth. </w:t>
      </w:r>
      <w:r>
        <w:rPr>
          <w:rFonts w:ascii="Calibri" w:cs="Calibri" w:eastAsia="Calibri" w:hAnsi="Calibri"/>
          <w:color w:val="2B2B2B"/>
          <w:sz w:val="21"/>
          <w:szCs w:val="21"/>
        </w:rPr>
        <w:t xml:space="preserve">Customers, catalog and pricing are shared master data — never duplicated per module.</w:t>
      </w:r>
    </w:p>
    <w:p>
      <w:pPr>
        <w:pStyle w:val="ListParagraph"/>
        <w:numPr>
          <w:ilvl w:val="0"/>
          <w:numId w:val="2"/>
        </w:numPr>
        <w:spacing w:after="60" w:line="268"/>
      </w:pPr>
      <w:r>
        <w:rPr>
          <w:rFonts w:ascii="Calibri" w:cs="Calibri" w:eastAsia="Calibri" w:hAnsi="Calibri"/>
          <w:b/>
          <w:bCs/>
          <w:color w:val="2B2B2B"/>
          <w:sz w:val="21"/>
          <w:szCs w:val="21"/>
        </w:rPr>
        <w:t xml:space="preserve">Immutable audit trail. </w:t>
      </w:r>
      <w:r>
        <w:rPr>
          <w:rFonts w:ascii="Calibri" w:cs="Calibri" w:eastAsia="Calibri" w:hAnsi="Calibri"/>
          <w:color w:val="2B2B2B"/>
          <w:sz w:val="21"/>
          <w:szCs w:val="21"/>
        </w:rPr>
        <w:t xml:space="preserve">Consistent with the Task Module, issued quotations and status changes are versioned, never silently overwritten.</w:t>
      </w:r>
    </w:p>
    <w:p>
      <w:pPr>
        <w:pStyle w:val="ListParagraph"/>
        <w:numPr>
          <w:ilvl w:val="0"/>
          <w:numId w:val="2"/>
        </w:numPr>
        <w:spacing w:after="60" w:line="268"/>
      </w:pPr>
      <w:r>
        <w:rPr>
          <w:rFonts w:ascii="Calibri" w:cs="Calibri" w:eastAsia="Calibri" w:hAnsi="Calibri"/>
          <w:b/>
          <w:bCs/>
          <w:color w:val="2B2B2B"/>
          <w:sz w:val="21"/>
          <w:szCs w:val="21"/>
        </w:rPr>
        <w:t xml:space="preserve">API-first. </w:t>
      </w:r>
      <w:r>
        <w:rPr>
          <w:rFonts w:ascii="Calibri" w:cs="Calibri" w:eastAsia="Calibri" w:hAnsi="Calibri"/>
          <w:color w:val="2B2B2B"/>
          <w:sz w:val="21"/>
          <w:szCs w:val="21"/>
        </w:rPr>
        <w:t xml:space="preserve">Web and Mobile consume the same REST/JSON API; no client-specific business logic.</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3. User Roles, Hierarchy &amp; Permissions</w:t>
      </w:r>
    </w:p>
    <w:p>
      <w:pPr>
        <w:spacing w:after="100" w:line="276"/>
      </w:pPr>
      <w:r>
        <w:rPr>
          <w:rFonts w:ascii="Calibri" w:cs="Calibri" w:eastAsia="Calibri" w:hAnsi="Calibri"/>
          <w:color w:val="2B2B2B"/>
          <w:sz w:val="21"/>
          <w:szCs w:val="21"/>
        </w:rPr>
        <w:t xml:space="preserve">The platform uses a multi-region role hierarchy. Access is controlled by RBAC scoped to a user's region (and optionally branch).</w:t>
      </w:r>
    </w:p>
    <w:p>
      <w:pPr>
        <w:pStyle w:val="Heading2"/>
        <w:spacing w:after="100" w:before="240"/>
      </w:pPr>
      <w:r>
        <w:rPr>
          <w:rFonts w:ascii="Calibri" w:cs="Calibri" w:eastAsia="Calibri" w:hAnsi="Calibri"/>
          <w:b/>
          <w:bCs/>
          <w:color w:val="2E6CB5"/>
          <w:sz w:val="25"/>
          <w:szCs w:val="25"/>
        </w:rPr>
        <w:t xml:space="preserve">3.1 Role Hierarchy</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050"/>
        <w:gridCol w:w="3050"/>
        <w:gridCol w:w="3660"/>
      </w:tblGrid>
      <w:tr>
        <w:trPr>
          <w:tblHeader/>
        </w:trPr>
        <w:tc>
          <w:tcPr>
            <w:tcW w:type="dxa" w:w="205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Role</w:t>
            </w:r>
          </w:p>
        </w:tc>
        <w:tc>
          <w:tcPr>
            <w:tcW w:type="dxa" w:w="305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Scope</w:t>
            </w:r>
          </w:p>
        </w:tc>
        <w:tc>
          <w:tcPr>
            <w:tcW w:type="dxa" w:w="36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Core Responsibility</w:t>
            </w:r>
          </w:p>
        </w:tc>
      </w:tr>
      <w:tr>
        <w:tc>
          <w:tcPr>
            <w:tcW w:type="dxa" w:w="2050"/>
            <w:shd w:fill="FFFFFF" w:color="auto" w:val="clear"/>
            <w:tcMar>
              <w:top w:type="dxa" w:w="55"/>
              <w:left w:type="dxa" w:w="90"/>
              <w:bottom w:type="dxa" w:w="55"/>
              <w:right w:type="dxa" w:w="90"/>
            </w:tcMar>
          </w:tcPr>
          <w:p>
            <w:pPr>
              <w:spacing w:after="20" w:line="250"/>
            </w:pPr>
            <w:r>
              <w:rPr>
                <w:rFonts w:ascii="Calibri" w:cs="Calibri" w:eastAsia="Calibri" w:hAnsi="Calibri"/>
                <w:b/>
                <w:bCs/>
                <w:color w:val="1F3A5F"/>
                <w:sz w:val="19"/>
                <w:szCs w:val="19"/>
              </w:rPr>
              <w:t xml:space="preserve">Super Admin</w:t>
            </w:r>
          </w:p>
        </w:tc>
        <w:tc>
          <w:tcPr>
            <w:tcW w:type="dxa" w:w="305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Entire CRM, all regions</w:t>
            </w:r>
          </w:p>
        </w:tc>
        <w:tc>
          <w:tcPr>
            <w:tcW w:type="dxa" w:w="3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Configure platform, create regions &amp; Regional Admins, global reports, master catalog governance.</w:t>
            </w:r>
          </w:p>
        </w:tc>
      </w:tr>
      <w:tr>
        <w:tc>
          <w:tcPr>
            <w:tcW w:type="dxa" w:w="2050"/>
            <w:shd w:fill="F5F8FC" w:color="auto" w:val="clear"/>
            <w:tcMar>
              <w:top w:type="dxa" w:w="55"/>
              <w:left w:type="dxa" w:w="90"/>
              <w:bottom w:type="dxa" w:w="55"/>
              <w:right w:type="dxa" w:w="90"/>
            </w:tcMar>
          </w:tcPr>
          <w:p>
            <w:pPr>
              <w:spacing w:after="20" w:line="250"/>
            </w:pPr>
            <w:r>
              <w:rPr>
                <w:rFonts w:ascii="Calibri" w:cs="Calibri" w:eastAsia="Calibri" w:hAnsi="Calibri"/>
                <w:b/>
                <w:bCs/>
                <w:color w:val="1F3A5F"/>
                <w:sz w:val="19"/>
                <w:szCs w:val="19"/>
              </w:rPr>
              <w:t xml:space="preserve">Regional Admin</w:t>
            </w:r>
          </w:p>
        </w:tc>
        <w:tc>
          <w:tcPr>
            <w:tcW w:type="dxa" w:w="305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One region (e.g. GGN, DL)</w:t>
            </w:r>
          </w:p>
        </w:tc>
        <w:tc>
          <w:tcPr>
            <w:tcW w:type="dxa" w:w="36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Manage all modules &amp; users within the region, approve high-value quotes, regional targets.</w:t>
            </w:r>
          </w:p>
        </w:tc>
      </w:tr>
      <w:tr>
        <w:tc>
          <w:tcPr>
            <w:tcW w:type="dxa" w:w="2050"/>
            <w:shd w:fill="FFFFFF" w:color="auto" w:val="clear"/>
            <w:tcMar>
              <w:top w:type="dxa" w:w="55"/>
              <w:left w:type="dxa" w:w="90"/>
              <w:bottom w:type="dxa" w:w="55"/>
              <w:right w:type="dxa" w:w="90"/>
            </w:tcMar>
          </w:tcPr>
          <w:p>
            <w:pPr>
              <w:spacing w:after="20" w:line="250"/>
            </w:pPr>
            <w:r>
              <w:rPr>
                <w:rFonts w:ascii="Calibri" w:cs="Calibri" w:eastAsia="Calibri" w:hAnsi="Calibri"/>
                <w:b/>
                <w:bCs/>
                <w:color w:val="2E6CB5"/>
                <w:sz w:val="19"/>
                <w:szCs w:val="19"/>
              </w:rPr>
              <w:t xml:space="preserve">Sales Manager</w:t>
            </w:r>
          </w:p>
        </w:tc>
        <w:tc>
          <w:tcPr>
            <w:tcW w:type="dxa" w:w="305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One team within a region</w:t>
            </w:r>
          </w:p>
        </w:tc>
        <w:tc>
          <w:tcPr>
            <w:tcW w:type="dxa" w:w="3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Assign/reassign opportunities, approve standard quotes, monitor team pipeline &amp; targets.</w:t>
            </w:r>
          </w:p>
        </w:tc>
      </w:tr>
      <w:tr>
        <w:tc>
          <w:tcPr>
            <w:tcW w:type="dxa" w:w="2050"/>
            <w:shd w:fill="F5F8FC" w:color="auto" w:val="clear"/>
            <w:tcMar>
              <w:top w:type="dxa" w:w="55"/>
              <w:left w:type="dxa" w:w="90"/>
              <w:bottom w:type="dxa" w:w="55"/>
              <w:right w:type="dxa" w:w="90"/>
            </w:tcMar>
          </w:tcPr>
          <w:p>
            <w:pPr>
              <w:spacing w:after="20" w:line="250"/>
            </w:pPr>
            <w:r>
              <w:rPr>
                <w:rFonts w:ascii="Calibri" w:cs="Calibri" w:eastAsia="Calibri" w:hAnsi="Calibri"/>
                <w:b/>
                <w:bCs/>
                <w:color w:val="2E6CB5"/>
                <w:sz w:val="19"/>
                <w:szCs w:val="19"/>
              </w:rPr>
              <w:t xml:space="preserve">Sales Executive</w:t>
            </w:r>
          </w:p>
        </w:tc>
        <w:tc>
          <w:tcPr>
            <w:tcW w:type="dxa" w:w="305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Own leads/opportunities</w:t>
            </w:r>
          </w:p>
        </w:tc>
        <w:tc>
          <w:tcPr>
            <w:tcW w:type="dxa" w:w="36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leads, build quotations, follow up, close deals (via Web or Mobile).</w:t>
            </w:r>
          </w:p>
        </w:tc>
      </w:tr>
      <w:tr>
        <w:tc>
          <w:tcPr>
            <w:tcW w:type="dxa" w:w="2050"/>
            <w:shd w:fill="FFFFFF" w:color="auto" w:val="clear"/>
            <w:tcMar>
              <w:top w:type="dxa" w:w="55"/>
              <w:left w:type="dxa" w:w="90"/>
              <w:bottom w:type="dxa" w:w="55"/>
              <w:right w:type="dxa" w:w="90"/>
            </w:tcMar>
          </w:tcPr>
          <w:p>
            <w:pPr>
              <w:spacing w:after="20" w:line="250"/>
            </w:pPr>
            <w:r>
              <w:rPr>
                <w:rFonts w:ascii="Calibri" w:cs="Calibri" w:eastAsia="Calibri" w:hAnsi="Calibri"/>
                <w:color w:val="5A6472"/>
                <w:sz w:val="19"/>
                <w:szCs w:val="19"/>
              </w:rPr>
              <w:t xml:space="preserve">Read-Only / Auditor</w:t>
            </w:r>
          </w:p>
        </w:tc>
        <w:tc>
          <w:tcPr>
            <w:tcW w:type="dxa" w:w="305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Assigned scope</w:t>
            </w:r>
          </w:p>
        </w:tc>
        <w:tc>
          <w:tcPr>
            <w:tcW w:type="dxa" w:w="36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View pipeline, quotations and reports; no edits (finance/audit).</w:t>
            </w:r>
          </w:p>
        </w:tc>
      </w:tr>
    </w:tbl>
    <w:p>
      <w:pPr>
        <w:spacing w:after="60" w:line="276"/>
      </w:pPr>
      <w:r>
        <w:rPr>
          <w:rFonts w:ascii="Calibri" w:cs="Calibri" w:eastAsia="Calibri" w:hAnsi="Calibri"/>
          <w:b/>
          <w:bCs/>
          <w:color w:val="2B2B2B"/>
          <w:sz w:val="21"/>
          <w:szCs w:val="21"/>
        </w:rPr>
        <w:t xml:space="preserve">Note: </w:t>
      </w:r>
      <w:r>
        <w:rPr>
          <w:rFonts w:ascii="Calibri" w:cs="Calibri" w:eastAsia="Calibri" w:hAnsi="Calibri"/>
          <w:color w:val="2B2B2B"/>
          <w:sz w:val="21"/>
          <w:szCs w:val="21"/>
        </w:rPr>
        <w:t xml:space="preserve">Roles are additive to region scope. A Sales Manager in GGN cannot see DL data unless granted a cross-region role by the Super Admin.</w:t>
      </w:r>
    </w:p>
    <w:p>
      <w:pPr>
        <w:pStyle w:val="Heading2"/>
        <w:spacing w:after="100" w:before="240"/>
      </w:pPr>
      <w:r>
        <w:rPr>
          <w:rFonts w:ascii="Calibri" w:cs="Calibri" w:eastAsia="Calibri" w:hAnsi="Calibri"/>
          <w:b/>
          <w:bCs/>
          <w:color w:val="2E6CB5"/>
          <w:sz w:val="25"/>
          <w:szCs w:val="25"/>
        </w:rPr>
        <w:t xml:space="preserve">3.2 Permission Matrix (Sales Module)</w:t>
      </w:r>
    </w:p>
    <w:p>
      <w:pPr>
        <w:spacing w:after="60" w:line="276"/>
      </w:pPr>
      <w:r>
        <w:rPr>
          <w:rFonts w:ascii="Calibri" w:cs="Calibri" w:eastAsia="Calibri" w:hAnsi="Calibri"/>
          <w:color w:val="2B2B2B"/>
          <w:sz w:val="21"/>
          <w:szCs w:val="21"/>
        </w:rPr>
        <w:t xml:space="preserve">Legend: ✔ full · V view-only · A approve · ✘ none</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3260"/>
        <w:gridCol w:w="1360"/>
        <w:gridCol w:w="1360"/>
        <w:gridCol w:w="1360"/>
        <w:gridCol w:w="1420"/>
      </w:tblGrid>
      <w:tr>
        <w:trPr>
          <w:tblHeader/>
        </w:trPr>
        <w:tc>
          <w:tcPr>
            <w:tcW w:type="dxa" w:w="32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Capability</w:t>
            </w:r>
          </w:p>
        </w:tc>
        <w:tc>
          <w:tcPr>
            <w:tcW w:type="dxa" w:w="13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Super Admin</w:t>
            </w:r>
          </w:p>
        </w:tc>
        <w:tc>
          <w:tcPr>
            <w:tcW w:type="dxa" w:w="13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Reg. Admin</w:t>
            </w:r>
          </w:p>
        </w:tc>
        <w:tc>
          <w:tcPr>
            <w:tcW w:type="dxa" w:w="13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Sales Mgr</w:t>
            </w:r>
          </w:p>
        </w:tc>
        <w:tc>
          <w:tcPr>
            <w:tcW w:type="dxa" w:w="142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Sales Exec</w:t>
            </w:r>
          </w:p>
        </w:tc>
      </w:tr>
      <w:tr>
        <w:tc>
          <w:tcPr>
            <w:tcW w:type="dxa" w:w="3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Configure regions / roles</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Manage master catalog &amp; price rules</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A</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Create / edit leads &amp; opportunities</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 (own)</w:t>
            </w:r>
          </w:p>
        </w:tc>
      </w:tr>
      <w:tr>
        <w:tc>
          <w:tcPr>
            <w:tcW w:type="dxa" w:w="3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Reassign opportunity owner</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 (team)</w:t>
            </w:r>
          </w:p>
        </w:tc>
        <w:tc>
          <w:tcPr>
            <w:tcW w:type="dxa" w:w="142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Build quotation</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Approve quotation (within limit)</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A</w:t>
            </w:r>
          </w:p>
        </w:tc>
        <w:tc>
          <w:tcPr>
            <w:tcW w:type="dxa" w:w="142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Approve high-value / discount override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A</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Convert Won → Project / AMC</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 (own)</w:t>
            </w:r>
          </w:p>
        </w:tc>
      </w:tr>
      <w:tr>
        <w:tc>
          <w:tcPr>
            <w:tcW w:type="dxa" w:w="32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View cross-region reports</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42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r>
      <w:tr>
        <w:tc>
          <w:tcPr>
            <w:tcW w:type="dxa" w:w="32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View regional reports</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w:t>
            </w:r>
          </w:p>
        </w:tc>
        <w:tc>
          <w:tcPr>
            <w:tcW w:type="dxa" w:w="1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V (team)</w:t>
            </w:r>
          </w:p>
        </w:tc>
        <w:tc>
          <w:tcPr>
            <w:tcW w:type="dxa" w:w="142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V (own)</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4. Functional Requirements</w:t>
      </w:r>
    </w:p>
    <w:p>
      <w:pPr>
        <w:spacing w:after="100" w:line="276"/>
      </w:pPr>
      <w:r>
        <w:rPr>
          <w:rFonts w:ascii="Calibri" w:cs="Calibri" w:eastAsia="Calibri" w:hAnsi="Calibri"/>
          <w:color w:val="2B2B2B"/>
          <w:sz w:val="21"/>
          <w:szCs w:val="21"/>
        </w:rPr>
        <w:t xml:space="preserve">Requirements are grouped by sub-module. Each carries an ID (SM-x.y) for traceability into design, build and test.</w:t>
      </w:r>
    </w:p>
    <w:p>
      <w:pPr>
        <w:pStyle w:val="Heading2"/>
        <w:spacing w:after="100" w:before="240"/>
      </w:pPr>
      <w:r>
        <w:rPr>
          <w:rFonts w:ascii="Calibri" w:cs="Calibri" w:eastAsia="Calibri" w:hAnsi="Calibri"/>
          <w:b/>
          <w:bCs/>
          <w:color w:val="2E6CB5"/>
          <w:sz w:val="25"/>
          <w:szCs w:val="25"/>
        </w:rPr>
        <w:t xml:space="preserve">4.1 Lead &amp; Enquiry Management</w:t>
      </w:r>
    </w:p>
    <w:p>
      <w:pPr>
        <w:pStyle w:val="Heading3"/>
        <w:spacing w:after="80" w:before="180"/>
      </w:pPr>
      <w:r>
        <w:rPr>
          <w:rFonts w:ascii="Calibri" w:cs="Calibri" w:eastAsia="Calibri" w:hAnsi="Calibri"/>
          <w:b/>
          <w:bCs/>
          <w:color w:val="5A6472"/>
          <w:sz w:val="22"/>
          <w:szCs w:val="22"/>
        </w:rPr>
        <w:t xml:space="preserve">4.1.1 Capture</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5560"/>
        <w:gridCol w:w="20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Priority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SM-1.1</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Capture leads from multiple sources: manual entry, web form, phone-in, referral, existing customer.</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SM-1.2</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Each lead records: name, company, contact (phone/email), source, region, product interest, notes.</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SM-1.3</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Auto-generate a unique Lead Reference number (region-prefixed, e.g. GGN-L-000123).</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SM-1.4</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Auto-assign region from the creating user; Super/Regional Admin may override.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SM-1.5</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Detect duplicate leads by phone/email and warn before saving.</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SM-1.6</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Attach files to a lead (PDF / image), consistent with Task Module attachment support.</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bl>
    <w:p>
      <w:pPr>
        <w:pStyle w:val="Heading3"/>
        <w:spacing w:after="80" w:before="180"/>
      </w:pPr>
      <w:r>
        <w:rPr>
          <w:rFonts w:ascii="Calibri" w:cs="Calibri" w:eastAsia="Calibri" w:hAnsi="Calibri"/>
          <w:b/>
          <w:bCs/>
          <w:color w:val="5A6472"/>
          <w:sz w:val="22"/>
          <w:szCs w:val="22"/>
        </w:rPr>
        <w:t xml:space="preserve">4.1.2 Qualification &amp; Assignment</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5560"/>
        <w:gridCol w:w="20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Priority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SM-1.7</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Qualify a lead into an Opportunity, capturing estimated value, expected close date and deal type (Installation / AMC / Product).</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SM-1.8</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 / reassign opportunity owner within the region (Manager &amp; above).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SM-1.9</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Log every follow-up (call, meeting, email) with timestamp and next action date.</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SM-1.10</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Set reminders for next follow-up; surface due follow-ups on dashboard and mobile.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SM-1.11</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Mark a lead Lost with mandatory reason (price, competitor, no budget, no response, other).</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bl>
    <w:p>
      <w:pPr>
        <w:pStyle w:val="Heading2"/>
        <w:spacing w:after="100" w:before="240"/>
      </w:pPr>
      <w:r>
        <w:rPr>
          <w:rFonts w:ascii="Calibri" w:cs="Calibri" w:eastAsia="Calibri" w:hAnsi="Calibri"/>
          <w:b/>
          <w:bCs/>
          <w:color w:val="2E6CB5"/>
          <w:sz w:val="25"/>
          <w:szCs w:val="25"/>
        </w:rPr>
        <w:t xml:space="preserve">4.2 Sales Pipeline &amp; Stages</w:t>
      </w:r>
    </w:p>
    <w:p>
      <w:pPr>
        <w:spacing w:after="100" w:line="276"/>
      </w:pPr>
      <w:r>
        <w:rPr>
          <w:rFonts w:ascii="Calibri" w:cs="Calibri" w:eastAsia="Calibri" w:hAnsi="Calibri"/>
          <w:color w:val="2B2B2B"/>
          <w:sz w:val="21"/>
          <w:szCs w:val="21"/>
        </w:rPr>
        <w:t xml:space="preserve">Opportunities move through a configurable pipeline. Default stages: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550"/>
        <w:gridCol w:w="4610"/>
        <w:gridCol w:w="2600"/>
      </w:tblGrid>
      <w:tr>
        <w:trPr>
          <w:tblHeader/>
        </w:trPr>
        <w:tc>
          <w:tcPr>
            <w:tcW w:type="dxa" w:w="155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Stage</w:t>
            </w:r>
          </w:p>
        </w:tc>
        <w:tc>
          <w:tcPr>
            <w:tcW w:type="dxa" w:w="461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Meaning</w:t>
            </w:r>
          </w:p>
        </w:tc>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Exit Condition</w:t>
            </w:r>
          </w:p>
        </w:tc>
      </w:tr>
      <w:tr>
        <w:tc>
          <w:tcPr>
            <w:tcW w:type="dxa" w:w="15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New</w:t>
            </w:r>
          </w:p>
        </w:tc>
        <w:tc>
          <w:tcPr>
            <w:tcW w:type="dxa" w:w="46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Qualified opportunity, not yet worked.</w:t>
            </w:r>
          </w:p>
        </w:tc>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Owner assigned + first contact logged.</w:t>
            </w:r>
          </w:p>
        </w:tc>
      </w:tr>
      <w:tr>
        <w:tc>
          <w:tcPr>
            <w:tcW w:type="dxa" w:w="15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Contacted</w:t>
            </w:r>
          </w:p>
        </w:tc>
        <w:tc>
          <w:tcPr>
            <w:tcW w:type="dxa" w:w="46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Initial discussion done.</w:t>
            </w:r>
          </w:p>
        </w:tc>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Requirement understood / site info captured.</w:t>
            </w:r>
          </w:p>
        </w:tc>
      </w:tr>
      <w:tr>
        <w:tc>
          <w:tcPr>
            <w:tcW w:type="dxa" w:w="15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Quoted</w:t>
            </w:r>
          </w:p>
        </w:tc>
        <w:tc>
          <w:tcPr>
            <w:tcW w:type="dxa" w:w="46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Quotation issued.</w:t>
            </w:r>
          </w:p>
        </w:tc>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Customer has a live quote.</w:t>
            </w:r>
          </w:p>
        </w:tc>
      </w:tr>
      <w:tr>
        <w:tc>
          <w:tcPr>
            <w:tcW w:type="dxa" w:w="15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Negotiation</w:t>
            </w:r>
          </w:p>
        </w:tc>
        <w:tc>
          <w:tcPr>
            <w:tcW w:type="dxa" w:w="46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Price / scope under discussion.</w:t>
            </w:r>
          </w:p>
        </w:tc>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Verbal agreement or revised quote.</w:t>
            </w:r>
          </w:p>
        </w:tc>
      </w:tr>
      <w:tr>
        <w:tc>
          <w:tcPr>
            <w:tcW w:type="dxa" w:w="1550"/>
            <w:shd w:fill="FFFFFF" w:color="auto" w:val="clear"/>
            <w:tcMar>
              <w:top w:type="dxa" w:w="55"/>
              <w:left w:type="dxa" w:w="90"/>
              <w:bottom w:type="dxa" w:w="55"/>
              <w:right w:type="dxa" w:w="90"/>
            </w:tcMar>
          </w:tcPr>
          <w:p>
            <w:pPr>
              <w:spacing w:after="20" w:line="250"/>
            </w:pPr>
            <w:r>
              <w:rPr>
                <w:rFonts w:ascii="Calibri" w:cs="Calibri" w:eastAsia="Calibri" w:hAnsi="Calibri"/>
                <w:b/>
                <w:bCs/>
                <w:color w:val="1E7D45"/>
                <w:sz w:val="19"/>
                <w:szCs w:val="19"/>
              </w:rPr>
              <w:t xml:space="preserve">Won</w:t>
            </w:r>
          </w:p>
        </w:tc>
        <w:tc>
          <w:tcPr>
            <w:tcW w:type="dxa" w:w="46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Deal closed successfully.</w:t>
            </w:r>
          </w:p>
        </w:tc>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Auto-create Project or AMC.</w:t>
            </w:r>
          </w:p>
        </w:tc>
      </w:tr>
      <w:tr>
        <w:tc>
          <w:tcPr>
            <w:tcW w:type="dxa" w:w="1550"/>
            <w:shd w:fill="F5F8FC" w:color="auto" w:val="clear"/>
            <w:tcMar>
              <w:top w:type="dxa" w:w="55"/>
              <w:left w:type="dxa" w:w="90"/>
              <w:bottom w:type="dxa" w:w="55"/>
              <w:right w:type="dxa" w:w="90"/>
            </w:tcMar>
          </w:tcPr>
          <w:p>
            <w:pPr>
              <w:spacing w:after="20" w:line="250"/>
            </w:pPr>
            <w:r>
              <w:rPr>
                <w:rFonts w:ascii="Calibri" w:cs="Calibri" w:eastAsia="Calibri" w:hAnsi="Calibri"/>
                <w:b/>
                <w:bCs/>
                <w:color w:val="C0392B"/>
                <w:sz w:val="19"/>
                <w:szCs w:val="19"/>
              </w:rPr>
              <w:t xml:space="preserve">Lost</w:t>
            </w:r>
          </w:p>
        </w:tc>
        <w:tc>
          <w:tcPr>
            <w:tcW w:type="dxa" w:w="46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Deal not secured.</w:t>
            </w:r>
          </w:p>
        </w:tc>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Reason recorded; opportunity archived.</w:t>
            </w:r>
          </w:p>
        </w:tc>
      </w:tr>
    </w:tbl>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756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7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SM-2.1</w:t>
            </w:r>
          </w:p>
        </w:tc>
        <w:tc>
          <w:tcPr>
            <w:tcW w:type="dxa" w:w="7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Pipeline stages configurable per region by Regional Admin (add/rename/reorder), within Super Admin guardrails.</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SM-2.2</w:t>
            </w:r>
          </w:p>
        </w:tc>
        <w:tc>
          <w:tcPr>
            <w:tcW w:type="dxa" w:w="7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Stage changes are logged with user, timestamp and optional remark (immutable audit trail).</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SM-2.3</w:t>
            </w:r>
          </w:p>
        </w:tc>
        <w:tc>
          <w:tcPr>
            <w:tcW w:type="dxa" w:w="7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Kanban board view (Web) and list/stage-filter view (Mobile) of the pipeline.</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SM-2.4</w:t>
            </w:r>
          </w:p>
        </w:tc>
        <w:tc>
          <w:tcPr>
            <w:tcW w:type="dxa" w:w="7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Weighted forecast = opportunity value × stage probability (probability configurable per stage).</w:t>
            </w:r>
          </w:p>
        </w:tc>
      </w:tr>
    </w:tbl>
    <w:p>
      <w:pPr>
        <w:pStyle w:val="Heading2"/>
        <w:spacing w:after="100" w:before="240"/>
      </w:pPr>
      <w:r>
        <w:rPr>
          <w:rFonts w:ascii="Calibri" w:cs="Calibri" w:eastAsia="Calibri" w:hAnsi="Calibri"/>
          <w:b/>
          <w:bCs/>
          <w:color w:val="2E6CB5"/>
          <w:sz w:val="25"/>
          <w:szCs w:val="25"/>
        </w:rPr>
        <w:t xml:space="preserve">4.3 Quotation Management</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5560"/>
        <w:gridCol w:w="20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Priority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SM-3.1</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Build a quotation by adding line items from the master catalog (auto-fills description &amp; base price).</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SM-3.2</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Support ad-hoc (non-catalog) line items with manual description and price.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SM-3.3</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Line-level and quote-level discount (percentage or amount); taxes (e.g. GST) computed automatically.</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SM-3.4</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Auto-calculate subtotal, discount, tax and grand total in real time.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SM-3.5</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Approval workflow: quotes above a configurable value or discount threshold require Manager/Admin approval before issue.</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SM-3.6</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Version control: revising an issued quote creates v2, v3… — prior versions remain viewable and immutable.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SM-3.7</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Generate a branded PDF and share via email / download / mobile share sheet.</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SM-3.8</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Track quote status: Draft → Pending Approval → Approved → Sent → Accepted / Rejected / Expired.</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SM-3.9</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Set validity period; auto-flag expired quotes.</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SM-3.10</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Stock availability check against Material Module when adding catalog items (advisory, non-blocking).</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bl>
    <w:tbl>
      <w:tblPr>
        <w:tblW w:type="dxa" w:w="9360"/>
        <w:tblBorders>
          <w:top w:val="single" w:color="EAF1FA" w:sz="4"/>
          <w:left w:val="single" w:color="2E6CB5" w:sz="24"/>
          <w:bottom w:val="single" w:color="EAF1FA" w:sz="4"/>
          <w:right w:val="single" w:color="EAF1FA" w:sz="4"/>
          <w:insideH w:val="none"/>
          <w:insideV w:val="none"/>
        </w:tblBorders>
      </w:tblPr>
      <w:tblGrid>
        <w:gridCol w:w="9360"/>
      </w:tblGrid>
      <w:tr>
        <w:tc>
          <w:tcPr>
            <w:tcW w:type="dxa" w:w="9360"/>
            <w:shd w:fill="EAF1FA" w:color="auto" w:val="clear"/>
            <w:tcMar>
              <w:top w:type="dxa" w:w="120"/>
              <w:left w:type="dxa" w:w="160"/>
              <w:bottom w:type="dxa" w:w="120"/>
              <w:right w:type="dxa" w:w="140"/>
            </w:tcMar>
          </w:tcPr>
          <w:p>
            <w:pPr>
              <w:spacing w:after="40"/>
            </w:pPr>
            <w:r>
              <w:rPr>
                <w:rFonts w:ascii="Calibri" w:cs="Calibri" w:eastAsia="Calibri" w:hAnsi="Calibri"/>
                <w:b/>
                <w:bCs/>
                <w:color w:val="2E6CB5"/>
                <w:sz w:val="21"/>
                <w:szCs w:val="21"/>
              </w:rPr>
              <w:t xml:space="preserve">Approval-limit example</w:t>
            </w:r>
          </w:p>
          <w:p>
            <w:pPr>
              <w:spacing w:after="20" w:line="260"/>
            </w:pPr>
            <w:r>
              <w:rPr>
                <w:rFonts w:ascii="Calibri" w:cs="Calibri" w:eastAsia="Calibri" w:hAnsi="Calibri"/>
                <w:color w:val="2B2B2B"/>
                <w:sz w:val="20"/>
                <w:szCs w:val="20"/>
              </w:rPr>
              <w:t xml:space="preserve">Sales Executive: issue up to ₹50,000, max 5% discount.</w:t>
            </w:r>
          </w:p>
          <w:p>
            <w:pPr>
              <w:spacing w:after="20" w:line="260"/>
            </w:pPr>
            <w:r>
              <w:rPr>
                <w:rFonts w:ascii="Calibri" w:cs="Calibri" w:eastAsia="Calibri" w:hAnsi="Calibri"/>
                <w:color w:val="2B2B2B"/>
                <w:sz w:val="20"/>
                <w:szCs w:val="20"/>
              </w:rPr>
              <w:t xml:space="preserve">Sales Manager: approve up to ₹5,00,000, max 15% discount.</w:t>
            </w:r>
          </w:p>
          <w:p>
            <w:pPr>
              <w:spacing w:after="20" w:line="260"/>
            </w:pPr>
            <w:r>
              <w:rPr>
                <w:rFonts w:ascii="Calibri" w:cs="Calibri" w:eastAsia="Calibri" w:hAnsi="Calibri"/>
                <w:color w:val="2B2B2B"/>
                <w:sz w:val="20"/>
                <w:szCs w:val="20"/>
              </w:rPr>
              <w:t xml:space="preserve">Regional Admin: approve up to ₹50,00,000, max 25% discount.</w:t>
            </w:r>
          </w:p>
          <w:p>
            <w:pPr>
              <w:spacing w:after="20" w:line="260"/>
            </w:pPr>
            <w:r>
              <w:rPr>
                <w:rFonts w:ascii="Calibri" w:cs="Calibri" w:eastAsia="Calibri" w:hAnsi="Calibri"/>
                <w:color w:val="2B2B2B"/>
                <w:sz w:val="20"/>
                <w:szCs w:val="20"/>
              </w:rPr>
              <w:t xml:space="preserve">Above that → Super Admin. (All limits configurable per region.)</w:t>
            </w:r>
          </w:p>
        </w:tc>
      </w:tr>
    </w:tbl>
    <w:p>
      <w:pPr>
        <w:pStyle w:val="Heading2"/>
        <w:spacing w:after="100" w:before="240"/>
      </w:pPr>
      <w:r>
        <w:rPr>
          <w:rFonts w:ascii="Calibri" w:cs="Calibri" w:eastAsia="Calibri" w:hAnsi="Calibri"/>
          <w:b/>
          <w:bCs/>
          <w:color w:val="2E6CB5"/>
          <w:sz w:val="25"/>
          <w:szCs w:val="25"/>
        </w:rPr>
        <w:t xml:space="preserve">4.4 AMC Contract Sales &amp; Renewals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5560"/>
        <w:gridCol w:w="20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Priority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SM-4.1</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an AMC contract from a Won opportunity: customer, covered equipment/sites, start &amp; end date, value, service frequency, SLA terms.</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SM-4.2</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Support contract types: Comprehensive vs Non-comprehensive; recurring billing cadence (monthly/quarterly/annual).</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SM-4.3</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Auto-generate renewal opportunities a configurable window (e.g. 60 days) before expiry.</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SM-4.4</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Renewal quote can carry forward prior terms with price escalation (% uplift).</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SM-4.5</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On activation, hand the contract to AMC Management Module for service-ticket scheduling.</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SM-4.6</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Dashboard of contracts expiring in 30 / 60 / 90 days with renewal status.</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bl>
    <w:p>
      <w:pPr>
        <w:spacing w:after="60" w:line="276"/>
      </w:pPr>
      <w:r>
        <w:rPr>
          <w:rFonts w:ascii="Calibri" w:cs="Calibri" w:eastAsia="Calibri" w:hAnsi="Calibri"/>
          <w:b/>
          <w:bCs/>
          <w:color w:val="2B2B2B"/>
          <w:sz w:val="21"/>
          <w:szCs w:val="21"/>
        </w:rPr>
        <w:t xml:space="preserve">Hand-off: </w:t>
      </w:r>
      <w:r>
        <w:rPr>
          <w:rFonts w:ascii="Calibri" w:cs="Calibri" w:eastAsia="Calibri" w:hAnsi="Calibri"/>
          <w:color w:val="2B2B2B"/>
          <w:sz w:val="21"/>
          <w:szCs w:val="21"/>
        </w:rPr>
        <w:t xml:space="preserve">Sales owns the contract until it is Active. From activation, the AMC Management Module owns visits, tickets and SLA tracking — Sales retains read-only visibility for renewal.</w:t>
      </w:r>
    </w:p>
    <w:p>
      <w:pPr>
        <w:pStyle w:val="Heading2"/>
        <w:spacing w:after="100" w:before="240"/>
      </w:pPr>
      <w:r>
        <w:rPr>
          <w:rFonts w:ascii="Calibri" w:cs="Calibri" w:eastAsia="Calibri" w:hAnsi="Calibri"/>
          <w:b/>
          <w:bCs/>
          <w:color w:val="2E6CB5"/>
          <w:sz w:val="25"/>
          <w:szCs w:val="25"/>
        </w:rPr>
        <w:t xml:space="preserve">4.5 New Installation Project Sales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5560"/>
        <w:gridCol w:w="20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Priority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SM-5.1</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Capture site/project details on the opportunity: location(s), site survey notes, scope, BOM (bill of materials) from catalog.</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SM-5.2</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Optionally raise a Site Survey task (integrates with Task Module) before quoting.</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SM-5.3</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Build a multi-line installation quotation covering material + labour/installation charges.</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SM-5.4</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On Won, auto-create a Project record with customer, BOM, site and expected timeline; pass to Project Module.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SM-5.5</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Reserve / flag required material against Material Module at Won stage.</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bl>
    <w:p>
      <w:pPr>
        <w:pStyle w:val="Heading2"/>
        <w:spacing w:after="100" w:before="240"/>
      </w:pPr>
      <w:r>
        <w:rPr>
          <w:rFonts w:ascii="Calibri" w:cs="Calibri" w:eastAsia="Calibri" w:hAnsi="Calibri"/>
          <w:b/>
          <w:bCs/>
          <w:color w:val="2E6CB5"/>
          <w:sz w:val="25"/>
          <w:szCs w:val="25"/>
        </w:rPr>
        <w:t xml:space="preserve">4.6 Product / Material Catalog &amp; Pricing</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5560"/>
        <w:gridCol w:w="20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Priority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SM-6.1</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Maintain a master catalog of products/services: code, name, category, unit, base price, tax class, active flag.</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SM-6.2</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Catalog is shared master data used by Quotation, Project BOM and Material Module.</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SM-6.3</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Region-specific price lists / overrides on top of base price.</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SM-6.4</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Price-rule engine: volume slabs, customer-tier pricing, time-bound promotional pricing.</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Could</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SM-6.5</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Version price changes with effective dates; historic quotes retain the price valid at issue.</w:t>
            </w:r>
          </w:p>
        </w:tc>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Must</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SM-6.6</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Bulk import/export of catalog via CSV/Excel.</w:t>
            </w:r>
          </w:p>
        </w:tc>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Should</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5. Backend Architecture (Express.js + PostgreSQL)</w:t>
      </w:r>
    </w:p>
    <w:p>
      <w:pPr>
        <w:spacing w:after="100" w:line="276"/>
      </w:pPr>
      <w:r>
        <w:rPr>
          <w:rFonts w:ascii="Calibri" w:cs="Calibri" w:eastAsia="Calibri" w:hAnsi="Calibri"/>
          <w:color w:val="2B2B2B"/>
          <w:sz w:val="21"/>
          <w:szCs w:val="21"/>
        </w:rPr>
        <w:t xml:space="preserve">The backend is a modular Node.js application built on Express.js. Express is intentionally minimal, so structure is imposed by convention: each CRM module lives in its own folder with a consistent internal layout, keeping modules independently reasoned so any one can later be extracted into its own service if scale demands it. (TypeScript is recommended for parity with the Web and Mobile clients, but plain JavaScript works too.)</w:t>
      </w:r>
    </w:p>
    <w:p>
      <w:pPr>
        <w:pStyle w:val="Heading2"/>
        <w:spacing w:after="100" w:before="240"/>
      </w:pPr>
      <w:r>
        <w:rPr>
          <w:rFonts w:ascii="Calibri" w:cs="Calibri" w:eastAsia="Calibri" w:hAnsi="Calibri"/>
          <w:b/>
          <w:bCs/>
          <w:color w:val="2E6CB5"/>
          <w:sz w:val="25"/>
          <w:szCs w:val="25"/>
        </w:rPr>
        <w:t xml:space="preserve">5.1 Architectural Style</w:t>
      </w:r>
    </w:p>
    <w:p>
      <w:pPr>
        <w:spacing w:after="100" w:line="276"/>
      </w:pPr>
      <w:r>
        <w:rPr>
          <w:rFonts w:ascii="Calibri" w:cs="Calibri" w:eastAsia="Calibri" w:hAnsi="Calibri"/>
          <w:b/>
          <w:bCs/>
          <w:color w:val="2B2B2B"/>
          <w:sz w:val="21"/>
          <w:szCs w:val="21"/>
        </w:rPr>
        <w:t xml:space="preserve">Modular monolith, service-ready. </w:t>
      </w:r>
      <w:r>
        <w:rPr>
          <w:rFonts w:ascii="Calibri" w:cs="Calibri" w:eastAsia="Calibri" w:hAnsi="Calibri"/>
          <w:color w:val="2B2B2B"/>
          <w:sz w:val="21"/>
          <w:szCs w:val="21"/>
        </w:rPr>
        <w:t xml:space="preserve">Start as one deployable Express application with clear module folders (Sales, Task, AMC, Project, Material, Attendance, Identity). Communication between modules goes through exported service functions and an internal event emitter — never direct table access. This gives the simplicity of a monolith now and a clean seam to split into separate services later without rewriting business logic. A lightweight dependency-injection container (e.g. awilix) is optional but helps keep modules decoupled.</w:t>
      </w:r>
    </w:p>
    <w:p>
      <w:pPr>
        <w:pStyle w:val="Heading2"/>
        <w:spacing w:after="100" w:before="240"/>
      </w:pPr>
      <w:r>
        <w:rPr>
          <w:rFonts w:ascii="Calibri" w:cs="Calibri" w:eastAsia="Calibri" w:hAnsi="Calibri"/>
          <w:b/>
          <w:bCs/>
          <w:color w:val="2E6CB5"/>
          <w:sz w:val="25"/>
          <w:szCs w:val="25"/>
        </w:rPr>
        <w:t xml:space="preserve">5.2 Layered Structure (per module)</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200"/>
        <w:gridCol w:w="6560"/>
      </w:tblGrid>
      <w:tr>
        <w:trPr>
          <w:tblHeader/>
        </w:trPr>
        <w:tc>
          <w:tcPr>
            <w:tcW w:type="dxa" w:w="2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Layer</w:t>
            </w:r>
          </w:p>
        </w:tc>
        <w:tc>
          <w:tcPr>
            <w:tcW w:type="dxa" w:w="6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Responsibility</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Route + Middleware</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Express router per module; middleware for auth, validation, region scoping.</w:t>
            </w:r>
          </w:p>
        </w:tc>
      </w:tr>
      <w:tr>
        <w:tc>
          <w:tcPr>
            <w:tcW w:type="dxa" w:w="22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Controller (handler)</w:t>
            </w:r>
          </w:p>
        </w:tc>
        <w:tc>
          <w:tcPr>
            <w:tcW w:type="dxa" w:w="6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Parses the request, calls a service, shapes the response. No business logic.</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Service (use-case)</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Business rules: pipeline transitions, approval limits, versioning.</w:t>
            </w:r>
          </w:p>
        </w:tc>
      </w:tr>
      <w:tr>
        <w:tc>
          <w:tcPr>
            <w:tcW w:type="dxa" w:w="22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Repository / Model</w:t>
            </w:r>
          </w:p>
        </w:tc>
        <w:tc>
          <w:tcPr>
            <w:tcW w:type="dxa" w:w="6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Data access to PostgreSQL (Prisma / TypeORM / Sequelize); region scoping applied here.</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Events</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Emit domain events (OpportunityWon, AmcActivated) via the event emitter for other modules.</w:t>
            </w:r>
          </w:p>
        </w:tc>
      </w:tr>
    </w:tbl>
    <w:p>
      <w:pPr>
        <w:pStyle w:val="Heading2"/>
        <w:spacing w:after="100" w:before="240"/>
      </w:pPr>
      <w:r>
        <w:rPr>
          <w:rFonts w:ascii="Calibri" w:cs="Calibri" w:eastAsia="Calibri" w:hAnsi="Calibri"/>
          <w:b/>
          <w:bCs/>
          <w:color w:val="2E6CB5"/>
          <w:sz w:val="25"/>
          <w:szCs w:val="25"/>
        </w:rPr>
        <w:t xml:space="preserve">5.3 Multi-Region / Multi-Tenancy Strategy</w:t>
      </w:r>
    </w:p>
    <w:p>
      <w:pPr>
        <w:spacing w:after="100" w:line="276"/>
      </w:pPr>
      <w:r>
        <w:rPr>
          <w:rFonts w:ascii="Calibri" w:cs="Calibri" w:eastAsia="Calibri" w:hAnsi="Calibri"/>
          <w:color w:val="2B2B2B"/>
          <w:sz w:val="21"/>
          <w:szCs w:val="21"/>
        </w:rPr>
        <w:t xml:space="preserve">Because the platform serves multiple regions under one Super Admin, region isolation is a first-class concern:</w:t>
      </w:r>
    </w:p>
    <w:p>
      <w:pPr>
        <w:pStyle w:val="ListParagraph"/>
        <w:numPr>
          <w:ilvl w:val="0"/>
          <w:numId w:val="2"/>
        </w:numPr>
        <w:spacing w:after="60" w:line="268"/>
      </w:pPr>
      <w:r>
        <w:rPr>
          <w:rFonts w:ascii="Calibri" w:cs="Calibri" w:eastAsia="Calibri" w:hAnsi="Calibri"/>
          <w:b/>
          <w:bCs/>
          <w:color w:val="2B2B2B"/>
          <w:sz w:val="21"/>
          <w:szCs w:val="21"/>
        </w:rPr>
        <w:t xml:space="preserve">Shared database, region-scoped rows. </w:t>
      </w:r>
      <w:r>
        <w:rPr>
          <w:rFonts w:ascii="Calibri" w:cs="Calibri" w:eastAsia="Calibri" w:hAnsi="Calibri"/>
          <w:color w:val="2B2B2B"/>
          <w:sz w:val="21"/>
          <w:szCs w:val="21"/>
        </w:rPr>
        <w:t xml:space="preserve">Every business table carries a region_id. A global Express middleware reads the caller's region from the JWT and a repository-level scope injects it into every read/write.</w:t>
      </w:r>
    </w:p>
    <w:p>
      <w:pPr>
        <w:pStyle w:val="ListParagraph"/>
        <w:numPr>
          <w:ilvl w:val="0"/>
          <w:numId w:val="2"/>
        </w:numPr>
        <w:spacing w:after="60" w:line="268"/>
      </w:pPr>
      <w:r>
        <w:rPr>
          <w:rFonts w:ascii="Calibri" w:cs="Calibri" w:eastAsia="Calibri" w:hAnsi="Calibri"/>
          <w:b/>
          <w:bCs/>
          <w:color w:val="2B2B2B"/>
          <w:sz w:val="21"/>
          <w:szCs w:val="21"/>
        </w:rPr>
        <w:t xml:space="preserve">PostgreSQL Row-Level Security (RLS). </w:t>
      </w:r>
      <w:r>
        <w:rPr>
          <w:rFonts w:ascii="Calibri" w:cs="Calibri" w:eastAsia="Calibri" w:hAnsi="Calibri"/>
          <w:color w:val="2B2B2B"/>
          <w:sz w:val="21"/>
          <w:szCs w:val="21"/>
        </w:rPr>
        <w:t xml:space="preserve">A second line of defence at the database — even a bug in application code cannot leak another region's rows.</w:t>
      </w:r>
    </w:p>
    <w:p>
      <w:pPr>
        <w:pStyle w:val="ListParagraph"/>
        <w:numPr>
          <w:ilvl w:val="0"/>
          <w:numId w:val="2"/>
        </w:numPr>
        <w:spacing w:after="60" w:line="268"/>
      </w:pPr>
      <w:r>
        <w:rPr>
          <w:rFonts w:ascii="Calibri" w:cs="Calibri" w:eastAsia="Calibri" w:hAnsi="Calibri"/>
          <w:b/>
          <w:bCs/>
          <w:color w:val="2B2B2B"/>
          <w:sz w:val="21"/>
          <w:szCs w:val="21"/>
        </w:rPr>
        <w:t xml:space="preserve">Elevation. </w:t>
      </w:r>
      <w:r>
        <w:rPr>
          <w:rFonts w:ascii="Calibri" w:cs="Calibri" w:eastAsia="Calibri" w:hAnsi="Calibri"/>
          <w:color w:val="2B2B2B"/>
          <w:sz w:val="21"/>
          <w:szCs w:val="21"/>
        </w:rPr>
        <w:t xml:space="preserve">Super Admin (and explicitly cross-region roles) bypass the region filter through an audited elevated context.</w:t>
      </w:r>
    </w:p>
    <w:p>
      <w:pPr>
        <w:spacing w:after="60" w:line="276"/>
      </w:pPr>
      <w:r>
        <w:rPr>
          <w:rFonts w:ascii="Calibri" w:cs="Calibri" w:eastAsia="Calibri" w:hAnsi="Calibri"/>
          <w:color w:val="2B2B2B"/>
          <w:sz w:val="21"/>
          <w:szCs w:val="21"/>
        </w:rPr>
        <w:t xml:space="preserve">This keeps operations simple (one schema, one migration path) while giving strong isolation, and leaves the door open to a schema-per-region or DB-per-region split if a single region grows very large.</w:t>
      </w:r>
    </w:p>
    <w:p>
      <w:pPr>
        <w:pStyle w:val="Heading2"/>
        <w:spacing w:after="100" w:before="240"/>
      </w:pPr>
      <w:r>
        <w:rPr>
          <w:rFonts w:ascii="Calibri" w:cs="Calibri" w:eastAsia="Calibri" w:hAnsi="Calibri"/>
          <w:b/>
          <w:bCs/>
          <w:color w:val="2E6CB5"/>
          <w:sz w:val="25"/>
          <w:szCs w:val="25"/>
        </w:rPr>
        <w:t xml:space="preserve">5.4 Identity, Authentication &amp; RBAC</w:t>
      </w:r>
    </w:p>
    <w:p>
      <w:pPr>
        <w:pStyle w:val="ListParagraph"/>
        <w:numPr>
          <w:ilvl w:val="0"/>
          <w:numId w:val="2"/>
        </w:numPr>
        <w:spacing w:after="60" w:line="268"/>
      </w:pPr>
      <w:r>
        <w:rPr>
          <w:rFonts w:ascii="Calibri" w:cs="Calibri" w:eastAsia="Calibri" w:hAnsi="Calibri"/>
          <w:b/>
          <w:bCs/>
          <w:color w:val="2B2B2B"/>
          <w:sz w:val="21"/>
          <w:szCs w:val="21"/>
        </w:rPr>
        <w:t xml:space="preserve">Auth: </w:t>
      </w:r>
      <w:r>
        <w:rPr>
          <w:rFonts w:ascii="Calibri" w:cs="Calibri" w:eastAsia="Calibri" w:hAnsi="Calibri"/>
          <w:color w:val="2B2B2B"/>
          <w:sz w:val="21"/>
          <w:szCs w:val="21"/>
        </w:rPr>
        <w:t xml:space="preserve">JWT access tokens + refresh tokens; short-lived access token suits the mobile app.</w:t>
      </w:r>
    </w:p>
    <w:p>
      <w:pPr>
        <w:pStyle w:val="ListParagraph"/>
        <w:numPr>
          <w:ilvl w:val="0"/>
          <w:numId w:val="2"/>
        </w:numPr>
        <w:spacing w:after="60" w:line="268"/>
      </w:pPr>
      <w:r>
        <w:rPr>
          <w:rFonts w:ascii="Calibri" w:cs="Calibri" w:eastAsia="Calibri" w:hAnsi="Calibri"/>
          <w:b/>
          <w:bCs/>
          <w:color w:val="2B2B2B"/>
          <w:sz w:val="21"/>
          <w:szCs w:val="21"/>
        </w:rPr>
        <w:t xml:space="preserve">RBAC: </w:t>
      </w:r>
      <w:r>
        <w:rPr>
          <w:rFonts w:ascii="Calibri" w:cs="Calibri" w:eastAsia="Calibri" w:hAnsi="Calibri"/>
          <w:color w:val="2B2B2B"/>
          <w:sz w:val="21"/>
          <w:szCs w:val="21"/>
        </w:rPr>
        <w:t xml:space="preserve">composable Express middleware (e.g. requireAuth, requireRole('Sales Manager'), scopeToRegion) evaluates (role × region × ownership) per Section 3.2 on each route.</w:t>
      </w:r>
    </w:p>
    <w:p>
      <w:pPr>
        <w:pStyle w:val="ListParagraph"/>
        <w:numPr>
          <w:ilvl w:val="0"/>
          <w:numId w:val="2"/>
        </w:numPr>
        <w:spacing w:after="60" w:line="268"/>
      </w:pPr>
      <w:r>
        <w:rPr>
          <w:rFonts w:ascii="Calibri" w:cs="Calibri" w:eastAsia="Calibri" w:hAnsi="Calibri"/>
          <w:b/>
          <w:bCs/>
          <w:color w:val="2B2B2B"/>
          <w:sz w:val="21"/>
          <w:szCs w:val="21"/>
        </w:rPr>
        <w:t xml:space="preserve">Password / MFA: </w:t>
      </w:r>
      <w:r>
        <w:rPr>
          <w:rFonts w:ascii="Calibri" w:cs="Calibri" w:eastAsia="Calibri" w:hAnsi="Calibri"/>
          <w:color w:val="2B2B2B"/>
          <w:sz w:val="21"/>
          <w:szCs w:val="21"/>
        </w:rPr>
        <w:t xml:space="preserve">Hashed credentials (argon2/bcrypt); optional OTP-based MFA for Admin roles.</w:t>
      </w:r>
    </w:p>
    <w:p>
      <w:pPr>
        <w:pStyle w:val="ListParagraph"/>
        <w:numPr>
          <w:ilvl w:val="0"/>
          <w:numId w:val="2"/>
        </w:numPr>
        <w:spacing w:after="60" w:line="268"/>
      </w:pPr>
      <w:r>
        <w:rPr>
          <w:rFonts w:ascii="Calibri" w:cs="Calibri" w:eastAsia="Calibri" w:hAnsi="Calibri"/>
          <w:b/>
          <w:bCs/>
          <w:color w:val="2B2B2B"/>
          <w:sz w:val="21"/>
          <w:szCs w:val="21"/>
        </w:rPr>
        <w:t xml:space="preserve">Same API for Web &amp; App: </w:t>
      </w:r>
      <w:r>
        <w:rPr>
          <w:rFonts w:ascii="Calibri" w:cs="Calibri" w:eastAsia="Calibri" w:hAnsi="Calibri"/>
          <w:color w:val="2B2B2B"/>
          <w:sz w:val="21"/>
          <w:szCs w:val="21"/>
        </w:rPr>
        <w:t xml:space="preserve">Both clients authenticate identically; device metadata stored for push notifications.</w:t>
      </w:r>
    </w:p>
    <w:p>
      <w:pPr>
        <w:pStyle w:val="Heading2"/>
        <w:spacing w:after="100" w:before="240"/>
      </w:pPr>
      <w:r>
        <w:rPr>
          <w:rFonts w:ascii="Calibri" w:cs="Calibri" w:eastAsia="Calibri" w:hAnsi="Calibri"/>
          <w:b/>
          <w:bCs/>
          <w:color w:val="2E6CB5"/>
          <w:sz w:val="25"/>
          <w:szCs w:val="25"/>
        </w:rPr>
        <w:t xml:space="preserve">5.5 API Surface (representative)</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200"/>
        <w:gridCol w:w="4360"/>
        <w:gridCol w:w="3200"/>
      </w:tblGrid>
      <w:tr>
        <w:trPr>
          <w:tblHeader/>
        </w:trPr>
        <w:tc>
          <w:tcPr>
            <w:tcW w:type="dxa" w:w="1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Method</w:t>
            </w:r>
          </w:p>
        </w:tc>
        <w:tc>
          <w:tcPr>
            <w:tcW w:type="dxa" w:w="43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Endpoint</w:t>
            </w:r>
          </w:p>
        </w:tc>
        <w:tc>
          <w:tcPr>
            <w:tcW w:type="dxa" w:w="3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Purpose</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/api/v1/leads</w:t>
            </w:r>
          </w:p>
        </w:tc>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a lead</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/api/v1/leads/{id}/qualify</w:t>
            </w:r>
          </w:p>
        </w:tc>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Convert lead → opportunity</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PATCH</w:t>
            </w:r>
          </w:p>
        </w:tc>
        <w:tc>
          <w:tcPr>
            <w:tcW w:type="dxa" w:w="4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/api/v1/opportunities/{id}/stage</w:t>
            </w:r>
          </w:p>
        </w:tc>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Move pipeline stage (audited)</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/api/v1/quotations</w:t>
            </w:r>
          </w:p>
        </w:tc>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draft quotation</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/api/v1/quotations/{id}/submit</w:t>
            </w:r>
          </w:p>
        </w:tc>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Send for approval</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/api/v1/quotations/{id}/approve</w:t>
            </w:r>
          </w:p>
        </w:tc>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Approve (role-gated)</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/api/v1/quotations/{id}/revise</w:t>
            </w:r>
          </w:p>
        </w:tc>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new version</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POST</w:t>
            </w:r>
          </w:p>
        </w:tc>
        <w:tc>
          <w:tcPr>
            <w:tcW w:type="dxa" w:w="4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/api/v1/opportunities/{id}/win</w:t>
            </w:r>
          </w:p>
        </w:tc>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Close won → create Project/AMC</w:t>
            </w:r>
          </w:p>
        </w:tc>
      </w:tr>
      <w:tr>
        <w:tc>
          <w:tcPr>
            <w:tcW w:type="dxa" w:w="1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GET</w:t>
            </w:r>
          </w:p>
        </w:tc>
        <w:tc>
          <w:tcPr>
            <w:tcW w:type="dxa" w:w="4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/api/v1/catalog/items</w:t>
            </w:r>
          </w:p>
        </w:tc>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List catalog (region price applied)</w:t>
            </w:r>
          </w:p>
        </w:tc>
      </w:tr>
      <w:tr>
        <w:tc>
          <w:tcPr>
            <w:tcW w:type="dxa" w:w="1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GET</w:t>
            </w:r>
          </w:p>
        </w:tc>
        <w:tc>
          <w:tcPr>
            <w:tcW w:type="dxa" w:w="4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/api/v1/reports/pipeline</w:t>
            </w:r>
          </w:p>
        </w:tc>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Pipeline / forecast (scoped)</w:t>
            </w:r>
          </w:p>
        </w:tc>
      </w:tr>
    </w:tbl>
    <w:p>
      <w:pPr>
        <w:spacing w:after="60" w:line="276"/>
      </w:pPr>
      <w:r>
        <w:rPr>
          <w:rFonts w:ascii="Calibri" w:cs="Calibri" w:eastAsia="Calibri" w:hAnsi="Calibri"/>
          <w:b/>
          <w:bCs/>
          <w:color w:val="2B2B2B"/>
          <w:sz w:val="21"/>
          <w:szCs w:val="21"/>
        </w:rPr>
        <w:t xml:space="preserve">Conventions: </w:t>
      </w:r>
      <w:r>
        <w:rPr>
          <w:rFonts w:ascii="Calibri" w:cs="Calibri" w:eastAsia="Calibri" w:hAnsi="Calibri"/>
          <w:color w:val="2B2B2B"/>
          <w:sz w:val="21"/>
          <w:szCs w:val="21"/>
        </w:rPr>
        <w:t xml:space="preserve">versioned (/v1), REST/JSON, pagination + filtering on list endpoints, consistent error envelope, and OpenAPI/Swagger docs served via swagger-ui-express (from swagger-jsdoc annotations).</w:t>
      </w:r>
    </w:p>
    <w:p>
      <w:pPr>
        <w:pStyle w:val="Heading2"/>
        <w:spacing w:after="100" w:before="240"/>
      </w:pPr>
      <w:r>
        <w:rPr>
          <w:rFonts w:ascii="Calibri" w:cs="Calibri" w:eastAsia="Calibri" w:hAnsi="Calibri"/>
          <w:b/>
          <w:bCs/>
          <w:color w:val="2E6CB5"/>
          <w:sz w:val="25"/>
          <w:szCs w:val="25"/>
        </w:rPr>
        <w:t xml:space="preserve">5.6 Cross-Cutting Concerns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400"/>
        <w:gridCol w:w="6360"/>
      </w:tblGrid>
      <w:tr>
        <w:trPr>
          <w:tblHeader/>
        </w:trPr>
        <w:tc>
          <w:tcPr>
            <w:tcW w:type="dxa" w:w="24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Concern</w:t>
            </w:r>
          </w:p>
        </w:tc>
        <w:tc>
          <w:tcPr>
            <w:tcW w:type="dxa" w:w="63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Approach</w:t>
            </w:r>
          </w:p>
        </w:tc>
      </w:tr>
      <w:tr>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Validation</w:t>
            </w:r>
          </w:p>
        </w:tc>
        <w:tc>
          <w:tcPr>
            <w:tcW w:type="dxa" w:w="6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Request-schema validation with Zod (or Joi / express-validator) in middleware.</w:t>
            </w:r>
          </w:p>
        </w:tc>
      </w:tr>
      <w:tr>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Audit trail</w:t>
            </w:r>
          </w:p>
        </w:tc>
        <w:tc>
          <w:tcPr>
            <w:tcW w:type="dxa" w:w="6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Append-only audit table; domain events persisted; no hard deletes on issued records.</w:t>
            </w:r>
          </w:p>
        </w:tc>
      </w:tr>
      <w:tr>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File storage</w:t>
            </w:r>
          </w:p>
        </w:tc>
        <w:tc>
          <w:tcPr>
            <w:tcW w:type="dxa" w:w="6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Object storage (S3-compatible); DB stores metadata + signed-URL references.</w:t>
            </w:r>
          </w:p>
        </w:tc>
      </w:tr>
      <w:tr>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Notifications</w:t>
            </w:r>
          </w:p>
        </w:tc>
        <w:tc>
          <w:tcPr>
            <w:tcW w:type="dxa" w:w="6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Event → notification service → push (FCM/APNs) + email; mirrors Task Module reminders.</w:t>
            </w:r>
          </w:p>
        </w:tc>
      </w:tr>
      <w:tr>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Background jobs</w:t>
            </w:r>
          </w:p>
        </w:tc>
        <w:tc>
          <w:tcPr>
            <w:tcW w:type="dxa" w:w="6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Queue (BullMQ/Redis) for renewals, expiry flags, PDF generation.</w:t>
            </w:r>
          </w:p>
        </w:tc>
      </w:tr>
      <w:tr>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Config</w:t>
            </w:r>
          </w:p>
        </w:tc>
        <w:tc>
          <w:tcPr>
            <w:tcW w:type="dxa" w:w="63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Per-region settings (approval limits, stages, tax) in config tables, not hard-coded.</w:t>
            </w:r>
          </w:p>
        </w:tc>
      </w:tr>
      <w:tr>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Observability</w:t>
            </w:r>
          </w:p>
        </w:tc>
        <w:tc>
          <w:tcPr>
            <w:tcW w:type="dxa" w:w="63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Structured logging, request tracing, health checks.</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6. Core Data Model</w:t>
      </w:r>
    </w:p>
    <w:p>
      <w:pPr>
        <w:spacing w:after="100" w:line="276"/>
      </w:pPr>
      <w:r>
        <w:rPr>
          <w:rFonts w:ascii="Calibri" w:cs="Calibri" w:eastAsia="Calibri" w:hAnsi="Calibri"/>
          <w:color w:val="2B2B2B"/>
          <w:sz w:val="21"/>
          <w:szCs w:val="21"/>
        </w:rPr>
        <w:t xml:space="preserve">Key entities for the Sales Module. Every business table carries region_id, created_by, created_at and is soft-delete aware.</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950"/>
        <w:gridCol w:w="6810"/>
      </w:tblGrid>
      <w:tr>
        <w:trPr>
          <w:tblHeader/>
        </w:trPr>
        <w:tc>
          <w:tcPr>
            <w:tcW w:type="dxa" w:w="195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Entity</w:t>
            </w:r>
          </w:p>
        </w:tc>
        <w:tc>
          <w:tcPr>
            <w:tcW w:type="dxa" w:w="681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8"/>
                <w:szCs w:val="18"/>
              </w:rPr>
              <w:t xml:space="preserve">Key Fields</w:t>
            </w:r>
          </w:p>
        </w:tc>
      </w:tr>
      <w:tr>
        <w:tc>
          <w:tcPr>
            <w:tcW w:type="dxa" w:w="1950"/>
            <w:shd w:fill="FFFFFF" w:color="auto" w:val="clear"/>
            <w:tcMar>
              <w:top w:type="dxa" w:w="55"/>
              <w:left w:type="dxa" w:w="90"/>
              <w:bottom w:type="dxa" w:w="55"/>
              <w:right w:type="dxa" w:w="90"/>
            </w:tcMar>
          </w:tcPr>
          <w:p>
            <w:pPr>
              <w:spacing w:after="20" w:line="250"/>
            </w:pPr>
            <w:r>
              <w:rPr>
                <w:rFonts w:ascii="Calibri" w:cs="Calibri" w:eastAsia="Calibri" w:hAnsi="Calibri"/>
                <w:b/>
                <w:bCs/>
                <w:color w:val="1F3A5F"/>
                <w:sz w:val="18"/>
                <w:szCs w:val="18"/>
              </w:rPr>
              <w:t xml:space="preserve">Region</w:t>
            </w:r>
          </w:p>
        </w:tc>
        <w:tc>
          <w:tcPr>
            <w:tcW w:type="dxa" w:w="68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code (GGN/DL), name, active</w:t>
            </w:r>
          </w:p>
        </w:tc>
      </w:tr>
      <w:tr>
        <w:tc>
          <w:tcPr>
            <w:tcW w:type="dxa" w:w="19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User</w:t>
            </w:r>
          </w:p>
        </w:tc>
        <w:tc>
          <w:tcPr>
            <w:tcW w:type="dxa" w:w="68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name, email, role, region_id, reporting_to, status</w:t>
            </w:r>
          </w:p>
        </w:tc>
      </w:tr>
      <w:tr>
        <w:tc>
          <w:tcPr>
            <w:tcW w:type="dxa" w:w="19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Customer</w:t>
            </w:r>
          </w:p>
        </w:tc>
        <w:tc>
          <w:tcPr>
            <w:tcW w:type="dxa" w:w="68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name, type, contacts[], addresses[], region_id (shared master)</w:t>
            </w:r>
          </w:p>
        </w:tc>
      </w:tr>
      <w:tr>
        <w:tc>
          <w:tcPr>
            <w:tcW w:type="dxa" w:w="19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Lead</w:t>
            </w:r>
          </w:p>
        </w:tc>
        <w:tc>
          <w:tcPr>
            <w:tcW w:type="dxa" w:w="68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ref_no, customer_ref, source, product_interest, status, region_id, owner_id</w:t>
            </w:r>
          </w:p>
        </w:tc>
      </w:tr>
      <w:tr>
        <w:tc>
          <w:tcPr>
            <w:tcW w:type="dxa" w:w="19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Opportunity</w:t>
            </w:r>
          </w:p>
        </w:tc>
        <w:tc>
          <w:tcPr>
            <w:tcW w:type="dxa" w:w="68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lead_id, deal_type (Install/AMC/Product), value, stage, probability, expected_close, owner_id</w:t>
            </w:r>
          </w:p>
        </w:tc>
      </w:tr>
      <w:tr>
        <w:tc>
          <w:tcPr>
            <w:tcW w:type="dxa" w:w="19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Quotation</w:t>
            </w:r>
          </w:p>
        </w:tc>
        <w:tc>
          <w:tcPr>
            <w:tcW w:type="dxa" w:w="68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opportunity_id, version, status, subtotal, discount, tax, total, valid_till</w:t>
            </w:r>
          </w:p>
        </w:tc>
      </w:tr>
      <w:tr>
        <w:tc>
          <w:tcPr>
            <w:tcW w:type="dxa" w:w="19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QuotationLine</w:t>
            </w:r>
          </w:p>
        </w:tc>
        <w:tc>
          <w:tcPr>
            <w:tcW w:type="dxa" w:w="68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quotation_id, catalog_item_id, description, qty, unit_price, discount, tax</w:t>
            </w:r>
          </w:p>
        </w:tc>
      </w:tr>
      <w:tr>
        <w:tc>
          <w:tcPr>
            <w:tcW w:type="dxa" w:w="19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CatalogItem</w:t>
            </w:r>
          </w:p>
        </w:tc>
        <w:tc>
          <w:tcPr>
            <w:tcW w:type="dxa" w:w="68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code, name, category, unit, base_price, tax_class, active</w:t>
            </w:r>
          </w:p>
        </w:tc>
      </w:tr>
      <w:tr>
        <w:tc>
          <w:tcPr>
            <w:tcW w:type="dxa" w:w="19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PriceRule</w:t>
            </w:r>
          </w:p>
        </w:tc>
        <w:tc>
          <w:tcPr>
            <w:tcW w:type="dxa" w:w="68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catalog_item_id, region_id, rule_type, value, effective_from/to</w:t>
            </w:r>
          </w:p>
        </w:tc>
      </w:tr>
      <w:tr>
        <w:tc>
          <w:tcPr>
            <w:tcW w:type="dxa" w:w="19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AmcContract</w:t>
            </w:r>
          </w:p>
        </w:tc>
        <w:tc>
          <w:tcPr>
            <w:tcW w:type="dxa" w:w="68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customer_id, opportunity_id, type, start, end, value, frequency, status</w:t>
            </w:r>
          </w:p>
        </w:tc>
      </w:tr>
      <w:tr>
        <w:tc>
          <w:tcPr>
            <w:tcW w:type="dxa" w:w="195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Project</w:t>
            </w:r>
          </w:p>
        </w:tc>
        <w:tc>
          <w:tcPr>
            <w:tcW w:type="dxa" w:w="681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opportunity_id, customer_id, site(s), bom[], timeline, status</w:t>
            </w:r>
          </w:p>
        </w:tc>
      </w:tr>
      <w:tr>
        <w:tc>
          <w:tcPr>
            <w:tcW w:type="dxa" w:w="195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8"/>
                <w:szCs w:val="18"/>
              </w:rPr>
              <w:t xml:space="preserve">ActivityLog</w:t>
            </w:r>
          </w:p>
        </w:tc>
        <w:tc>
          <w:tcPr>
            <w:tcW w:type="dxa" w:w="681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8"/>
                <w:szCs w:val="18"/>
              </w:rPr>
              <w:t xml:space="preserve">id, entity_type, entity_id, action, actor_id, timestamp, remark (append-only)</w:t>
            </w:r>
          </w:p>
        </w:tc>
      </w:tr>
    </w:tbl>
    <w:p>
      <w:pPr>
        <w:spacing w:after="60" w:line="276"/>
      </w:pPr>
      <w:r>
        <w:rPr>
          <w:rFonts w:ascii="Calibri" w:cs="Calibri" w:eastAsia="Calibri" w:hAnsi="Calibri"/>
          <w:b/>
          <w:bCs/>
          <w:color w:val="2B2B2B"/>
          <w:sz w:val="21"/>
          <w:szCs w:val="21"/>
        </w:rPr>
        <w:t xml:space="preserve">Relationships: </w:t>
      </w:r>
      <w:r>
        <w:rPr>
          <w:rFonts w:ascii="Calibri" w:cs="Calibri" w:eastAsia="Calibri" w:hAnsi="Calibri"/>
          <w:color w:val="2B2B2B"/>
          <w:sz w:val="21"/>
          <w:szCs w:val="21"/>
        </w:rPr>
        <w:t xml:space="preserve">Lead 1→1 Opportunity; Opportunity 1→N Quotation (versions); Opportunity 1→0..1 Project and 1→0..1 AmcContract on Won; Quotation 1→N QuotationLine → CatalogItem.</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7. Non-Functional Requirements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200"/>
        <w:gridCol w:w="6560"/>
      </w:tblGrid>
      <w:tr>
        <w:trPr>
          <w:tblHeader/>
        </w:trPr>
        <w:tc>
          <w:tcPr>
            <w:tcW w:type="dxa" w:w="2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Category</w:t>
            </w:r>
          </w:p>
        </w:tc>
        <w:tc>
          <w:tcPr>
            <w:tcW w:type="dxa" w:w="6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Requirement</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Scalability</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Support growth to many regions and 100k+ opportunities without redesign; modular seams allow service extraction.</w:t>
            </w:r>
          </w:p>
        </w:tc>
      </w:tr>
      <w:tr>
        <w:tc>
          <w:tcPr>
            <w:tcW w:type="dxa" w:w="22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Performance</w:t>
            </w:r>
          </w:p>
        </w:tc>
        <w:tc>
          <w:tcPr>
            <w:tcW w:type="dxa" w:w="6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List/dashboard responses &lt; 500 ms for typical filters; PDF generation async.</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Availability</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Target 99.5%+; stateless API instances behind a load balancer.</w:t>
            </w:r>
          </w:p>
        </w:tc>
      </w:tr>
      <w:tr>
        <w:tc>
          <w:tcPr>
            <w:tcW w:type="dxa" w:w="22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Security</w:t>
            </w:r>
          </w:p>
        </w:tc>
        <w:tc>
          <w:tcPr>
            <w:tcW w:type="dxa" w:w="6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HTTPS everywhere, RBAC + RLS, encrypted secrets, audit logging, OWASP Top-10 mitigations.</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Data integrity</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Issued quotes &amp; audit logs immutable; transactional Won→Project/AMC creation.</w:t>
            </w:r>
          </w:p>
        </w:tc>
      </w:tr>
      <w:tr>
        <w:tc>
          <w:tcPr>
            <w:tcW w:type="dxa" w:w="22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Usability</w:t>
            </w:r>
          </w:p>
        </w:tc>
        <w:tc>
          <w:tcPr>
            <w:tcW w:type="dxa" w:w="6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Consistent UX across Web &amp; Mobile; mobile optimised for field sales.</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Offline (Mobile)</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Draft leads/follow-ups offline, sync when connected (phase 2).</w:t>
            </w:r>
          </w:p>
        </w:tc>
      </w:tr>
      <w:tr>
        <w:tc>
          <w:tcPr>
            <w:tcW w:type="dxa" w:w="22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Localisation</w:t>
            </w:r>
          </w:p>
        </w:tc>
        <w:tc>
          <w:tcPr>
            <w:tcW w:type="dxa" w:w="6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Currency ₹, GST-aware tax, date/number formats configurable per region.</w:t>
            </w:r>
          </w:p>
        </w:tc>
      </w:tr>
      <w:tr>
        <w:tc>
          <w:tcPr>
            <w:tcW w:type="dxa" w:w="22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Auditability</w:t>
            </w:r>
          </w:p>
        </w:tc>
        <w:tc>
          <w:tcPr>
            <w:tcW w:type="dxa" w:w="6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Every state change attributable to a user with timestamp.</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8. Integration &amp; Hand-off Points</w:t>
      </w:r>
    </w:p>
    <w:p>
      <w:pPr>
        <w:spacing w:after="100" w:line="276"/>
      </w:pPr>
      <w:r>
        <w:rPr>
          <w:rFonts w:ascii="Calibri" w:cs="Calibri" w:eastAsia="Calibri" w:hAnsi="Calibri"/>
          <w:color w:val="2B2B2B"/>
          <w:sz w:val="21"/>
          <w:szCs w:val="21"/>
        </w:rPr>
        <w:t xml:space="preserve">The Sales Module publishes domain events that other modules subscribe to. This keeps modules decoupled and consistent with the event-driven design in Section 5.</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600"/>
        <w:gridCol w:w="3080"/>
        <w:gridCol w:w="3080"/>
      </w:tblGrid>
      <w:tr>
        <w:trPr>
          <w:tblHeader/>
        </w:trPr>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Event / Trigger</w:t>
            </w:r>
          </w:p>
        </w:tc>
        <w:tc>
          <w:tcPr>
            <w:tcW w:type="dxa" w:w="308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Emitted By</w:t>
            </w:r>
          </w:p>
        </w:tc>
        <w:tc>
          <w:tcPr>
            <w:tcW w:type="dxa" w:w="308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Consumed By</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SiteSurveyRequested</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 sales flow</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Management</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QuotationIssued</w:t>
            </w:r>
          </w:p>
        </w:tc>
        <w:tc>
          <w:tcPr>
            <w:tcW w:type="dxa" w:w="30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Quotation</w:t>
            </w:r>
          </w:p>
        </w:tc>
        <w:tc>
          <w:tcPr>
            <w:tcW w:type="dxa" w:w="30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(Customer notification)</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OpportunityWon (Install)</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 Module (create project)</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OpportunityWon (AMC)</w:t>
            </w:r>
          </w:p>
        </w:tc>
        <w:tc>
          <w:tcPr>
            <w:tcW w:type="dxa" w:w="30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w:t>
            </w:r>
          </w:p>
        </w:tc>
        <w:tc>
          <w:tcPr>
            <w:tcW w:type="dxa" w:w="30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Management (activate contract)</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StockCheckRequested</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Quotation build</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Management</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MaterialReserved</w:t>
            </w:r>
          </w:p>
        </w:tc>
        <w:tc>
          <w:tcPr>
            <w:tcW w:type="dxa" w:w="30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Won installation</w:t>
            </w:r>
          </w:p>
        </w:tc>
        <w:tc>
          <w:tcPr>
            <w:tcW w:type="dxa" w:w="30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Management</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AmcRenewalDue</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Scheduler</w:t>
            </w:r>
          </w:p>
        </w:tc>
        <w:tc>
          <w:tcPr>
            <w:tcW w:type="dxa" w:w="30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 (create renewal opportunity)</w:t>
            </w:r>
          </w:p>
        </w:tc>
      </w:tr>
    </w:tbl>
    <w:tbl>
      <w:tblPr>
        <w:tblW w:type="dxa" w:w="9360"/>
        <w:tblBorders>
          <w:top w:val="single" w:color="E8F5EC" w:sz="4"/>
          <w:left w:val="single" w:color="1E7D45" w:sz="24"/>
          <w:bottom w:val="single" w:color="E8F5EC" w:sz="4"/>
          <w:right w:val="single" w:color="E8F5EC" w:sz="4"/>
          <w:insideH w:val="none"/>
          <w:insideV w:val="none"/>
        </w:tblBorders>
      </w:tblPr>
      <w:tblGrid>
        <w:gridCol w:w="9360"/>
      </w:tblGrid>
      <w:tr>
        <w:tc>
          <w:tcPr>
            <w:tcW w:type="dxa" w:w="9360"/>
            <w:shd w:fill="E8F5EC" w:color="auto" w:val="clear"/>
            <w:tcMar>
              <w:top w:type="dxa" w:w="120"/>
              <w:left w:type="dxa" w:w="160"/>
              <w:bottom w:type="dxa" w:w="120"/>
              <w:right w:type="dxa" w:w="140"/>
            </w:tcMar>
          </w:tcPr>
          <w:p>
            <w:pPr>
              <w:spacing w:after="40"/>
            </w:pPr>
            <w:r>
              <w:rPr>
                <w:rFonts w:ascii="Calibri" w:cs="Calibri" w:eastAsia="Calibri" w:hAnsi="Calibri"/>
                <w:b/>
                <w:bCs/>
                <w:color w:val="1E7D45"/>
                <w:sz w:val="21"/>
                <w:szCs w:val="21"/>
              </w:rPr>
              <w:t xml:space="preserve">Design rule</w:t>
            </w:r>
          </w:p>
          <w:p>
            <w:pPr>
              <w:spacing w:after="20" w:line="260"/>
            </w:pPr>
            <w:r>
              <w:rPr>
                <w:rFonts w:ascii="Calibri" w:cs="Calibri" w:eastAsia="Calibri" w:hAnsi="Calibri"/>
                <w:color w:val="2B2B2B"/>
                <w:sz w:val="20"/>
                <w:szCs w:val="20"/>
              </w:rPr>
              <w:t xml:space="preserve">Sales never writes into another module's tables. It emits an event or calls a published service interface. Each module owns its own data and reacts to events — this is what lets the platform grow module-by-module without tangling.</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9. Reports &amp; Dashboards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600"/>
        <w:gridCol w:w="3680"/>
        <w:gridCol w:w="2480"/>
      </w:tblGrid>
      <w:tr>
        <w:trPr>
          <w:tblHeader/>
        </w:trPr>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Report</w:t>
            </w:r>
          </w:p>
        </w:tc>
        <w:tc>
          <w:tcPr>
            <w:tcW w:type="dxa" w:w="368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Content</w:t>
            </w:r>
          </w:p>
        </w:tc>
        <w:tc>
          <w:tcPr>
            <w:tcW w:type="dxa" w:w="248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Audience</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Pipeline / Funnel</w:t>
            </w:r>
          </w:p>
        </w:tc>
        <w:tc>
          <w:tcPr>
            <w:tcW w:type="dxa" w:w="36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Opportunities by stage, value &amp; count</w:t>
            </w:r>
          </w:p>
        </w:tc>
        <w:tc>
          <w:tcPr>
            <w:tcW w:type="dxa" w:w="24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Exec, Mgr, Admin</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 Forecast</w:t>
            </w:r>
          </w:p>
        </w:tc>
        <w:tc>
          <w:tcPr>
            <w:tcW w:type="dxa" w:w="36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Weighted value by expected close month</w:t>
            </w:r>
          </w:p>
        </w:tc>
        <w:tc>
          <w:tcPr>
            <w:tcW w:type="dxa" w:w="24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Mgr, Admin</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Executive Performance</w:t>
            </w:r>
          </w:p>
        </w:tc>
        <w:tc>
          <w:tcPr>
            <w:tcW w:type="dxa" w:w="36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Leads, conversion %, won value per executive</w:t>
            </w:r>
          </w:p>
        </w:tc>
        <w:tc>
          <w:tcPr>
            <w:tcW w:type="dxa" w:w="24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Mgr, Admin</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Quotation Report</w:t>
            </w:r>
          </w:p>
        </w:tc>
        <w:tc>
          <w:tcPr>
            <w:tcW w:type="dxa" w:w="36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Issued vs accepted, avg discount, win rate</w:t>
            </w:r>
          </w:p>
        </w:tc>
        <w:tc>
          <w:tcPr>
            <w:tcW w:type="dxa" w:w="24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Mgr, Admin</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Renewals</w:t>
            </w:r>
          </w:p>
        </w:tc>
        <w:tc>
          <w:tcPr>
            <w:tcW w:type="dxa" w:w="36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Contracts expiring 30/60/90 days, renewal status</w:t>
            </w:r>
          </w:p>
        </w:tc>
        <w:tc>
          <w:tcPr>
            <w:tcW w:type="dxa" w:w="24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Mgr, Admin</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Region Comparison</w:t>
            </w:r>
          </w:p>
        </w:tc>
        <w:tc>
          <w:tcPr>
            <w:tcW w:type="dxa" w:w="36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KPIs across regions</w:t>
            </w:r>
          </w:p>
        </w:tc>
        <w:tc>
          <w:tcPr>
            <w:tcW w:type="dxa" w:w="248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Super Admin only</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Lost-Deal Analysis</w:t>
            </w:r>
          </w:p>
        </w:tc>
        <w:tc>
          <w:tcPr>
            <w:tcW w:type="dxa" w:w="36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Loss reasons breakdown</w:t>
            </w:r>
          </w:p>
        </w:tc>
        <w:tc>
          <w:tcPr>
            <w:tcW w:type="dxa" w:w="248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Mgr, Admin</w:t>
            </w:r>
          </w:p>
        </w:tc>
      </w:tr>
    </w:tbl>
    <w:p>
      <w:pPr>
        <w:spacing w:after="60" w:line="276"/>
      </w:pPr>
      <w:r>
        <w:rPr>
          <w:rFonts w:ascii="Calibri" w:cs="Calibri" w:eastAsia="Calibri" w:hAnsi="Calibri"/>
          <w:color w:val="2B2B2B"/>
          <w:sz w:val="21"/>
          <w:szCs w:val="21"/>
        </w:rPr>
        <w:t xml:space="preserve">All reports are region-scoped by RBAC, filterable by date/owner/deal-type, and exportable to Excel/PDF/CSV (consistent with the Task Module export capability).</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10. Notifications &amp; Reminders</w:t>
      </w:r>
    </w:p>
    <w:p>
      <w:pPr>
        <w:pStyle w:val="ListParagraph"/>
        <w:numPr>
          <w:ilvl w:val="0"/>
          <w:numId w:val="2"/>
        </w:numPr>
        <w:spacing w:after="60" w:line="268"/>
      </w:pPr>
      <w:r>
        <w:rPr>
          <w:rFonts w:ascii="Calibri" w:cs="Calibri" w:eastAsia="Calibri" w:hAnsi="Calibri"/>
          <w:color w:val="2B2B2B"/>
          <w:sz w:val="21"/>
          <w:szCs w:val="21"/>
        </w:rPr>
        <w:t xml:space="preserve">Instant push/email: new lead assigned, quotation approved/rejected, opportunity won, follow-up due.</w:t>
      </w:r>
    </w:p>
    <w:p>
      <w:pPr>
        <w:pStyle w:val="ListParagraph"/>
        <w:numPr>
          <w:ilvl w:val="0"/>
          <w:numId w:val="2"/>
        </w:numPr>
        <w:spacing w:after="60" w:line="268"/>
      </w:pPr>
      <w:r>
        <w:rPr>
          <w:rFonts w:ascii="Calibri" w:cs="Calibri" w:eastAsia="Calibri" w:hAnsi="Calibri"/>
          <w:color w:val="2B2B2B"/>
          <w:sz w:val="21"/>
          <w:szCs w:val="21"/>
        </w:rPr>
        <w:t xml:space="preserve">Scheduled reminders: follow-up due today/tomorrow, quote nearing expiry, AMC renewal window opening.</w:t>
      </w:r>
    </w:p>
    <w:p>
      <w:pPr>
        <w:pStyle w:val="ListParagraph"/>
        <w:numPr>
          <w:ilvl w:val="0"/>
          <w:numId w:val="2"/>
        </w:numPr>
        <w:spacing w:after="60" w:line="268"/>
      </w:pPr>
      <w:r>
        <w:rPr>
          <w:rFonts w:ascii="Calibri" w:cs="Calibri" w:eastAsia="Calibri" w:hAnsi="Calibri"/>
          <w:color w:val="2B2B2B"/>
          <w:sz w:val="21"/>
          <w:szCs w:val="21"/>
        </w:rPr>
        <w:t xml:space="preserve">Escalation: quote pending approval beyond SLA escalates to the next approver.</w:t>
      </w:r>
    </w:p>
    <w:p>
      <w:pPr>
        <w:pStyle w:val="ListParagraph"/>
        <w:numPr>
          <w:ilvl w:val="0"/>
          <w:numId w:val="2"/>
        </w:numPr>
        <w:spacing w:after="60" w:line="268"/>
      </w:pPr>
      <w:r>
        <w:rPr>
          <w:rFonts w:ascii="Calibri" w:cs="Calibri" w:eastAsia="Calibri" w:hAnsi="Calibri"/>
          <w:color w:val="2B2B2B"/>
          <w:sz w:val="21"/>
          <w:szCs w:val="21"/>
        </w:rPr>
        <w:t xml:space="preserve">Delivered to both Web (in-app) and Mobile (push), mirroring the Task Module notification model.</w:t>
      </w:r>
    </w:p>
    <w:p>
      <w:pPr>
        <w:pStyle w:val="Heading1"/>
        <w:pBdr>
          <w:bottom w:val="single" w:color="2E6CB5" w:sz="10" w:space="4"/>
        </w:pBdr>
        <w:spacing w:after="140" w:before="320"/>
      </w:pPr>
      <w:r>
        <w:rPr>
          <w:rFonts w:ascii="Calibri" w:cs="Calibri" w:eastAsia="Calibri" w:hAnsi="Calibri"/>
          <w:b/>
          <w:bCs/>
          <w:color w:val="1F3A5F"/>
          <w:sz w:val="30"/>
          <w:szCs w:val="30"/>
        </w:rPr>
        <w:t xml:space="preserve">11. Assumptions, Dependencies &amp; Future Scope</w:t>
      </w:r>
    </w:p>
    <w:p>
      <w:pPr>
        <w:pStyle w:val="Heading2"/>
        <w:spacing w:after="100" w:before="240"/>
      </w:pPr>
      <w:r>
        <w:rPr>
          <w:rFonts w:ascii="Calibri" w:cs="Calibri" w:eastAsia="Calibri" w:hAnsi="Calibri"/>
          <w:b/>
          <w:bCs/>
          <w:color w:val="2E6CB5"/>
          <w:sz w:val="25"/>
          <w:szCs w:val="25"/>
        </w:rPr>
        <w:t xml:space="preserve">11.1 Assumptions</w:t>
      </w:r>
    </w:p>
    <w:p>
      <w:pPr>
        <w:pStyle w:val="ListParagraph"/>
        <w:numPr>
          <w:ilvl w:val="0"/>
          <w:numId w:val="2"/>
        </w:numPr>
        <w:spacing w:after="60" w:line="268"/>
      </w:pPr>
      <w:r>
        <w:rPr>
          <w:rFonts w:ascii="Calibri" w:cs="Calibri" w:eastAsia="Calibri" w:hAnsi="Calibri"/>
          <w:color w:val="2B2B2B"/>
          <w:sz w:val="21"/>
          <w:szCs w:val="21"/>
        </w:rPr>
        <w:t xml:space="preserve">Customer master and Identity/User management are shared platform services available to Sales.</w:t>
      </w:r>
    </w:p>
    <w:p>
      <w:pPr>
        <w:pStyle w:val="ListParagraph"/>
        <w:numPr>
          <w:ilvl w:val="0"/>
          <w:numId w:val="2"/>
        </w:numPr>
        <w:spacing w:after="60" w:line="268"/>
      </w:pPr>
      <w:r>
        <w:rPr>
          <w:rFonts w:ascii="Calibri" w:cs="Calibri" w:eastAsia="Calibri" w:hAnsi="Calibri"/>
          <w:color w:val="2B2B2B"/>
          <w:sz w:val="21"/>
          <w:szCs w:val="21"/>
        </w:rPr>
        <w:t xml:space="preserve">A single currency (₹) and GST tax model apply initially; extensible later.</w:t>
      </w:r>
    </w:p>
    <w:p>
      <w:pPr>
        <w:pStyle w:val="Heading2"/>
        <w:spacing w:after="100" w:before="240"/>
      </w:pPr>
      <w:r>
        <w:rPr>
          <w:rFonts w:ascii="Calibri" w:cs="Calibri" w:eastAsia="Calibri" w:hAnsi="Calibri"/>
          <w:b/>
          <w:bCs/>
          <w:color w:val="2E6CB5"/>
          <w:sz w:val="25"/>
          <w:szCs w:val="25"/>
        </w:rPr>
        <w:t xml:space="preserve">11.2 Dependencies</w:t>
      </w:r>
    </w:p>
    <w:p>
      <w:pPr>
        <w:pStyle w:val="ListParagraph"/>
        <w:numPr>
          <w:ilvl w:val="0"/>
          <w:numId w:val="2"/>
        </w:numPr>
        <w:spacing w:after="60" w:line="268"/>
      </w:pPr>
      <w:r>
        <w:rPr>
          <w:rFonts w:ascii="Calibri" w:cs="Calibri" w:eastAsia="Calibri" w:hAnsi="Calibri"/>
          <w:color w:val="2B2B2B"/>
          <w:sz w:val="21"/>
          <w:szCs w:val="21"/>
        </w:rPr>
        <w:t xml:space="preserve">Material Module API for stock checks and reservations.</w:t>
      </w:r>
    </w:p>
    <w:p>
      <w:pPr>
        <w:pStyle w:val="ListParagraph"/>
        <w:numPr>
          <w:ilvl w:val="0"/>
          <w:numId w:val="2"/>
        </w:numPr>
        <w:spacing w:after="60" w:line="268"/>
      </w:pPr>
      <w:r>
        <w:rPr>
          <w:rFonts w:ascii="Calibri" w:cs="Calibri" w:eastAsia="Calibri" w:hAnsi="Calibri"/>
          <w:color w:val="2B2B2B"/>
          <w:sz w:val="21"/>
          <w:szCs w:val="21"/>
        </w:rPr>
        <w:t xml:space="preserve">Project &amp; AMC Modules to receive Won hand-offs.</w:t>
      </w:r>
    </w:p>
    <w:p>
      <w:pPr>
        <w:pStyle w:val="ListParagraph"/>
        <w:numPr>
          <w:ilvl w:val="0"/>
          <w:numId w:val="2"/>
        </w:numPr>
        <w:spacing w:after="60" w:line="268"/>
      </w:pPr>
      <w:r>
        <w:rPr>
          <w:rFonts w:ascii="Calibri" w:cs="Calibri" w:eastAsia="Calibri" w:hAnsi="Calibri"/>
          <w:color w:val="2B2B2B"/>
          <w:sz w:val="21"/>
          <w:szCs w:val="21"/>
        </w:rPr>
        <w:t xml:space="preserve">Notification infrastructure (push + email).</w:t>
      </w:r>
    </w:p>
    <w:p>
      <w:pPr>
        <w:pStyle w:val="Heading2"/>
        <w:spacing w:after="100" w:before="240"/>
      </w:pPr>
      <w:r>
        <w:rPr>
          <w:rFonts w:ascii="Calibri" w:cs="Calibri" w:eastAsia="Calibri" w:hAnsi="Calibri"/>
          <w:b/>
          <w:bCs/>
          <w:color w:val="2E6CB5"/>
          <w:sz w:val="25"/>
          <w:szCs w:val="25"/>
        </w:rPr>
        <w:t xml:space="preserve">11.3 Future Scope (Later Phases)</w:t>
      </w:r>
    </w:p>
    <w:p>
      <w:pPr>
        <w:pStyle w:val="ListParagraph"/>
        <w:numPr>
          <w:ilvl w:val="0"/>
          <w:numId w:val="2"/>
        </w:numPr>
        <w:spacing w:after="60" w:line="268"/>
      </w:pPr>
      <w:r>
        <w:rPr>
          <w:rFonts w:ascii="Calibri" w:cs="Calibri" w:eastAsia="Calibri" w:hAnsi="Calibri"/>
          <w:color w:val="2B2B2B"/>
          <w:sz w:val="21"/>
          <w:szCs w:val="21"/>
        </w:rPr>
        <w:t xml:space="preserve">Offline-first mobile sync for field sales.</w:t>
      </w:r>
    </w:p>
    <w:p>
      <w:pPr>
        <w:pStyle w:val="ListParagraph"/>
        <w:numPr>
          <w:ilvl w:val="0"/>
          <w:numId w:val="2"/>
        </w:numPr>
        <w:spacing w:after="60" w:line="268"/>
      </w:pPr>
      <w:r>
        <w:rPr>
          <w:rFonts w:ascii="Calibri" w:cs="Calibri" w:eastAsia="Calibri" w:hAnsi="Calibri"/>
          <w:color w:val="2B2B2B"/>
          <w:sz w:val="21"/>
          <w:szCs w:val="21"/>
        </w:rPr>
        <w:t xml:space="preserve">AI-assisted lead scoring &amp; next-best-action.</w:t>
      </w:r>
    </w:p>
    <w:p>
      <w:pPr>
        <w:pStyle w:val="ListParagraph"/>
        <w:numPr>
          <w:ilvl w:val="0"/>
          <w:numId w:val="2"/>
        </w:numPr>
        <w:spacing w:after="60" w:line="268"/>
      </w:pPr>
      <w:r>
        <w:rPr>
          <w:rFonts w:ascii="Calibri" w:cs="Calibri" w:eastAsia="Calibri" w:hAnsi="Calibri"/>
          <w:color w:val="2B2B2B"/>
          <w:sz w:val="21"/>
          <w:szCs w:val="21"/>
        </w:rPr>
        <w:t xml:space="preserve">Customer self-service portal to accept quotes online.</w:t>
      </w:r>
    </w:p>
    <w:p>
      <w:pPr>
        <w:pStyle w:val="ListParagraph"/>
        <w:numPr>
          <w:ilvl w:val="0"/>
          <w:numId w:val="2"/>
        </w:numPr>
        <w:spacing w:after="60" w:line="268"/>
      </w:pPr>
      <w:r>
        <w:rPr>
          <w:rFonts w:ascii="Calibri" w:cs="Calibri" w:eastAsia="Calibri" w:hAnsi="Calibri"/>
          <w:color w:val="2B2B2B"/>
          <w:sz w:val="21"/>
          <w:szCs w:val="21"/>
        </w:rPr>
        <w:t xml:space="preserve">E-signature on quotations and contracts.</w:t>
      </w:r>
    </w:p>
    <w:p>
      <w:pPr>
        <w:pStyle w:val="ListParagraph"/>
        <w:numPr>
          <w:ilvl w:val="0"/>
          <w:numId w:val="2"/>
        </w:numPr>
        <w:spacing w:after="60" w:line="268"/>
      </w:pPr>
      <w:r>
        <w:rPr>
          <w:rFonts w:ascii="Calibri" w:cs="Calibri" w:eastAsia="Calibri" w:hAnsi="Calibri"/>
          <w:color w:val="2B2B2B"/>
          <w:sz w:val="21"/>
          <w:szCs w:val="21"/>
        </w:rPr>
        <w:t xml:space="preserve">WhatsApp / SMS integration for follow-ups.</w:t>
      </w:r>
    </w:p>
    <w:p>
      <w:pPr>
        <w:spacing w:after="200"/>
      </w:pPr>
      <w:r>
        <w:rPr>
          <w:rFonts w:ascii="Calibri" w:cs="Calibri" w:eastAsia="Calibri" w:hAnsi="Calibri"/>
          <w:sz w:val="8"/>
          <w:szCs w:val="8"/>
        </w:rPr>
        <w:t xml:space="preserve"/>
      </w:r>
    </w:p>
    <w:p>
      <w:pPr>
        <w:spacing w:after="100" w:line="276"/>
      </w:pPr>
      <w:r>
        <w:rPr>
          <w:rFonts w:ascii="Calibri" w:cs="Calibri" w:eastAsia="Calibri" w:hAnsi="Calibri"/>
          <w:b/>
          <w:bCs/>
          <w:color w:val="1F3A5F"/>
          <w:sz w:val="21"/>
          <w:szCs w:val="21"/>
        </w:rPr>
        <w:t xml:space="preserve">End of Sales Module Requirements — Version 1.0. </w:t>
      </w:r>
      <w:r>
        <w:rPr>
          <w:rFonts w:ascii="Calibri" w:cs="Calibri" w:eastAsia="Calibri" w:hAnsi="Calibri"/>
          <w:i/>
          <w:iCs/>
          <w:color w:val="5A6472"/>
          <w:sz w:val="21"/>
          <w:szCs w:val="21"/>
        </w:rPr>
        <w:t xml:space="preserve">This is Module 1 of the CRM suite; subsequent modules (Task, AMC, Project, Material, Attendance) follow the same architecture, region model and event-driven hand-offs defined here.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3" w:sz="6" w:space="4"/>
      </w:pBdr>
      <w:spacing w:before="40"/>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3" w:sz="6" w:space="4"/>
      </w:pBdr>
      <w:spacing w:after="60"/>
    </w:pPr>
    <w:r>
      <w:rPr>
        <w:rFonts w:ascii="Calibri" w:cs="Calibri" w:eastAsia="Calibri" w:hAnsi="Calibri"/>
        <w:color w:val="5A6472"/>
        <w:sz w:val="16"/>
        <w:szCs w:val="16"/>
      </w:rPr>
      <w:t xml:space="preserve">CRM Platform  ·  Sales Module SRS</w:t>
    </w:r>
    <w:r>
      <w:ptab w:alignment="right" w:relativeTo="margin" w:leader="none"/>
    </w:r>
    <w:r>
      <w:rPr>
        <w:rFonts w:ascii="Calibri" w:cs="Calibri" w:eastAsia="Calibri" w:hAnsi="Calibri"/>
        <w:color w:val="5A6472"/>
        <w:sz w:val="16"/>
        <w:szCs w:val="16"/>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6CB5"/>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Module - Requirements &amp; Architecture Specification</dc:title>
  <dc:creator>CRM Platform Team</dc:creator>
  <cp:lastModifiedBy>Un-named</cp:lastModifiedBy>
  <cp:revision>1</cp:revision>
  <dcterms:created xsi:type="dcterms:W3CDTF">2026-07-20T07:32:13.006Z</dcterms:created>
  <dcterms:modified xsi:type="dcterms:W3CDTF">2026-07-20T07:32:13.022Z</dcterms:modified>
</cp:coreProperties>
</file>

<file path=docProps/custom.xml><?xml version="1.0" encoding="utf-8"?>
<Properties xmlns="http://schemas.openxmlformats.org/officeDocument/2006/custom-properties" xmlns:vt="http://schemas.openxmlformats.org/officeDocument/2006/docPropsVTypes"/>
</file>