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\section{Discussion}</w:t>
      </w:r>
    </w:p>
    <w:p w:rsidR="00AF4F7D" w:rsidRPr="00AF4F7D" w:rsidRDefault="00AF4F7D" w:rsidP="00AF4F7D">
      <w:pPr>
        <w:rPr>
          <w:lang w:val="en-US"/>
        </w:rPr>
      </w:pP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In this chapter the influence of heart beat motion on the PVs was studied and treatment planning studies with rescanning as motion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mitigation technique were carried out. A detailed analysis of the dose depositions to the OAR was performed, with special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emphasis on the irradiation of cardiac substructures. Beforehand, a study of the best suited field number and beam directions was 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conducted as well as an analysis of possible safety margin limitations. </w:t>
      </w:r>
    </w:p>
    <w:p w:rsidR="00AF4F7D" w:rsidRPr="00AF4F7D" w:rsidRDefault="00AF4F7D" w:rsidP="00AF4F7D">
      <w:pPr>
        <w:rPr>
          <w:lang w:val="en-US"/>
        </w:rPr>
      </w:pPr>
    </w:p>
    <w:p w:rsidR="00AF4F7D" w:rsidRPr="00AF4F7D" w:rsidRDefault="00AF4F7D" w:rsidP="00AF4F7D">
      <w:pPr>
        <w:rPr>
          <w:lang w:val="en-US"/>
        </w:rPr>
      </w:pP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\subsection{Dose to critical structures}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\label{</w:t>
      </w:r>
      <w:proofErr w:type="spellStart"/>
      <w:r w:rsidRPr="00AF4F7D">
        <w:rPr>
          <w:lang w:val="en-US"/>
        </w:rPr>
        <w:t>Discussion:doseOAR</w:t>
      </w:r>
      <w:proofErr w:type="spellEnd"/>
      <w:r w:rsidRPr="00AF4F7D">
        <w:rPr>
          <w:lang w:val="en-US"/>
        </w:rPr>
        <w:t>}</w:t>
      </w:r>
    </w:p>
    <w:p w:rsidR="00AF4F7D" w:rsidRPr="00AF4F7D" w:rsidRDefault="00AF4F7D" w:rsidP="00AF4F7D">
      <w:pPr>
        <w:rPr>
          <w:lang w:val="en-US"/>
        </w:rPr>
      </w:pP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Concerning the dose deposition in OAR (esophagus, trachea, aorta and heart) dose-volume limits from SBRT were used. In SBRT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treatment of a high dose is also applied in a single fraction and hence comparable to the here stated dose delivery of 25Gy physical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dose in one treatment session.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An extensive collection of dose-volume-limits for SBRT are presented in the study protocols of the Radiation Therapy Oncology Group (RTOG).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The trachea (10.5Gy in 4cm$^{3}$) and aorta (31Gy in 10cm$^{3}$) dose-volume limits were not exceeded for any of the studied field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numbers and beam channel combinations. The same is valid while keeping the chosen three fields (couch angle of 90$^{\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 xml:space="preserve">}$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and gantry angles of -45$^{\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>}$, 135$^{\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>}$ and 0$^{\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 xml:space="preserve">}$) constant and changing the studied safety margins (0mm, 3mm, 5mm and 7mm).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For the esophagus on the other hand, the dose-volume limits are much more critical. Most of the studied beam directions yielded a dose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which exceeded the stated dose-volume limit (11.9Gy for 5cm$^{3}$). Hence an IMPT delivery, including the esophagus in the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optimization process, was necessary. With this delivery technique and the above stated beam direction, the dose to the esophagus could be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drastically reduced,. Nevertheless only an irradiation of the PVs with 3mm safety margin resulted in a dose deposition into the esophagus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which met the dose volume limit (median of 9.25Gy, 75th percentile: 12.13Gy). This result could be drastically improved with different IMPT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parameters, enabling a safe irradiation when patient specific IMPT parameters were used.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Thus also safety margins higher then 3mm should result in a uncritical dose deposition.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For the heart all beam channels, safety margins and delivery types (ITV or IMPT) exceeded the stated dose-volume limit (16 </w:t>
      </w:r>
      <w:proofErr w:type="spellStart"/>
      <w:r w:rsidRPr="00AF4F7D">
        <w:rPr>
          <w:lang w:val="en-US"/>
        </w:rPr>
        <w:t>Gy</w:t>
      </w:r>
      <w:proofErr w:type="spellEnd"/>
      <w:r w:rsidRPr="00AF4F7D">
        <w:rPr>
          <w:lang w:val="en-US"/>
        </w:rPr>
        <w:t xml:space="preserve"> for 15cm$^{3}$).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This is due to the fact that the heart is not only an OAR in the here presented, non-invasive treatment modality for PV isolation,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lastRenderedPageBreak/>
        <w:t xml:space="preserve">but part of the cardiac structures are also the target itself. Hence a closer look on the affected cardiac substructures and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the relevance of these dose depositions on cardiac toxicity and late effects were given.\newline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\newline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QUANTEC (quantitative analysis of normal tissue effects in the clinic) \cite{QUANTEC10} offers an comprehensive literatur</w:t>
      </w:r>
      <w:r>
        <w:rPr>
          <w:lang w:val="en-US"/>
        </w:rPr>
        <w:t>e</w:t>
      </w:r>
      <w:r w:rsidRPr="00AF4F7D">
        <w:rPr>
          <w:lang w:val="en-US"/>
        </w:rPr>
        <w:t xml:space="preserve"> review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on the available data of the last 20 years and is meant as an update of the </w:t>
      </w:r>
      <w:r w:rsidRPr="00AF4F7D">
        <w:rPr>
          <w:lang w:val="en-US"/>
        </w:rPr>
        <w:t>extensively</w:t>
      </w:r>
      <w:r w:rsidRPr="00AF4F7D">
        <w:rPr>
          <w:lang w:val="en-US"/>
        </w:rPr>
        <w:t xml:space="preserve"> used dose-limits proposed by </w:t>
      </w:r>
      <w:proofErr w:type="spellStart"/>
      <w:r w:rsidRPr="00AF4F7D">
        <w:rPr>
          <w:lang w:val="en-US"/>
        </w:rPr>
        <w:t>Emami</w:t>
      </w:r>
      <w:proofErr w:type="spellEnd"/>
      <w:r w:rsidRPr="00AF4F7D">
        <w:rPr>
          <w:lang w:val="en-US"/>
        </w:rPr>
        <w:t xml:space="preserve"> et al.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\cite{Ema91}. In the QUANTEC publication by </w:t>
      </w:r>
      <w:proofErr w:type="spellStart"/>
      <w:r w:rsidRPr="00AF4F7D">
        <w:rPr>
          <w:lang w:val="en-US"/>
        </w:rPr>
        <w:t>Gagliardi</w:t>
      </w:r>
      <w:proofErr w:type="spellEnd"/>
      <w:r w:rsidRPr="00AF4F7D">
        <w:rPr>
          <w:lang w:val="en-US"/>
        </w:rPr>
        <w:t xml:space="preserve"> et al. \cite{Gag10} radiation dose-volume effects in the heart are presented.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It is stated that radiation-induced cardiac diseases are distinguished between acute injuries like pericarditis\footnote{inflammation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of the sac containing the heart}, which can turn into a chronic disease, and late injuries which manifest months or even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years after radiation exposure. Typical late injuries are congestive heart failure\footnote{heart is unable to maintain sufficient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blood flow}, ischemia\footnote{deficient blood supply}, coronary artery disease and myocardial infarction\footnote{heart attack}.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It was summarized that it remains uncertain which region of the heart is most important for radiation induced tissue </w:t>
      </w:r>
      <w:r w:rsidRPr="00AF4F7D">
        <w:rPr>
          <w:lang w:val="en-US"/>
        </w:rPr>
        <w:t>toxicities</w:t>
      </w:r>
      <w:r w:rsidRPr="00AF4F7D">
        <w:rPr>
          <w:lang w:val="en-US"/>
        </w:rPr>
        <w:t xml:space="preserve">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But it is stated that the risk of cardiac events is probably related to both dose and irradiated volume.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Pericarditis seems to be related to left ventricle (LV) irradiation, and it was found that LV shielding was able to drastically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reduce the incidence rate \cite{Carm76}. It was stated that a mean cardiac dose of 27.1 </w:t>
      </w:r>
      <w:proofErr w:type="spellStart"/>
      <w:r w:rsidRPr="00AF4F7D">
        <w:rPr>
          <w:lang w:val="en-US"/>
        </w:rPr>
        <w:t>Gy</w:t>
      </w:r>
      <w:proofErr w:type="spellEnd"/>
      <w:r w:rsidRPr="00AF4F7D">
        <w:rPr>
          <w:lang w:val="en-US"/>
        </w:rPr>
        <w:t xml:space="preserve"> and maximum dose of 47 </w:t>
      </w:r>
      <w:proofErr w:type="spellStart"/>
      <w:r w:rsidRPr="00AF4F7D">
        <w:rPr>
          <w:lang w:val="en-US"/>
        </w:rPr>
        <w:t>Gy</w:t>
      </w:r>
      <w:proofErr w:type="spellEnd"/>
      <w:r w:rsidRPr="00AF4F7D">
        <w:rPr>
          <w:lang w:val="en-US"/>
        </w:rPr>
        <w:t xml:space="preserve"> seem to act as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predictors for pericarditis \cite{Mar98}.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% and a fraction size of smaller than 3.5 </w:t>
      </w:r>
      <w:proofErr w:type="spellStart"/>
      <w:r w:rsidRPr="00AF4F7D">
        <w:rPr>
          <w:lang w:val="en-US"/>
        </w:rPr>
        <w:t>Gy</w:t>
      </w:r>
      <w:proofErr w:type="spellEnd"/>
      <w:r w:rsidRPr="00AF4F7D">
        <w:rPr>
          <w:lang w:val="en-US"/>
        </w:rPr>
        <w:t xml:space="preserve"> per fraction did not result in pericarditis.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Wei et al. \cite{Wei08} stated another discriminator for pericarditis which was found to be V30 &lt; 46\%, which translates in a mean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pericardial dose of less than 26 </w:t>
      </w:r>
      <w:proofErr w:type="spellStart"/>
      <w:r w:rsidRPr="00AF4F7D">
        <w:rPr>
          <w:lang w:val="en-US"/>
        </w:rPr>
        <w:t>Gy</w:t>
      </w:r>
      <w:proofErr w:type="spellEnd"/>
      <w:r w:rsidRPr="00AF4F7D">
        <w:rPr>
          <w:lang w:val="en-US"/>
        </w:rPr>
        <w:t xml:space="preserve">. For coronary and ischemic events relevant </w:t>
      </w:r>
      <w:proofErr w:type="spellStart"/>
      <w:r w:rsidRPr="00AF4F7D">
        <w:rPr>
          <w:lang w:val="en-US"/>
        </w:rPr>
        <w:t>substructcm</w:t>
      </w:r>
      <w:proofErr w:type="spellEnd"/>
      <w:r w:rsidRPr="00AF4F7D">
        <w:rPr>
          <w:lang w:val="en-US"/>
        </w:rPr>
        <w:t>$^{3}$</w:t>
      </w:r>
      <w:proofErr w:type="spellStart"/>
      <w:r w:rsidRPr="00AF4F7D">
        <w:rPr>
          <w:lang w:val="en-US"/>
        </w:rPr>
        <w:t>ures</w:t>
      </w:r>
      <w:proofErr w:type="spellEnd"/>
      <w:r w:rsidRPr="00AF4F7D">
        <w:rPr>
          <w:lang w:val="en-US"/>
        </w:rPr>
        <w:t xml:space="preserve"> are assumed to be coronary arteries on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the left ventricle (LCA) \cite{Nie07} \cite{Tay07} \cite{Tay08}. Furthermore it is stated that excess deaths from heart disease are observed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in patients receiving more than 42 </w:t>
      </w:r>
      <w:proofErr w:type="spellStart"/>
      <w:r w:rsidRPr="00AF4F7D">
        <w:rPr>
          <w:lang w:val="en-US"/>
        </w:rPr>
        <w:t>Gy</w:t>
      </w:r>
      <w:proofErr w:type="spellEnd"/>
      <w:r w:rsidRPr="00AF4F7D">
        <w:rPr>
          <w:lang w:val="en-US"/>
        </w:rPr>
        <w:t xml:space="preserve"> \cite{Han93} and that aortic and mitral stenosis incidences increased above a </w:t>
      </w:r>
      <w:r w:rsidRPr="00AF4F7D">
        <w:rPr>
          <w:lang w:val="en-US"/>
        </w:rPr>
        <w:t>threshold</w:t>
      </w:r>
      <w:r w:rsidRPr="00AF4F7D">
        <w:rPr>
          <w:lang w:val="en-US"/>
        </w:rPr>
        <w:t xml:space="preserve"> dose of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30 </w:t>
      </w:r>
      <w:proofErr w:type="spellStart"/>
      <w:r w:rsidRPr="00AF4F7D">
        <w:rPr>
          <w:lang w:val="en-US"/>
        </w:rPr>
        <w:t>Gy</w:t>
      </w:r>
      <w:proofErr w:type="spellEnd"/>
      <w:r w:rsidRPr="00AF4F7D">
        <w:rPr>
          <w:lang w:val="en-US"/>
        </w:rPr>
        <w:t xml:space="preserve"> \cite{Tay07}. For long term cardiac </w:t>
      </w:r>
      <w:r w:rsidRPr="00AF4F7D">
        <w:rPr>
          <w:lang w:val="en-US"/>
        </w:rPr>
        <w:t>mortality</w:t>
      </w:r>
      <w:r w:rsidRPr="00AF4F7D">
        <w:rPr>
          <w:lang w:val="en-US"/>
        </w:rPr>
        <w:t xml:space="preserve"> an increased rate was only observed at whole heart doses above 30 </w:t>
      </w:r>
      <w:proofErr w:type="spellStart"/>
      <w:r w:rsidRPr="00AF4F7D">
        <w:rPr>
          <w:lang w:val="en-US"/>
        </w:rPr>
        <w:t>Gy</w:t>
      </w:r>
      <w:proofErr w:type="spellEnd"/>
      <w:r w:rsidRPr="00AF4F7D">
        <w:rPr>
          <w:lang w:val="en-US"/>
        </w:rPr>
        <w:t xml:space="preserve"> \cite{Han93}.\newline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\newline</w:t>
      </w:r>
    </w:p>
    <w:p w:rsidR="00AF4F7D" w:rsidRPr="00AF4F7D" w:rsidRDefault="00AF4F7D" w:rsidP="00AF4F7D">
      <w:pPr>
        <w:rPr>
          <w:lang w:val="en-US"/>
        </w:rPr>
      </w:pPr>
      <w:proofErr w:type="spellStart"/>
      <w:r w:rsidRPr="00AF4F7D">
        <w:rPr>
          <w:lang w:val="en-US"/>
        </w:rPr>
        <w:t>Hooning</w:t>
      </w:r>
      <w:proofErr w:type="spellEnd"/>
      <w:r w:rsidRPr="00AF4F7D">
        <w:rPr>
          <w:lang w:val="en-US"/>
        </w:rPr>
        <w:t xml:space="preserve"> et al. \cite{Hoo07} studied the cardiovascular disease incidence in more than 4000 breast cancer survivors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after a follow-up period of more than 10 years as patients were treated from 1970 through 1986. It was the first study to examine the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effects of cardiovascular risk factors in combination to radiotherapy. They found that the risk of congestive heart failure was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lastRenderedPageBreak/>
        <w:t xml:space="preserve">significantly increased when the patients had received chemotherapy (95\% confidence interval of 1.25 to 2.73) and that smoking drastically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increased the risk of the patients to suffer a myocardial infarction (95\% confidence interval of 2.03 to 4.55). Concerning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radiotherapy they stated that a higher mean dose to the whole heart resulted in an increased risk of congestive heart failure and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that an irradiation of the left vs right chest wall (thus more heart volume and in particular including the LV and apex) led to an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increased risk of myocardial infarction.\newline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\newline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A recent study by Darby et al. \cite{Dar13} investigated more than 2000 breast cancer patients treated in between 1958 and 2001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for coronary events like myocardial infarction, coronary revascularization or death from ischemic heart disease. The found a mean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heart dose of 4.9 </w:t>
      </w:r>
      <w:proofErr w:type="spellStart"/>
      <w:r w:rsidRPr="00AF4F7D">
        <w:rPr>
          <w:lang w:val="en-US"/>
        </w:rPr>
        <w:t>Gy</w:t>
      </w:r>
      <w:proofErr w:type="spellEnd"/>
      <w:r w:rsidRPr="00AF4F7D">
        <w:rPr>
          <w:lang w:val="en-US"/>
        </w:rPr>
        <w:t xml:space="preserve"> (0.03 </w:t>
      </w:r>
      <w:proofErr w:type="spellStart"/>
      <w:r w:rsidRPr="00AF4F7D">
        <w:rPr>
          <w:lang w:val="en-US"/>
        </w:rPr>
        <w:t>Gy</w:t>
      </w:r>
      <w:proofErr w:type="spellEnd"/>
      <w:r w:rsidRPr="00AF4F7D">
        <w:rPr>
          <w:lang w:val="en-US"/>
        </w:rPr>
        <w:t xml:space="preserve"> to 27.72 </w:t>
      </w:r>
      <w:proofErr w:type="spellStart"/>
      <w:r w:rsidRPr="00AF4F7D">
        <w:rPr>
          <w:lang w:val="en-US"/>
        </w:rPr>
        <w:t>Gy</w:t>
      </w:r>
      <w:proofErr w:type="spellEnd"/>
      <w:r w:rsidRPr="00AF4F7D">
        <w:rPr>
          <w:lang w:val="en-US"/>
        </w:rPr>
        <w:t xml:space="preserve">) and that the rates of major coronary events increased linearly with the mean heart dose.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They stated an increase of incidences by 7.4\% per </w:t>
      </w:r>
      <w:proofErr w:type="spellStart"/>
      <w:r w:rsidRPr="00AF4F7D">
        <w:rPr>
          <w:lang w:val="en-US"/>
        </w:rPr>
        <w:t>Gy</w:t>
      </w:r>
      <w:proofErr w:type="spellEnd"/>
      <w:r w:rsidRPr="00AF4F7D">
        <w:rPr>
          <w:lang w:val="en-US"/>
        </w:rPr>
        <w:t xml:space="preserve"> (95\% confidence interval of 2.9 to 14.5) after five years post radiotherapy.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\</w:t>
      </w:r>
      <w:proofErr w:type="spellStart"/>
      <w:r w:rsidRPr="00AF4F7D">
        <w:rPr>
          <w:lang w:val="en-US"/>
        </w:rPr>
        <w:t>newpage</w:t>
      </w:r>
      <w:proofErr w:type="spellEnd"/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For the here studied seventeen beam channel combinations, applying a physical dose of 25Gy, the mean dose over all five studied patients was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found to have a median of 1.26Gy (75th percentile: 1.48Gy). The median over the maximal point dose was 26.60Gy (75th percentile: 27.12Gy),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while in general less than 30\% of the heart was irradiated. With the chosen field number of three beam channels with directions of a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couch angle of 90$^{\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>}$ and gantry angles of -45$^{\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>}$, 135$^{\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>}$ and 0$^{\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 xml:space="preserve">}$, the mean dose was found to less than 2Gy in all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studied patient cases. For different added safety margins to the PVs it was found that the median mean dose over all patients was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0.97Gy (75th percentile: 1.12Gy) with no margin, 1.26Gy (75th percentile: 1.48Gy) for 3mm, 1.43Gy (75th percentile:1.59Gy) for 5mm and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1.54Gy (75th percentile: 1.63Gy) for 7mm margin. Hence, all these results are in good agreement to the dose and volume limitations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stated in the above studies and thus no pericarditis should be expected when irradiating the PVs with an IMPT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delivery of carbon ions.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As the LV, and with it especially the LCA, are assumed to be radiosensitive structures within the heart the dose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depositions to these structures were analyzed in more detail. It was found that three beam channel directions were best suited to yield a lower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mean dose deposition in the LCA. Due to robustness criteria of the treatment delivery the above stated beam channel combination was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chosen. With this delivery direction it was found that the mean dose to the LCA was, dependent on the used safety margin, 0.22 </w:t>
      </w:r>
      <w:proofErr w:type="spellStart"/>
      <w:r w:rsidRPr="00AF4F7D">
        <w:rPr>
          <w:lang w:val="en-US"/>
        </w:rPr>
        <w:t>Gy</w:t>
      </w:r>
      <w:proofErr w:type="spellEnd"/>
      <w:r w:rsidRPr="00AF4F7D">
        <w:rPr>
          <w:lang w:val="en-US"/>
        </w:rPr>
        <w:t xml:space="preserve">(75th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lastRenderedPageBreak/>
        <w:t xml:space="preserve">percentile: 0.54Gy) with no margin, 0.46Gy (75th percentile: 0.46Gy) for 3mm margin, 0.69Gy (75th percentile: 1.13Gy) for 5mm and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1.45Gy (75th percentile: 1.58Gy) for 7mm. The maximum point dose to the LCA with these beam channels nevertheless led to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an increased dose in the left chamber compared to the right site. This is due to the proximity of the upper LCA branches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to the LPV target site. </w:t>
      </w:r>
    </w:p>
    <w:p w:rsidR="00AF4F7D" w:rsidRPr="00AF4F7D" w:rsidRDefault="00AF4F7D" w:rsidP="00AF4F7D">
      <w:pPr>
        <w:rPr>
          <w:lang w:val="en-US"/>
        </w:rPr>
      </w:pP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\subsection{Beam channel directions and safety margins}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In general, it can be stated that field number and beam direction always result in a trade-off between dose to the OAR, irradiation time and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robustness. While less fields and hence beam directions shorten the treatment time, it does lead to a less robust treatment. In case OAR are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displaced during the treatment (</w:t>
      </w:r>
      <w:proofErr w:type="spellStart"/>
      <w:r w:rsidRPr="00AF4F7D">
        <w:rPr>
          <w:lang w:val="en-US"/>
        </w:rPr>
        <w:t>intrafractional</w:t>
      </w:r>
      <w:proofErr w:type="spellEnd"/>
      <w:r w:rsidRPr="00AF4F7D">
        <w:rPr>
          <w:lang w:val="en-US"/>
        </w:rPr>
        <w:t xml:space="preserve"> motion, see Introduction) or move in between CT image acquisition and irradiation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(</w:t>
      </w:r>
      <w:proofErr w:type="spellStart"/>
      <w:r w:rsidRPr="00AF4F7D">
        <w:rPr>
          <w:lang w:val="en-US"/>
        </w:rPr>
        <w:t>interfractional</w:t>
      </w:r>
      <w:proofErr w:type="spellEnd"/>
      <w:r w:rsidRPr="00AF4F7D">
        <w:rPr>
          <w:lang w:val="en-US"/>
        </w:rPr>
        <w:t xml:space="preserve"> motion) beam channels with a large angle in between them are more robust, as not all fields are affected by this </w:t>
      </w:r>
      <w:r w:rsidRPr="00AF4F7D">
        <w:rPr>
          <w:lang w:val="en-US"/>
        </w:rPr>
        <w:t>displacement</w:t>
      </w:r>
      <w:r w:rsidRPr="00AF4F7D">
        <w:rPr>
          <w:lang w:val="en-US"/>
        </w:rPr>
        <w:t xml:space="preserve">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and hence only a small </w:t>
      </w:r>
      <w:proofErr w:type="spellStart"/>
      <w:r w:rsidRPr="00AF4F7D">
        <w:rPr>
          <w:lang w:val="en-US"/>
        </w:rPr>
        <w:t>dosis</w:t>
      </w:r>
      <w:proofErr w:type="spellEnd"/>
      <w:r w:rsidRPr="00AF4F7D">
        <w:rPr>
          <w:lang w:val="en-US"/>
        </w:rPr>
        <w:t xml:space="preserve"> would be shifted. Furthermore, opposite fields (like -45$^{\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>}$ and 135$^{\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 xml:space="preserve">}$ (see figure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\ref{</w:t>
      </w:r>
      <w:proofErr w:type="spellStart"/>
      <w:r w:rsidRPr="00AF4F7D">
        <w:rPr>
          <w:lang w:val="en-US"/>
        </w:rPr>
        <w:t>gantrydirection</w:t>
      </w:r>
      <w:proofErr w:type="spellEnd"/>
      <w:r w:rsidRPr="00AF4F7D">
        <w:rPr>
          <w:lang w:val="en-US"/>
        </w:rPr>
        <w:t xml:space="preserve">}) are more robust against potential range uncertainties and should hence be favored. Due to this reason, combined with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the smaller LCA dose deposition in case of three field numbers, a couch angle of 90$^{\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>}$ and gantry angles of -45$^{\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 xml:space="preserve">}$,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135$^{\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>}$ and 0$^{\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 xml:space="preserve">}$ was selected for the </w:t>
      </w:r>
      <w:r w:rsidRPr="00AF4F7D">
        <w:rPr>
          <w:lang w:val="en-US"/>
        </w:rPr>
        <w:t>safety</w:t>
      </w:r>
      <w:r w:rsidRPr="00AF4F7D">
        <w:rPr>
          <w:lang w:val="en-US"/>
        </w:rPr>
        <w:t xml:space="preserve"> margin limitation studies as well as the motion mitigation treatment plans.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Concerning safety margins, which need to be applied in order to account for possible deviations </w:t>
      </w:r>
      <w:r w:rsidRPr="00AF4F7D">
        <w:rPr>
          <w:lang w:val="en-US"/>
        </w:rPr>
        <w:t>in between</w:t>
      </w:r>
      <w:r w:rsidRPr="00AF4F7D">
        <w:rPr>
          <w:lang w:val="en-US"/>
        </w:rPr>
        <w:t xml:space="preserve"> treatment planning and dose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delivery, it can be stated that only a small margin tolerance was observed. This is due to the difficult position of the PVs close to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radiosensitive structures like the esophagus and especially the heart. With IMPT treatment a delivery with 3mm safety margin was found to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fulfill all the needed requirements. A more realistic safety margin of 5mm could be achieved with more restricted parameters in the IMPT </w:t>
      </w:r>
    </w:p>
    <w:p w:rsidR="00AF4F7D" w:rsidRDefault="00AF4F7D" w:rsidP="00AF4F7D">
      <w:proofErr w:type="spellStart"/>
      <w:r>
        <w:t>optimiza</w:t>
      </w:r>
      <w:bookmarkStart w:id="0" w:name="_GoBack"/>
      <w:bookmarkEnd w:id="0"/>
      <w:r>
        <w:t>tion</w:t>
      </w:r>
      <w:proofErr w:type="spellEnd"/>
      <w:r>
        <w:t xml:space="preserve">. </w:t>
      </w:r>
    </w:p>
    <w:p w:rsidR="00AF4F7D" w:rsidRDefault="00AF4F7D" w:rsidP="00AF4F7D"/>
    <w:p w:rsidR="00AF4F7D" w:rsidRDefault="00AF4F7D" w:rsidP="00AF4F7D"/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\subsection{Movement of PVs in cardiac cycle}</w:t>
      </w:r>
    </w:p>
    <w:p w:rsidR="00AF4F7D" w:rsidRPr="00AF4F7D" w:rsidRDefault="00AF4F7D" w:rsidP="00AF4F7D">
      <w:pPr>
        <w:rPr>
          <w:lang w:val="en-US"/>
        </w:rPr>
      </w:pPr>
    </w:p>
    <w:p w:rsidR="00AF4F7D" w:rsidRPr="00AF4F7D" w:rsidRDefault="00AF4F7D" w:rsidP="00AF4F7D">
      <w:pPr>
        <w:rPr>
          <w:lang w:val="en-US"/>
        </w:rPr>
      </w:pPr>
      <w:proofErr w:type="spellStart"/>
      <w:r w:rsidRPr="00AF4F7D">
        <w:rPr>
          <w:lang w:val="en-US"/>
        </w:rPr>
        <w:t>Lickfett</w:t>
      </w:r>
      <w:proofErr w:type="spellEnd"/>
      <w:r w:rsidRPr="00AF4F7D">
        <w:rPr>
          <w:lang w:val="en-US"/>
        </w:rPr>
        <w:t xml:space="preserve"> et al. \cite{Lic05} analyzed the volume changes and displacement of the PVs in 25 healthy volunteers with MRI images. They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studied the posterior edge of the PV orifice and observed that the size and location changed considerably during the cardiac cycle.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Displacements of up to 7.2 mm were found and it could be concluded that the motion amplitudes were bigger in the coronal (left-right)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lastRenderedPageBreak/>
        <w:t xml:space="preserve">than in the sagittal (anterior-posterior) direction. In more detail this largest coronal movement was found in the left superior PV,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while the largest sagittal motion was observed in the right superior PV with 3.9 mm. The smallest </w:t>
      </w:r>
      <w:proofErr w:type="spellStart"/>
      <w:r w:rsidRPr="00AF4F7D">
        <w:rPr>
          <w:lang w:val="en-US"/>
        </w:rPr>
        <w:t>saggital</w:t>
      </w:r>
      <w:proofErr w:type="spellEnd"/>
      <w:r w:rsidRPr="00AF4F7D">
        <w:rPr>
          <w:lang w:val="en-US"/>
        </w:rPr>
        <w:t xml:space="preserve"> displacement was 2.5 mm in the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left anterior PV. They suspected that the reason for movement is not resulting from a single influence, but is rather a mix of PV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contraction, atrial contraction and ventricular force. The movement of PV due to heartbeat is also relevant for catheter ablation. Based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on the stated finding </w:t>
      </w:r>
      <w:proofErr w:type="spellStart"/>
      <w:r w:rsidRPr="00AF4F7D">
        <w:rPr>
          <w:lang w:val="en-US"/>
        </w:rPr>
        <w:t>Lickfett</w:t>
      </w:r>
      <w:proofErr w:type="spellEnd"/>
      <w:r w:rsidRPr="00AF4F7D">
        <w:rPr>
          <w:lang w:val="en-US"/>
        </w:rPr>
        <w:t xml:space="preserve"> et al. recommended to keep a 5 mm distance from the PV orifice during PV encircling ablation in order to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reduce the risk for PV stenosis.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Patel et al. \cite{Pat08} on the other hand, who studied the MRI images of 30 patients in sinus rhythm with paroxysmal atrial fibrillation,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stated that the displacement of the pulmonary veins was small. The left lower PV was found to move (2.7 $\pm$ 1.2) mm, the left upper PV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(2.1 $\pm$ 1.1) mm, the right lower PV (1.9 $\pm$ 1.1) mm and the right upper PV (2.3 $\pm$ 1.0) mm.\newline </w:t>
      </w:r>
    </w:p>
    <w:p w:rsidR="00AF4F7D" w:rsidRDefault="00AF4F7D" w:rsidP="00AF4F7D">
      <w:r>
        <w:t>\</w:t>
      </w:r>
      <w:proofErr w:type="spellStart"/>
      <w:r>
        <w:t>newline</w:t>
      </w:r>
      <w:proofErr w:type="spellEnd"/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In the here studied patient cohort of five AF patients no differentiation between the upper and lower PVs was carried out.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The motion was assessed for the whole potential ablation site of LPV and RPV, respectively. Similar to the study by Patel et al. only a small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displacement was found, resulting to an average absolute displacement of less than 3mm (LPV: (2.71 $\pm$ 1.57)mm, RPV: (2.62 $\pm$ 1.41)mm).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Even though a tendency to a higher motion in AP direction could be observed, the contributions of the other motion directions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were in the same order of magnitude (up to 1mm). Hence no dominant motion direction could be determined.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The motion phases of the heartbeat gated CT scan h are based on the ECG trace and result in a division of a single heartbeat. Thus the motion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phases can be directly assigned to the contraction (systole) and dilatation (diastole) of both atria and ventricles.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Nevertheless no motion phase could be assessed to yield the maximum displacement. This reinforces the thesis by </w:t>
      </w:r>
      <w:proofErr w:type="spellStart"/>
      <w:r w:rsidRPr="00AF4F7D">
        <w:rPr>
          <w:lang w:val="en-US"/>
        </w:rPr>
        <w:t>Lickfett</w:t>
      </w:r>
      <w:proofErr w:type="spellEnd"/>
      <w:r w:rsidRPr="00AF4F7D">
        <w:rPr>
          <w:lang w:val="en-US"/>
        </w:rPr>
        <w:t xml:space="preserve"> et al. that the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underlying heartbeat motion, which causes the PVs to move, is much more complex. </w:t>
      </w:r>
    </w:p>
    <w:p w:rsidR="00AF4F7D" w:rsidRPr="00AF4F7D" w:rsidRDefault="00AF4F7D" w:rsidP="00AF4F7D">
      <w:pPr>
        <w:rPr>
          <w:lang w:val="en-US"/>
        </w:rPr>
      </w:pP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\</w:t>
      </w:r>
      <w:proofErr w:type="spellStart"/>
      <w:r w:rsidRPr="00AF4F7D">
        <w:rPr>
          <w:lang w:val="en-US"/>
        </w:rPr>
        <w:t>newpage</w:t>
      </w:r>
      <w:proofErr w:type="spellEnd"/>
    </w:p>
    <w:p w:rsidR="00AF4F7D" w:rsidRPr="00AF4F7D" w:rsidRDefault="00AF4F7D" w:rsidP="00AF4F7D">
      <w:pPr>
        <w:rPr>
          <w:lang w:val="en-US"/>
        </w:rPr>
      </w:pP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\subsection{Rescanning as motion mitigation technique}</w:t>
      </w:r>
    </w:p>
    <w:p w:rsidR="00AF4F7D" w:rsidRPr="00AF4F7D" w:rsidRDefault="00AF4F7D" w:rsidP="00AF4F7D">
      <w:pPr>
        <w:rPr>
          <w:lang w:val="en-US"/>
        </w:rPr>
      </w:pP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Concerning dose deposition with rescanning compared to interplay </w:t>
      </w:r>
      <w:proofErr w:type="spellStart"/>
      <w:r w:rsidRPr="00AF4F7D">
        <w:rPr>
          <w:lang w:val="en-US"/>
        </w:rPr>
        <w:t>iy</w:t>
      </w:r>
      <w:proofErr w:type="spellEnd"/>
      <w:r w:rsidRPr="00AF4F7D">
        <w:rPr>
          <w:lang w:val="en-US"/>
        </w:rPr>
        <w:t xml:space="preserve"> can be concluded that rescanning yields good result.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Regarding dose coverage V95 values were higher than 99\% in 96.25\% of all studied cases with a safety margin of 3mm or higher.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lastRenderedPageBreak/>
        <w:t xml:space="preserve">The minimum dose coverage over all studied cases with safety margin was found in patient 1, in the irradiation of the LPV with a margin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of 3mm and an underlying motion of 1s period and 90$^{\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 xml:space="preserve">}$ starting phase (V95=93.18\%). This result was obtained with five rescans.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With higher rescans the dose coverage could be improved, so that only 1.46\% of the studied cases with ten or more rescans had a dose coverage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smaller than 99\% (minimum: 97.11\%; 10 rescans in patient 1, 7mm safety margin and motion of 1s period and 90$^{\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 xml:space="preserve">}$ starting phase).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The dose coverage for rescans without safety margin was worse, resulting in 93.12\% cases under 99\%.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V107 values higher than 0\% were obtained in 7.29\% of all cases with safety margin (maximum of V107=3.71\% in the LPV of patient 3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with safety margin of 5mm, 5 rescans and motion of 1s period and 0$^{\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 xml:space="preserve">}$ starting phase) compared to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28.75\% of cases without safety margin (maximum: V107=7.99\% for the LPV of patient 2 with 5 rescans and motion of 1s period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and 0$^{\</w:t>
      </w:r>
      <w:proofErr w:type="spellStart"/>
      <w:r w:rsidRPr="00AF4F7D">
        <w:rPr>
          <w:lang w:val="en-US"/>
        </w:rPr>
        <w:t>circ</w:t>
      </w:r>
      <w:proofErr w:type="spellEnd"/>
      <w:r w:rsidRPr="00AF4F7D">
        <w:rPr>
          <w:lang w:val="en-US"/>
        </w:rPr>
        <w:t xml:space="preserve">}$ starting phase. This could be reduced to V107=2.87\% with 10 rescans). With safety margin, the dose homogeneity D5-D95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did not exceed 8.9\%. Without safety margin D5-D95 did not exceed 10.2\%. Both of these values were achieved with 5 rescans and could be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improved with 10 rescans (with safety margin to less than 7\% and without to less than 9\%). It can hence be concluded that additional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safety margins enable a more robust and successful treatment delivery. However, if possible, these margins should be kept as small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as technical feasible, as it increases the dose deposition in OARs. Regarding rescan numbers ten rescans yield improved results compared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to five rescans. These result are not significantly improved with higher rescan numbers. </w:t>
      </w:r>
    </w:p>
    <w:p w:rsidR="00AF4F7D" w:rsidRPr="00AF4F7D" w:rsidRDefault="00AF4F7D" w:rsidP="00AF4F7D">
      <w:pPr>
        <w:rPr>
          <w:lang w:val="en-US"/>
        </w:rPr>
      </w:pP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>\section{Conclusion}</w:t>
      </w:r>
    </w:p>
    <w:p w:rsidR="00AF4F7D" w:rsidRPr="00AF4F7D" w:rsidRDefault="00AF4F7D" w:rsidP="00AF4F7D">
      <w:pPr>
        <w:rPr>
          <w:lang w:val="en-US"/>
        </w:rPr>
      </w:pP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Rescanning yields improved dose coverage and dose homogeneity compared to interplay in all studied patient cases, motion patterns and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for all safety margins. It is thus an adequate motion mitigation technique for the irradiation of PVs under influence of heart beat motion.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A rescan number of ten is sufficient to obtain results comparable to the static irradiation. </w:t>
      </w:r>
    </w:p>
    <w:p w:rsidR="00AF4F7D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For the treatment delivery, IMPT dose optimization together with a rather small safety margin (of e.g. 3mm) results in dose depositions in the </w:t>
      </w:r>
    </w:p>
    <w:p w:rsidR="004C3656" w:rsidRPr="00AF4F7D" w:rsidRDefault="00AF4F7D" w:rsidP="00AF4F7D">
      <w:pPr>
        <w:rPr>
          <w:lang w:val="en-US"/>
        </w:rPr>
      </w:pPr>
      <w:r w:rsidRPr="00AF4F7D">
        <w:rPr>
          <w:lang w:val="en-US"/>
        </w:rPr>
        <w:t xml:space="preserve">OARs (like esophagus as well as in the cardiac substructures) which are considered tolerable.  </w:t>
      </w:r>
    </w:p>
    <w:sectPr w:rsidR="004C3656" w:rsidRPr="00AF4F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0380B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D84EA6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29E4C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FD09D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C4AB8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C5038FD"/>
    <w:multiLevelType w:val="multilevel"/>
    <w:tmpl w:val="41E44416"/>
    <w:styleLink w:val="ListeAufzaehlung"/>
    <w:lvl w:ilvl="0">
      <w:start w:val="1"/>
      <w:numFmt w:val="bullet"/>
      <w:pStyle w:val="ListBullet"/>
      <w:lvlText w:val=""/>
      <w:lvlJc w:val="left"/>
      <w:pPr>
        <w:ind w:left="567" w:hanging="56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pStyle w:val="ListBullet2"/>
      <w:lvlText w:val=""/>
      <w:lvlJc w:val="left"/>
      <w:pPr>
        <w:ind w:left="1134" w:hanging="567"/>
      </w:pPr>
      <w:rPr>
        <w:rFonts w:ascii="Symbol" w:hAnsi="Symbol" w:cs="Times New Roman" w:hint="default"/>
        <w:color w:val="auto"/>
      </w:rPr>
    </w:lvl>
    <w:lvl w:ilvl="2">
      <w:start w:val="1"/>
      <w:numFmt w:val="bullet"/>
      <w:pStyle w:val="ListBullet3"/>
      <w:lvlText w:val=""/>
      <w:lvlJc w:val="left"/>
      <w:pPr>
        <w:ind w:left="1701" w:hanging="567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bullet"/>
      <w:pStyle w:val="ListBullet4"/>
      <w:lvlText w:val=""/>
      <w:lvlJc w:val="left"/>
      <w:pPr>
        <w:ind w:left="2268" w:hanging="567"/>
      </w:pPr>
      <w:rPr>
        <w:rFonts w:ascii="Symbol" w:hAnsi="Symbol" w:cs="Times New Roman" w:hint="default"/>
        <w:color w:val="auto"/>
      </w:rPr>
    </w:lvl>
    <w:lvl w:ilvl="4">
      <w:start w:val="1"/>
      <w:numFmt w:val="bullet"/>
      <w:pStyle w:val="ListBullet5"/>
      <w:lvlText w:val=""/>
      <w:lvlJc w:val="left"/>
      <w:pPr>
        <w:ind w:left="2835" w:hanging="567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6">
    <w:nsid w:val="3D616C1F"/>
    <w:multiLevelType w:val="multilevel"/>
    <w:tmpl w:val="8626C62E"/>
    <w:styleLink w:val="ListeUeberschrift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567" w:hanging="567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F7D"/>
    <w:rsid w:val="0002006B"/>
    <w:rsid w:val="0026014E"/>
    <w:rsid w:val="00291169"/>
    <w:rsid w:val="002C48E7"/>
    <w:rsid w:val="0032717B"/>
    <w:rsid w:val="00337901"/>
    <w:rsid w:val="004C3656"/>
    <w:rsid w:val="0050204D"/>
    <w:rsid w:val="006C0161"/>
    <w:rsid w:val="00703762"/>
    <w:rsid w:val="007D6ED1"/>
    <w:rsid w:val="00857EDE"/>
    <w:rsid w:val="008C0955"/>
    <w:rsid w:val="008D49FE"/>
    <w:rsid w:val="0090324A"/>
    <w:rsid w:val="00A872E6"/>
    <w:rsid w:val="00AB0710"/>
    <w:rsid w:val="00AF4F7D"/>
    <w:rsid w:val="00B26547"/>
    <w:rsid w:val="00C26A0C"/>
    <w:rsid w:val="00C627BD"/>
    <w:rsid w:val="00C654BB"/>
    <w:rsid w:val="00EF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EDE"/>
  </w:style>
  <w:style w:type="paragraph" w:styleId="Heading1">
    <w:name w:val="heading 1"/>
    <w:aliases w:val="Erste UeB"/>
    <w:basedOn w:val="Normal"/>
    <w:next w:val="Normal"/>
    <w:link w:val="Heading1Char"/>
    <w:uiPriority w:val="2"/>
    <w:qFormat/>
    <w:rsid w:val="004C3656"/>
    <w:pPr>
      <w:keepNext/>
      <w:keepLines/>
      <w:numPr>
        <w:numId w:val="1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Zweite UeB"/>
    <w:basedOn w:val="Normal"/>
    <w:next w:val="Normal"/>
    <w:link w:val="Heading2Char"/>
    <w:uiPriority w:val="3"/>
    <w:qFormat/>
    <w:rsid w:val="004C3656"/>
    <w:pPr>
      <w:keepNext/>
      <w:keepLines/>
      <w:numPr>
        <w:ilvl w:val="1"/>
        <w:numId w:val="1"/>
      </w:numPr>
      <w:spacing w:before="200"/>
      <w:contextualSpacing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656"/>
    <w:pPr>
      <w:keepNext/>
      <w:keepLines/>
      <w:numPr>
        <w:ilvl w:val="2"/>
        <w:numId w:val="1"/>
      </w:numPr>
      <w:spacing w:before="200"/>
      <w:contextualSpacing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656"/>
    <w:pPr>
      <w:keepNext/>
      <w:keepLines/>
      <w:numPr>
        <w:ilvl w:val="3"/>
        <w:numId w:val="1"/>
      </w:numPr>
      <w:spacing w:before="200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A0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A0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A0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A0C"/>
    <w:pPr>
      <w:keepNext/>
      <w:keepLines/>
      <w:numPr>
        <w:ilvl w:val="8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eUeberschrift">
    <w:name w:val="Liste_Ueberschrift"/>
    <w:uiPriority w:val="99"/>
    <w:rsid w:val="00C26A0C"/>
    <w:pPr>
      <w:numPr>
        <w:numId w:val="1"/>
      </w:numPr>
    </w:pPr>
  </w:style>
  <w:style w:type="numbering" w:customStyle="1" w:styleId="ListeAufzaehlung">
    <w:name w:val="Liste_Aufzaehlung"/>
    <w:uiPriority w:val="99"/>
    <w:rsid w:val="0050204D"/>
    <w:pPr>
      <w:numPr>
        <w:numId w:val="2"/>
      </w:numPr>
    </w:pPr>
  </w:style>
  <w:style w:type="character" w:customStyle="1" w:styleId="Heading1Char">
    <w:name w:val="Heading 1 Char"/>
    <w:aliases w:val="Erste UeB Char"/>
    <w:basedOn w:val="DefaultParagraphFont"/>
    <w:link w:val="Heading1"/>
    <w:uiPriority w:val="2"/>
    <w:rsid w:val="004C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Zweite UeB Char"/>
    <w:basedOn w:val="DefaultParagraphFont"/>
    <w:link w:val="Heading2"/>
    <w:uiPriority w:val="3"/>
    <w:rsid w:val="004C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6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C36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A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A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A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A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Bullet">
    <w:name w:val="List Bullet"/>
    <w:basedOn w:val="Normal"/>
    <w:uiPriority w:val="4"/>
    <w:unhideWhenUsed/>
    <w:qFormat/>
    <w:rsid w:val="005020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04D"/>
    <w:pPr>
      <w:numPr>
        <w:ilvl w:val="1"/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04D"/>
    <w:pPr>
      <w:numPr>
        <w:ilvl w:val="2"/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04D"/>
    <w:pPr>
      <w:numPr>
        <w:ilvl w:val="3"/>
        <w:numId w:val="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04D"/>
    <w:pPr>
      <w:numPr>
        <w:ilvl w:val="4"/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EDE"/>
  </w:style>
  <w:style w:type="paragraph" w:styleId="Heading1">
    <w:name w:val="heading 1"/>
    <w:aliases w:val="Erste UeB"/>
    <w:basedOn w:val="Normal"/>
    <w:next w:val="Normal"/>
    <w:link w:val="Heading1Char"/>
    <w:uiPriority w:val="2"/>
    <w:qFormat/>
    <w:rsid w:val="004C3656"/>
    <w:pPr>
      <w:keepNext/>
      <w:keepLines/>
      <w:numPr>
        <w:numId w:val="1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Zweite UeB"/>
    <w:basedOn w:val="Normal"/>
    <w:next w:val="Normal"/>
    <w:link w:val="Heading2Char"/>
    <w:uiPriority w:val="3"/>
    <w:qFormat/>
    <w:rsid w:val="004C3656"/>
    <w:pPr>
      <w:keepNext/>
      <w:keepLines/>
      <w:numPr>
        <w:ilvl w:val="1"/>
        <w:numId w:val="1"/>
      </w:numPr>
      <w:spacing w:before="200"/>
      <w:contextualSpacing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656"/>
    <w:pPr>
      <w:keepNext/>
      <w:keepLines/>
      <w:numPr>
        <w:ilvl w:val="2"/>
        <w:numId w:val="1"/>
      </w:numPr>
      <w:spacing w:before="200"/>
      <w:contextualSpacing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656"/>
    <w:pPr>
      <w:keepNext/>
      <w:keepLines/>
      <w:numPr>
        <w:ilvl w:val="3"/>
        <w:numId w:val="1"/>
      </w:numPr>
      <w:spacing w:before="200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A0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A0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A0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A0C"/>
    <w:pPr>
      <w:keepNext/>
      <w:keepLines/>
      <w:numPr>
        <w:ilvl w:val="8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eUeberschrift">
    <w:name w:val="Liste_Ueberschrift"/>
    <w:uiPriority w:val="99"/>
    <w:rsid w:val="00C26A0C"/>
    <w:pPr>
      <w:numPr>
        <w:numId w:val="1"/>
      </w:numPr>
    </w:pPr>
  </w:style>
  <w:style w:type="numbering" w:customStyle="1" w:styleId="ListeAufzaehlung">
    <w:name w:val="Liste_Aufzaehlung"/>
    <w:uiPriority w:val="99"/>
    <w:rsid w:val="0050204D"/>
    <w:pPr>
      <w:numPr>
        <w:numId w:val="2"/>
      </w:numPr>
    </w:pPr>
  </w:style>
  <w:style w:type="character" w:customStyle="1" w:styleId="Heading1Char">
    <w:name w:val="Heading 1 Char"/>
    <w:aliases w:val="Erste UeB Char"/>
    <w:basedOn w:val="DefaultParagraphFont"/>
    <w:link w:val="Heading1"/>
    <w:uiPriority w:val="2"/>
    <w:rsid w:val="004C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Zweite UeB Char"/>
    <w:basedOn w:val="DefaultParagraphFont"/>
    <w:link w:val="Heading2"/>
    <w:uiPriority w:val="3"/>
    <w:rsid w:val="004C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6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C36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A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A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A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A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Bullet">
    <w:name w:val="List Bullet"/>
    <w:basedOn w:val="Normal"/>
    <w:uiPriority w:val="4"/>
    <w:unhideWhenUsed/>
    <w:qFormat/>
    <w:rsid w:val="005020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04D"/>
    <w:pPr>
      <w:numPr>
        <w:ilvl w:val="1"/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04D"/>
    <w:pPr>
      <w:numPr>
        <w:ilvl w:val="2"/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04D"/>
    <w:pPr>
      <w:numPr>
        <w:ilvl w:val="3"/>
        <w:numId w:val="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04D"/>
    <w:pPr>
      <w:numPr>
        <w:ilvl w:val="4"/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SI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2146</Words>
  <Characters>13522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GSI Helmholzzentrum für Schwerionenforschung mbH</Company>
  <LinksUpToDate>false</LinksUpToDate>
  <CharactersWithSpaces>15637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2014-02-07T16:35:00Z</dcterms:created>
  <dcterms:modified xsi:type="dcterms:W3CDTF">2014-02-07T16:40:00Z</dcterms:modified>
</cp:coreProperties>
</file>