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0C7" w:rsidRDefault="00AE30C7" w:rsidP="00AE30C7">
      <w:pPr>
        <w:pStyle w:val="Caption"/>
        <w:rPr>
          <w:rFonts w:cs="Times New Roman"/>
          <w:b w:val="0"/>
          <w:color w:val="auto"/>
          <w:sz w:val="24"/>
          <w:szCs w:val="24"/>
        </w:rPr>
      </w:pPr>
      <w:r w:rsidRPr="00AE30C7">
        <w:rPr>
          <w:rFonts w:cs="Times New Roman"/>
          <w:b w:val="0"/>
          <w:color w:val="auto"/>
          <w:sz w:val="24"/>
          <w:szCs w:val="24"/>
        </w:rPr>
        <w:t xml:space="preserve">Figure </w:t>
      </w:r>
      <w:r w:rsidRPr="00AE30C7">
        <w:rPr>
          <w:rFonts w:cs="Times New Roman"/>
          <w:b w:val="0"/>
          <w:color w:val="auto"/>
          <w:sz w:val="24"/>
          <w:szCs w:val="24"/>
        </w:rPr>
        <w:fldChar w:fldCharType="begin"/>
      </w:r>
      <w:r w:rsidRPr="00AE30C7">
        <w:rPr>
          <w:rFonts w:cs="Times New Roman"/>
          <w:b w:val="0"/>
          <w:color w:val="auto"/>
          <w:sz w:val="24"/>
          <w:szCs w:val="24"/>
        </w:rPr>
        <w:instrText xml:space="preserve"> SEQ Figure \* ARABIC </w:instrText>
      </w:r>
      <w:r w:rsidRPr="00AE30C7">
        <w:rPr>
          <w:rFonts w:cs="Times New Roman"/>
          <w:b w:val="0"/>
          <w:color w:val="auto"/>
          <w:sz w:val="24"/>
          <w:szCs w:val="24"/>
        </w:rPr>
        <w:fldChar w:fldCharType="separate"/>
      </w:r>
      <w:r w:rsidRPr="00AE30C7">
        <w:rPr>
          <w:rFonts w:cs="Times New Roman"/>
          <w:b w:val="0"/>
          <w:noProof/>
          <w:color w:val="auto"/>
          <w:sz w:val="24"/>
          <w:szCs w:val="24"/>
        </w:rPr>
        <w:t>1</w:t>
      </w:r>
      <w:r w:rsidRPr="00AE30C7">
        <w:rPr>
          <w:rFonts w:cs="Times New Roman"/>
          <w:b w:val="0"/>
          <w:noProof/>
          <w:color w:val="auto"/>
          <w:sz w:val="24"/>
          <w:szCs w:val="24"/>
        </w:rPr>
        <w:fldChar w:fldCharType="end"/>
      </w:r>
      <w:r>
        <w:rPr>
          <w:rFonts w:cs="Times New Roman"/>
          <w:b w:val="0"/>
          <w:noProof/>
          <w:color w:val="auto"/>
          <w:sz w:val="24"/>
          <w:szCs w:val="24"/>
        </w:rPr>
        <w:t xml:space="preserve"> -</w:t>
      </w:r>
      <w:r w:rsidRPr="00AE30C7">
        <w:rPr>
          <w:rFonts w:cs="Times New Roman"/>
          <w:b w:val="0"/>
          <w:color w:val="auto"/>
          <w:sz w:val="24"/>
          <w:szCs w:val="24"/>
        </w:rPr>
        <w:t xml:space="preserve"> Different PTV definitions for SBRT (PTV</w:t>
      </w:r>
      <w:r w:rsidRPr="00AE30C7">
        <w:rPr>
          <w:rFonts w:cs="Times New Roman"/>
          <w:b w:val="0"/>
          <w:color w:val="auto"/>
          <w:sz w:val="24"/>
          <w:szCs w:val="24"/>
          <w:vertAlign w:val="subscript"/>
        </w:rPr>
        <w:t>SBRT</w:t>
      </w:r>
      <w:r w:rsidRPr="00AE30C7">
        <w:rPr>
          <w:rFonts w:cs="Times New Roman"/>
          <w:b w:val="0"/>
          <w:color w:val="auto"/>
          <w:sz w:val="24"/>
          <w:szCs w:val="24"/>
        </w:rPr>
        <w:t>) and PT (PTV</w:t>
      </w:r>
      <w:r w:rsidRPr="00AE30C7">
        <w:rPr>
          <w:rFonts w:cs="Times New Roman"/>
          <w:b w:val="0"/>
          <w:color w:val="auto"/>
          <w:sz w:val="24"/>
          <w:szCs w:val="24"/>
          <w:vertAlign w:val="subscript"/>
        </w:rPr>
        <w:t>PT</w:t>
      </w:r>
      <w:r w:rsidRPr="00AE30C7">
        <w:rPr>
          <w:rFonts w:cs="Times New Roman"/>
          <w:b w:val="0"/>
          <w:color w:val="auto"/>
          <w:sz w:val="24"/>
          <w:szCs w:val="24"/>
        </w:rPr>
        <w:t>). For PTV</w:t>
      </w:r>
      <w:r w:rsidRPr="00AE30C7">
        <w:rPr>
          <w:rFonts w:cs="Times New Roman"/>
          <w:b w:val="0"/>
          <w:color w:val="auto"/>
          <w:sz w:val="24"/>
          <w:szCs w:val="24"/>
          <w:vertAlign w:val="subscript"/>
        </w:rPr>
        <w:t>SBRT</w:t>
      </w:r>
      <w:r w:rsidRPr="00AE30C7">
        <w:rPr>
          <w:rFonts w:cs="Times New Roman"/>
          <w:b w:val="0"/>
          <w:color w:val="auto"/>
          <w:sz w:val="24"/>
          <w:szCs w:val="24"/>
        </w:rPr>
        <w:t xml:space="preserve"> isotropic margins of 3 mm plus maximum tumor displacement due to breathing were used on the CTV; For PTV</w:t>
      </w:r>
      <w:r w:rsidRPr="00AE30C7">
        <w:rPr>
          <w:rFonts w:cs="Times New Roman"/>
          <w:b w:val="0"/>
          <w:color w:val="auto"/>
          <w:sz w:val="24"/>
          <w:szCs w:val="24"/>
          <w:vertAlign w:val="subscript"/>
        </w:rPr>
        <w:t>PT</w:t>
      </w:r>
      <w:r w:rsidRPr="00AE30C7">
        <w:rPr>
          <w:rFonts w:cs="Times New Roman"/>
          <w:b w:val="0"/>
          <w:color w:val="auto"/>
          <w:sz w:val="24"/>
          <w:szCs w:val="24"/>
        </w:rPr>
        <w:t xml:space="preserve"> margins of 3 mm laterally and 1 mm in beam’s eye view were used and then range-ITV was constructed with 2 mm + 2% range margins added for PTV</w:t>
      </w:r>
      <w:r w:rsidRPr="00AE30C7">
        <w:rPr>
          <w:rFonts w:cs="Times New Roman"/>
          <w:b w:val="0"/>
          <w:color w:val="auto"/>
          <w:sz w:val="24"/>
          <w:szCs w:val="24"/>
          <w:vertAlign w:val="subscript"/>
        </w:rPr>
        <w:t>PT</w:t>
      </w:r>
      <w:r w:rsidRPr="00AE30C7">
        <w:rPr>
          <w:rFonts w:cs="Times New Roman"/>
          <w:b w:val="0"/>
          <w:color w:val="auto"/>
          <w:sz w:val="24"/>
          <w:szCs w:val="24"/>
        </w:rPr>
        <w:t xml:space="preserve"> in the end-inhale phase.</w:t>
      </w:r>
    </w:p>
    <w:p w:rsidR="00AE30C7" w:rsidRPr="00AE30C7" w:rsidRDefault="00AE30C7" w:rsidP="00AE30C7"/>
    <w:p w:rsidR="00AE30C7" w:rsidRDefault="00AE30C7" w:rsidP="00AE30C7">
      <w:pPr>
        <w:pStyle w:val="Caption"/>
        <w:rPr>
          <w:rFonts w:cs="Times New Roman"/>
          <w:b w:val="0"/>
          <w:color w:val="auto"/>
          <w:sz w:val="24"/>
          <w:szCs w:val="24"/>
        </w:rPr>
      </w:pPr>
      <w:r w:rsidRPr="00AE30C7">
        <w:rPr>
          <w:rFonts w:cs="Times New Roman"/>
          <w:b w:val="0"/>
          <w:color w:val="auto"/>
          <w:sz w:val="24"/>
          <w:szCs w:val="24"/>
        </w:rPr>
        <w:t xml:space="preserve">Figure </w:t>
      </w:r>
      <w:r w:rsidRPr="00AE30C7">
        <w:rPr>
          <w:rFonts w:cs="Times New Roman"/>
          <w:b w:val="0"/>
          <w:color w:val="auto"/>
          <w:sz w:val="24"/>
          <w:szCs w:val="24"/>
        </w:rPr>
        <w:fldChar w:fldCharType="begin"/>
      </w:r>
      <w:r w:rsidRPr="00AE30C7">
        <w:rPr>
          <w:rFonts w:cs="Times New Roman"/>
          <w:b w:val="0"/>
          <w:color w:val="auto"/>
          <w:sz w:val="24"/>
          <w:szCs w:val="24"/>
        </w:rPr>
        <w:instrText xml:space="preserve"> SEQ Figure \* ARABIC </w:instrText>
      </w:r>
      <w:r w:rsidRPr="00AE30C7">
        <w:rPr>
          <w:rFonts w:cs="Times New Roman"/>
          <w:b w:val="0"/>
          <w:color w:val="auto"/>
          <w:sz w:val="24"/>
          <w:szCs w:val="24"/>
        </w:rPr>
        <w:fldChar w:fldCharType="separate"/>
      </w:r>
      <w:r w:rsidRPr="00AE30C7">
        <w:rPr>
          <w:rFonts w:cs="Times New Roman"/>
          <w:b w:val="0"/>
          <w:noProof/>
          <w:color w:val="auto"/>
          <w:sz w:val="24"/>
          <w:szCs w:val="24"/>
        </w:rPr>
        <w:t>2</w:t>
      </w:r>
      <w:r w:rsidRPr="00AE30C7">
        <w:rPr>
          <w:rFonts w:cs="Times New Roman"/>
          <w:b w:val="0"/>
          <w:noProof/>
          <w:color w:val="auto"/>
          <w:sz w:val="24"/>
          <w:szCs w:val="24"/>
        </w:rPr>
        <w:fldChar w:fldCharType="end"/>
      </w:r>
      <w:r>
        <w:rPr>
          <w:rFonts w:cs="Times New Roman"/>
          <w:b w:val="0"/>
          <w:noProof/>
          <w:color w:val="auto"/>
          <w:sz w:val="24"/>
          <w:szCs w:val="24"/>
        </w:rPr>
        <w:t xml:space="preserve"> -</w:t>
      </w:r>
      <w:r w:rsidRPr="00AE30C7">
        <w:rPr>
          <w:rFonts w:cs="Times New Roman"/>
          <w:b w:val="0"/>
          <w:color w:val="auto"/>
          <w:sz w:val="24"/>
          <w:szCs w:val="24"/>
        </w:rPr>
        <w:t xml:space="preserve"> Treatment plans for SBRT (left), PT (middle) and dose volume histogram (right) for SBRT (solid lines) and PT (dashed lines) for two patients. PT curves for OARs without any dose are not shown. Patient 9 (top row) might be better suited for PT and patient 2 (lower row) for SBRT. Patient 2 has a small lesion (1.6 cc) in a central lung region, resulting in large PTV</w:t>
      </w:r>
      <w:r w:rsidRPr="00AE30C7">
        <w:rPr>
          <w:rFonts w:cs="Times New Roman"/>
          <w:b w:val="0"/>
          <w:color w:val="auto"/>
          <w:sz w:val="24"/>
          <w:szCs w:val="24"/>
          <w:vertAlign w:val="subscript"/>
        </w:rPr>
        <w:t>PT</w:t>
      </w:r>
      <w:r w:rsidRPr="00AE30C7">
        <w:rPr>
          <w:rFonts w:cs="Times New Roman"/>
          <w:b w:val="0"/>
          <w:color w:val="auto"/>
          <w:sz w:val="24"/>
          <w:szCs w:val="24"/>
        </w:rPr>
        <w:t xml:space="preserve"> - up to 32 cc, compared to PTV</w:t>
      </w:r>
      <w:r w:rsidRPr="00AE30C7">
        <w:rPr>
          <w:rFonts w:cs="Times New Roman"/>
          <w:b w:val="0"/>
          <w:color w:val="auto"/>
          <w:sz w:val="24"/>
          <w:szCs w:val="24"/>
          <w:vertAlign w:val="subscript"/>
        </w:rPr>
        <w:t>SBRT</w:t>
      </w:r>
      <w:r w:rsidRPr="00AE30C7">
        <w:rPr>
          <w:rFonts w:cs="Times New Roman"/>
          <w:b w:val="0"/>
          <w:color w:val="auto"/>
          <w:sz w:val="24"/>
          <w:szCs w:val="24"/>
        </w:rPr>
        <w:t xml:space="preserve"> 7.7 cc</w:t>
      </w:r>
      <w:r>
        <w:rPr>
          <w:rFonts w:cs="Times New Roman"/>
          <w:b w:val="0"/>
          <w:color w:val="auto"/>
          <w:sz w:val="24"/>
          <w:szCs w:val="24"/>
        </w:rPr>
        <w:t>.</w:t>
      </w:r>
      <w:r w:rsidRPr="00AE30C7">
        <w:rPr>
          <w:rFonts w:cs="Times New Roman"/>
          <w:b w:val="0"/>
          <w:color w:val="auto"/>
          <w:sz w:val="24"/>
          <w:szCs w:val="24"/>
        </w:rPr>
        <w:t xml:space="preserve"> </w:t>
      </w:r>
      <w:bookmarkStart w:id="0" w:name="_GoBack"/>
      <w:bookmarkEnd w:id="0"/>
      <w:r w:rsidRPr="00AE30C7">
        <w:rPr>
          <w:rFonts w:cs="Times New Roman"/>
          <w:b w:val="0"/>
          <w:color w:val="auto"/>
          <w:sz w:val="24"/>
          <w:szCs w:val="24"/>
        </w:rPr>
        <w:t>The CTV contour is outlined in white.</w:t>
      </w:r>
    </w:p>
    <w:p w:rsidR="00AE30C7" w:rsidRPr="00AE30C7" w:rsidRDefault="00AE30C7" w:rsidP="00AE30C7"/>
    <w:p w:rsidR="00AE30C7" w:rsidRDefault="00AE30C7" w:rsidP="00AE30C7">
      <w:pPr>
        <w:pStyle w:val="Caption"/>
        <w:rPr>
          <w:rFonts w:cs="Times New Roman"/>
          <w:b w:val="0"/>
          <w:color w:val="auto"/>
          <w:sz w:val="24"/>
          <w:szCs w:val="24"/>
        </w:rPr>
      </w:pPr>
      <w:r w:rsidRPr="00AE30C7">
        <w:rPr>
          <w:rFonts w:cs="Times New Roman"/>
          <w:b w:val="0"/>
          <w:color w:val="auto"/>
          <w:sz w:val="24"/>
          <w:szCs w:val="24"/>
        </w:rPr>
        <w:t xml:space="preserve">Figure </w:t>
      </w:r>
      <w:r w:rsidRPr="00AE30C7">
        <w:rPr>
          <w:rFonts w:cs="Times New Roman"/>
          <w:b w:val="0"/>
          <w:color w:val="auto"/>
          <w:sz w:val="24"/>
          <w:szCs w:val="24"/>
        </w:rPr>
        <w:fldChar w:fldCharType="begin"/>
      </w:r>
      <w:r w:rsidRPr="00AE30C7">
        <w:rPr>
          <w:rFonts w:cs="Times New Roman"/>
          <w:b w:val="0"/>
          <w:color w:val="auto"/>
          <w:sz w:val="24"/>
          <w:szCs w:val="24"/>
        </w:rPr>
        <w:instrText xml:space="preserve"> SEQ Figure \* ARABIC </w:instrText>
      </w:r>
      <w:r w:rsidRPr="00AE30C7">
        <w:rPr>
          <w:rFonts w:cs="Times New Roman"/>
          <w:b w:val="0"/>
          <w:color w:val="auto"/>
          <w:sz w:val="24"/>
          <w:szCs w:val="24"/>
        </w:rPr>
        <w:fldChar w:fldCharType="separate"/>
      </w:r>
      <w:r w:rsidRPr="00AE30C7">
        <w:rPr>
          <w:rFonts w:cs="Times New Roman"/>
          <w:b w:val="0"/>
          <w:noProof/>
          <w:color w:val="auto"/>
          <w:sz w:val="24"/>
          <w:szCs w:val="24"/>
        </w:rPr>
        <w:t>3</w:t>
      </w:r>
      <w:r w:rsidRPr="00AE30C7">
        <w:rPr>
          <w:rFonts w:cs="Times New Roman"/>
          <w:b w:val="0"/>
          <w:noProof/>
          <w:color w:val="auto"/>
          <w:sz w:val="24"/>
          <w:szCs w:val="24"/>
        </w:rPr>
        <w:fldChar w:fldCharType="end"/>
      </w:r>
      <w:r>
        <w:rPr>
          <w:rFonts w:cs="Times New Roman"/>
          <w:b w:val="0"/>
          <w:noProof/>
          <w:color w:val="auto"/>
          <w:sz w:val="24"/>
          <w:szCs w:val="24"/>
        </w:rPr>
        <w:t xml:space="preserve"> -</w:t>
      </w:r>
      <w:r w:rsidRPr="00AE30C7">
        <w:rPr>
          <w:rFonts w:cs="Times New Roman"/>
          <w:b w:val="0"/>
          <w:color w:val="auto"/>
          <w:sz w:val="24"/>
          <w:szCs w:val="24"/>
        </w:rPr>
        <w:t xml:space="preserve"> CTV D</w:t>
      </w:r>
      <w:r w:rsidRPr="00AE30C7">
        <w:rPr>
          <w:rFonts w:cs="Times New Roman"/>
          <w:b w:val="0"/>
          <w:color w:val="auto"/>
          <w:sz w:val="24"/>
          <w:szCs w:val="24"/>
          <w:vertAlign w:val="subscript"/>
        </w:rPr>
        <w:t>99%</w:t>
      </w:r>
      <w:r w:rsidRPr="00AE30C7">
        <w:rPr>
          <w:rFonts w:cs="Times New Roman"/>
          <w:b w:val="0"/>
          <w:color w:val="auto"/>
          <w:sz w:val="24"/>
          <w:szCs w:val="24"/>
        </w:rPr>
        <w:t xml:space="preserve"> for SBRT and different PT calculations. Four different breathing patterns are included for all targets in 4D-interplay and 4D-rescan. The dashed line shows the lower limit for clinical acceptance. One patient was an exception where lower target dose was accepted due to the proximity of a critical structure.  </w:t>
      </w:r>
    </w:p>
    <w:p w:rsidR="00AE30C7" w:rsidRPr="00AE30C7" w:rsidRDefault="00AE30C7" w:rsidP="00AE30C7"/>
    <w:p w:rsidR="00AE30C7" w:rsidRPr="00AE30C7" w:rsidRDefault="00AE30C7" w:rsidP="00AE30C7">
      <w:pPr>
        <w:pStyle w:val="Caption"/>
        <w:rPr>
          <w:rFonts w:cs="Times New Roman"/>
          <w:b w:val="0"/>
          <w:color w:val="auto"/>
          <w:sz w:val="24"/>
          <w:szCs w:val="24"/>
        </w:rPr>
      </w:pPr>
      <w:r w:rsidRPr="00AE30C7">
        <w:rPr>
          <w:rFonts w:cs="Times New Roman"/>
          <w:b w:val="0"/>
          <w:color w:val="auto"/>
          <w:sz w:val="24"/>
          <w:szCs w:val="24"/>
        </w:rPr>
        <w:t xml:space="preserve">Figure </w:t>
      </w:r>
      <w:r w:rsidRPr="00AE30C7">
        <w:rPr>
          <w:rFonts w:cs="Times New Roman"/>
          <w:b w:val="0"/>
          <w:color w:val="auto"/>
          <w:sz w:val="24"/>
          <w:szCs w:val="24"/>
        </w:rPr>
        <w:fldChar w:fldCharType="begin"/>
      </w:r>
      <w:r w:rsidRPr="00AE30C7">
        <w:rPr>
          <w:rFonts w:cs="Times New Roman"/>
          <w:b w:val="0"/>
          <w:color w:val="auto"/>
          <w:sz w:val="24"/>
          <w:szCs w:val="24"/>
        </w:rPr>
        <w:instrText xml:space="preserve"> SEQ Figure \* ARABIC </w:instrText>
      </w:r>
      <w:r w:rsidRPr="00AE30C7">
        <w:rPr>
          <w:rFonts w:cs="Times New Roman"/>
          <w:b w:val="0"/>
          <w:color w:val="auto"/>
          <w:sz w:val="24"/>
          <w:szCs w:val="24"/>
        </w:rPr>
        <w:fldChar w:fldCharType="separate"/>
      </w:r>
      <w:r w:rsidRPr="00AE30C7">
        <w:rPr>
          <w:rFonts w:cs="Times New Roman"/>
          <w:b w:val="0"/>
          <w:noProof/>
          <w:color w:val="auto"/>
          <w:sz w:val="24"/>
          <w:szCs w:val="24"/>
        </w:rPr>
        <w:t>4</w:t>
      </w:r>
      <w:r w:rsidRPr="00AE30C7">
        <w:rPr>
          <w:rFonts w:cs="Times New Roman"/>
          <w:b w:val="0"/>
          <w:noProof/>
          <w:color w:val="auto"/>
          <w:sz w:val="24"/>
          <w:szCs w:val="24"/>
        </w:rPr>
        <w:fldChar w:fldCharType="end"/>
      </w:r>
      <w:r>
        <w:rPr>
          <w:rFonts w:cs="Times New Roman"/>
          <w:b w:val="0"/>
          <w:noProof/>
          <w:color w:val="auto"/>
          <w:sz w:val="24"/>
          <w:szCs w:val="24"/>
        </w:rPr>
        <w:t xml:space="preserve"> -</w:t>
      </w:r>
      <w:r w:rsidRPr="00AE30C7">
        <w:rPr>
          <w:rFonts w:cs="Times New Roman"/>
          <w:b w:val="0"/>
          <w:color w:val="auto"/>
          <w:sz w:val="24"/>
          <w:szCs w:val="24"/>
        </w:rPr>
        <w:t xml:space="preserve"> Box plots of average OARs max point dose (</w:t>
      </w:r>
      <w:proofErr w:type="spellStart"/>
      <w:r w:rsidRPr="00AE30C7">
        <w:rPr>
          <w:rFonts w:cs="Times New Roman"/>
          <w:b w:val="0"/>
          <w:color w:val="auto"/>
          <w:sz w:val="24"/>
          <w:szCs w:val="24"/>
        </w:rPr>
        <w:t>D</w:t>
      </w:r>
      <w:r w:rsidRPr="00AE30C7">
        <w:rPr>
          <w:rFonts w:cs="Times New Roman"/>
          <w:b w:val="0"/>
          <w:color w:val="auto"/>
          <w:sz w:val="24"/>
          <w:szCs w:val="24"/>
          <w:vertAlign w:val="subscript"/>
        </w:rPr>
        <w:t>Max</w:t>
      </w:r>
      <w:proofErr w:type="spellEnd"/>
      <w:r w:rsidRPr="00AE30C7">
        <w:rPr>
          <w:rFonts w:cs="Times New Roman"/>
          <w:b w:val="0"/>
          <w:color w:val="auto"/>
          <w:sz w:val="24"/>
          <w:szCs w:val="24"/>
        </w:rPr>
        <w:t>) and mean dose difference between SBRT and PT for patients with single CTV smaller (</w:t>
      </w:r>
      <w:r w:rsidRPr="00AE30C7">
        <w:rPr>
          <w:rFonts w:cs="Times New Roman"/>
          <w:b w:val="0"/>
          <w:i/>
          <w:color w:val="auto"/>
          <w:sz w:val="24"/>
          <w:szCs w:val="24"/>
        </w:rPr>
        <w:t>n = 9</w:t>
      </w:r>
      <w:r w:rsidRPr="00AE30C7">
        <w:rPr>
          <w:rFonts w:cs="Times New Roman"/>
          <w:b w:val="0"/>
          <w:color w:val="auto"/>
          <w:sz w:val="24"/>
          <w:szCs w:val="24"/>
        </w:rPr>
        <w:t>) or bigger (</w:t>
      </w:r>
      <w:r w:rsidRPr="00AE30C7">
        <w:rPr>
          <w:rFonts w:cs="Times New Roman"/>
          <w:b w:val="0"/>
          <w:i/>
          <w:color w:val="auto"/>
          <w:sz w:val="24"/>
          <w:szCs w:val="24"/>
        </w:rPr>
        <w:t>n = 6</w:t>
      </w:r>
      <w:r w:rsidRPr="00AE30C7">
        <w:rPr>
          <w:rFonts w:cs="Times New Roman"/>
          <w:b w:val="0"/>
          <w:color w:val="auto"/>
          <w:sz w:val="24"/>
          <w:szCs w:val="24"/>
        </w:rPr>
        <w:t>) than 2.5 cc. Boxes represent 25 % - 75 %, outliers are shown as whiskers and median is shown with solid lines. Values for patients with multiple lesions are shown with circle symbols.</w:t>
      </w:r>
    </w:p>
    <w:p w:rsidR="00AE30C7" w:rsidRPr="00AE30C7" w:rsidRDefault="00AE30C7" w:rsidP="003F6443">
      <w:pPr>
        <w:rPr>
          <w:rFonts w:ascii="Times New Roman" w:hAnsi="Times New Roman" w:cs="Times New Roman"/>
          <w:sz w:val="24"/>
          <w:szCs w:val="24"/>
        </w:rPr>
      </w:pPr>
    </w:p>
    <w:p w:rsidR="0058695A" w:rsidRPr="00AE30C7" w:rsidRDefault="0058695A">
      <w:pPr>
        <w:rPr>
          <w:rFonts w:ascii="Times New Roman" w:hAnsi="Times New Roman" w:cs="Times New Roman"/>
          <w:sz w:val="24"/>
          <w:szCs w:val="24"/>
        </w:rPr>
      </w:pPr>
    </w:p>
    <w:p w:rsidR="009F3D1B" w:rsidRPr="00AE30C7" w:rsidRDefault="009F3D1B">
      <w:pPr>
        <w:rPr>
          <w:rFonts w:ascii="Times New Roman" w:hAnsi="Times New Roman" w:cs="Times New Roman"/>
          <w:sz w:val="24"/>
          <w:szCs w:val="24"/>
        </w:rPr>
      </w:pPr>
    </w:p>
    <w:sectPr w:rsidR="009F3D1B" w:rsidRPr="00AE30C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D1B"/>
    <w:rsid w:val="00042E5E"/>
    <w:rsid w:val="00187869"/>
    <w:rsid w:val="003F6443"/>
    <w:rsid w:val="0058695A"/>
    <w:rsid w:val="009F3D1B"/>
    <w:rsid w:val="00AE30C7"/>
    <w:rsid w:val="00DA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F3D1B"/>
    <w:pPr>
      <w:spacing w:after="200" w:line="240" w:lineRule="auto"/>
      <w:jc w:val="both"/>
    </w:pPr>
    <w:rPr>
      <w:rFonts w:ascii="Times New Roman" w:hAnsi="Times New Roman"/>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F3D1B"/>
    <w:pPr>
      <w:spacing w:after="200" w:line="240" w:lineRule="auto"/>
      <w:jc w:val="both"/>
    </w:pPr>
    <w:rPr>
      <w:rFonts w:ascii="Times New Roman" w:hAnsi="Times New Roman"/>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GSI Helmholzzentrum für Schwerionenforschung mbH</Company>
  <LinksUpToDate>false</LinksUpToDate>
  <CharactersWithSpaces>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Kristjan Anderle</dc:creator>
  <cp:lastModifiedBy>Kristjan Anderle</cp:lastModifiedBy>
  <cp:revision>5</cp:revision>
  <dcterms:created xsi:type="dcterms:W3CDTF">2016-01-15T09:37:00Z</dcterms:created>
  <dcterms:modified xsi:type="dcterms:W3CDTF">2016-05-23T14:21:00Z</dcterms:modified>
</cp:coreProperties>
</file>