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517" w:rsidRDefault="00DA0614">
      <w:pPr>
        <w:pStyle w:val="Heading1"/>
        <w:spacing w:before="0" w:after="0" w:line="275" w:lineRule="auto"/>
      </w:pPr>
      <w:bookmarkStart w:id="0" w:name="_GoBack"/>
      <w:bookmarkEnd w:id="0"/>
      <w:r>
        <w:t>Blueprint Arsitektur Sistem dan Spesifikasi Produk TMS Enterprise OptiDeli</w:t>
      </w:r>
    </w:p>
    <w:p w:rsidR="00200517" w:rsidRDefault="00DA0614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 xml:space="preserve">OptiDeli adalah platform </w:t>
      </w:r>
      <w:r>
        <w:rPr>
          <w:i/>
          <w:iCs/>
        </w:rPr>
        <w:t>Transport Management System</w:t>
      </w:r>
      <w:r>
        <w:t xml:space="preserve"> (TMS) kelas </w:t>
      </w:r>
      <w:r>
        <w:rPr>
          <w:i/>
          <w:iCs/>
        </w:rPr>
        <w:t>enterprise</w:t>
      </w:r>
      <w:r>
        <w:t xml:space="preserve"> yang dirancang untuk mengorkestrasi seluruh rantai pasok transportasi darat: </w:t>
      </w:r>
      <w:r>
        <w:rPr>
          <w:i/>
          <w:iCs/>
        </w:rPr>
        <w:t>First Mile</w:t>
      </w:r>
      <w:r>
        <w:t xml:space="preserve"> (penjemputan pabrik/pemasok), </w:t>
      </w:r>
      <w:r>
        <w:rPr>
          <w:i/>
          <w:iCs/>
        </w:rPr>
        <w:t>Middle Mile / Linehaul</w:t>
      </w:r>
      <w:r>
        <w:t xml:space="preserve"> (transfer antar-hub &amp; </w:t>
      </w:r>
      <w:r>
        <w:rPr>
          <w:i/>
          <w:iCs/>
        </w:rPr>
        <w:t>cross-docking</w:t>
      </w:r>
      <w:r>
        <w:t xml:space="preserve">), hingga </w:t>
      </w:r>
      <w:r>
        <w:rPr>
          <w:i/>
          <w:iCs/>
        </w:rPr>
        <w:t>Last Mile</w:t>
      </w:r>
      <w:r>
        <w:t xml:space="preserve"> (distribusi konsumen akhir)</w:t>
      </w:r>
      <w:r>
        <w:rPr>
          <w:sz w:val="24"/>
          <w:szCs w:val="24"/>
          <w:vertAlign w:val="superscript"/>
        </w:rPr>
        <w:t>1</w:t>
      </w:r>
      <w:r>
        <w:t xml:space="preserve">. Sistem ini dapat dideploy secara </w:t>
      </w:r>
      <w:r>
        <w:rPr>
          <w:b/>
          <w:bCs/>
        </w:rPr>
        <w:t>Multi-Tenant SaaS (Cloud)</w:t>
      </w:r>
      <w:r>
        <w:t xml:space="preserve"> maupun </w:t>
      </w:r>
      <w:r>
        <w:rPr>
          <w:b/>
          <w:bCs/>
        </w:rPr>
        <w:t>Single-Tenant Standalone (On-Premise / Private Cloud)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DA0614">
      <w:pPr>
        <w:pStyle w:val="Heading2"/>
        <w:spacing w:before="0" w:after="0" w:line="275" w:lineRule="auto"/>
      </w:pPr>
      <w:r>
        <w:t>1. Arsitektur Sistem &amp; Opsi Penggelaran (Software Architecture)</w:t>
      </w:r>
    </w:p>
    <w:p w:rsidR="00200517" w:rsidRDefault="00DA0614">
      <w:pPr>
        <w:pStyle w:val="Heading3"/>
        <w:spacing w:before="0" w:after="0" w:line="275" w:lineRule="auto"/>
      </w:pPr>
      <w:r>
        <w:t>1.1 Dual-Deployment Architecture &amp; Abstraction Strategy</w:t>
      </w:r>
    </w:p>
    <w:p w:rsidR="00200517" w:rsidRDefault="00DA0614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 xml:space="preserve">Sistem OptiDeli dibangun dengan pendekatan </w:t>
      </w:r>
      <w:r>
        <w:rPr>
          <w:i/>
          <w:iCs/>
        </w:rPr>
        <w:t>Modular Monolith / Microservices Ready</w:t>
      </w:r>
      <w:r>
        <w:t xml:space="preserve"> menggunakan </w:t>
      </w:r>
      <w:r>
        <w:rPr>
          <w:i/>
          <w:iCs/>
        </w:rPr>
        <w:t>Hexagonal Architecture (Ports and Adapters)</w:t>
      </w:r>
      <w:r>
        <w:t xml:space="preserve">. Pola ini mengisolasi </w:t>
      </w:r>
      <w:r>
        <w:rPr>
          <w:i/>
          <w:iCs/>
        </w:rPr>
        <w:t>core business logic</w:t>
      </w:r>
      <w:r>
        <w:t xml:space="preserve"> dari </w:t>
      </w:r>
      <w:r>
        <w:rPr>
          <w:i/>
          <w:iCs/>
        </w:rPr>
        <w:t>infrastructure layer</w:t>
      </w:r>
      <w:r>
        <w:t xml:space="preserve">, sehingga platform dapat dikemas menjadi aplikasi SaaS berkinerja tinggi atau sistem Standalone yang </w:t>
      </w:r>
      <w:r>
        <w:rPr>
          <w:i/>
          <w:iCs/>
        </w:rPr>
        <w:t>self-contained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200517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0051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Komponen Arsitektur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Multi-Tenant Cloud SaaS Model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Single-Tenant Standalone Model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Strategi Abstraksi &amp; Pola Desain (Architectural Pattern)</w:t>
            </w:r>
          </w:p>
        </w:tc>
      </w:tr>
      <w:tr w:rsidR="0020051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Infrastruktur &amp; Container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4"/>
                <w:szCs w:val="24"/>
                <w:vertAlign w:val="superscript"/>
              </w:rPr>
            </w:pPr>
            <w:r>
              <w:t>Kubernetes Cluster (EKS/GCP) multi-zone, auto-scaling</w:t>
            </w:r>
            <w:r>
              <w:rPr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4"/>
                <w:szCs w:val="24"/>
                <w:vertAlign w:val="superscript"/>
              </w:rPr>
            </w:pPr>
            <w:r>
              <w:t>Docker Compose / Single-node K8s (MicroK8s/K3s)</w:t>
            </w:r>
            <w:r>
              <w:rPr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rPr>
                <w:i/>
                <w:iCs/>
              </w:rPr>
              <w:t>Cloud-Native Deployment Helm Charts</w:t>
            </w:r>
            <w:r>
              <w:t xml:space="preserve"> &amp; Docker Containers.</w:t>
            </w:r>
          </w:p>
        </w:tc>
      </w:tr>
      <w:tr w:rsidR="0020051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Database Isolation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i/>
                <w:iCs/>
              </w:rPr>
            </w:pPr>
            <w:r>
              <w:t xml:space="preserve">Shared Database dengan </w:t>
            </w:r>
            <w:r>
              <w:rPr>
                <w:i/>
                <w:iCs/>
              </w:rPr>
              <w:t>Tenant Discriminator Column</w:t>
            </w:r>
            <w:r>
              <w:t xml:space="preserve"> atau </w:t>
            </w:r>
            <w:r>
              <w:rPr>
                <w:i/>
                <w:iCs/>
              </w:rPr>
              <w:t>Schema-per-Tenant</w:t>
            </w: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[cite: 1]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Dedicated Physical Database Instance (PostgreSQL/MySQL)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rPr>
                <w:i/>
                <w:iCs/>
              </w:rPr>
              <w:t>Multi-Tenancy JPA/ORMapping Interceptor</w:t>
            </w:r>
            <w:r>
              <w:t xml:space="preserve"> &amp; Dynamic DataSource Routing.</w:t>
            </w:r>
          </w:p>
        </w:tc>
      </w:tr>
      <w:tr w:rsidR="0020051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Identity &amp; Access Management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4"/>
                <w:szCs w:val="24"/>
                <w:vertAlign w:val="superscript"/>
              </w:rPr>
            </w:pPr>
            <w:r>
              <w:t xml:space="preserve">Federated SSO via OptiNexus Cloud OAuth2 / SAML </w:t>
            </w:r>
            <w:r>
              <w:lastRenderedPageBreak/>
              <w:t>2.0</w:t>
            </w:r>
            <w:r>
              <w:rPr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 xml:space="preserve">Local OptiNexus Instance / </w:t>
            </w:r>
            <w:r>
              <w:lastRenderedPageBreak/>
              <w:t>Enterprise Keycloak / Active Directory / LDAP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rPr>
                <w:i/>
                <w:iCs/>
              </w:rPr>
              <w:lastRenderedPageBreak/>
              <w:t>Security Auth Adapter</w:t>
            </w:r>
            <w:r>
              <w:t xml:space="preserve"> (OIDC </w:t>
            </w:r>
            <w:r>
              <w:lastRenderedPageBreak/>
              <w:t>Provider Switcher via Config).</w:t>
            </w:r>
          </w:p>
        </w:tc>
      </w:tr>
      <w:tr w:rsidR="0020051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Message Broker &amp; Event Bus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4"/>
                <w:szCs w:val="24"/>
                <w:vertAlign w:val="superscript"/>
              </w:rPr>
            </w:pPr>
            <w:r>
              <w:t>Apache Kafka / AWS SQS for high-throughput event streaming</w:t>
            </w:r>
            <w:r>
              <w:rPr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4"/>
                <w:szCs w:val="24"/>
                <w:vertAlign w:val="superscript"/>
              </w:rPr>
            </w:pPr>
            <w:r>
              <w:t>RabbitMQ / NATS Embedded Broker</w:t>
            </w:r>
            <w:r>
              <w:rPr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rPr>
                <w:i/>
                <w:iCs/>
              </w:rPr>
              <w:t>Event Publisher Abstraction Layer</w:t>
            </w:r>
            <w:r>
              <w:t xml:space="preserve"> (Publish-Subscribe Pattern).</w:t>
            </w:r>
          </w:p>
        </w:tc>
      </w:tr>
      <w:tr w:rsidR="0020051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Object Storage (Docs/ePOD)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4"/>
                <w:szCs w:val="24"/>
                <w:vertAlign w:val="superscript"/>
              </w:rPr>
            </w:pPr>
            <w:r>
              <w:t>Cloud Object Storage (AWS S3 / Google Cloud Storage)</w:t>
            </w:r>
            <w:r>
              <w:rPr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On-Premise MinIO / Local Network Attached Storage (NAS)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rPr>
                <w:i/>
                <w:iCs/>
              </w:rPr>
              <w:t>S3-Compatible Blob Storage Interface Driver</w:t>
            </w:r>
            <w:r>
              <w:t>.</w:t>
            </w:r>
          </w:p>
        </w:tc>
      </w:tr>
      <w:tr w:rsidR="0020051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Inter-Platform Integration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4"/>
                <w:szCs w:val="24"/>
                <w:vertAlign w:val="superscript"/>
              </w:rPr>
            </w:pPr>
            <w:r>
              <w:t>REST API Gateway + Webhook Cloud Endpoints</w:t>
            </w:r>
            <w:r>
              <w:rPr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4"/>
                <w:szCs w:val="24"/>
                <w:vertAlign w:val="superscript"/>
              </w:rPr>
            </w:pPr>
            <w:r>
              <w:t>Direct Internal REST / Local gRPC / EDI Middleware (EDI 204, 214, 210)</w:t>
            </w:r>
            <w:r>
              <w:rPr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rPr>
                <w:i/>
                <w:iCs/>
              </w:rPr>
              <w:t>Enterprise Integration Patterns (EIP)</w:t>
            </w:r>
            <w:r>
              <w:t xml:space="preserve"> &amp; Configurable API Connectors.</w:t>
            </w:r>
          </w:p>
        </w:tc>
      </w:tr>
    </w:tbl>
    <w:p w:rsidR="00200517" w:rsidRDefault="00DA0614">
      <w:pPr>
        <w:pStyle w:val="Heading2"/>
        <w:spacing w:before="0" w:after="0" w:line="275" w:lineRule="auto"/>
      </w:pPr>
      <w:r>
        <w:t>2. Breakdown Modul Fungsional &amp; Analytic Domain Contexts (System Analysis)</w:t>
      </w:r>
    </w:p>
    <w:p w:rsidR="00200517" w:rsidRDefault="00DA0614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Sesuai standar industri (</w:t>
      </w:r>
      <w:r>
        <w:rPr>
          <w:i/>
          <w:iCs/>
        </w:rPr>
        <w:t>Gartner TMS Critical Capabilities &amp; CSCMP</w:t>
      </w:r>
      <w:r>
        <w:t>), OptiDeli membagi batas domain (</w:t>
      </w:r>
      <w:r>
        <w:rPr>
          <w:i/>
          <w:iCs/>
        </w:rPr>
        <w:t>bounded contexts</w:t>
      </w:r>
      <w:r>
        <w:t>) ke dalam tujuh modul fungsional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DA0614">
      <w:pPr>
        <w:pStyle w:val="Heading3"/>
        <w:spacing w:before="0" w:after="0" w:line="275" w:lineRule="auto"/>
      </w:pPr>
      <w:r>
        <w:t>Modul 1: Identity, Governance &amp; Dual-Deployment Configuration</w:t>
      </w:r>
    </w:p>
    <w:p w:rsidR="00200517" w:rsidRDefault="00DA06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Tenant &amp; Licensing Engine</w:t>
      </w:r>
      <w:r>
        <w:t xml:space="preserve">: Memvalidasi lisensi berbasis skema </w:t>
      </w:r>
      <w:r>
        <w:rPr>
          <w:i/>
          <w:iCs/>
        </w:rPr>
        <w:t>Pay-As-You-Go / Subscription</w:t>
      </w:r>
      <w:r>
        <w:t xml:space="preserve"> (SaaS) atau </w:t>
      </w:r>
      <w:r>
        <w:rPr>
          <w:i/>
          <w:iCs/>
        </w:rPr>
        <w:t>License Key Expiration / Node Binding</w:t>
      </w:r>
      <w:r>
        <w:t xml:space="preserve"> (Standalone)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DA06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RBAC &amp; Security Boundary</w:t>
      </w:r>
      <w:r>
        <w:t>: Mengatur perizinan pengguna granular (</w:t>
      </w:r>
      <w:r>
        <w:rPr>
          <w:i/>
          <w:iCs/>
        </w:rPr>
        <w:t>Admin, Dispatcher, Yard Master, Vendor, Driver, Customer</w:t>
      </w:r>
      <w:r>
        <w:t>) dengan dukungan Multi-Factor Authentication (MFA)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DA0614">
      <w:pPr>
        <w:pStyle w:val="Heading3"/>
        <w:spacing w:before="0" w:after="0" w:line="275" w:lineRule="auto"/>
      </w:pPr>
      <w:r>
        <w:t>Modul 2: Order Capture &amp; 3D Load Building</w:t>
      </w:r>
    </w:p>
    <w:p w:rsidR="00200517" w:rsidRDefault="00DA06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Multi-Stage Order Intake</w:t>
      </w:r>
      <w:r>
        <w:t xml:space="preserve">: Merekam kargo untuk skenario </w:t>
      </w:r>
      <w:r>
        <w:rPr>
          <w:i/>
          <w:iCs/>
        </w:rPr>
        <w:t>First Mile</w:t>
      </w:r>
      <w:r>
        <w:t xml:space="preserve">, </w:t>
      </w:r>
      <w:r>
        <w:rPr>
          <w:i/>
          <w:iCs/>
        </w:rPr>
        <w:t>Middle Mile</w:t>
      </w:r>
      <w:r>
        <w:t xml:space="preserve">, </w:t>
      </w:r>
      <w:r>
        <w:rPr>
          <w:i/>
          <w:iCs/>
        </w:rPr>
        <w:t>Last Mile</w:t>
      </w:r>
      <w:r>
        <w:t xml:space="preserve">, atau </w:t>
      </w:r>
      <w:r>
        <w:rPr>
          <w:i/>
          <w:iCs/>
        </w:rPr>
        <w:t>End-to-End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DA06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3D Bin-Packing Optimization Engine</w:t>
      </w:r>
      <w:r>
        <w:t>: Mengkalkulasi penataan barang secara otomatis berbasis volume kubikasi (</w:t>
      </w:r>
      <w:r>
        <w:rPr>
          <w:noProof/>
        </w:rPr>
        <w:drawing>
          <wp:inline distT="19050" distB="19050" distL="19050" distR="19050">
            <wp:extent cx="247799" cy="20014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799" cy="200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), limitasi tonase (kg), distribusi beban per as roda (</w:t>
      </w:r>
      <w:r>
        <w:rPr>
          <w:i/>
          <w:iCs/>
        </w:rPr>
        <w:t>axle weight distribution</w:t>
      </w:r>
      <w:r>
        <w:t>), orientasi tumpukan (</w:t>
      </w:r>
      <w:r>
        <w:rPr>
          <w:i/>
          <w:iCs/>
        </w:rPr>
        <w:t>stackability</w:t>
      </w:r>
      <w:r>
        <w:t>), dan isolasi kargo berbahaya (</w:t>
      </w:r>
      <w:r>
        <w:rPr>
          <w:i/>
          <w:iCs/>
        </w:rPr>
        <w:t>Hazmat compatibility</w:t>
      </w:r>
      <w:r>
        <w:t>)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DA0614">
      <w:pPr>
        <w:pStyle w:val="Heading3"/>
        <w:spacing w:before="0" w:after="0" w:line="275" w:lineRule="auto"/>
      </w:pPr>
      <w:r>
        <w:t>Modul 3: Dispatching, Dock Slotting &amp; Yard Management</w:t>
      </w:r>
    </w:p>
    <w:p w:rsidR="00200517" w:rsidRDefault="00DA061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Asset Availability Lock (OptiFleet Integration)</w:t>
      </w:r>
      <w:r>
        <w:t xml:space="preserve">: Memeriksa ketersediaan kendaraan </w:t>
      </w:r>
      <w:r>
        <w:lastRenderedPageBreak/>
        <w:t>secara real-time. Jika aset sedang dalam perawatan di OptiFleet (atau sistem servis lokal pada mode Standalone), aset terkunci dari penugasan</w:t>
      </w:r>
      <w:r>
        <w:rPr>
          <w:sz w:val="24"/>
          <w:szCs w:val="24"/>
          <w:vertAlign w:val="superscript"/>
        </w:rPr>
        <w:t>5</w:t>
      </w:r>
      <w:r>
        <w:t>.</w:t>
      </w:r>
    </w:p>
    <w:p w:rsidR="00200517" w:rsidRDefault="00DA061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Dock Appointment &amp; Yard Management</w:t>
      </w:r>
      <w:r>
        <w:t xml:space="preserve">: Penjadwalan pintu </w:t>
      </w:r>
      <w:r>
        <w:rPr>
          <w:i/>
          <w:iCs/>
        </w:rPr>
        <w:t>docking</w:t>
      </w:r>
      <w:r>
        <w:t xml:space="preserve"> untuk bongkar muat kargo dan visibilitas pergerakan </w:t>
      </w:r>
      <w:r>
        <w:rPr>
          <w:i/>
          <w:iCs/>
        </w:rPr>
        <w:t>trailer</w:t>
      </w:r>
      <w:r>
        <w:t xml:space="preserve"> di area </w:t>
      </w:r>
      <w:r>
        <w:rPr>
          <w:i/>
          <w:iCs/>
        </w:rPr>
        <w:t>yard/hub</w:t>
      </w:r>
      <w:r>
        <w:t xml:space="preserve"> untuk mencegah kemacetan antrean truk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DA0614">
      <w:pPr>
        <w:pStyle w:val="Heading3"/>
        <w:spacing w:before="0" w:after="0" w:line="275" w:lineRule="auto"/>
      </w:pPr>
      <w:r>
        <w:t>Modul 4: Real-time Telematics, Control Tower &amp; Exception Management</w:t>
      </w:r>
    </w:p>
    <w:p w:rsidR="00200517" w:rsidRDefault="00DA061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GIS Control Tower &amp; IoT Feed</w:t>
      </w:r>
      <w:r>
        <w:t xml:space="preserve">: Streaming data posisi GPS, sensor suhu </w:t>
      </w:r>
      <w:r>
        <w:rPr>
          <w:i/>
          <w:iCs/>
        </w:rPr>
        <w:t>reefer</w:t>
      </w:r>
      <w:r>
        <w:t xml:space="preserve">, status pintu </w:t>
      </w:r>
      <w:r>
        <w:rPr>
          <w:i/>
          <w:iCs/>
        </w:rPr>
        <w:t>box</w:t>
      </w:r>
      <w:r>
        <w:t>, dan konsumsi BBM dari OptiRadar atau sistem telematika pihak ketiga via WebSockets/gRPC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DA061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Dynamic ETA &amp; Exception Alert</w:t>
      </w:r>
      <w:r>
        <w:t>: Kalkulasi ulang estimasi tiba secara otomatis. Memicu peringatan jika terjadi deviasi rute atau waktu berhenti tidak terencana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DA0614">
      <w:pPr>
        <w:pStyle w:val="Heading3"/>
        <w:spacing w:before="0" w:after="0" w:line="275" w:lineRule="auto"/>
      </w:pPr>
      <w:r>
        <w:t>Modul 5: Vendor Self-Service Portal, Rate Card &amp; Automated Tendering</w:t>
      </w:r>
    </w:p>
    <w:p w:rsidR="00200517" w:rsidRDefault="00DA06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Vendor Portal (Self-Service Fleet &amp; Driver Mgmt)</w:t>
      </w:r>
      <w:r>
        <w:t>: Vendor mendaftarkan unit kendaraan, mengelola dokumen STNK/KIR, serta menetapkan driver internal secara mandiri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DA06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Multi-Variable Rate Card Builder</w:t>
      </w:r>
      <w:r>
        <w:t>: Konfigurasi daftar tarif vendor berbasis tipe armada, zona asal-tujuan, jarak tempuh (km), dan biaya tambahan kustom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DA06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Waterfall &amp; Broadcast Tendering</w:t>
      </w:r>
      <w:r>
        <w:t>: Distribusi order otomatis ke vendor berdasarkan peringkat kinerja (</w:t>
      </w:r>
      <w:r>
        <w:rPr>
          <w:i/>
          <w:iCs/>
        </w:rPr>
        <w:t>waterfall</w:t>
      </w:r>
      <w:r>
        <w:t>) atau secara terbuka (</w:t>
      </w:r>
      <w:r>
        <w:rPr>
          <w:i/>
          <w:iCs/>
        </w:rPr>
        <w:t>broadcast</w:t>
      </w:r>
      <w:r>
        <w:t>)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DA0614">
      <w:pPr>
        <w:pStyle w:val="Heading3"/>
        <w:spacing w:before="0" w:after="0" w:line="275" w:lineRule="auto"/>
      </w:pPr>
      <w:r>
        <w:t>Modul 6: Financial Settlement, 3-Way Freight Audit &amp; Accessorials</w:t>
      </w:r>
    </w:p>
    <w:p w:rsidR="00200517" w:rsidRDefault="00DA06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Automated 3-Way Freight Audit</w:t>
      </w:r>
      <w:r>
        <w:t>: Pencocokan otomatis antara PO/Kontrak, ePOD/Hasil Kirim, dan Tagihan Vendor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DA06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Accessorial &amp; Dispute Management</w:t>
      </w:r>
      <w:r>
        <w:t>: Pengelolaan biaya tambahan (</w:t>
      </w:r>
      <w:r>
        <w:rPr>
          <w:i/>
          <w:iCs/>
        </w:rPr>
        <w:t>detention, demurrage, loading fee</w:t>
      </w:r>
      <w:r>
        <w:t>) serta klaim sengketa barang rusak/hilang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DA0614">
      <w:pPr>
        <w:pStyle w:val="Heading3"/>
        <w:spacing w:before="0" w:after="0" w:line="275" w:lineRule="auto"/>
      </w:pPr>
      <w:r>
        <w:t>Modul 7: Analytics, ESG Carbon Tracking &amp; Audit Trail</w:t>
      </w:r>
    </w:p>
    <w:p w:rsidR="00200517" w:rsidRDefault="00DA061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Scope 1, 2, 3 Carbon Calculator</w:t>
      </w:r>
      <w:r>
        <w:t>: Menghitung emisi gas rumah kaca berbasis rumus ton-kilometer dan standar ISO/GLEC Framework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DA061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System Audit Log</w:t>
      </w:r>
      <w:r>
        <w:t>: Merekam jejak aktivitas transaksi dan penyesuaian tarif untuk verifikasi audit internal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DA0614">
      <w:pPr>
        <w:pStyle w:val="Heading2"/>
        <w:spacing w:before="0" w:after="0" w:line="275" w:lineRule="auto"/>
      </w:pPr>
      <w:r>
        <w:t>3. Spesifikasi Backend &amp; Skema Data (Backend Engineering)</w:t>
      </w:r>
    </w:p>
    <w:p w:rsidR="00200517" w:rsidRDefault="00DA0614">
      <w:pPr>
        <w:pStyle w:val="Heading3"/>
        <w:spacing w:before="0" w:after="0" w:line="275" w:lineRule="auto"/>
      </w:pPr>
      <w:r>
        <w:t>3.1 Skema Data Utama (Entity Relationship Model)</w:t>
      </w:r>
    </w:p>
    <w:p w:rsidR="00200517" w:rsidRDefault="0020051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</w:pPr>
    </w:p>
    <w:p w:rsidR="00200517" w:rsidRDefault="00200517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</w:pPr>
    </w:p>
    <w:p w:rsidR="00200517" w:rsidRDefault="0020051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</w:pPr>
    </w:p>
    <w:p w:rsidR="00200517" w:rsidRDefault="00DA061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</w:pPr>
      <w:r>
        <w:t>[Tenants] 1 --- * [Orders] 1 --- * [OrderItems]</w:t>
      </w:r>
      <w:r>
        <w:br/>
        <w:t xml:space="preserve">   |                 |</w:t>
      </w:r>
      <w:r>
        <w:br/>
      </w:r>
      <w:r>
        <w:lastRenderedPageBreak/>
        <w:t xml:space="preserve">   | 1               | 1</w:t>
      </w:r>
      <w:r>
        <w:br/>
        <w:t xml:space="preserve">   *                 *</w:t>
      </w:r>
      <w:r>
        <w:br/>
        <w:t>[Vendors] 1 --- * [Trips] 1 --- * [TripLegs]</w:t>
      </w:r>
      <w:r>
        <w:br/>
        <w:t xml:space="preserve">   |                 |               |</w:t>
      </w:r>
      <w:r>
        <w:br/>
        <w:t xml:space="preserve">   | 1               | 1             | 1</w:t>
      </w:r>
      <w:r>
        <w:br/>
        <w:t xml:space="preserve">   *                 *               *</w:t>
      </w:r>
      <w:r>
        <w:br/>
        <w:t>[VendorDrivers]   [Vehicles]     [ProofOfDeliveries]</w:t>
      </w:r>
      <w:r>
        <w:br/>
      </w:r>
    </w:p>
    <w:p w:rsidR="00200517" w:rsidRDefault="00DA0614">
      <w:pPr>
        <w:pStyle w:val="Heading4"/>
        <w:spacing w:before="0" w:after="0" w:line="275" w:lineRule="auto"/>
      </w:pPr>
      <w:r>
        <w:t>Entity Details:</w:t>
      </w:r>
    </w:p>
    <w:p w:rsidR="00200517" w:rsidRDefault="00DA061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tenants</w:t>
      </w:r>
      <w:r>
        <w:t>: tenant_id (PK, UUID), name, deployment_mode (ENUM: 'SAAS', 'STANDALONE'), license_key, created_at.</w:t>
      </w:r>
    </w:p>
    <w:p w:rsidR="00200517" w:rsidRDefault="00DA061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orders</w:t>
      </w:r>
      <w:r>
        <w:t>: order_id (PK, UUID), tenant_id (FK), order_number, stage_scope (ENUM: 'FIRST_MILE', 'MIDDLE_MILE', 'LAST_MILE', 'E2E'), sell_price (DECIMAL), currency, status, created_at.</w:t>
      </w:r>
    </w:p>
    <w:p w:rsidR="00200517" w:rsidRDefault="00DA061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trips</w:t>
      </w:r>
      <w:r>
        <w:t>: trip_id (PK, UUID), tenant_id (FK), order_id (FK), vendor_id (FK, Nullable), vehicle_id (FK), driver_id (FK), purchase_cost (DECIMAL), calculated_margin (DECIMAL), status.</w:t>
      </w:r>
    </w:p>
    <w:p w:rsidR="00200517" w:rsidRDefault="00DA061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trip_legs</w:t>
      </w:r>
      <w:r>
        <w:t>: leg_id (PK, UUID), trip_id (FK), sequence, origin_hub_id, destination_hub_id, planned_eta, actual_ata.</w:t>
      </w:r>
    </w:p>
    <w:p w:rsidR="00200517" w:rsidRDefault="00DA061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vendor_rate_cards</w:t>
      </w:r>
      <w:r>
        <w:t>: rate_card_id (PK, UUID), vendor_id (FK), vehicle_type_id, zone_origin, zone_destination, base_rate, rate_per_km, min_distance_km.</w:t>
      </w:r>
    </w:p>
    <w:p w:rsidR="00200517" w:rsidRDefault="00DA0614">
      <w:pPr>
        <w:pStyle w:val="Heading3"/>
        <w:spacing w:before="0" w:after="0" w:line="275" w:lineRule="auto"/>
      </w:pPr>
      <w:r>
        <w:t>3.2 Alur Komunikasi REST API &amp; EDI Event</w:t>
      </w:r>
    </w:p>
    <w:p w:rsidR="00200517" w:rsidRDefault="00DA061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Inbound Order (EDI 204 / REST)</w:t>
      </w:r>
      <w:r>
        <w:t>: Enterprise ERP memasukkan data pesanan pengiriman.</w:t>
      </w:r>
    </w:p>
    <w:p w:rsidR="00200517" w:rsidRDefault="00DA061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Outbound Status (EDI 214 / Webhook)</w:t>
      </w:r>
      <w:r>
        <w:t>: OptiDeli memancarkan peristiwa perubahan status (</w:t>
      </w:r>
      <w:r>
        <w:rPr>
          <w:i/>
          <w:iCs/>
        </w:rPr>
        <w:t>Dispatched, En-Route, Arrived, Delivered</w:t>
      </w:r>
      <w:r>
        <w:t>).</w:t>
      </w:r>
    </w:p>
    <w:p w:rsidR="00200517" w:rsidRDefault="00DA061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Freight Invoice Sync (EDI 210 / REST)</w:t>
      </w:r>
      <w:r>
        <w:t>: Setelah ePOD terverifikasi, OptiDeli mengirimkan jurnalisme piutang/utang dagang ke OptiEntry atau ERP lokal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DA0614">
      <w:pPr>
        <w:pStyle w:val="Heading2"/>
        <w:spacing w:before="0" w:after="0" w:line="275" w:lineRule="auto"/>
      </w:pPr>
      <w:r>
        <w:t>4. Spesifikasi Frontend Component &amp; UI/UX Breakdown (Frontend Engineering)</w:t>
      </w:r>
    </w:p>
    <w:p w:rsidR="00200517" w:rsidRDefault="00DA0614">
      <w:pPr>
        <w:pStyle w:val="Heading3"/>
        <w:spacing w:before="0" w:after="0" w:line="275" w:lineRule="auto"/>
      </w:pPr>
      <w:r>
        <w:t>4.1 Arsitektur Micro-Frontend Component</w:t>
      </w:r>
    </w:p>
    <w:p w:rsidR="00200517" w:rsidRDefault="00DA061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LoadOptimizationViewer3D</w:t>
      </w:r>
      <w:r>
        <w:t xml:space="preserve">: Komponen visualisasi 3D berbasis Canvas/Three.js untuk simulasi keterisian kargo di dalam </w:t>
      </w:r>
      <w:r>
        <w:rPr>
          <w:i/>
          <w:iCs/>
        </w:rPr>
        <w:t>box</w:t>
      </w:r>
      <w:r>
        <w:t xml:space="preserve"> truk.</w:t>
      </w:r>
    </w:p>
    <w:p w:rsidR="00200517" w:rsidRDefault="00DA061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GISControlTowerMap</w:t>
      </w:r>
      <w:r>
        <w:t xml:space="preserve">: Komponen peta interaktif (Mapbox GL/Leaflet) yang memanfaatkan koneksi WebSocket wss:// untuk </w:t>
      </w:r>
      <w:r>
        <w:rPr>
          <w:i/>
          <w:iCs/>
        </w:rPr>
        <w:t>rendering</w:t>
      </w:r>
      <w:r>
        <w:t xml:space="preserve"> posisi armada secara </w:t>
      </w:r>
      <w:r>
        <w:rPr>
          <w:i/>
          <w:iCs/>
        </w:rPr>
        <w:t>real-time</w:t>
      </w:r>
      <w:r>
        <w:t>.</w:t>
      </w:r>
    </w:p>
    <w:p w:rsidR="00200517" w:rsidRDefault="00DA061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TenderWaterfallBoard</w:t>
      </w:r>
      <w:r>
        <w:t>: Antarmuka Kanban-style untuk memantau status penerimaan order oleh vendor secara berurutan.</w:t>
      </w:r>
    </w:p>
    <w:p w:rsidR="00200517" w:rsidRDefault="00DA061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RateCardDynamicGrid</w:t>
      </w:r>
      <w:r>
        <w:t>: Antarmuka tabel interaktif untuk pengaturan matriks tarif variabel vendor.</w:t>
      </w:r>
    </w:p>
    <w:p w:rsidR="00200517" w:rsidRDefault="00DA0614">
      <w:pPr>
        <w:pStyle w:val="Heading3"/>
        <w:spacing w:before="0" w:after="0" w:line="275" w:lineRule="auto"/>
      </w:pPr>
      <w:r>
        <w:t>4.2 UI/UX Navigation Matrix &amp; Action Triggers</w:t>
      </w:r>
    </w:p>
    <w:p w:rsidR="00200517" w:rsidRDefault="00200517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0051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Menu &amp; Sub-Menu Path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Page Name &amp; Screen Layout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Pop-Up / Modal / Drawer Details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Function &amp; Action User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Backend &amp; API Gateway Event Triggers</w:t>
            </w:r>
          </w:p>
        </w:tc>
      </w:tr>
      <w:tr w:rsidR="0020051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Pemesanan &gt; Buat Order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Form Pembuatan Order</w:t>
            </w:r>
          </w:p>
          <w:p w:rsidR="00200517" w:rsidRDefault="00200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Layout: Split-screen (Kiri: Form Input Customer, Cargo &amp; Stage Scope; Kanan: Map Routing &amp; Costing Preview)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Pop-Up: Margin Calculator &amp; Accessorials</w:t>
            </w:r>
          </w:p>
          <w:p w:rsidR="00200517" w:rsidRDefault="00200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Detail harga jual, estimasi biaya vendor, biaya tambahan aksesorial, dan persentase margin</w:t>
            </w:r>
            <w:r>
              <w:rPr>
                <w:sz w:val="24"/>
                <w:szCs w:val="24"/>
                <w:vertAlign w:val="superscript"/>
              </w:rPr>
              <w:t>1</w:t>
            </w:r>
            <w:r>
              <w:t>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rPr>
                <w:b/>
                <w:bCs/>
              </w:rPr>
              <w:t>Action:</w:t>
            </w:r>
            <w:r>
              <w:t xml:space="preserve"> Select Supply Chain Stage, Submit Order, Calculate Rate, Save as Draft.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rPr>
                <w:i/>
                <w:iCs/>
              </w:rPr>
              <w:t>Trigger:</w:t>
            </w:r>
            <w:r>
              <w:t xml:space="preserve"> POST /api/v1/orders/create</w:t>
            </w:r>
          </w:p>
          <w:p w:rsidR="00200517" w:rsidRDefault="00200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rPr>
                <w:i/>
                <w:iCs/>
              </w:rPr>
              <w:t>Integrasi:</w:t>
            </w:r>
            <w:r>
              <w:t xml:space="preserve"> Memanggil Tarif Engine, Geocoding &amp; EDI 204 Intake</w:t>
            </w:r>
            <w:r>
              <w:rPr>
                <w:sz w:val="24"/>
                <w:szCs w:val="24"/>
                <w:vertAlign w:val="superscript"/>
              </w:rPr>
              <w:t>1</w:t>
            </w:r>
            <w:r>
              <w:t>.</w:t>
            </w:r>
          </w:p>
        </w:tc>
      </w:tr>
      <w:tr w:rsidR="0020051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Pemesanan &gt; Load Optimizer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3D Load Building Console</w:t>
            </w:r>
          </w:p>
          <w:p w:rsidR="00200517" w:rsidRDefault="00200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4"/>
                <w:szCs w:val="24"/>
                <w:vertAlign w:val="superscript"/>
              </w:rPr>
            </w:pPr>
            <w:r>
              <w:t>Layout: Interactive 3D Vehicle Cargo Container Viewer &amp; Order Bin Allocation List</w:t>
            </w:r>
            <w:r>
              <w:rPr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Modal: Hazmat &amp; Axle Limit Settings</w:t>
            </w:r>
          </w:p>
          <w:p w:rsidR="00200517" w:rsidRDefault="00200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Aturan pemisahan kargo berbahaya dan toleransi beban per as roda</w:t>
            </w:r>
            <w:r>
              <w:rPr>
                <w:sz w:val="24"/>
                <w:szCs w:val="24"/>
                <w:vertAlign w:val="superscript"/>
              </w:rPr>
              <w:t>1</w:t>
            </w:r>
            <w:r>
              <w:t>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rPr>
                <w:b/>
                <w:bCs/>
              </w:rPr>
              <w:t>Action:</w:t>
            </w:r>
            <w:r>
              <w:t xml:space="preserve"> Auto-Consolidate Orders, Simulate 3D Load, Lock Cargo Configuration.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rPr>
                <w:i/>
                <w:iCs/>
              </w:rPr>
              <w:t>Trigger:</w:t>
            </w:r>
            <w:r>
              <w:t xml:space="preserve"> POST /api/v1/load-optimization/build</w:t>
            </w:r>
          </w:p>
          <w:p w:rsidR="00200517" w:rsidRDefault="00200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rPr>
                <w:i/>
                <w:iCs/>
              </w:rPr>
              <w:t>Integrasi:</w:t>
            </w:r>
            <w:r>
              <w:t xml:space="preserve"> Algoritma 3D Bin-Packing Optimization</w:t>
            </w:r>
            <w:r>
              <w:rPr>
                <w:sz w:val="24"/>
                <w:szCs w:val="24"/>
                <w:vertAlign w:val="superscript"/>
              </w:rPr>
              <w:t>1</w:t>
            </w:r>
            <w:r>
              <w:t>.</w:t>
            </w:r>
          </w:p>
        </w:tc>
      </w:tr>
      <w:tr w:rsidR="0020051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Dispatch &gt; Board Alokasi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Interactive Dispatch Board</w:t>
            </w:r>
          </w:p>
          <w:p w:rsidR="00200517" w:rsidRDefault="00200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Layout: Dual Panel (Panel Atas: Unassigned Orders; Panel Bawah: Available Fleet &amp; Driver List)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Modal: Penugasan Armada &amp; Pengemudi</w:t>
            </w:r>
          </w:p>
          <w:p w:rsidR="00200517" w:rsidRDefault="00200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 xml:space="preserve">Pilihan armada sendiri/vendor, validasi tipe kendaraan, SIM, HOS Driver, &amp; Status Servis </w:t>
            </w:r>
            <w:r>
              <w:lastRenderedPageBreak/>
              <w:t>OptiFleet/Fleet System Lokal</w:t>
            </w:r>
            <w:r>
              <w:rPr>
                <w:sz w:val="24"/>
                <w:szCs w:val="24"/>
                <w:vertAlign w:val="superscript"/>
              </w:rPr>
              <w:t>1</w:t>
            </w:r>
            <w:r>
              <w:t>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rPr>
                <w:b/>
                <w:bCs/>
              </w:rPr>
              <w:lastRenderedPageBreak/>
              <w:t>Action:</w:t>
            </w:r>
            <w:r>
              <w:t xml:space="preserve"> Drag-and-Drop Assignment, Auto-Allocate, Confirm Dispatch.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rPr>
                <w:i/>
                <w:iCs/>
              </w:rPr>
              <w:t>Trigger:</w:t>
            </w:r>
            <w:r>
              <w:t xml:space="preserve"> POST /api/v1/dispatch/assign</w:t>
            </w:r>
          </w:p>
          <w:p w:rsidR="00200517" w:rsidRDefault="00200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rPr>
                <w:i/>
                <w:iCs/>
              </w:rPr>
              <w:t>Integrasi:</w:t>
            </w:r>
            <w:r>
              <w:t xml:space="preserve"> GET /api/v1/fleet/assets/check-availability</w:t>
            </w:r>
            <w:r>
              <w:rPr>
                <w:sz w:val="24"/>
                <w:szCs w:val="24"/>
                <w:vertAlign w:val="superscript"/>
              </w:rPr>
              <w:t>5</w:t>
            </w:r>
            <w:r>
              <w:t>.</w:t>
            </w:r>
          </w:p>
        </w:tc>
      </w:tr>
      <w:tr w:rsidR="0020051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Dispatch &gt; Dock &amp; Yard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Dock Scheduling &amp; Yard Management</w:t>
            </w:r>
          </w:p>
          <w:p w:rsidR="00200517" w:rsidRDefault="00200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4"/>
                <w:szCs w:val="24"/>
                <w:vertAlign w:val="superscript"/>
              </w:rPr>
            </w:pPr>
            <w:r>
              <w:t>Layout: Gantt Chart Pintu Dock &amp; Grid Map Lokasi Trailer di Yard</w:t>
            </w:r>
            <w:r>
              <w:rPr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Modal: Reservasi Slot Dock</w:t>
            </w:r>
          </w:p>
          <w:p w:rsidR="00200517" w:rsidRDefault="00200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Pendaftaran jam kedatangan armada, alokasi pintu loading dock, dan estimasi waktu bongkar</w:t>
            </w:r>
            <w:r>
              <w:rPr>
                <w:sz w:val="24"/>
                <w:szCs w:val="24"/>
                <w:vertAlign w:val="superscript"/>
              </w:rPr>
              <w:t>1</w:t>
            </w:r>
            <w:r>
              <w:t>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rPr>
                <w:b/>
                <w:bCs/>
              </w:rPr>
              <w:t>Action:</w:t>
            </w:r>
            <w:r>
              <w:t xml:space="preserve"> Book Dock Slot, Update Trailer Yard Status, Log Gate-In/Gate-Out.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rPr>
                <w:i/>
                <w:iCs/>
              </w:rPr>
              <w:t>Trigger:</w:t>
            </w:r>
            <w:r>
              <w:t xml:space="preserve"> POST /api/v1/yard/dock-appointments</w:t>
            </w:r>
          </w:p>
          <w:p w:rsidR="00200517" w:rsidRDefault="00200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rPr>
                <w:i/>
                <w:iCs/>
              </w:rPr>
              <w:t>Integrasi:</w:t>
            </w:r>
            <w:r>
              <w:t xml:space="preserve"> Sensor Gate Barrier &amp; WMS Dock Sync</w:t>
            </w:r>
            <w:r>
              <w:rPr>
                <w:sz w:val="24"/>
                <w:szCs w:val="24"/>
                <w:vertAlign w:val="superscript"/>
              </w:rPr>
              <w:t>1</w:t>
            </w:r>
            <w:r>
              <w:t>.</w:t>
            </w:r>
          </w:p>
        </w:tc>
      </w:tr>
      <w:tr w:rsidR="0020051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Pelacakan &gt; Control Tower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Live GIS Radar Map</w:t>
            </w:r>
          </w:p>
          <w:p w:rsidR="00200517" w:rsidRDefault="00200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Layout: Full-Screen Interactive Map dengan Sidebar Status Ringkasan Armada &amp; Stage Filter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Drawer: Telematics Diagnostics Drawer</w:t>
            </w:r>
          </w:p>
          <w:p w:rsidR="00200517" w:rsidRDefault="00200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Kecepatan real-time, suhu kargo reefer, level BBM, dan Odometer</w:t>
            </w:r>
            <w:r>
              <w:rPr>
                <w:sz w:val="24"/>
                <w:szCs w:val="24"/>
                <w:vertAlign w:val="superscript"/>
              </w:rPr>
              <w:t>1</w:t>
            </w:r>
            <w:r>
              <w:t>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rPr>
                <w:b/>
                <w:bCs/>
              </w:rPr>
              <w:t>Action:</w:t>
            </w:r>
            <w:r>
              <w:t xml:space="preserve"> Filter Fleet By Stage Scope, Focus Vehicle GPS, Send Driver Alert.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rPr>
                <w:i/>
                <w:iCs/>
              </w:rPr>
              <w:t>Trigger:</w:t>
            </w:r>
            <w:r>
              <w:t xml:space="preserve"> WebSocket streaming /ws/v1/telematics</w:t>
            </w:r>
          </w:p>
          <w:p w:rsidR="00200517" w:rsidRDefault="00200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rPr>
                <w:i/>
                <w:iCs/>
              </w:rPr>
              <w:t>Integrasi:</w:t>
            </w:r>
            <w:r>
              <w:t xml:space="preserve"> Feed telematika dari OptiRadar / GPS API Pihak Ketiga</w:t>
            </w:r>
            <w:r>
              <w:rPr>
                <w:sz w:val="24"/>
                <w:szCs w:val="24"/>
                <w:vertAlign w:val="superscript"/>
              </w:rPr>
              <w:t>1</w:t>
            </w:r>
            <w:r>
              <w:t>.</w:t>
            </w:r>
          </w:p>
        </w:tc>
      </w:tr>
      <w:tr w:rsidR="0020051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Vendor &gt; Tendering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Automated Tender Console</w:t>
            </w:r>
          </w:p>
          <w:p w:rsidR="00200517" w:rsidRDefault="00200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4"/>
                <w:szCs w:val="24"/>
                <w:vertAlign w:val="superscript"/>
              </w:rPr>
            </w:pPr>
            <w:r>
              <w:t>Layout: Live Waterfall &amp; Broadcast Tendering Board</w:t>
            </w:r>
            <w:r>
              <w:rPr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Pop-Up: Konfigurasi Aturan Waterfall</w:t>
            </w:r>
          </w:p>
          <w:p w:rsidR="00200517" w:rsidRDefault="00200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Pengaturan alokasi order otomatis berdasarkan urutan peringkat skor vendor</w:t>
            </w:r>
            <w:r>
              <w:rPr>
                <w:sz w:val="24"/>
                <w:szCs w:val="24"/>
                <w:vertAlign w:val="superscript"/>
              </w:rPr>
              <w:t>1</w:t>
            </w:r>
            <w:r>
              <w:t>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rPr>
                <w:b/>
                <w:bCs/>
              </w:rPr>
              <w:t>Action:</w:t>
            </w:r>
            <w:r>
              <w:t xml:space="preserve"> Trigger Waterfall Tender, Broadcast Order, Accept/Reject Tender (Vendor).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rPr>
                <w:i/>
                <w:iCs/>
              </w:rPr>
              <w:t>Trigger:</w:t>
            </w:r>
            <w:r>
              <w:t xml:space="preserve"> POST /api/v1/tenders/waterfall/start</w:t>
            </w:r>
          </w:p>
          <w:p w:rsidR="00200517" w:rsidRDefault="00200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rPr>
                <w:i/>
                <w:iCs/>
              </w:rPr>
              <w:t>Integrasi:</w:t>
            </w:r>
            <w:r>
              <w:t xml:space="preserve"> Notification Gateway &amp; EDI 204 Outbound</w:t>
            </w:r>
            <w:r>
              <w:rPr>
                <w:sz w:val="24"/>
                <w:szCs w:val="24"/>
                <w:vertAlign w:val="superscript"/>
              </w:rPr>
              <w:t>1</w:t>
            </w:r>
            <w:r>
              <w:t>.</w:t>
            </w:r>
          </w:p>
        </w:tc>
      </w:tr>
      <w:tr w:rsidR="0020051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Keuangan &gt; </w:t>
            </w:r>
            <w:r>
              <w:rPr>
                <w:b/>
                <w:bCs/>
              </w:rPr>
              <w:lastRenderedPageBreak/>
              <w:t>Freight Audit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lastRenderedPageBreak/>
              <w:t>Automated 3-</w:t>
            </w:r>
            <w:r>
              <w:lastRenderedPageBreak/>
              <w:t>Way Freight Audit</w:t>
            </w:r>
          </w:p>
          <w:p w:rsidR="00200517" w:rsidRDefault="00200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4"/>
                <w:szCs w:val="24"/>
                <w:vertAlign w:val="superscript"/>
              </w:rPr>
            </w:pPr>
            <w:r>
              <w:t>Layout: Table Matching Order vs ePOD vs Vendor Invoice</w:t>
            </w:r>
            <w:r>
              <w:rPr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lastRenderedPageBreak/>
              <w:t xml:space="preserve">Modal: Audit </w:t>
            </w:r>
            <w:r>
              <w:lastRenderedPageBreak/>
              <w:t>Discrepancy &amp; Dispute</w:t>
            </w:r>
          </w:p>
          <w:p w:rsidR="00200517" w:rsidRDefault="00200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Pengajuan penyesuaian biaya tambahan (detention, klaim kerusakan)</w:t>
            </w:r>
            <w:r>
              <w:rPr>
                <w:sz w:val="24"/>
                <w:szCs w:val="24"/>
                <w:vertAlign w:val="superscript"/>
              </w:rPr>
              <w:t>1</w:t>
            </w:r>
            <w:r>
              <w:t>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rPr>
                <w:b/>
                <w:bCs/>
              </w:rPr>
              <w:lastRenderedPageBreak/>
              <w:t>Action:</w:t>
            </w:r>
            <w:r>
              <w:t xml:space="preserve"> </w:t>
            </w:r>
            <w:r>
              <w:lastRenderedPageBreak/>
              <w:t>Approve 3-Way Match, Adjust Accessorial Fee, Reject Invoice.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rPr>
                <w:i/>
                <w:iCs/>
              </w:rPr>
              <w:lastRenderedPageBreak/>
              <w:t>Trigger:</w:t>
            </w:r>
            <w:r>
              <w:t xml:space="preserve"> POST </w:t>
            </w:r>
            <w:r>
              <w:lastRenderedPageBreak/>
              <w:t>/api/v1/freight-audit/verify</w:t>
            </w:r>
          </w:p>
          <w:p w:rsidR="00200517" w:rsidRDefault="00200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rPr>
                <w:i/>
                <w:iCs/>
              </w:rPr>
              <w:t>Integrasi:</w:t>
            </w:r>
            <w:r>
              <w:t xml:space="preserve"> Sinkronisasi draf utang dengan OptiEntry / Enterprise ERP</w:t>
            </w:r>
            <w:r>
              <w:rPr>
                <w:sz w:val="24"/>
                <w:szCs w:val="24"/>
                <w:vertAlign w:val="superscript"/>
              </w:rPr>
              <w:t>1</w:t>
            </w:r>
            <w:r>
              <w:t>.</w:t>
            </w:r>
          </w:p>
        </w:tc>
      </w:tr>
    </w:tbl>
    <w:p w:rsidR="00200517" w:rsidRDefault="00DA0614">
      <w:pPr>
        <w:pStyle w:val="Heading2"/>
        <w:spacing w:before="0" w:after="0" w:line="275" w:lineRule="auto"/>
      </w:pPr>
      <w:r>
        <w:lastRenderedPageBreak/>
        <w:t>5. Mesin Komersial &amp; Proteksi Margin (Business Logic)</w:t>
      </w:r>
    </w:p>
    <w:p w:rsidR="00200517" w:rsidRDefault="00DA0614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Mesin komersial OptiDeli menghitung profitabilitas transaksi secara otomatis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DA0614">
      <w:pPr>
        <w:pStyle w:val="Heading3"/>
        <w:spacing w:before="0" w:after="0" w:line="275" w:lineRule="auto"/>
      </w:pPr>
      <w:r>
        <w:t>Formula Penentuan Harga &amp; Margin:</w:t>
      </w:r>
    </w:p>
    <w:p w:rsidR="00200517" w:rsidRDefault="00DA061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Harga Jual Ke Pelanggan (</w:t>
      </w:r>
      <w:r>
        <w:rPr>
          <w:b/>
          <w:bCs/>
          <w:noProof/>
        </w:rPr>
        <w:drawing>
          <wp:inline distT="19050" distB="19050" distL="19050" distR="19050">
            <wp:extent cx="348406" cy="197744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406" cy="1977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>)</w:t>
      </w:r>
      <w:r>
        <w:t>:</w:t>
      </w:r>
      <w:r>
        <w:br/>
      </w:r>
      <w:r>
        <w:rPr>
          <w:noProof/>
        </w:rPr>
        <w:drawing>
          <wp:inline distT="19050" distB="19050" distL="19050" distR="19050">
            <wp:extent cx="5905500" cy="48284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2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0517" w:rsidRDefault="00DA061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Biaya Beli Vendor (</w:t>
      </w:r>
      <w:r>
        <w:rPr>
          <w:b/>
          <w:bCs/>
          <w:noProof/>
        </w:rPr>
        <w:drawing>
          <wp:inline distT="19050" distB="19050" distL="19050" distR="19050">
            <wp:extent cx="561231" cy="19976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31" cy="199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>)</w:t>
      </w:r>
      <w:r>
        <w:t>:</w:t>
      </w:r>
      <w:r>
        <w:br/>
      </w:r>
      <w:r>
        <w:rPr>
          <w:noProof/>
        </w:rPr>
        <w:drawing>
          <wp:inline distT="19050" distB="19050" distL="19050" distR="19050">
            <wp:extent cx="5905500" cy="48284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2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0517" w:rsidRDefault="00DA061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Persentase Margin Operasional (</w:t>
      </w:r>
      <w:r>
        <w:rPr>
          <w:b/>
          <w:bCs/>
          <w:noProof/>
        </w:rPr>
        <w:drawing>
          <wp:inline distT="19050" distB="19050" distL="19050" distR="19050">
            <wp:extent cx="211783" cy="202156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83" cy="2021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>)</w:t>
      </w:r>
      <w:r>
        <w:t>:</w:t>
      </w:r>
      <w:r>
        <w:br/>
      </w:r>
      <w:r>
        <w:rPr>
          <w:noProof/>
        </w:rPr>
        <w:drawing>
          <wp:inline distT="19050" distB="19050" distL="19050" distR="19050">
            <wp:extent cx="5905500" cy="656167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6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0517" w:rsidRDefault="00DA061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Margin Guardrail Rule</w:t>
      </w:r>
      <w:r>
        <w:t xml:space="preserve">: Jika </w:t>
      </w:r>
      <w:r>
        <w:rPr>
          <w:noProof/>
        </w:rPr>
        <w:drawing>
          <wp:inline distT="19050" distB="19050" distL="19050" distR="19050">
            <wp:extent cx="1358656" cy="199523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8656" cy="1995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(misal: </w:t>
      </w:r>
      <w:r>
        <w:rPr>
          <w:noProof/>
        </w:rPr>
        <w:drawing>
          <wp:inline distT="19050" distB="19050" distL="19050" distR="19050">
            <wp:extent cx="381000" cy="20002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), sistem secara otomatis memblokir </w:t>
      </w:r>
      <w:r>
        <w:rPr>
          <w:i/>
          <w:iCs/>
        </w:rPr>
        <w:t>dispatch</w:t>
      </w:r>
      <w:r>
        <w:t xml:space="preserve"> dan memicu modal persetujuan khusus (</w:t>
      </w:r>
      <w:r>
        <w:rPr>
          <w:i/>
          <w:iCs/>
        </w:rPr>
        <w:t>Management Override</w:t>
      </w:r>
      <w:r>
        <w:t>)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DA0614">
      <w:pPr>
        <w:pStyle w:val="Heading2"/>
        <w:spacing w:before="0" w:after="0" w:line="275" w:lineRule="auto"/>
      </w:pPr>
      <w:r>
        <w:t>6. Alur Terintegrasi API &amp; EDI Lintas Sistem</w:t>
      </w:r>
    </w:p>
    <w:p w:rsidR="00200517" w:rsidRDefault="0020051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</w:pPr>
    </w:p>
    <w:p w:rsidR="00200517" w:rsidRDefault="00200517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</w:pPr>
    </w:p>
    <w:p w:rsidR="00200517" w:rsidRDefault="0020051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</w:pPr>
    </w:p>
    <w:p w:rsidR="00200517" w:rsidRDefault="00DA061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</w:pPr>
      <w:r>
        <w:t>[Customer ERP] --(EDI 204)--&gt; [OptiDeli Core] --(API)--&gt; [OptiFleet / Service] (Check Servis)</w:t>
      </w:r>
      <w:r>
        <w:br/>
        <w:t xml:space="preserve">                                   |</w:t>
      </w:r>
      <w:r>
        <w:br/>
        <w:t xml:space="preserve">                                 (API)</w:t>
      </w:r>
      <w:r>
        <w:br/>
        <w:t xml:space="preserve">                                   v</w:t>
      </w:r>
      <w:r>
        <w:br/>
      </w:r>
      <w:r>
        <w:lastRenderedPageBreak/>
        <w:t xml:space="preserve">                             [OptiRadar Map] &lt;--(WebSocket)-- [GPS / Sensor Feed]</w:t>
      </w:r>
      <w:r>
        <w:br/>
        <w:t xml:space="preserve">                                   |</w:t>
      </w:r>
      <w:r>
        <w:br/>
        <w:t xml:space="preserve">                                 (ePOD)</w:t>
      </w:r>
      <w:r>
        <w:br/>
        <w:t xml:space="preserve">                                   v</w:t>
      </w:r>
      <w:r>
        <w:br/>
        <w:t>[Customer ERP] &lt;--(EDI 210)-- [OptiEntry / ERP] &lt;--(3-Way Audit)-- [OptiDeli Settlement]</w:t>
      </w:r>
      <w:r>
        <w:br/>
      </w:r>
    </w:p>
    <w:p w:rsidR="00200517" w:rsidRDefault="00200517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0051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Tahapan Operasional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Platform Inisiator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Platform Penerima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Endpoint API / Protokol EDI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Payload Utama</w:t>
            </w:r>
          </w:p>
        </w:tc>
      </w:tr>
      <w:tr w:rsidR="0020051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Autentikasi User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OptiDeli UI / Vendor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OptiNexus / Local IAM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4"/>
                <w:szCs w:val="24"/>
                <w:vertAlign w:val="superscript"/>
              </w:rPr>
            </w:pPr>
            <w:r>
              <w:t>POST /oauth/v2/token (HTTPS/REST)</w:t>
            </w:r>
            <w:r>
              <w:rPr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client_id, client_secret, grant_token</w:t>
            </w:r>
          </w:p>
        </w:tc>
      </w:tr>
      <w:tr w:rsidR="0020051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Order Intake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ERP Customer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OptiDeli Core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EDI 204 / POST /api/v1/orders/inbound</w:t>
            </w: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[cite: 1, 2]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shipment_id, cargo_specs, origin_dest</w:t>
            </w:r>
          </w:p>
        </w:tc>
      </w:tr>
      <w:tr w:rsidR="0020051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Waterfall Tender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OptiDeli Core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Vendor Portal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4"/>
                <w:szCs w:val="24"/>
                <w:vertAlign w:val="superscript"/>
              </w:rPr>
            </w:pPr>
            <w:r>
              <w:t>POST /api/v1/tenders/waterfall (HTTPS/REST)</w:t>
            </w:r>
            <w:r>
              <w:rPr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order_id, vendor_rank_list, timeout_mins</w:t>
            </w:r>
          </w:p>
        </w:tc>
      </w:tr>
      <w:tr w:rsidR="0020051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Cek Servis Armada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OptiDeli Dispatch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OptiFleet / Local Fleet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4"/>
                <w:szCs w:val="24"/>
                <w:vertAlign w:val="superscript"/>
              </w:rPr>
            </w:pPr>
            <w:r>
              <w:t>GET /api/v1/assets/status (HTTPS/REST)</w:t>
            </w:r>
            <w:r>
              <w:rPr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vehicle_id, dispatch_date</w:t>
            </w:r>
          </w:p>
        </w:tc>
      </w:tr>
      <w:tr w:rsidR="0020051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Dock Appointment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OptiDeli Core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Yard / WMS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POST /api/v1/yard/dock-appointments</w:t>
            </w: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[cite: 1, 5]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vehicle_id, hub_id, dock_slot_time</w:t>
            </w:r>
          </w:p>
        </w:tc>
      </w:tr>
      <w:tr w:rsidR="0020051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Streaming Tracking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OptiRadar / 3rd GPS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OptiDeli UI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4"/>
                <w:szCs w:val="24"/>
                <w:vertAlign w:val="superscript"/>
              </w:rPr>
            </w:pPr>
            <w:r>
              <w:t>wss://stream.optiradar.com/v1/live (WebSocket)</w:t>
            </w:r>
            <w:r>
              <w:rPr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lat, long, speed, fuel_level, temp</w:t>
            </w: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lastRenderedPageBreak/>
              <w:t>[cite: 1]</w:t>
            </w:r>
          </w:p>
        </w:tc>
      </w:tr>
      <w:tr w:rsidR="0020051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Status Outbound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OptiDeli Core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Customer ERP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4"/>
                <w:szCs w:val="24"/>
                <w:vertAlign w:val="superscript"/>
              </w:rPr>
            </w:pPr>
            <w:r>
              <w:t>EDI 214 / Webhook Outbound</w:t>
            </w:r>
            <w:r>
              <w:rPr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shipment_id, status_code, timestamp, eta</w:t>
            </w:r>
          </w:p>
        </w:tc>
      </w:tr>
      <w:tr w:rsidR="0020051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3-Way Audit Sync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OptiDeli Core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OptiEntry / ERP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EDI 210 / POST /api/v1/finance/journals</w:t>
            </w:r>
          </w:p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[cite: 1, 2, 3, 5, 9]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0517" w:rsidRDefault="00DA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order_id, customer_ar, vendor_ap, accessorials</w:t>
            </w:r>
          </w:p>
        </w:tc>
      </w:tr>
    </w:tbl>
    <w:p w:rsidR="00200517" w:rsidRDefault="00DA0614">
      <w:pPr>
        <w:pStyle w:val="Heading2"/>
        <w:spacing w:before="0" w:after="0" w:line="275" w:lineRule="auto"/>
      </w:pPr>
      <w:r>
        <w:t>7. Rekomendasi Implikasi Strategis &amp; Nilai Bisnis</w:t>
      </w:r>
    </w:p>
    <w:p w:rsidR="00200517" w:rsidRDefault="00DA061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Fleksibilitas Penggelaran Komersial</w:t>
      </w:r>
      <w:r>
        <w:t xml:space="preserve">: Arsitektur ganda memungkinkan OptiDeli dijual dengan model SaaS </w:t>
      </w:r>
      <w:r>
        <w:rPr>
          <w:i/>
          <w:iCs/>
        </w:rPr>
        <w:t>Pay-As-You-Go</w:t>
      </w:r>
      <w:r>
        <w:t xml:space="preserve"> untuk mempercepat akuisisi pasar, sekaligus opsi </w:t>
      </w:r>
      <w:r>
        <w:rPr>
          <w:i/>
          <w:iCs/>
        </w:rPr>
        <w:t>Enterprise Standalone On-Premise</w:t>
      </w:r>
      <w:r>
        <w:t xml:space="preserve"> untuk korporasi besar atau instansi pemerintah yang mensyaratkan kedaulatan data privat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DA061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Optimasi Biaya &amp; Produktivitas</w:t>
      </w:r>
      <w:r>
        <w:t xml:space="preserve">: Fitur </w:t>
      </w:r>
      <w:r>
        <w:rPr>
          <w:i/>
          <w:iCs/>
        </w:rPr>
        <w:t>3D Load Packing</w:t>
      </w:r>
      <w:r>
        <w:t xml:space="preserve"> meningkatkan pemanfaatan muatan hingga 18%, sementara </w:t>
      </w:r>
      <w:r>
        <w:rPr>
          <w:i/>
          <w:iCs/>
        </w:rPr>
        <w:t>3-Way Freight Audit</w:t>
      </w:r>
      <w:r>
        <w:t xml:space="preserve"> meminimalisir kesalahan pembayaran tagihan vendor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DA061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Kepatuhan Lingkungan (ESG)</w:t>
      </w:r>
      <w:r>
        <w:t>: Pelaporan otomatis emisi karbon Scope 1, 2, dan 3 sesuai standar ISO/GLEC memberikan keunggulan kompetitif bagi entitas logistik dalam memenuhi audit keberlanjutan</w:t>
      </w:r>
      <w:r>
        <w:rPr>
          <w:sz w:val="24"/>
          <w:szCs w:val="24"/>
          <w:vertAlign w:val="superscript"/>
        </w:rPr>
        <w:t>1</w:t>
      </w:r>
      <w:r>
        <w:t>.</w:t>
      </w:r>
    </w:p>
    <w:p w:rsidR="00200517" w:rsidRDefault="00DA0614">
      <w:pPr>
        <w:pStyle w:val="Heading4"/>
      </w:pPr>
      <w:r>
        <w:t>Works cited</w:t>
      </w:r>
    </w:p>
    <w:p w:rsidR="00200517" w:rsidRDefault="00DA06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43 Essential Features of a Modern TMS (2026), </w:t>
      </w:r>
      <w:hyperlink r:id="rId14">
        <w:r>
          <w:rPr>
            <w:sz w:val="24"/>
            <w:szCs w:val="24"/>
            <w:u w:val="single"/>
          </w:rPr>
          <w:t>https://www.neurored.com/blog/essential-tms-features/</w:t>
        </w:r>
      </w:hyperlink>
    </w:p>
    <w:p w:rsidR="00200517" w:rsidRDefault="00DA06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Must-Have Transport Management System Features - Transvirtual, </w:t>
      </w:r>
      <w:hyperlink r:id="rId15">
        <w:r>
          <w:rPr>
            <w:sz w:val="24"/>
            <w:szCs w:val="24"/>
            <w:u w:val="single"/>
          </w:rPr>
          <w:t>https://www.transvirtual.com/blog/must-have-transport-management-system-features/</w:t>
        </w:r>
      </w:hyperlink>
    </w:p>
    <w:p w:rsidR="00200517" w:rsidRDefault="00DA06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Key Modules and Features of a Transportation Management System, </w:t>
      </w:r>
      <w:hyperlink r:id="rId16">
        <w:r>
          <w:rPr>
            <w:sz w:val="24"/>
            <w:szCs w:val="24"/>
            <w:u w:val="single"/>
          </w:rPr>
          <w:t>https://www.manh.com/our-insights/resources/articles/key-modules-and-features-transportation-management-system</w:t>
        </w:r>
      </w:hyperlink>
    </w:p>
    <w:p w:rsidR="00200517" w:rsidRDefault="00DA06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Best Transportation Management Systems Reviews 2026 - Gartner, </w:t>
      </w:r>
      <w:hyperlink r:id="rId17">
        <w:r>
          <w:rPr>
            <w:sz w:val="24"/>
            <w:szCs w:val="24"/>
            <w:u w:val="single"/>
          </w:rPr>
          <w:t>https://www.gartner.com/reviews/market/transportation-management-systems</w:t>
        </w:r>
      </w:hyperlink>
    </w:p>
    <w:p w:rsidR="00200517" w:rsidRDefault="00DA06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5 must-have modules in a transportation management system - Zoho, </w:t>
      </w:r>
      <w:hyperlink r:id="rId18">
        <w:r>
          <w:rPr>
            <w:sz w:val="24"/>
            <w:szCs w:val="24"/>
            <w:u w:val="single"/>
          </w:rPr>
          <w:t>https://www.zoho.com/creator/decode/5-must-have-modules-in-a-transportation-management-system</w:t>
        </w:r>
      </w:hyperlink>
    </w:p>
    <w:p w:rsidR="00200517" w:rsidRDefault="00DA06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Critical Capabilities for Transportation Management Systems - Gartner, </w:t>
      </w:r>
      <w:hyperlink r:id="rId19">
        <w:r>
          <w:rPr>
            <w:sz w:val="24"/>
            <w:szCs w:val="24"/>
            <w:u w:val="single"/>
          </w:rPr>
          <w:t>https://www.gartner.com/en/documents/5305963</w:t>
        </w:r>
      </w:hyperlink>
    </w:p>
    <w:p w:rsidR="00200517" w:rsidRDefault="00DA06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Magic Quadrant for Transportation Management Systems, </w:t>
      </w:r>
      <w:hyperlink r:id="rId20">
        <w:r>
          <w:rPr>
            <w:sz w:val="24"/>
            <w:szCs w:val="24"/>
            <w:u w:val="single"/>
          </w:rPr>
          <w:t>https://info.manh.com/rs/260-QSQ-562/images/2023-Gartner-Magic-Quadrant-</w:t>
        </w:r>
        <w:r>
          <w:rPr>
            <w:sz w:val="24"/>
            <w:szCs w:val="24"/>
            <w:u w:val="single"/>
          </w:rPr>
          <w:lastRenderedPageBreak/>
          <w:t>TMS.pdf?utm_campaign=23-09-noam-all-transportation-assetconsumption-GartnerCriticalCapabilities&amp;utm_content=Analyst-report-Gartner-MQ&amp;utm_source=marketo&amp;utm_medium=organic-email&amp;utm_term=download-gartner-tms-mq&amp;mkt_tok=MjYwLVFTUS01NjIAAAGPIRIsodcSrHKbHT0kOfc5-2JnK89Dn5pyh21WcldsTNb98PENr4yY9FJ0MF5nLkh7TyTyNmKwrr5rm_OTEFMl1ar2n_ltZ4l7ja1sAgDIuI4kGg</w:t>
        </w:r>
      </w:hyperlink>
    </w:p>
    <w:p w:rsidR="00200517" w:rsidRDefault="00DA06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Integration Toolkit REST API | TMT, </w:t>
      </w:r>
      <w:hyperlink r:id="rId21">
        <w:r>
          <w:rPr>
            <w:sz w:val="24"/>
            <w:szCs w:val="24"/>
            <w:u w:val="single"/>
          </w:rPr>
          <w:t>https://developer.trimble.com/docs/tmt/tools/api/</w:t>
        </w:r>
      </w:hyperlink>
    </w:p>
    <w:p w:rsidR="00200517" w:rsidRDefault="00DA06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Dashdoc – Fleet Management - Integrations, </w:t>
      </w:r>
      <w:hyperlink r:id="rId22">
        <w:r>
          <w:rPr>
            <w:sz w:val="24"/>
            <w:szCs w:val="24"/>
            <w:u w:val="single"/>
          </w:rPr>
          <w:t>https://www.dashdoc.com/en-us/integrations/fleet-management</w:t>
        </w:r>
      </w:hyperlink>
    </w:p>
    <w:p w:rsidR="00200517" w:rsidRDefault="00DA06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Fleet Telematics API Integration for TMS and ERP - Safety Track, </w:t>
      </w:r>
      <w:hyperlink r:id="rId23">
        <w:r>
          <w:rPr>
            <w:sz w:val="24"/>
            <w:szCs w:val="24"/>
            <w:u w:val="single"/>
          </w:rPr>
          <w:t>https://www.safetytrack.com/blog/integrating-fleet-telematics-apis-with-custom-tms-erp-and-dispatch-systems/</w:t>
        </w:r>
      </w:hyperlink>
    </w:p>
    <w:p w:rsidR="00200517" w:rsidRDefault="00DA06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Fleet Management Software Integrations &amp; APIs - Fleetrock, </w:t>
      </w:r>
      <w:hyperlink r:id="rId24">
        <w:r>
          <w:rPr>
            <w:sz w:val="24"/>
            <w:szCs w:val="24"/>
            <w:u w:val="single"/>
          </w:rPr>
          <w:t>https://www.fleetrock.com/blog/fleet-management-software-integrations</w:t>
        </w:r>
      </w:hyperlink>
    </w:p>
    <w:sectPr w:rsidR="0020051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08B38B3-886B-49DA-BAB3-3D0912C6C7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26539DC-D838-463E-A829-97C30742A5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1101770-FC9B-4A11-8C36-5BBFDD690F7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E1A22"/>
    <w:multiLevelType w:val="multilevel"/>
    <w:tmpl w:val="662E719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2830D3"/>
    <w:multiLevelType w:val="multilevel"/>
    <w:tmpl w:val="96745F5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42F12FF"/>
    <w:multiLevelType w:val="multilevel"/>
    <w:tmpl w:val="C51E866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47325AE"/>
    <w:multiLevelType w:val="multilevel"/>
    <w:tmpl w:val="A0C2E26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C300820"/>
    <w:multiLevelType w:val="multilevel"/>
    <w:tmpl w:val="C00C2FA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6EC70A6"/>
    <w:multiLevelType w:val="multilevel"/>
    <w:tmpl w:val="DF484A2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EAC372E"/>
    <w:multiLevelType w:val="multilevel"/>
    <w:tmpl w:val="582E318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B78340B"/>
    <w:multiLevelType w:val="multilevel"/>
    <w:tmpl w:val="7C24CCB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F2D2597"/>
    <w:multiLevelType w:val="multilevel"/>
    <w:tmpl w:val="AD4602C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4D4227A"/>
    <w:multiLevelType w:val="multilevel"/>
    <w:tmpl w:val="C14AD73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6CF1373"/>
    <w:multiLevelType w:val="multilevel"/>
    <w:tmpl w:val="B46E766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C803E62"/>
    <w:multiLevelType w:val="multilevel"/>
    <w:tmpl w:val="CF1C143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0ED7FD1"/>
    <w:multiLevelType w:val="multilevel"/>
    <w:tmpl w:val="7DE898F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A584BB6"/>
    <w:multiLevelType w:val="multilevel"/>
    <w:tmpl w:val="B0E00E7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9"/>
  </w:num>
  <w:num w:numId="2">
    <w:abstractNumId w:val="3"/>
  </w:num>
  <w:num w:numId="3">
    <w:abstractNumId w:val="11"/>
  </w:num>
  <w:num w:numId="4">
    <w:abstractNumId w:val="12"/>
  </w:num>
  <w:num w:numId="5">
    <w:abstractNumId w:val="4"/>
  </w:num>
  <w:num w:numId="6">
    <w:abstractNumId w:val="10"/>
  </w:num>
  <w:num w:numId="7">
    <w:abstractNumId w:val="8"/>
  </w:num>
  <w:num w:numId="8">
    <w:abstractNumId w:val="6"/>
  </w:num>
  <w:num w:numId="9">
    <w:abstractNumId w:val="7"/>
  </w:num>
  <w:num w:numId="10">
    <w:abstractNumId w:val="13"/>
  </w:num>
  <w:num w:numId="11">
    <w:abstractNumId w:val="1"/>
  </w:num>
  <w:num w:numId="12">
    <w:abstractNumId w:val="5"/>
  </w:num>
  <w:num w:numId="13">
    <w:abstractNumId w:val="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517"/>
    <w:rsid w:val="00200517"/>
    <w:rsid w:val="00893302"/>
    <w:rsid w:val="00DA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568B8E2-0FC5-4CEB-B64F-32E77F2E7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zoho.com/creator/decode/5-must-have-modules-in-a-transportation-management-syste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eveloper.trimble.com/docs/tmt/tools/api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gartner.com/reviews/market/transportation-management-systems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manh.com/our-insights/resources/articles/key-modules-and-features-transportation-management-system" TargetMode="External"/><Relationship Id="rId20" Type="http://schemas.openxmlformats.org/officeDocument/2006/relationships/hyperlink" Target="https://info.manh.com/rs/260-QSQ-562/images/2023-Gartner-Magic-Quadrant-TMS.pdf?utm_campaign=23-09-noam-all-transportation-assetconsumption-GartnerCriticalCapabilities&amp;utm_content=Analyst-report-Gartner-MQ&amp;utm_source=marketo&amp;utm_medium=organic-email&amp;utm_term=download-gartner-tms-mq&amp;mkt_tok=MjYwLVFTUS01NjIAAAGPIRIsodcSrHKbHT0kOfc5-2JnK89Dn5pyh21WcldsTNb98PENr4yY9FJ0MF5nLkh7TyTyNmKwrr5rm_OTEFMl1ar2n_ltZ4l7ja1sAgDIuI4kG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fleetrock.com/blog/fleet-management-software-integration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transvirtual.com/blog/must-have-transport-management-system-features/" TargetMode="External"/><Relationship Id="rId23" Type="http://schemas.openxmlformats.org/officeDocument/2006/relationships/hyperlink" Target="https://www.safetytrack.com/blog/integrating-fleet-telematics-apis-with-custom-tms-erp-and-dispatch-systems/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www.gartner.com/en/documents/530596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neurored.com/blog/essential-tms-features/" TargetMode="External"/><Relationship Id="rId22" Type="http://schemas.openxmlformats.org/officeDocument/2006/relationships/hyperlink" Target="https://www.dashdoc.com/en-us/integrations/fleet-managemen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2500</Words>
  <Characters>14252</Characters>
  <Application>Microsoft Office Word</Application>
  <DocSecurity>0</DocSecurity>
  <Lines>118</Lines>
  <Paragraphs>33</Paragraphs>
  <ScaleCrop>false</ScaleCrop>
  <Company/>
  <LinksUpToDate>false</LinksUpToDate>
  <CharactersWithSpaces>16719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Fujitsu</cp:lastModifiedBy>
  <cp:revision>4</cp:revision>
  <dcterms:created xsi:type="dcterms:W3CDTF">2026-10-22T18:28:00Z</dcterms:created>
  <dcterms:modified xsi:type="dcterms:W3CDTF">2026-10-22T18:31:00Z</dcterms:modified>
</cp:coreProperties>
</file>