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4405" w14:textId="77777777" w:rsidR="00E64DE7" w:rsidRPr="001E6700" w:rsidRDefault="00E64DE7" w:rsidP="00FF28AB">
      <w:pPr>
        <w:rPr>
          <w:rFonts w:ascii="Times New Roman" w:hAnsi="Times New Roman" w:cs="Times New Roman"/>
          <w:sz w:val="20"/>
          <w:szCs w:val="20"/>
        </w:rPr>
      </w:pPr>
      <w:r w:rsidRPr="001E6700">
        <w:rPr>
          <w:rFonts w:ascii="Times New Roman" w:hAnsi="Times New Roman" w:cs="Times New Roman"/>
          <w:sz w:val="20"/>
          <w:szCs w:val="20"/>
        </w:rPr>
        <w:t>Adaptive stability of the Black alder ecoepidemic system: integrated intervention alone prevents regime shift under phenological variability</w:t>
      </w:r>
    </w:p>
    <w:p w14:paraId="64049E9B" w14:textId="74DAED08" w:rsidR="009B1F1C"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b/>
          <w:sz w:val="20"/>
          <w:szCs w:val="20"/>
          <w:lang w:val="en-US"/>
        </w:rPr>
        <w:t xml:space="preserve"> Sinchan Ghosh</w:t>
      </w:r>
      <w:r w:rsidRPr="001E6700">
        <w:rPr>
          <w:rFonts w:ascii="Times New Roman" w:hAnsi="Times New Roman" w:cs="Times New Roman"/>
          <w:b/>
          <w:sz w:val="20"/>
          <w:szCs w:val="20"/>
          <w:vertAlign w:val="superscript"/>
          <w:lang w:val="en-US"/>
        </w:rPr>
        <w:t>1</w:t>
      </w:r>
      <w:r w:rsidR="00920210" w:rsidRPr="001E6700">
        <w:rPr>
          <w:rFonts w:ascii="Times New Roman" w:hAnsi="Times New Roman" w:cs="Times New Roman"/>
          <w:b/>
          <w:sz w:val="20"/>
          <w:szCs w:val="20"/>
          <w:vertAlign w:val="superscript"/>
          <w:lang w:val="en-US"/>
        </w:rPr>
        <w:t>*</w:t>
      </w:r>
      <w:r w:rsidRPr="001E6700">
        <w:rPr>
          <w:rFonts w:ascii="Times New Roman" w:hAnsi="Times New Roman" w:cs="Times New Roman"/>
          <w:b/>
          <w:sz w:val="20"/>
          <w:szCs w:val="20"/>
          <w:lang w:val="en-US"/>
        </w:rPr>
        <w:t>, Shipra Singh</w:t>
      </w:r>
      <w:r w:rsidRPr="001E6700">
        <w:rPr>
          <w:rFonts w:ascii="Times New Roman" w:hAnsi="Times New Roman" w:cs="Times New Roman"/>
          <w:b/>
          <w:sz w:val="20"/>
          <w:szCs w:val="20"/>
          <w:vertAlign w:val="superscript"/>
          <w:lang w:val="en-US"/>
        </w:rPr>
        <w:t>2</w:t>
      </w:r>
    </w:p>
    <w:p w14:paraId="204597D2" w14:textId="657A46C8" w:rsidR="009B1F1C"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sz w:val="20"/>
          <w:szCs w:val="20"/>
          <w:vertAlign w:val="superscript"/>
          <w:lang w:val="en-US"/>
        </w:rPr>
        <w:t>1</w:t>
      </w:r>
      <w:r w:rsidR="00035C80" w:rsidRPr="001E6700">
        <w:rPr>
          <w:rFonts w:ascii="Times New Roman" w:hAnsi="Times New Roman" w:cs="Times New Roman"/>
          <w:sz w:val="20"/>
          <w:szCs w:val="20"/>
          <w:lang w:val="en-US"/>
        </w:rPr>
        <w:t>Agriculture Forestry Ecosystems Services Group, Biodiversity and Natural Resources Program, International Institute for Applied Systems Analys</w:t>
      </w:r>
      <w:r w:rsidR="00E47AC9" w:rsidRPr="001E6700">
        <w:rPr>
          <w:rFonts w:ascii="Times New Roman" w:hAnsi="Times New Roman" w:cs="Times New Roman"/>
          <w:sz w:val="20"/>
          <w:szCs w:val="20"/>
          <w:lang w:val="en-US"/>
        </w:rPr>
        <w:t>i</w:t>
      </w:r>
      <w:r w:rsidR="00035C80" w:rsidRPr="001E6700">
        <w:rPr>
          <w:rFonts w:ascii="Times New Roman" w:hAnsi="Times New Roman" w:cs="Times New Roman"/>
          <w:sz w:val="20"/>
          <w:szCs w:val="20"/>
          <w:lang w:val="en-US"/>
        </w:rPr>
        <w:t>s</w:t>
      </w:r>
      <w:r w:rsidR="00AB44F0" w:rsidRPr="001E6700">
        <w:rPr>
          <w:rFonts w:ascii="Times New Roman" w:hAnsi="Times New Roman" w:cs="Times New Roman"/>
          <w:sz w:val="20"/>
          <w:szCs w:val="20"/>
          <w:lang w:val="en-US"/>
        </w:rPr>
        <w:t>, Laxenburg, Austria</w:t>
      </w:r>
      <w:r w:rsidR="00035C80" w:rsidRPr="001E6700">
        <w:rPr>
          <w:rFonts w:ascii="Times New Roman" w:hAnsi="Times New Roman" w:cs="Times New Roman"/>
          <w:sz w:val="20"/>
          <w:szCs w:val="20"/>
          <w:lang w:val="en-US"/>
        </w:rPr>
        <w:t xml:space="preserve"> </w:t>
      </w:r>
    </w:p>
    <w:p w14:paraId="60D8DC4A" w14:textId="58BC42A0" w:rsidR="00E47AC9"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sz w:val="20"/>
          <w:szCs w:val="20"/>
          <w:vertAlign w:val="superscript"/>
          <w:lang w:val="en-US"/>
        </w:rPr>
        <w:t>2</w:t>
      </w:r>
      <w:r w:rsidR="00AB44F0" w:rsidRPr="001E6700">
        <w:rPr>
          <w:rFonts w:ascii="Times New Roman" w:hAnsi="Times New Roman" w:cs="Times New Roman"/>
          <w:sz w:val="20"/>
          <w:szCs w:val="20"/>
        </w:rPr>
        <w:t>Biodiversity, Ecology, and Conservation</w:t>
      </w:r>
      <w:r w:rsidR="007B0814" w:rsidRPr="001E6700">
        <w:rPr>
          <w:rFonts w:ascii="Times New Roman" w:hAnsi="Times New Roman" w:cs="Times New Roman"/>
          <w:sz w:val="20"/>
          <w:szCs w:val="20"/>
          <w:lang w:val="en-US"/>
        </w:rPr>
        <w:t xml:space="preserve"> </w:t>
      </w:r>
      <w:r w:rsidR="00E47AC9" w:rsidRPr="001E6700">
        <w:rPr>
          <w:rFonts w:ascii="Times New Roman" w:hAnsi="Times New Roman" w:cs="Times New Roman"/>
          <w:sz w:val="20"/>
          <w:szCs w:val="20"/>
          <w:lang w:val="en-US"/>
        </w:rPr>
        <w:t xml:space="preserve">Group, Biodiversity and Natural Resources Program, International Institute for Applied Systems Analysis, Laxenburg, Austria </w:t>
      </w:r>
    </w:p>
    <w:p w14:paraId="60AC56DB" w14:textId="042888E8" w:rsidR="007B0814" w:rsidRPr="001E6700" w:rsidRDefault="007B0814" w:rsidP="002D21BC">
      <w:pPr>
        <w:spacing w:line="240" w:lineRule="auto"/>
        <w:jc w:val="both"/>
        <w:rPr>
          <w:rFonts w:ascii="Times New Roman" w:hAnsi="Times New Roman" w:cs="Times New Roman"/>
          <w:sz w:val="20"/>
          <w:szCs w:val="20"/>
          <w:lang w:val="en-US"/>
        </w:rPr>
      </w:pPr>
      <w:r w:rsidRPr="001E6700">
        <w:rPr>
          <w:rFonts w:ascii="Times New Roman" w:hAnsi="Times New Roman" w:cs="Times New Roman"/>
          <w:sz w:val="20"/>
          <w:szCs w:val="20"/>
        </w:rPr>
        <w:t>*Corresponding author: email: gsinchanpostdoc@gmail.com</w:t>
      </w:r>
    </w:p>
    <w:p w14:paraId="100BF004" w14:textId="10BCA871" w:rsidR="009B1F1C" w:rsidRPr="001E6700" w:rsidRDefault="007B0814" w:rsidP="002D21BC">
      <w:pPr>
        <w:spacing w:line="240" w:lineRule="auto"/>
        <w:jc w:val="both"/>
        <w:rPr>
          <w:rFonts w:ascii="Times New Roman" w:hAnsi="Times New Roman" w:cs="Times New Roman"/>
          <w:sz w:val="20"/>
          <w:szCs w:val="20"/>
          <w:lang w:val="en-US"/>
        </w:rPr>
      </w:pPr>
      <w:r w:rsidRPr="001E6700">
        <w:rPr>
          <w:rFonts w:ascii="Times New Roman" w:hAnsi="Times New Roman" w:cs="Times New Roman"/>
          <w:b/>
          <w:sz w:val="20"/>
          <w:szCs w:val="20"/>
          <w:lang w:val="en-US"/>
        </w:rPr>
        <w:t>Key Words</w:t>
      </w:r>
      <w:r w:rsidRPr="001E6700">
        <w:rPr>
          <w:rFonts w:ascii="Times New Roman" w:hAnsi="Times New Roman" w:cs="Times New Roman"/>
          <w:sz w:val="20"/>
          <w:szCs w:val="20"/>
          <w:lang w:val="en-US"/>
        </w:rPr>
        <w:t xml:space="preserve">: </w:t>
      </w:r>
      <w:r w:rsidRPr="001E6700">
        <w:rPr>
          <w:rFonts w:ascii="Times New Roman" w:hAnsi="Times New Roman" w:cs="Times New Roman"/>
          <w:sz w:val="20"/>
          <w:szCs w:val="20"/>
        </w:rPr>
        <w:t>ecoepidemic model, optimal control theory, host–parasitoid dynamics, regime shift, intraguild predation, phenological mismatch, ecological resilience, alluvial forest conservation</w:t>
      </w:r>
    </w:p>
    <w:p w14:paraId="541C0D64" w14:textId="5F1EBA58" w:rsidR="007C7911" w:rsidRPr="001E6700" w:rsidRDefault="007C7911" w:rsidP="002D21BC">
      <w:pPr>
        <w:spacing w:line="240" w:lineRule="auto"/>
        <w:jc w:val="both"/>
        <w:rPr>
          <w:rFonts w:ascii="Times New Roman" w:hAnsi="Times New Roman" w:cs="Times New Roman"/>
          <w:b/>
          <w:sz w:val="20"/>
          <w:szCs w:val="20"/>
        </w:rPr>
      </w:pPr>
      <w:r w:rsidRPr="001E6700">
        <w:rPr>
          <w:rFonts w:ascii="Times New Roman" w:hAnsi="Times New Roman" w:cs="Times New Roman"/>
          <w:b/>
          <w:sz w:val="20"/>
          <w:szCs w:val="20"/>
        </w:rPr>
        <w:t>Abstract</w:t>
      </w:r>
    </w:p>
    <w:p w14:paraId="535585FB" w14:textId="4AA381E4" w:rsidR="001E4103" w:rsidRPr="001E6700" w:rsidRDefault="007F21BE" w:rsidP="002D21BC">
      <w:pPr>
        <w:spacing w:line="240" w:lineRule="auto"/>
        <w:jc w:val="both"/>
        <w:rPr>
          <w:rFonts w:ascii="Times New Roman" w:hAnsi="Times New Roman" w:cs="Times New Roman"/>
          <w:sz w:val="20"/>
          <w:szCs w:val="20"/>
        </w:rPr>
      </w:pPr>
      <w:r w:rsidRPr="007F21BE">
        <w:rPr>
          <w:rFonts w:ascii="Times New Roman" w:hAnsi="Times New Roman" w:cs="Times New Roman"/>
          <w:sz w:val="20"/>
          <w:szCs w:val="20"/>
        </w:rPr>
        <w:t xml:space="preserve">The phylophagous beetle </w:t>
      </w:r>
      <w:r w:rsidRPr="007F21BE">
        <w:rPr>
          <w:rFonts w:ascii="Times New Roman" w:hAnsi="Times New Roman" w:cs="Times New Roman"/>
          <w:i/>
          <w:iCs/>
          <w:sz w:val="20"/>
          <w:szCs w:val="20"/>
        </w:rPr>
        <w:t>(Agelastica alni)</w:t>
      </w:r>
      <w:r w:rsidRPr="007F21BE">
        <w:rPr>
          <w:rFonts w:ascii="Times New Roman" w:hAnsi="Times New Roman" w:cs="Times New Roman"/>
          <w:sz w:val="20"/>
          <w:szCs w:val="20"/>
        </w:rPr>
        <w:t xml:space="preserve"> larvae outbreak defoliate the canopy in Black alder </w:t>
      </w:r>
      <w:r w:rsidRPr="007F21BE">
        <w:rPr>
          <w:rFonts w:ascii="Times New Roman" w:hAnsi="Times New Roman" w:cs="Times New Roman"/>
          <w:i/>
          <w:iCs/>
          <w:sz w:val="20"/>
          <w:szCs w:val="20"/>
        </w:rPr>
        <w:t>(Alnus glutinosa)</w:t>
      </w:r>
      <w:r w:rsidRPr="007F21BE">
        <w:rPr>
          <w:rFonts w:ascii="Times New Roman" w:hAnsi="Times New Roman" w:cs="Times New Roman"/>
          <w:sz w:val="20"/>
          <w:szCs w:val="20"/>
        </w:rPr>
        <w:t xml:space="preserve"> dominated forests. Phytochemical defence of plants provides resistance against further beetle outbreaks. A tachinid parasitoid (Meigenia mutabilis) of the beetle, and optimal foraging of generalist passeriforms, provide resilience against the outbreak. Vernal growth enables recovery of the canopy. These resistance, resilience, and recovery processes operate at different time scales and are subjected to climate and management-dependent phenology. Under phenological variability, this eco-epidemic system of plant-pest-parasitoid-predator can adapt its stability or shift its regime from coexistence. In this study, we developed a process-based hybrid seasonal–annual model to examine the adaptive stability against regime shift of this system across nine phenological scenarios. We then applied optimal control theory to compare the cost and benefit of three management strategies against regime shift: parasitoid release, parasitoid release plus larval removal, and a fully integrated strategy including bird-habitat enhancement. Our results showed that, across the phenological variability, the coexistence equilibrium was the least frequently stable regime, whereas the parasitoid-free state was the most frequent. Only the fully integrated management delivered a locally stable managed equilibrium at minimum cost to maintain the coexistence equilibrium. </w:t>
      </w:r>
    </w:p>
    <w:p w14:paraId="612EFA6A" w14:textId="42BB9865" w:rsidR="00E24342" w:rsidRPr="001E6700" w:rsidRDefault="00686C73" w:rsidP="00EB4C6A">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Number of Tables and Figures: 7 figures and 1 table in the main manuscript.</w:t>
      </w:r>
      <w:r w:rsidR="00E24342" w:rsidRPr="001E6700">
        <w:rPr>
          <w:rFonts w:ascii="Times New Roman" w:hAnsi="Times New Roman" w:cs="Times New Roman"/>
          <w:sz w:val="20"/>
          <w:szCs w:val="20"/>
        </w:rPr>
        <w:br w:type="page"/>
      </w:r>
    </w:p>
    <w:p w14:paraId="4EB71D0D" w14:textId="3F98969F" w:rsidR="002739A8" w:rsidRPr="001E6700" w:rsidRDefault="005444A5" w:rsidP="002D21BC">
      <w:pPr>
        <w:pStyle w:val="ListParagraph"/>
        <w:numPr>
          <w:ilvl w:val="0"/>
          <w:numId w:val="7"/>
        </w:numPr>
        <w:spacing w:line="240" w:lineRule="auto"/>
        <w:jc w:val="both"/>
        <w:rPr>
          <w:rFonts w:ascii="Times New Roman" w:hAnsi="Times New Roman" w:cs="Times New Roman"/>
          <w:sz w:val="20"/>
          <w:szCs w:val="20"/>
        </w:rPr>
      </w:pPr>
      <w:r w:rsidRPr="001E6700">
        <w:rPr>
          <w:rFonts w:ascii="Times New Roman" w:hAnsi="Times New Roman" w:cs="Times New Roman"/>
          <w:b/>
          <w:sz w:val="20"/>
          <w:szCs w:val="20"/>
        </w:rPr>
        <w:lastRenderedPageBreak/>
        <w:t>Introduction</w:t>
      </w:r>
    </w:p>
    <w:p w14:paraId="616DF1A4" w14:textId="6F12A697"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Black alder (</w:t>
      </w:r>
      <w:r w:rsidRPr="00C2415C">
        <w:rPr>
          <w:rFonts w:ascii="Times New Roman" w:hAnsi="Times New Roman" w:cs="Times New Roman"/>
          <w:i/>
          <w:iCs/>
          <w:sz w:val="20"/>
          <w:szCs w:val="20"/>
        </w:rPr>
        <w:t>Alnus glutinosa</w:t>
      </w:r>
      <w:r w:rsidRPr="006A1945">
        <w:rPr>
          <w:rFonts w:ascii="Times New Roman" w:hAnsi="Times New Roman" w:cs="Times New Roman"/>
          <w:sz w:val="20"/>
          <w:szCs w:val="20"/>
        </w:rPr>
        <w:t xml:space="preserve">) dominates European riparian zones and supports diverse flora and associated fauna habitats (Habitats Directive 92/43/EEC; European Commission, 1992). Outbreaks of the phyllophagous leaf beetle </w:t>
      </w:r>
      <w:r w:rsidR="007F21BE">
        <w:rPr>
          <w:rFonts w:ascii="Times New Roman" w:hAnsi="Times New Roman" w:cs="Times New Roman"/>
          <w:sz w:val="20"/>
          <w:szCs w:val="20"/>
        </w:rPr>
        <w:t>(</w:t>
      </w:r>
      <w:r w:rsidRPr="00C2415C">
        <w:rPr>
          <w:rFonts w:ascii="Times New Roman" w:hAnsi="Times New Roman" w:cs="Times New Roman"/>
          <w:i/>
          <w:iCs/>
          <w:sz w:val="20"/>
          <w:szCs w:val="20"/>
        </w:rPr>
        <w:t>Agelastica alni</w:t>
      </w:r>
      <w:r w:rsidR="007F21BE">
        <w:rPr>
          <w:rFonts w:ascii="Times New Roman" w:hAnsi="Times New Roman" w:cs="Times New Roman"/>
          <w:sz w:val="20"/>
          <w:szCs w:val="20"/>
        </w:rPr>
        <w:t>)</w:t>
      </w:r>
      <w:r w:rsidRPr="006A1945">
        <w:rPr>
          <w:rFonts w:ascii="Times New Roman" w:hAnsi="Times New Roman" w:cs="Times New Roman"/>
          <w:sz w:val="20"/>
          <w:szCs w:val="20"/>
        </w:rPr>
        <w:t xml:space="preserve"> can substantially defoliate the black alder canopy (Dolch &amp; Tscharntke, 2000). Under recurring defoliation from outbreaks, the forest system may collapse due to its vulnerability to other environmental perturbations (Valor et al., 2020). An induced physiological change is evident in </w:t>
      </w:r>
      <w:r w:rsidR="007F21BE">
        <w:rPr>
          <w:rFonts w:ascii="Times New Roman" w:hAnsi="Times New Roman" w:cs="Times New Roman"/>
          <w:sz w:val="20"/>
          <w:szCs w:val="20"/>
        </w:rPr>
        <w:t>b</w:t>
      </w:r>
      <w:r w:rsidRPr="006A1945">
        <w:rPr>
          <w:rFonts w:ascii="Times New Roman" w:hAnsi="Times New Roman" w:cs="Times New Roman"/>
          <w:sz w:val="20"/>
          <w:szCs w:val="20"/>
        </w:rPr>
        <w:t xml:space="preserve">lack </w:t>
      </w:r>
      <w:r w:rsidR="007F21BE">
        <w:rPr>
          <w:rFonts w:ascii="Times New Roman" w:hAnsi="Times New Roman" w:cs="Times New Roman"/>
          <w:sz w:val="20"/>
          <w:szCs w:val="20"/>
        </w:rPr>
        <w:t>a</w:t>
      </w:r>
      <w:r w:rsidRPr="006A1945">
        <w:rPr>
          <w:rFonts w:ascii="Times New Roman" w:hAnsi="Times New Roman" w:cs="Times New Roman"/>
          <w:sz w:val="20"/>
          <w:szCs w:val="20"/>
        </w:rPr>
        <w:t xml:space="preserve">lder that offers a stand-level resistance under beetle attack (Dolch &amp; Tscharntke, 2000). The black alder canopy recovers via reflushing of leaves after defoliation (Dolch &amp; Tscharntke, 2000), but repeated outbreaks can potentially constrain the recovery of the whole canopy due to depletion of carbohydrates beyond a critical level (Hart et al., 2024; Barker et al., 2021; Miranda et al., 2020). Therefore, a potential full recovery is expected to occur mostly through vernal growth during the next spring following the outbreak season. A resilience of the black alder forest system comes from two natural enemies of beetle larvae that can control the outbreak and aid faster recovery. One is </w:t>
      </w:r>
      <w:r w:rsidRPr="007F21BE">
        <w:rPr>
          <w:rFonts w:ascii="Times New Roman" w:hAnsi="Times New Roman" w:cs="Times New Roman"/>
          <w:i/>
          <w:iCs/>
          <w:sz w:val="20"/>
          <w:szCs w:val="20"/>
        </w:rPr>
        <w:t>Meigenia mutabilis</w:t>
      </w:r>
      <w:r w:rsidRPr="006A1945">
        <w:rPr>
          <w:rFonts w:ascii="Times New Roman" w:hAnsi="Times New Roman" w:cs="Times New Roman"/>
          <w:sz w:val="20"/>
          <w:szCs w:val="20"/>
        </w:rPr>
        <w:t xml:space="preserve">, a koinobiont larval endoparasitoid that parasitises beetle larvae and kills the host larva during emergence (Dolch &amp; Tscharntke, 2000; Stireman et al., 2006). Another control comes from the predation of generalist birds that follows optimal foraging. Optimal foraging theory and empirical studies on a few generalist avian diets suggest that passeriform birds may exploit locally abundant prey, ie, the leaf beetle, during the outbreaks (Remmel et al., 2011; Monteagudo et al., 2023). To prevent canopy loss from the beetle, often, Black alder-dominated habitats restoration involves management intervention, such as beetle removal and parasitoid introduction (Korkmaz &amp; Kaplan, 2022).  The stand-level resistance, vernal regrowth-dependent recovery, and dual resistance from optimal foraging and parasitoid-mediated resilience form a tractable framework to test the stability of the ecoepidemic system as an adaptive property and how to harness the benefit of this adaptivity to plan management intervention better. </w:t>
      </w:r>
    </w:p>
    <w:p w14:paraId="51DC0F2C" w14:textId="77777777"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This leaf beetle typically causes outbreaks in spring and early summer. During this period, newly flushed alder foliage provides abundant food for larval feeding and development (Sivrikaya et al., 2020). In response, alder leaves undergo induced phytochemical and physical changes, including increased phenolic content, reduced starch, and hardened leaf traits that collectively deter further beetle foraging. These defences determine stand-level resistance and help prevent beetle spread to other susceptible trees (Tscharntke et al., 2001; Dolch &amp; Tscharntke, 2000). At the same time, the koinobiont larval endoparasitoid tracks beetle larval aggregations and parasitises susceptible larvae by ovipositing on their integument. The subsequent emergence of adult parasitoids results in the death of parasitised larvae (Dolch &amp; Tscharntke, 2000; Stireman et al., 2006). Notably, there is no well-studied larval defence against the parasitoid that has been documented. The existing studies of beetles' chemical defences are directed to deter specialist birds (Pasteels et al., 1995). Despite these defences against specialist birds, larvae still remain vulnerable to generalist passeriform birds, which select the most abundant prey as a result of their optimal foraging strategy (Stephens &amp; Krebs, 1986). Ultimately, the timing and intensities of these intricate interactions are dictated by phenological variations subjected to Climatic and management context.</w:t>
      </w:r>
    </w:p>
    <w:p w14:paraId="023EE8B9" w14:textId="782565FA"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At least nine ecologically relevant phenologies vary in this system, each having documented links to climate. Spring–summer seasonal length, which changes under a warming climate, determines the vernal growth period of the tree for canopy recovery and vulnerability window for beetle to parasitoid attack for resilience against beetle outbreak</w:t>
      </w:r>
      <w:r w:rsidR="007109D4">
        <w:rPr>
          <w:rFonts w:ascii="Times New Roman" w:hAnsi="Times New Roman" w:cs="Times New Roman"/>
          <w:sz w:val="20"/>
          <w:szCs w:val="20"/>
        </w:rPr>
        <w:t xml:space="preserve"> </w:t>
      </w:r>
      <w:r w:rsidRPr="006A1945">
        <w:rPr>
          <w:rFonts w:ascii="Times New Roman" w:hAnsi="Times New Roman" w:cs="Times New Roman"/>
          <w:sz w:val="20"/>
          <w:szCs w:val="20"/>
        </w:rPr>
        <w:t xml:space="preserve">(Renner &amp; Zohner, 2018; Dolch &amp; Tscharntke, 2000). Winter severity influences the overwintering survival of both beetle and parasitoid, which together set the effective outbreak intensity for the following season (Sivrikaya et al., 2020; Stireman et al., 2006).  Parasitoid development rate increases with warmer climate, raising mortality in parasitised larvae (Stireman et al., 2006). Concurrently, a warmer winter also lowers the baseline mortality in overwintering larvae. Aggregate predation pressure on the beetle from generalist passeriform birds also varies widely (Monteagudo et al., 2023). This predation pressure depends on habitat structure, breeding disturbance, local bird community composition, learned avoidance of beetle chemical defence, and the impact of bird-habitat enhancements. Adaptive foliage and growth patterns can also impact beetle-parasitoid interactions in alder forests under recurring beetle attack (Tscharntke et al., 2001; Dolch &amp; Tscharntke, 2000). The plant adaptation can lead to a lower carrying capacity for the foraging aggregation of beetles, which is a phenological signal for the parasitoid to locate the beetles. So, a decrease in foraging aggregation can lead to a lower parasitoid attack rate (Stireman et al., 2006). Thus, variability across phenologies jointly shapes the interactions that adapt the system stability via resilience, resistance, and recovery components. </w:t>
      </w:r>
    </w:p>
    <w:p w14:paraId="4272BD99" w14:textId="77777777"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 xml:space="preserve">Understanding how these phenological variabilities shape adaptive stability as a property defined by dynamic resistance, resilience, and recovery can offer strategic planning in habitat restoration and especially pest control by minimising cost and maximising benefit in two aspects: timing and effort per intervention measures to design a combined strategy. The optimal control theory can help minimise the cost of intervention strategies using the interdependence of these phenologies, intervention measures, and environmental changes (Lenhart &amp; Workman, 2007). A first step to apply the strategy in the system is to understand the system's equilibria and their ecological </w:t>
      </w:r>
      <w:r w:rsidRPr="006A1945">
        <w:rPr>
          <w:rFonts w:ascii="Times New Roman" w:hAnsi="Times New Roman" w:cs="Times New Roman"/>
          <w:sz w:val="20"/>
          <w:szCs w:val="20"/>
        </w:rPr>
        <w:lastRenderedPageBreak/>
        <w:t>desirability. For instance, since there is no direct empirical evidence on the behavioural or visual distinction of the parasitised beetles from susceptible ones, the consumption of both classes can be assumed to be equal by generalist passeriform birds (Segoli et al., 2024). Under this assumption, bird predation on parasitised larvae can be interpreted as intraguild predation; foraging on parasitised beetle larvae eliminates future parasitoid recruits as endoparasitoid will be killed with beetle larvae before their emergence (Polis et al., 1989; Rosenheim, 1998; Fakhry et al., 2022). In a hypothetical parasitoid-free scenario, the generalist passeriform birds can still provide natural regulation of the beetle only during the outbreak, but without sustained parasitoid, the risk of canopy loss increases. Such a hypothetical parasitoid-free equilibrium, even if locally stable, is ecologically undesirable. Consequently, this research focuses on optimising intervention strategies that maintain coexistence equilibria and identify parameter conditions that may drive the system to an ecologically undesirable equilibria.</w:t>
      </w:r>
    </w:p>
    <w:p w14:paraId="46E07FDC" w14:textId="4664550E"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Despite detailed empirical investigation into phenologies in this focal ecoepidemic system, the canopy state regime and adaptive stability remain poorly understood. Measuring resistance is challenging and may only provide a limited understanding of the current stage. For instance, it is empirically difficult to quantify the exact thresholds for plant chemical accumulation, required bird diversity, or parasitoid density needed to control the beetle population without risking extinction. In this study, we measure resistance as a loss from the expected outbreak intensity across seasonal and annual scales. We define resilience as the reciprocal of the rate of recovery in annual carrying capacity. However, following Van Meerbeek et al. (2021), we view ecological stability as a multidimensional property rather than a single measure. This perspective helps place our focal system within a broader stability framework that includes resistance, resilience, and the ability of the system to remain within the same domain of attraction after perturbation (Donohue et al., 2016; Hillebrand et al., 2018). Here, we use that framework only as a conceptual guide. The actual stability measures are defined using biologically relevant variables from our hybrid seasonal–annual model: low larval density and low cumulative defoliation indicate strong resistance during the outbreak season, whereas rapid return of annual carrying capacity and system state toward the reference annual equilibrium indicates resilience across years. In this way, Van Meerbeek et al. (2021) provide the general language of stability, while our model provides the system-specific quantities used to evaluate the objectives.</w:t>
      </w:r>
    </w:p>
    <w:p w14:paraId="66D7C1B8" w14:textId="476D96A5"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Using these definitions, we formulate three aims to advance the understanding of adaptive stability in this ecoepidemic system. This framework can support management planning under optimal control theory. O1. We identify the most probable stable equilibria of the system across all phenological scenarios. To meet this aim, we develop a process-based model that captures phenologies and intervention strategies through parameters. We represent phenological variability via a parameter space of the model. We then search for all possible stable equilibria in this variable parameter space. Next, we test H1: across phenological variability , the system is likely to converge to a desirable coexistence equilibrium, defined by the presence of a canopy, bird, and parasitoid that can prevent future beetle outbreaks if reintroduced. O2. We quantify the probability of the system shifting to an undesirable equilibrium from its current coexistence equilibrium, unless coexistence is the likeliest equilibrium across phenological variabilities. We test H2: changes in certain phenologies, or parameter values, may serve as early warning signals of a shift to an undesirable equilibrium that still maintains stability. If so, we aim to classify them for each potential undesirable equilibrium. O3. We determine the minimal effort needed for three pest control strategies against the leaf beetle to prevent regime shift. Using optimal control, we aim to minimise the cost of effort per strategy. To guide intervention planning, we test three sets of scenarios, ranging from the least costly to the most costly strategy combinations, against all variable phenologies. We do not explicitly study the spatial variability of the system due to limited comprehensive spatially explicit data for the Adler forests across Europe. However, with the phenological variability, we show how the result and our framework are adaptive for any specific black alder forest</w:t>
      </w:r>
      <w:r w:rsidR="002F1AFE">
        <w:rPr>
          <w:rFonts w:ascii="Times New Roman" w:hAnsi="Times New Roman" w:cs="Times New Roman"/>
          <w:sz w:val="20"/>
          <w:szCs w:val="20"/>
        </w:rPr>
        <w:t xml:space="preserve"> as an additional dissemination measure</w:t>
      </w:r>
      <w:r w:rsidRPr="006A1945">
        <w:rPr>
          <w:rFonts w:ascii="Times New Roman" w:hAnsi="Times New Roman" w:cs="Times New Roman"/>
          <w:sz w:val="20"/>
          <w:szCs w:val="20"/>
        </w:rPr>
        <w:t>.</w:t>
      </w:r>
    </w:p>
    <w:p w14:paraId="6238A6E6" w14:textId="741BBABC" w:rsidR="005444A5" w:rsidRPr="006A1945" w:rsidRDefault="005444A5" w:rsidP="006A1945">
      <w:pPr>
        <w:spacing w:line="240" w:lineRule="auto"/>
        <w:jc w:val="both"/>
        <w:rPr>
          <w:rFonts w:ascii="Times New Roman" w:hAnsi="Times New Roman" w:cs="Times New Roman"/>
          <w:sz w:val="20"/>
          <w:szCs w:val="20"/>
        </w:rPr>
      </w:pPr>
      <w:r w:rsidRPr="006A1945">
        <w:rPr>
          <w:rFonts w:ascii="Times New Roman" w:hAnsi="Times New Roman" w:cs="Times New Roman"/>
          <w:b/>
          <w:sz w:val="20"/>
          <w:szCs w:val="20"/>
        </w:rPr>
        <w:t>Methodology</w:t>
      </w:r>
    </w:p>
    <w:p w14:paraId="493A1CB9" w14:textId="31B4A4A1" w:rsidR="00CB3732" w:rsidRPr="009668D3" w:rsidRDefault="00CB373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 use the structural property of the systems' </w:t>
      </w:r>
      <w:r w:rsidR="00677CC7" w:rsidRPr="009668D3">
        <w:rPr>
          <w:rFonts w:ascii="Times New Roman" w:hAnsi="Times New Roman" w:cs="Times New Roman"/>
          <w:sz w:val="20"/>
          <w:szCs w:val="20"/>
        </w:rPr>
        <w:t>well-studied</w:t>
      </w:r>
      <w:r w:rsidRPr="009668D3">
        <w:rPr>
          <w:rFonts w:ascii="Times New Roman" w:hAnsi="Times New Roman" w:cs="Times New Roman"/>
          <w:sz w:val="20"/>
          <w:szCs w:val="20"/>
        </w:rPr>
        <w:t xml:space="preserve"> ecological interactions to model the system using process-based modelling. Then we characterise the </w:t>
      </w:r>
      <w:r w:rsidR="00677CC7" w:rsidRPr="009668D3">
        <w:rPr>
          <w:rFonts w:ascii="Times New Roman" w:hAnsi="Times New Roman" w:cs="Times New Roman"/>
          <w:sz w:val="20"/>
          <w:szCs w:val="20"/>
        </w:rPr>
        <w:t>system's</w:t>
      </w:r>
      <w:r w:rsidRPr="009668D3">
        <w:rPr>
          <w:rFonts w:ascii="Times New Roman" w:hAnsi="Times New Roman" w:cs="Times New Roman"/>
          <w:sz w:val="20"/>
          <w:szCs w:val="20"/>
        </w:rPr>
        <w:t xml:space="preserve"> stability across parameter space in this study with emphasis on persistence conditions, equilibrium transitions, and comparative control performance. Therefore</w:t>
      </w:r>
      <w:r w:rsidR="00677CC7" w:rsidRPr="009668D3">
        <w:rPr>
          <w:rFonts w:ascii="Times New Roman" w:hAnsi="Times New Roman" w:cs="Times New Roman"/>
          <w:sz w:val="20"/>
          <w:szCs w:val="20"/>
        </w:rPr>
        <w:t>, we employ a four-stage analysis</w:t>
      </w:r>
      <w:r w:rsidRPr="009668D3">
        <w:rPr>
          <w:rFonts w:ascii="Times New Roman" w:hAnsi="Times New Roman" w:cs="Times New Roman"/>
          <w:sz w:val="20"/>
          <w:szCs w:val="20"/>
        </w:rPr>
        <w:t xml:space="preserve"> to characterise stability from the structural properties of the system within a unified seasonal–annual framework. First, we formulate a set of process-based within-season ordinary differential equation models and nest them within an annual recurrence process. Second, we identify equilibria as fixed points of the annual process and derive the basic reproduction rate of the parasitoid at the parasitoid-free fixed point using the next-generation matrix with modifications required for the hybrid seasonal-annual structure following van den Driessche &amp; Watmough (2002). Third, we analyse the local stability of the annual fixed points through the Jacobian of the annual process, including computation of the Jacobian by means of variational (sensitivity) equations of the within-season flow, together with identification of bifurcation boundaries in parameter space (Kuznetsov, 2004). We define the parameter space based on eigenvalues of the annual-process Jacobian crossing </w:t>
      </w:r>
      <w:r w:rsidRPr="009668D3">
        <w:rPr>
          <w:rFonts w:ascii="Times New Roman" w:hAnsi="Times New Roman" w:cs="Times New Roman"/>
          <w:sz w:val="20"/>
          <w:szCs w:val="20"/>
        </w:rPr>
        <w:lastRenderedPageBreak/>
        <w:t xml:space="preserve">the unit circle. Fourth, we formulate an optimal control problem and solve it numerically through Pontryagin's Maximum Principle and the forward–backward sweep method </w:t>
      </w:r>
      <w:r w:rsidR="00000000" w:rsidRPr="001E6700">
        <w:rPr>
          <w:rFonts w:ascii="Times New Roman" w:hAnsi="Times New Roman" w:cs="Times New Roman"/>
          <w:sz w:val="20"/>
          <w:szCs w:val="20"/>
        </w:rPr>
        <w:t xml:space="preserve">to </w:t>
      </w:r>
      <w:r w:rsidR="002F1AFE">
        <w:rPr>
          <w:rFonts w:ascii="Times New Roman" w:hAnsi="Times New Roman" w:cs="Times New Roman"/>
          <w:sz w:val="20"/>
          <w:szCs w:val="20"/>
        </w:rPr>
        <w:t>evaluate system stability under optimal control constraints to test</w:t>
      </w:r>
      <w:r w:rsidRPr="001E6700">
        <w:rPr>
          <w:rFonts w:ascii="Times New Roman" w:hAnsi="Times New Roman" w:cs="Times New Roman"/>
          <w:sz w:val="20"/>
          <w:szCs w:val="20"/>
        </w:rPr>
        <w:t xml:space="preserve"> the stability of the system in light of </w:t>
      </w:r>
      <w:r w:rsidRPr="009668D3">
        <w:rPr>
          <w:rFonts w:ascii="Times New Roman" w:hAnsi="Times New Roman" w:cs="Times New Roman"/>
          <w:sz w:val="20"/>
          <w:szCs w:val="20"/>
        </w:rPr>
        <w:t xml:space="preserve">optimal control </w:t>
      </w:r>
      <w:r w:rsidR="002F1AFE" w:rsidRPr="001E6700">
        <w:rPr>
          <w:rFonts w:ascii="Times New Roman" w:hAnsi="Times New Roman" w:cs="Times New Roman"/>
          <w:sz w:val="20"/>
          <w:szCs w:val="20"/>
        </w:rPr>
        <w:t xml:space="preserve">constraints </w:t>
      </w:r>
      <w:r w:rsidR="002F1AFE" w:rsidRPr="009668D3">
        <w:rPr>
          <w:rFonts w:ascii="Times New Roman" w:hAnsi="Times New Roman" w:cs="Times New Roman"/>
          <w:sz w:val="20"/>
          <w:szCs w:val="20"/>
        </w:rPr>
        <w:t>(</w:t>
      </w:r>
      <w:r w:rsidRPr="009668D3">
        <w:rPr>
          <w:rFonts w:ascii="Times New Roman" w:hAnsi="Times New Roman" w:cs="Times New Roman"/>
          <w:sz w:val="20"/>
          <w:szCs w:val="20"/>
        </w:rPr>
        <w:t>Lenhart &amp; Workman, 2007). We then perform a systematic robustness evaluation across the full plausible parameter ranges in the numerical analyses (see Section 2.3) and compare the resulting optimal-control trajectories and stability landscapes across the alternative control scenarios introduced in the Introduction. We organise the methodology into three subsections: (1) model formulation, (2) structural stability analyses, and (3) numerical analyses. The model formulation includes an explicit mapping of nine phenological scenarios to model parameters (Table S1 in Annex 1). The structural stability analyses derive equilibrium conditions, the parasitoid invasion threshold, bifurcation boundaries, and optimal control solutions. The numerical analyses evaluate all stability and control outcomes across the full plausible parameter space defined by these phenological scenarios (Annex 1). Together, the three subsections address: (O1) identification of the most probable stable equilibria across phenological scenarios, (O2) quantification of regime shift probability and identification of parametric drivers of instability that may translate to candidate early warning signals, and (O3) determination of the minimal intervention effort under three pest-management</w:t>
      </w:r>
      <w:r w:rsidR="00677CC7" w:rsidRPr="009668D3">
        <w:rPr>
          <w:rFonts w:ascii="Times New Roman" w:hAnsi="Times New Roman" w:cs="Times New Roman"/>
          <w:sz w:val="20"/>
          <w:szCs w:val="20"/>
        </w:rPr>
        <w:t xml:space="preserve"> scenarios.</w:t>
      </w:r>
    </w:p>
    <w:p w14:paraId="0E0B5E9E" w14:textId="4B23F257" w:rsidR="00E24342" w:rsidRPr="009668D3" w:rsidRDefault="00757681"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2.1 </w:t>
      </w:r>
      <w:r w:rsidR="00261D0A" w:rsidRPr="009668D3">
        <w:rPr>
          <w:rFonts w:ascii="Times New Roman" w:hAnsi="Times New Roman" w:cs="Times New Roman"/>
          <w:b/>
          <w:sz w:val="20"/>
          <w:szCs w:val="20"/>
        </w:rPr>
        <w:t>Model formulation</w:t>
      </w:r>
      <w:r w:rsidR="00261D0A" w:rsidRPr="009668D3">
        <w:rPr>
          <w:rFonts w:ascii="Times New Roman" w:hAnsi="Times New Roman" w:cs="Times New Roman"/>
          <w:sz w:val="20"/>
          <w:szCs w:val="20"/>
        </w:rPr>
        <w:t xml:space="preserve"> </w:t>
      </w:r>
    </w:p>
    <w:p w14:paraId="208F2984" w14:textId="7D314EC3" w:rsidR="00261D0A" w:rsidRPr="009668D3" w:rsidRDefault="00261D0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model comprises two coupled modules that operate at distinct temporal scales. Module 1 is a within-season eco-epidemic ordinary differential equation system that characterises the tri-trophic dynamics during the spring-summer larval vulnerability window of </w:t>
      </w:r>
      <w:r w:rsidR="0086625E" w:rsidRPr="009668D3">
        <w:rPr>
          <w:rFonts w:ascii="Times New Roman" w:hAnsi="Times New Roman" w:cs="Times New Roman"/>
          <w:sz w:val="20"/>
          <w:szCs w:val="20"/>
        </w:rPr>
        <w:t>the leaf beetle</w:t>
      </w:r>
      <w:r w:rsidRPr="009668D3">
        <w:rPr>
          <w:rFonts w:ascii="Times New Roman" w:hAnsi="Times New Roman" w:cs="Times New Roman"/>
          <w:sz w:val="20"/>
          <w:szCs w:val="20"/>
        </w:rPr>
        <w:t xml:space="preserve">. Module 2 is an annual discrete recurrence process that connects successive seasons by updating the beetle recruitment cohort, the parasitoid overwintering population, and the implicit alder foliage carrying capacity according to cumulative defoliation damage. All state variables are expressed per hectare of </w:t>
      </w:r>
      <w:r w:rsidR="009F0017" w:rsidRPr="009668D3">
        <w:rPr>
          <w:rFonts w:ascii="Times New Roman" w:hAnsi="Times New Roman" w:cs="Times New Roman"/>
          <w:sz w:val="20"/>
          <w:szCs w:val="20"/>
        </w:rPr>
        <w:t>alluvial forest</w:t>
      </w:r>
      <w:r w:rsidRPr="009668D3">
        <w:rPr>
          <w:rFonts w:ascii="Times New Roman" w:hAnsi="Times New Roman" w:cs="Times New Roman"/>
          <w:sz w:val="20"/>
          <w:szCs w:val="20"/>
        </w:rPr>
        <w:t xml:space="preserve"> stand.</w:t>
      </w:r>
      <w:r w:rsidR="009F0017" w:rsidRPr="009668D3">
        <w:rPr>
          <w:rFonts w:ascii="Times New Roman" w:hAnsi="Times New Roman" w:cs="Times New Roman"/>
          <w:sz w:val="20"/>
          <w:szCs w:val="20"/>
        </w:rPr>
        <w:t xml:space="preserve"> Because resistance emerges within and across seasons, while resilience depends on annual canopy recovery and carrying-capacity return, only a two-timescale model can identify equilibria, regime shifts, and minimal interventions reliably.</w:t>
      </w:r>
    </w:p>
    <w:p w14:paraId="770A9CA8" w14:textId="198BC745" w:rsidR="00261D0A" w:rsidRPr="009668D3" w:rsidRDefault="00CD1D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Module</w:t>
      </w:r>
      <w:r w:rsidR="00643ED9" w:rsidRPr="009668D3">
        <w:rPr>
          <w:rFonts w:ascii="Times New Roman" w:hAnsi="Times New Roman" w:cs="Times New Roman"/>
          <w:sz w:val="20"/>
          <w:szCs w:val="20"/>
        </w:rPr>
        <w:t xml:space="preserve"> 1</w:t>
      </w:r>
      <w:r w:rsidRPr="009668D3">
        <w:rPr>
          <w:rFonts w:ascii="Times New Roman" w:hAnsi="Times New Roman" w:cs="Times New Roman"/>
          <w:sz w:val="20"/>
          <w:szCs w:val="20"/>
        </w:rPr>
        <w:t xml:space="preserve">:  We consider four within-season state variables over continuous time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where T is the duration of the larval vulnerability window (baseline T = </w:t>
      </w:r>
      <w:r w:rsidR="0072628F" w:rsidRPr="009668D3">
        <w:rPr>
          <w:rFonts w:ascii="Times New Roman" w:hAnsi="Times New Roman" w:cs="Times New Roman"/>
          <w:sz w:val="20"/>
          <w:szCs w:val="20"/>
        </w:rPr>
        <w:t>55</w:t>
      </w:r>
      <w:r w:rsidRPr="009668D3">
        <w:rPr>
          <w:rFonts w:ascii="Times New Roman" w:hAnsi="Times New Roman" w:cs="Times New Roman"/>
          <w:sz w:val="20"/>
          <w:szCs w:val="20"/>
        </w:rPr>
        <w:t xml:space="preserve"> days, range 45-70 days; univoltine phenology of </w:t>
      </w:r>
      <w:r w:rsidR="00DE70C9" w:rsidRPr="009668D3">
        <w:rPr>
          <w:rFonts w:ascii="Times New Roman" w:hAnsi="Times New Roman" w:cs="Times New Roman"/>
          <w:sz w:val="20"/>
          <w:szCs w:val="20"/>
        </w:rPr>
        <w:t>the leaf beetle</w:t>
      </w:r>
      <w:r w:rsidRPr="009668D3">
        <w:rPr>
          <w:rFonts w:ascii="Times New Roman" w:hAnsi="Times New Roman" w:cs="Times New Roman"/>
          <w:sz w:val="20"/>
          <w:szCs w:val="20"/>
        </w:rPr>
        <w:t>)</w:t>
      </w:r>
      <w:r w:rsidR="00840C95" w:rsidRPr="009668D3">
        <w:rPr>
          <w:rFonts w:ascii="Times New Roman" w:hAnsi="Times New Roman" w:cs="Times New Roman"/>
          <w:sz w:val="20"/>
          <w:szCs w:val="20"/>
        </w:rPr>
        <w:t>. We denote</w:t>
      </w:r>
      <w:r w:rsidRPr="009668D3">
        <w:rPr>
          <w:rFonts w:ascii="Times New Roman" w:hAnsi="Times New Roman" w:cs="Times New Roman"/>
          <w:sz w:val="20"/>
          <w:szCs w:val="20"/>
        </w:rPr>
        <w:t xml:space="preserve"> S(τ)</w:t>
      </w:r>
      <w:r w:rsidR="00840C95" w:rsidRPr="009668D3">
        <w:rPr>
          <w:rFonts w:ascii="Times New Roman" w:hAnsi="Times New Roman" w:cs="Times New Roman"/>
          <w:sz w:val="20"/>
          <w:szCs w:val="20"/>
        </w:rPr>
        <w:t xml:space="preserve"> as</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density of susceptible (unparasitised) </w:t>
      </w:r>
      <w:r w:rsidR="00DE70C9" w:rsidRPr="009668D3">
        <w:rPr>
          <w:rFonts w:ascii="Times New Roman" w:hAnsi="Times New Roman" w:cs="Times New Roman"/>
          <w:sz w:val="20"/>
          <w:szCs w:val="20"/>
        </w:rPr>
        <w:t>beetle</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larvae</w:t>
      </w:r>
      <w:r w:rsidRPr="009668D3">
        <w:rPr>
          <w:rFonts w:ascii="Times New Roman" w:hAnsi="Times New Roman" w:cs="Times New Roman"/>
          <w:sz w:val="20"/>
          <w:szCs w:val="20"/>
        </w:rPr>
        <w:t>, I(τ)</w:t>
      </w:r>
      <w:r w:rsidR="00840C95" w:rsidRPr="009668D3">
        <w:rPr>
          <w:rFonts w:ascii="Times New Roman" w:hAnsi="Times New Roman" w:cs="Times New Roman"/>
          <w:sz w:val="20"/>
          <w:szCs w:val="20"/>
        </w:rPr>
        <w:t xml:space="preserve"> as</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density of parasitised ("infected") </w:t>
      </w:r>
      <w:r w:rsidR="008B1061" w:rsidRPr="009668D3">
        <w:rPr>
          <w:rFonts w:ascii="Times New Roman" w:hAnsi="Times New Roman" w:cs="Times New Roman"/>
          <w:sz w:val="20"/>
          <w:szCs w:val="20"/>
        </w:rPr>
        <w:t>b</w:t>
      </w:r>
      <w:r w:rsidR="00066319" w:rsidRPr="009668D3">
        <w:rPr>
          <w:rFonts w:ascii="Times New Roman" w:hAnsi="Times New Roman" w:cs="Times New Roman"/>
          <w:sz w:val="20"/>
          <w:szCs w:val="20"/>
        </w:rPr>
        <w:t>eetle</w:t>
      </w:r>
      <w:r w:rsidRPr="009668D3">
        <w:rPr>
          <w:rFonts w:ascii="Times New Roman" w:hAnsi="Times New Roman" w:cs="Times New Roman"/>
          <w:sz w:val="20"/>
          <w:szCs w:val="20"/>
        </w:rPr>
        <w:t xml:space="preserve"> larvae</w:t>
      </w:r>
      <w:r w:rsidR="00E50D54"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and </w:t>
      </w:r>
      <w:r w:rsidRPr="009668D3">
        <w:rPr>
          <w:rFonts w:ascii="Times New Roman" w:hAnsi="Times New Roman" w:cs="Times New Roman"/>
          <w:sz w:val="20"/>
          <w:szCs w:val="20"/>
        </w:rPr>
        <w:t>F(τ)</w:t>
      </w:r>
      <w:r w:rsidR="00840C95" w:rsidRPr="009668D3">
        <w:rPr>
          <w:rFonts w:ascii="Times New Roman" w:hAnsi="Times New Roman" w:cs="Times New Roman"/>
          <w:sz w:val="20"/>
          <w:szCs w:val="20"/>
        </w:rPr>
        <w:t xml:space="preserve"> as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density of adult parasitoid flies</w:t>
      </w:r>
      <w:r w:rsidR="00677CC7" w:rsidRPr="009668D3">
        <w:rPr>
          <w:rFonts w:ascii="Times New Roman" w:hAnsi="Times New Roman" w:cs="Times New Roman"/>
          <w:sz w:val="20"/>
          <w:szCs w:val="20"/>
        </w:rPr>
        <w:t>.</w:t>
      </w:r>
      <w:r w:rsidR="00E50D54" w:rsidRPr="009668D3">
        <w:rPr>
          <w:rFonts w:ascii="Times New Roman" w:hAnsi="Times New Roman" w:cs="Times New Roman"/>
          <w:sz w:val="20"/>
          <w:szCs w:val="20"/>
        </w:rPr>
        <w:t xml:space="preserve"> </w:t>
      </w:r>
      <m:oMath>
        <m:r>
          <w:rPr>
            <w:rFonts w:ascii="Cambria Math" w:hAnsi="Cambria Math" w:cs="Times New Roman"/>
            <w:sz w:val="20"/>
            <w:szCs w:val="20"/>
          </w:rPr>
          <m:t>D(τ)</m:t>
        </m:r>
      </m:oMath>
      <w:r w:rsidR="00223D98" w:rsidRPr="009668D3">
        <w:rPr>
          <w:rFonts w:ascii="Times New Roman" w:hAnsi="Times New Roman" w:cs="Times New Roman"/>
          <w:sz w:val="20"/>
          <w:szCs w:val="20"/>
        </w:rPr>
        <w:t>: cumulative defoliation damage</w:t>
      </w:r>
      <w:r w:rsidRPr="009668D3">
        <w:rPr>
          <w:rFonts w:ascii="Times New Roman" w:hAnsi="Times New Roman" w:cs="Times New Roman"/>
          <w:sz w:val="20"/>
          <w:szCs w:val="20"/>
        </w:rPr>
        <w:t>.</w:t>
      </w:r>
      <w:r w:rsidR="00E50D54" w:rsidRPr="009668D3">
        <w:rPr>
          <w:rFonts w:ascii="Times New Roman" w:hAnsi="Times New Roman" w:cs="Times New Roman"/>
          <w:sz w:val="20"/>
          <w:szCs w:val="20"/>
        </w:rPr>
        <w:t xml:space="preserve"> Population state variables are expressed per hectare of alluvial forest stand, whereas cumulative defoliation damage is represented as a dimensionless fractional quantity.</w:t>
      </w:r>
      <w:r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 xml:space="preserve">We describe the within-season dynamics of susceptible </w:t>
      </w:r>
      <w:r w:rsidR="00DE70C9" w:rsidRPr="009668D3">
        <w:rPr>
          <w:rFonts w:ascii="Times New Roman" w:hAnsi="Times New Roman" w:cs="Times New Roman"/>
          <w:sz w:val="20"/>
          <w:szCs w:val="20"/>
        </w:rPr>
        <w:t>beetle</w:t>
      </w:r>
      <w:r w:rsidR="00840C95" w:rsidRPr="009668D3">
        <w:rPr>
          <w:rFonts w:ascii="Times New Roman" w:hAnsi="Times New Roman" w:cs="Times New Roman"/>
          <w:sz w:val="20"/>
          <w:szCs w:val="20"/>
        </w:rPr>
        <w:t xml:space="preserve"> larvae by</w:t>
      </w:r>
      <w:r w:rsidRPr="009668D3">
        <w:rPr>
          <w:rFonts w:ascii="Times New Roman" w:hAnsi="Times New Roman" w:cs="Times New Roman"/>
          <w:sz w:val="20"/>
          <w:szCs w:val="20"/>
        </w:rPr>
        <w:t>:</w:t>
      </w:r>
    </w:p>
    <w:p w14:paraId="4AF267DC" w14:textId="7A2DA73E" w:rsidR="00CD1DA7" w:rsidRPr="009668D3" w:rsidRDefault="00000000" w:rsidP="002D21BC">
      <w:pPr>
        <w:spacing w:line="240" w:lineRule="auto"/>
        <w:jc w:val="both"/>
        <w:rPr>
          <w:rFonts w:ascii="Times New Roman" w:hAnsi="Times New Roman" w:cs="Times New Roman"/>
          <w:sz w:val="20"/>
          <w:szCs w:val="20"/>
        </w:rPr>
      </w:pPr>
      <m:oMath>
        <m:f>
          <m:fPr>
            <m:ctrlPr>
              <w:rPr>
                <w:rFonts w:ascii="Cambria Math" w:hAnsi="Cambria Math" w:cs="Times New Roman"/>
                <w:i/>
                <w:sz w:val="20"/>
                <w:szCs w:val="20"/>
              </w:rPr>
            </m:ctrlPr>
          </m:fPr>
          <m:num>
            <m:r>
              <w:rPr>
                <w:rFonts w:ascii="Cambria Math" w:hAnsi="Cambria Math" w:cs="Times New Roman"/>
                <w:sz w:val="20"/>
                <w:szCs w:val="20"/>
              </w:rPr>
              <m:t>dS</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num>
          <m:den>
            <m:r>
              <w:rPr>
                <w:rFonts w:ascii="Cambria Math" w:hAnsi="Cambria Math" w:cs="Times New Roman"/>
                <w:sz w:val="20"/>
                <w:szCs w:val="20"/>
              </w:rPr>
              <m:t>dτ</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β</m:t>
            </m:r>
            <m:r>
              <w:rPr>
                <w:rFonts w:ascii="Cambria Math" w:hAnsi="Cambria Math" w:cs="Times New Roman"/>
                <w:sz w:val="20"/>
                <w:szCs w:val="20"/>
              </w:rPr>
              <m:t xml:space="preserve">× </m:t>
            </m:r>
            <m:r>
              <w:rPr>
                <w:rFonts w:ascii="Cambria Math" w:hAnsi="Cambria Math" w:cs="Times New Roman"/>
                <w:sz w:val="20"/>
                <w:szCs w:val="20"/>
              </w:rPr>
              <m:t>F</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 xml:space="preserve">)× </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r>
              <w:rPr>
                <w:rFonts w:ascii="Cambria Math" w:hAnsi="Cambria Math" w:cs="Times New Roman"/>
                <w:sz w:val="20"/>
                <w:szCs w:val="20"/>
              </w:rPr>
              <m:t>h×</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den>
        </m:f>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den>
        </m:f>
        <m:r>
          <w:rPr>
            <w:rFonts w:ascii="Cambria Math" w:hAnsi="Cambria Math" w:cs="Times New Roman"/>
            <w:sz w:val="20"/>
            <w:szCs w:val="20"/>
          </w:rPr>
          <m: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e>
        </m:d>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oMath>
      <w:r w:rsidR="00CD1DA7" w:rsidRPr="001E6700">
        <w:rPr>
          <w:rFonts w:ascii="Times New Roman" w:eastAsiaTheme="minorEastAsia" w:hAnsi="Times New Roman" w:cs="Times New Roman"/>
          <w:sz w:val="20"/>
          <w:szCs w:val="20"/>
        </w:rPr>
        <w:t xml:space="preserve"> ... Equation 1</w:t>
      </w:r>
    </w:p>
    <w:p w14:paraId="7FA8C799" w14:textId="30D73F7E" w:rsidR="00D24492" w:rsidRPr="009668D3" w:rsidRDefault="00CD1D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f>
          <m:fPr>
            <m:ctrlPr>
              <w:rPr>
                <w:rFonts w:ascii="Cambria Math" w:hAnsi="Cambria Math" w:cs="Times New Roman"/>
                <w:i/>
                <w:sz w:val="20"/>
                <w:szCs w:val="20"/>
              </w:rPr>
            </m:ctrlPr>
          </m:fPr>
          <m:num>
            <m:r>
              <w:rPr>
                <w:rFonts w:ascii="Cambria Math" w:hAnsi="Cambria Math" w:cs="Times New Roman"/>
                <w:sz w:val="20"/>
                <w:szCs w:val="20"/>
              </w:rPr>
              <m:t>dS(τ)</m:t>
            </m:r>
          </m:num>
          <m:den>
            <m:r>
              <w:rPr>
                <w:rFonts w:ascii="Cambria Math" w:hAnsi="Cambria Math" w:cs="Times New Roman"/>
                <w:sz w:val="20"/>
                <w:szCs w:val="20"/>
              </w:rPr>
              <m:t>dτ</m:t>
            </m:r>
          </m:den>
        </m:f>
      </m:oMath>
      <w:r w:rsidRPr="009668D3">
        <w:rPr>
          <w:rFonts w:ascii="Times New Roman" w:hAnsi="Times New Roman" w:cs="Times New Roman"/>
          <w:sz w:val="20"/>
          <w:szCs w:val="20"/>
        </w:rPr>
        <w:t xml:space="preserve">is the rate of change of susceptible </w:t>
      </w:r>
      <w:r w:rsidR="008B1061" w:rsidRPr="009668D3">
        <w:rPr>
          <w:rFonts w:ascii="Times New Roman" w:hAnsi="Times New Roman" w:cs="Times New Roman"/>
          <w:sz w:val="20"/>
          <w:szCs w:val="20"/>
        </w:rPr>
        <w:t>b</w:t>
      </w:r>
      <w:r w:rsidR="00066319" w:rsidRPr="009668D3">
        <w:rPr>
          <w:rFonts w:ascii="Times New Roman" w:hAnsi="Times New Roman" w:cs="Times New Roman"/>
          <w:sz w:val="20"/>
          <w:szCs w:val="20"/>
        </w:rPr>
        <w:t>eetle</w:t>
      </w:r>
      <w:r w:rsidRPr="009668D3">
        <w:rPr>
          <w:rFonts w:ascii="Times New Roman" w:hAnsi="Times New Roman" w:cs="Times New Roman"/>
          <w:sz w:val="20"/>
          <w:szCs w:val="20"/>
        </w:rPr>
        <w:t xml:space="preserve"> larval density over the within-season time τ. </w:t>
      </w:r>
      <w:r w:rsidR="00840C95" w:rsidRPr="009668D3">
        <w:rPr>
          <w:rFonts w:ascii="Times New Roman" w:hAnsi="Times New Roman" w:cs="Times New Roman"/>
          <w:sz w:val="20"/>
          <w:szCs w:val="20"/>
        </w:rPr>
        <w:t xml:space="preserve">The first term, </w:t>
      </w:r>
      <m:oMath>
        <m:f>
          <m:fPr>
            <m:ctrlPr>
              <w:rPr>
                <w:rFonts w:ascii="Cambria Math" w:hAnsi="Cambria Math" w:cs="Times New Roman"/>
                <w:i/>
                <w:sz w:val="20"/>
                <w:szCs w:val="20"/>
              </w:rPr>
            </m:ctrlPr>
          </m:fPr>
          <m:num>
            <m:r>
              <w:rPr>
                <w:rFonts w:ascii="Cambria Math" w:hAnsi="Cambria Math" w:cs="Times New Roman"/>
                <w:sz w:val="20"/>
                <w:szCs w:val="20"/>
              </w:rPr>
              <m:t>-β× F(τ)× 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r>
              <w:rPr>
                <w:rFonts w:ascii="Cambria Math" w:hAnsi="Cambria Math" w:cs="Times New Roman"/>
                <w:sz w:val="20"/>
                <w:szCs w:val="20"/>
              </w:rPr>
              <m:t>h×S</m:t>
            </m:r>
            <m:d>
              <m:dPr>
                <m:ctrlPr>
                  <w:rPr>
                    <w:rFonts w:ascii="Cambria Math" w:hAnsi="Cambria Math" w:cs="Times New Roman"/>
                    <w:i/>
                    <w:sz w:val="20"/>
                    <w:szCs w:val="20"/>
                  </w:rPr>
                </m:ctrlPr>
              </m:dPr>
              <m:e>
                <m:r>
                  <w:rPr>
                    <w:rFonts w:ascii="Cambria Math" w:hAnsi="Cambria Math" w:cs="Times New Roman"/>
                    <w:sz w:val="20"/>
                    <w:szCs w:val="20"/>
                  </w:rPr>
                  <m:t>τ</m:t>
                </m:r>
              </m:e>
            </m:d>
          </m:den>
        </m:f>
      </m:oMath>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represents </w:t>
      </w:r>
      <w:r w:rsidR="00E50D54" w:rsidRPr="009668D3">
        <w:rPr>
          <w:rFonts w:ascii="Times New Roman" w:hAnsi="Times New Roman" w:cs="Times New Roman"/>
          <w:sz w:val="20"/>
          <w:szCs w:val="20"/>
        </w:rPr>
        <w:t xml:space="preserve">the </w:t>
      </w:r>
      <w:r w:rsidR="00840C95" w:rsidRPr="009668D3">
        <w:rPr>
          <w:rFonts w:ascii="Times New Roman" w:hAnsi="Times New Roman" w:cs="Times New Roman"/>
          <w:sz w:val="20"/>
          <w:szCs w:val="20"/>
        </w:rPr>
        <w:t>parasit</w:t>
      </w:r>
      <w:r w:rsidR="00706436" w:rsidRPr="009668D3">
        <w:rPr>
          <w:rFonts w:ascii="Times New Roman" w:hAnsi="Times New Roman" w:cs="Times New Roman"/>
          <w:sz w:val="20"/>
          <w:szCs w:val="20"/>
        </w:rPr>
        <w:t>oid</w:t>
      </w:r>
      <w:r w:rsidR="00840C95" w:rsidRPr="009668D3">
        <w:rPr>
          <w:rFonts w:ascii="Times New Roman" w:hAnsi="Times New Roman" w:cs="Times New Roman"/>
          <w:sz w:val="20"/>
          <w:szCs w:val="20"/>
        </w:rPr>
        <w:t>ism and follows a Holling type II functional response. Here, β denotes the parasitoid attack rate</w:t>
      </w:r>
      <w:r w:rsidR="00677CC7" w:rsidRPr="009668D3">
        <w:rPr>
          <w:rFonts w:ascii="Times New Roman" w:hAnsi="Times New Roman" w:cs="Times New Roman"/>
          <w:sz w:val="20"/>
          <w:szCs w:val="20"/>
        </w:rPr>
        <w:t>,</w:t>
      </w:r>
      <w:r w:rsidR="00840C95" w:rsidRPr="009668D3">
        <w:rPr>
          <w:rFonts w:ascii="Times New Roman" w:hAnsi="Times New Roman" w:cs="Times New Roman"/>
          <w:sz w:val="20"/>
          <w:szCs w:val="20"/>
        </w:rPr>
        <w:t xml:space="preserve"> and ℎ denotes the parasitoid handling or saturation parameter; together they capture the fact that parasitoid attack increases with host availability but saturates at high larval density because oviposition is time-limited. The second term, </w:t>
      </w:r>
      <m:oMath>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den>
        </m:f>
      </m:oMath>
      <w:r w:rsidR="00840C95" w:rsidRPr="001E6700">
        <w:rPr>
          <w:rFonts w:ascii="Times New Roman" w:hAnsi="Times New Roman" w:cs="Times New Roman"/>
          <w:sz w:val="20"/>
          <w:szCs w:val="20"/>
        </w:rPr>
        <w:t>​,</w:t>
      </w:r>
      <w:r w:rsidR="00CB373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represents predation by generalist passerine birds, also in Holling type II form, where total larval density (</w:t>
      </w: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oMath>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determines </w:t>
      </w:r>
      <w:r w:rsidR="00AA662B" w:rsidRPr="001E6700">
        <w:rPr>
          <w:rFonts w:ascii="Times New Roman" w:hAnsi="Times New Roman" w:cs="Times New Roman"/>
          <w:sz w:val="20"/>
          <w:szCs w:val="20"/>
        </w:rPr>
        <w:t xml:space="preserve">the </w:t>
      </w:r>
      <w:r w:rsidR="00840C95" w:rsidRPr="009668D3">
        <w:rPr>
          <w:rFonts w:ascii="Times New Roman" w:hAnsi="Times New Roman" w:cs="Times New Roman"/>
          <w:sz w:val="20"/>
          <w:szCs w:val="20"/>
        </w:rPr>
        <w:t xml:space="preserve">saturation of bird consumption. Here,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oMath>
      <w:r w:rsidR="00D2449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 xml:space="preserve">is the per-unit bird-pressure consumption rate, and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D2449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is an exogenous index of generalist passerine bird pressure in the focal forest stand rather than an explicit bird population state variable. We use an index because bird abundance and community composition are shaped by ecological processes operating beyond the focal stand and beyond the seasonal timescale of the beetle outbreak, whereas in this model</w:t>
      </w:r>
      <w:r w:rsidR="00677CC7" w:rsidRPr="009668D3">
        <w:rPr>
          <w:rFonts w:ascii="Times New Roman" w:hAnsi="Times New Roman" w:cs="Times New Roman"/>
          <w:sz w:val="20"/>
          <w:szCs w:val="20"/>
        </w:rPr>
        <w:t>,</w:t>
      </w:r>
      <w:r w:rsidR="00840C95" w:rsidRPr="009668D3">
        <w:rPr>
          <w:rFonts w:ascii="Times New Roman" w:hAnsi="Times New Roman" w:cs="Times New Roman"/>
          <w:sz w:val="20"/>
          <w:szCs w:val="20"/>
        </w:rPr>
        <w:t xml:space="preserve"> we require only their aggregate predation pressure on larvae (Monteagudo et al., 2023). The parameter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oMath>
      <w:r w:rsidR="00840C95" w:rsidRPr="009668D3">
        <w:rPr>
          <w:rFonts w:ascii="Times New Roman" w:hAnsi="Times New Roman" w:cs="Times New Roman"/>
          <w:sz w:val="20"/>
          <w:szCs w:val="20"/>
        </w:rPr>
        <w:t xml:space="preserve"> is the bird half-saturation or handling parameter and controls how quickly predation approaches saturation as larval density increases. It therefore reflects a saturating consumption process, not learned avoidance. The final term,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e>
        </m:d>
        <m:r>
          <w:rPr>
            <w:rFonts w:ascii="Cambria Math" w:hAnsi="Cambria Math" w:cs="Times New Roman"/>
            <w:sz w:val="20"/>
            <w:szCs w:val="20"/>
          </w:rPr>
          <m:t>×S(τ)</m:t>
        </m:r>
      </m:oMath>
      <w:r w:rsidR="00482E23" w:rsidRPr="001E6700">
        <w:rPr>
          <w:rFonts w:ascii="Times New Roman" w:eastAsiaTheme="minorEastAsia" w:hAnsi="Times New Roman" w:cs="Times New Roman"/>
          <w:sz w:val="20"/>
          <w:szCs w:val="20"/>
        </w:rPr>
        <w:t xml:space="preserve"> </w:t>
      </w:r>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represents </w:t>
      </w:r>
      <w:r w:rsidR="00677CC7" w:rsidRPr="009668D3">
        <w:rPr>
          <w:rFonts w:ascii="Times New Roman" w:hAnsi="Times New Roman" w:cs="Times New Roman"/>
          <w:sz w:val="20"/>
          <w:szCs w:val="20"/>
        </w:rPr>
        <w:t xml:space="preserve">the </w:t>
      </w:r>
      <w:r w:rsidR="00840C95" w:rsidRPr="009668D3">
        <w:rPr>
          <w:rFonts w:ascii="Times New Roman" w:hAnsi="Times New Roman" w:cs="Times New Roman"/>
          <w:sz w:val="20"/>
          <w:szCs w:val="20"/>
        </w:rPr>
        <w:t xml:space="preserve">removal of susceptible larvae through baseline natural mortality and external intervention. Here,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840C95" w:rsidRPr="009668D3">
        <w:rPr>
          <w:rFonts w:ascii="Times New Roman" w:hAnsi="Times New Roman" w:cs="Times New Roman"/>
          <w:sz w:val="20"/>
          <w:szCs w:val="20"/>
        </w:rPr>
        <w:t xml:space="preserve"> is </w:t>
      </w:r>
      <w:r w:rsidR="00D24492" w:rsidRPr="009668D3">
        <w:rPr>
          <w:rFonts w:ascii="Times New Roman" w:hAnsi="Times New Roman" w:cs="Times New Roman"/>
          <w:sz w:val="20"/>
          <w:szCs w:val="20"/>
        </w:rPr>
        <w:t>a</w:t>
      </w:r>
      <w:r w:rsidR="00840C95" w:rsidRPr="009668D3">
        <w:rPr>
          <w:rFonts w:ascii="Times New Roman" w:hAnsi="Times New Roman" w:cs="Times New Roman"/>
          <w:sz w:val="20"/>
          <w:szCs w:val="20"/>
        </w:rPr>
        <w:t xml:space="preserve"> background</w:t>
      </w:r>
      <w:r w:rsidR="00D24492" w:rsidRPr="009668D3">
        <w:rPr>
          <w:rFonts w:ascii="Times New Roman" w:hAnsi="Times New Roman" w:cs="Times New Roman"/>
          <w:sz w:val="20"/>
          <w:szCs w:val="20"/>
        </w:rPr>
        <w:t>/baseline</w:t>
      </w:r>
      <w:r w:rsidR="00840C95" w:rsidRPr="009668D3">
        <w:rPr>
          <w:rFonts w:ascii="Times New Roman" w:hAnsi="Times New Roman" w:cs="Times New Roman"/>
          <w:sz w:val="20"/>
          <w:szCs w:val="20"/>
        </w:rPr>
        <w:t xml:space="preserve"> mortality rate of larvae from causes other than </w:t>
      </w:r>
      <w:r w:rsidR="004F245F">
        <w:rPr>
          <w:rFonts w:ascii="Times New Roman" w:hAnsi="Times New Roman" w:cs="Times New Roman"/>
          <w:sz w:val="20"/>
          <w:szCs w:val="20"/>
        </w:rPr>
        <w:t>parasitoidism</w:t>
      </w:r>
      <w:r w:rsidR="00840C95" w:rsidRPr="009668D3">
        <w:rPr>
          <w:rFonts w:ascii="Times New Roman" w:hAnsi="Times New Roman" w:cs="Times New Roman"/>
          <w:sz w:val="20"/>
          <w:szCs w:val="20"/>
        </w:rPr>
        <w:t xml:space="preserve"> and bird predation, and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00A14718" w:rsidRPr="009668D3">
        <w:rPr>
          <w:rFonts w:ascii="Times New Roman" w:hAnsi="Times New Roman" w:cs="Times New Roman"/>
          <w:sz w:val="20"/>
          <w:szCs w:val="20"/>
        </w:rPr>
        <w:t xml:space="preserve"> is the time-dependent removal rate of larvae due to direct intervention during the within-season control </w:t>
      </w:r>
      <w:r w:rsidR="00677CC7" w:rsidRPr="009668D3">
        <w:rPr>
          <w:rFonts w:ascii="Times New Roman" w:hAnsi="Times New Roman" w:cs="Times New Roman"/>
          <w:sz w:val="20"/>
          <w:szCs w:val="20"/>
        </w:rPr>
        <w:t>process,</w:t>
      </w:r>
      <w:r w:rsidR="00840C95"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and </w:t>
      </w:r>
      <w:r w:rsidR="00840C95" w:rsidRPr="009668D3">
        <w:rPr>
          <w:rFonts w:ascii="Times New Roman" w:hAnsi="Times New Roman" w:cs="Times New Roman"/>
          <w:sz w:val="20"/>
          <w:szCs w:val="20"/>
        </w:rPr>
        <w:t>during the within-season intervention process.</w:t>
      </w:r>
    </w:p>
    <w:p w14:paraId="38214FE6" w14:textId="5D2C32E0" w:rsidR="00D24492" w:rsidRPr="009668D3" w:rsidRDefault="00D2449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 describe the within-season dynamics of parasitised (“infected”) </w:t>
      </w:r>
      <w:r w:rsidR="00DE70C9" w:rsidRPr="004F245F">
        <w:rPr>
          <w:rFonts w:ascii="Times New Roman" w:hAnsi="Times New Roman" w:cs="Times New Roman"/>
          <w:iCs/>
          <w:sz w:val="20"/>
          <w:szCs w:val="20"/>
        </w:rPr>
        <w:t>beetle</w:t>
      </w:r>
      <w:r w:rsidRPr="004F245F">
        <w:rPr>
          <w:rFonts w:ascii="Times New Roman" w:hAnsi="Times New Roman" w:cs="Times New Roman"/>
          <w:iCs/>
          <w:sz w:val="20"/>
          <w:szCs w:val="20"/>
        </w:rPr>
        <w:t xml:space="preserve"> </w:t>
      </w:r>
      <w:r w:rsidRPr="009668D3">
        <w:rPr>
          <w:rFonts w:ascii="Times New Roman" w:hAnsi="Times New Roman" w:cs="Times New Roman"/>
          <w:sz w:val="20"/>
          <w:szCs w:val="20"/>
        </w:rPr>
        <w:t>larvae by</w:t>
      </w:r>
    </w:p>
    <w:p w14:paraId="6E5FC8BC" w14:textId="3056CE07" w:rsidR="00643ED9" w:rsidRPr="009668D3" w:rsidRDefault="00000000"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β</m:t>
            </m:r>
            <m:r>
              <w:rPr>
                <w:rFonts w:ascii="Cambria Math" w:eastAsiaTheme="minorEastAsia" w:hAnsi="Cambria Math" w:cs="Times New Roman"/>
                <w:sz w:val="20"/>
                <w:szCs w:val="20"/>
              </w:rPr>
              <m:t>×</m:t>
            </m:r>
            <m:r>
              <w:rPr>
                <w:rFonts w:ascii="Cambria Math" w:eastAsiaTheme="minorEastAsia" w:hAnsi="Cambria Math" w:cs="Times New Roman"/>
                <w:sz w:val="20"/>
                <w:szCs w:val="20"/>
              </w:rPr>
              <m:t>F</m:t>
            </m:r>
            <m:r>
              <w:rPr>
                <w:rFonts w:ascii="Cambria Math" w:eastAsiaTheme="minorEastAsia" w:hAnsi="Cambria Math" w:cs="Times New Roman"/>
                <w:sz w:val="20"/>
                <w:szCs w:val="20"/>
              </w:rPr>
              <m:t>×</m:t>
            </m:r>
            <m:r>
              <w:rPr>
                <w:rFonts w:ascii="Cambria Math" w:eastAsiaTheme="minorEastAsia" w:hAnsi="Cambria Math" w:cs="Times New Roman"/>
                <w:sz w:val="20"/>
                <w:szCs w:val="20"/>
              </w:rPr>
              <m:t>S</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m:t>
            </m:r>
            <m:r>
              <w:rPr>
                <w:rFonts w:ascii="Cambria Math" w:eastAsiaTheme="minorEastAsia" w:hAnsi="Cambria Math" w:cs="Times New Roman"/>
                <w:sz w:val="20"/>
                <w:szCs w:val="20"/>
              </w:rPr>
              <m:t>h×</m:t>
            </m:r>
            <m:r>
              <w:rPr>
                <w:rFonts w:ascii="Cambria Math" w:eastAsiaTheme="minorEastAsia" w:hAnsi="Cambria Math" w:cs="Times New Roman"/>
                <w:sz w:val="20"/>
                <w:szCs w:val="20"/>
              </w:rPr>
              <m:t>S</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t>
                </m:r>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r>
                  <w:rPr>
                    <w:rFonts w:ascii="Cambria Math" w:eastAsiaTheme="minorEastAsia" w:hAnsi="Cambria Math" w:cs="Times New Roman"/>
                    <w:sz w:val="20"/>
                    <w:szCs w:val="20"/>
                  </w:rPr>
                  <m:t>×</m:t>
                </m:r>
              </m:sub>
            </m:sSub>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den>
        </m:f>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r>
              <w:rPr>
                <w:rFonts w:ascii="Cambria Math" w:eastAsiaTheme="minorEastAsia" w:hAnsi="Cambria Math" w:cs="Times New Roman"/>
                <w:sz w:val="20"/>
                <w:szCs w:val="20"/>
              </w:rPr>
              <m:t>δ</m:t>
            </m:r>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ctrlPr>
              <w:rPr>
                <w:rFonts w:ascii="Cambria Math" w:hAnsi="Cambria Math" w:cs="Times New Roman"/>
                <w:i/>
                <w:sz w:val="20"/>
                <w:szCs w:val="20"/>
              </w:rPr>
            </m:ctrlPr>
          </m:e>
        </m:d>
        <m:r>
          <w:rPr>
            <w:rFonts w:ascii="Cambria Math" w:hAnsi="Cambria Math" w:cs="Times New Roman"/>
            <w:sz w:val="20"/>
            <w:szCs w:val="20"/>
          </w:rPr>
          <m:t>×</m:t>
        </m:r>
        <m:r>
          <w:rPr>
            <w:rFonts w:ascii="Cambria Math" w:hAnsi="Cambria Math" w:cs="Times New Roman"/>
            <w:sz w:val="20"/>
            <w:szCs w:val="20"/>
          </w:rPr>
          <m:t>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643ED9" w:rsidRPr="001E6700">
        <w:rPr>
          <w:rFonts w:ascii="Times New Roman" w:eastAsiaTheme="minorEastAsia" w:hAnsi="Times New Roman" w:cs="Times New Roman"/>
          <w:sz w:val="20"/>
          <w:szCs w:val="20"/>
        </w:rPr>
        <w:t xml:space="preserve"> ... </w:t>
      </w:r>
      <w:r w:rsidR="00C41802" w:rsidRPr="001E6700">
        <w:rPr>
          <w:rFonts w:ascii="Times New Roman" w:eastAsiaTheme="minorEastAsia" w:hAnsi="Times New Roman" w:cs="Times New Roman"/>
          <w:sz w:val="20"/>
          <w:szCs w:val="20"/>
        </w:rPr>
        <w:t>E</w:t>
      </w:r>
      <w:r w:rsidR="00643ED9" w:rsidRPr="001E6700">
        <w:rPr>
          <w:rFonts w:ascii="Times New Roman" w:eastAsiaTheme="minorEastAsia" w:hAnsi="Times New Roman" w:cs="Times New Roman"/>
          <w:sz w:val="20"/>
          <w:szCs w:val="20"/>
        </w:rPr>
        <w:t>quation 2</w:t>
      </w:r>
    </w:p>
    <w:p w14:paraId="7792CB2F" w14:textId="6DD9CFC2" w:rsidR="00D24492" w:rsidRPr="009668D3" w:rsidRDefault="00643ED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Here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dI(τ)</m:t>
            </m:r>
          </m:num>
          <m:den>
            <m:r>
              <w:rPr>
                <w:rFonts w:ascii="Cambria Math" w:eastAsiaTheme="minorEastAsia" w:hAnsi="Cambria Math" w:cs="Times New Roman"/>
                <w:sz w:val="20"/>
                <w:szCs w:val="20"/>
              </w:rPr>
              <m:t>dτ</m:t>
            </m:r>
          </m:den>
        </m:f>
      </m:oMath>
      <w:r w:rsidRPr="009668D3">
        <w:rPr>
          <w:rFonts w:ascii="Times New Roman" w:hAnsi="Times New Roman" w:cs="Times New Roman"/>
          <w:sz w:val="20"/>
          <w:szCs w:val="20"/>
        </w:rPr>
        <w:t xml:space="preserve"> is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rate of infected </w:t>
      </w:r>
      <w:r w:rsidR="0093149B" w:rsidRPr="009668D3">
        <w:rPr>
          <w:rFonts w:ascii="Times New Roman" w:hAnsi="Times New Roman" w:cs="Times New Roman"/>
          <w:sz w:val="20"/>
          <w:szCs w:val="20"/>
        </w:rPr>
        <w:t>beetle larvae</w:t>
      </w:r>
      <w:r w:rsidRPr="009668D3">
        <w:rPr>
          <w:rFonts w:ascii="Times New Roman" w:hAnsi="Times New Roman" w:cs="Times New Roman"/>
          <w:sz w:val="20"/>
          <w:szCs w:val="20"/>
        </w:rPr>
        <w:t xml:space="preserve">, </w:t>
      </w:r>
      <w:r w:rsidR="00757681" w:rsidRPr="009668D3">
        <w:rPr>
          <w:rFonts w:ascii="Times New Roman" w:hAnsi="Times New Roman" w:cs="Times New Roman"/>
          <w:sz w:val="20"/>
          <w:szCs w:val="20"/>
        </w:rPr>
        <w:t>the</w:t>
      </w:r>
      <w:r w:rsidR="00D24492" w:rsidRPr="009668D3">
        <w:rPr>
          <w:rFonts w:ascii="Times New Roman" w:hAnsi="Times New Roman" w:cs="Times New Roman"/>
          <w:sz w:val="20"/>
          <w:szCs w:val="20"/>
        </w:rPr>
        <w:t xml:space="preserve"> first term,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β×F×S(τ)</m:t>
            </m:r>
          </m:num>
          <m:den>
            <m:r>
              <w:rPr>
                <w:rFonts w:ascii="Cambria Math" w:eastAsiaTheme="minorEastAsia" w:hAnsi="Cambria Math" w:cs="Times New Roman"/>
                <w:sz w:val="20"/>
                <w:szCs w:val="20"/>
              </w:rPr>
              <m:t>1+</m:t>
            </m:r>
            <m:r>
              <w:rPr>
                <w:rFonts w:ascii="Cambria Math" w:eastAsiaTheme="minorEastAsia" w:hAnsi="Cambria Math" w:cs="Times New Roman"/>
                <w:sz w:val="20"/>
                <w:szCs w:val="20"/>
              </w:rPr>
              <m:t>h×S(τ)</m:t>
            </m:r>
          </m:den>
        </m:f>
      </m:oMath>
      <w:r w:rsidR="00000000" w:rsidRPr="001E6700">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represents the conversion of susceptible larvae into the parasitised class through oviposition by </w:t>
      </w:r>
      <w:r w:rsidR="0093149B" w:rsidRPr="009668D3">
        <w:rPr>
          <w:rFonts w:ascii="Times New Roman" w:hAnsi="Times New Roman" w:cs="Times New Roman"/>
          <w:sz w:val="20"/>
          <w:szCs w:val="20"/>
        </w:rPr>
        <w:t>parasitoid</w:t>
      </w:r>
      <w:r w:rsidR="00D24492" w:rsidRPr="009668D3">
        <w:rPr>
          <w:rFonts w:ascii="Times New Roman" w:hAnsi="Times New Roman" w:cs="Times New Roman"/>
          <w:sz w:val="20"/>
          <w:szCs w:val="20"/>
        </w:rPr>
        <w:t xml:space="preserve">, and thus forms the eco-epidemic core of the system. The second term, </w:t>
      </w:r>
      <m:oMath>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den>
        </m:f>
      </m:oMath>
      <w:r w:rsidR="00000000" w:rsidRPr="001E6700">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represents predation on parasitised larvae by generalist passerine birds in the same Holling type II form used for susceptible larvae, with total larval density </w:t>
      </w:r>
      <w:r w:rsidR="00000000" w:rsidRPr="001E6700">
        <w:rPr>
          <w:rFonts w:ascii="Times New Roman" w:hAnsi="Times New Roman" w:cs="Times New Roman"/>
          <w:sz w:val="20"/>
          <w:szCs w:val="20"/>
        </w:rPr>
        <w:t>(S+I)</w:t>
      </w:r>
      <w:r w:rsidR="00D24492" w:rsidRPr="009668D3">
        <w:rPr>
          <w:rFonts w:ascii="Times New Roman" w:hAnsi="Times New Roman" w:cs="Times New Roman"/>
          <w:sz w:val="20"/>
          <w:szCs w:val="20"/>
        </w:rPr>
        <w:t xml:space="preserve"> determining saturation. The final term,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+δ+</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ctrlPr>
              <w:rPr>
                <w:rFonts w:ascii="Cambria Math" w:hAnsi="Cambria Math" w:cs="Times New Roman"/>
                <w:i/>
                <w:sz w:val="20"/>
                <w:szCs w:val="20"/>
              </w:rPr>
            </m:ctrlPr>
          </m:e>
        </m:d>
        <m:r>
          <w:rPr>
            <w:rFonts w:ascii="Cambria Math" w:hAnsi="Cambria Math" w:cs="Times New Roman"/>
            <w:sz w:val="20"/>
            <w:szCs w:val="20"/>
          </w:rPr>
          <m:t>×I</m:t>
        </m:r>
        <m:r>
          <w:rPr>
            <w:rFonts w:ascii="Cambria Math" w:eastAsiaTheme="minorEastAsia" w:hAnsi="Cambria Math" w:cs="Times New Roman"/>
            <w:sz w:val="20"/>
            <w:szCs w:val="20"/>
          </w:rPr>
          <m:t>(τ)</m:t>
        </m:r>
      </m:oMath>
      <w:r w:rsidR="00D24492" w:rsidRPr="009668D3">
        <w:rPr>
          <w:rFonts w:ascii="Times New Roman" w:hAnsi="Times New Roman" w:cs="Times New Roman"/>
          <w:sz w:val="20"/>
          <w:szCs w:val="20"/>
        </w:rPr>
        <w:t>represents removal of parasitised larvae through background mortality, parasitoid emergence, and external intervention. Here,</w:t>
      </w:r>
      <w:r w:rsidR="003F1BE8"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oMath>
      <w:r w:rsidR="003F1BE8" w:rsidRPr="009668D3">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is the background mortality rate of parasitised larvae, which we assume to be at least slightly higher than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D24492" w:rsidRPr="009668D3">
        <w:rPr>
          <w:rFonts w:ascii="Times New Roman" w:hAnsi="Times New Roman" w:cs="Times New Roman"/>
          <w:sz w:val="20"/>
          <w:szCs w:val="20"/>
        </w:rPr>
        <w:t xml:space="preserve"> to reflect the additional physiological burden associated with parasitoid development within the host. The parameter δ denotes mortality due to </w:t>
      </w:r>
      <w:r w:rsidR="00677CC7" w:rsidRPr="009668D3">
        <w:rPr>
          <w:rFonts w:ascii="Times New Roman" w:hAnsi="Times New Roman" w:cs="Times New Roman"/>
          <w:sz w:val="20"/>
          <w:szCs w:val="20"/>
        </w:rPr>
        <w:t xml:space="preserve">the </w:t>
      </w:r>
      <w:r w:rsidR="00D24492" w:rsidRPr="009668D3">
        <w:rPr>
          <w:rFonts w:ascii="Times New Roman" w:hAnsi="Times New Roman" w:cs="Times New Roman"/>
          <w:sz w:val="20"/>
          <w:szCs w:val="20"/>
        </w:rPr>
        <w:t xml:space="preserve">emergence of the adult parasitoid from the host and therefore represents the delayed lethal effect of </w:t>
      </w:r>
      <w:r w:rsidR="004F245F">
        <w:rPr>
          <w:rFonts w:ascii="Times New Roman" w:hAnsi="Times New Roman" w:cs="Times New Roman"/>
          <w:sz w:val="20"/>
          <w:szCs w:val="20"/>
        </w:rPr>
        <w:t>parasitoidism</w:t>
      </w:r>
      <w:r w:rsidR="00D24492" w:rsidRPr="009668D3">
        <w:rPr>
          <w:rFonts w:ascii="Times New Roman" w:hAnsi="Times New Roman" w:cs="Times New Roman"/>
          <w:sz w:val="20"/>
          <w:szCs w:val="20"/>
        </w:rPr>
        <w:t xml:space="preserve">; its value is linked to reported tachinid developmental timing and host emergence intervals </w:t>
      </w:r>
      <w:r w:rsidR="00CB3732" w:rsidRPr="009668D3">
        <w:rPr>
          <w:rFonts w:ascii="Times New Roman" w:hAnsi="Times New Roman" w:cs="Times New Roman"/>
          <w:sz w:val="20"/>
          <w:szCs w:val="20"/>
        </w:rPr>
        <w:t>(Hawkins, 1994; Stireman et al., 2006)</w:t>
      </w:r>
      <w:r w:rsidR="00D24492" w:rsidRPr="009668D3">
        <w:rPr>
          <w:rFonts w:ascii="Times New Roman" w:hAnsi="Times New Roman" w:cs="Times New Roman"/>
          <w:sz w:val="20"/>
          <w:szCs w:val="20"/>
        </w:rPr>
        <w:t>.</w:t>
      </w:r>
    </w:p>
    <w:p w14:paraId="050B9A22" w14:textId="3BFEADE7" w:rsidR="00C41802" w:rsidRPr="009668D3" w:rsidRDefault="00000000"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m:t>
        </m:r>
        <m:r>
          <w:rPr>
            <w:rFonts w:ascii="Cambria Math" w:hAnsi="Cambria Math" w:cs="Times New Roman"/>
            <w:sz w:val="20"/>
            <w:szCs w:val="20"/>
          </w:rPr>
          <m:t>η</m:t>
        </m:r>
        <m:r>
          <w:rPr>
            <w:rFonts w:ascii="Cambria Math" w:eastAsiaTheme="minorEastAsia" w:hAnsi="Cambria Math" w:cs="Times New Roman"/>
            <w:sz w:val="20"/>
            <w:szCs w:val="20"/>
          </w:rPr>
          <m:t>×</m:t>
        </m:r>
        <m:r>
          <w:rPr>
            <w:rFonts w:ascii="Cambria Math" w:hAnsi="Cambria Math" w:cs="Times New Roman"/>
            <w:sz w:val="20"/>
            <w:szCs w:val="20"/>
          </w:rPr>
          <m:t>δ</m:t>
        </m:r>
        <m:r>
          <w:rPr>
            <w:rFonts w:ascii="Cambria Math" w:eastAsiaTheme="minorEastAsia" w:hAnsi="Cambria Math" w:cs="Times New Roman"/>
            <w:sz w:val="20"/>
            <w:szCs w:val="20"/>
          </w:rPr>
          <m:t>×</m:t>
        </m:r>
        <m:r>
          <w:rPr>
            <w:rFonts w:ascii="Cambria Math"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µ</m:t>
            </m:r>
          </m:e>
          <m:sub>
            <m:r>
              <w:rPr>
                <w:rFonts w:ascii="Cambria Math" w:eastAsiaTheme="minorEastAsia" w:hAnsi="Cambria Math" w:cs="Times New Roman"/>
                <w:sz w:val="20"/>
                <w:szCs w:val="20"/>
              </w:rPr>
              <m:t>F</m:t>
            </m:r>
          </m:sub>
        </m:sSub>
        <m:r>
          <w:rPr>
            <w:rFonts w:ascii="Cambria Math" w:eastAsiaTheme="minorEastAsia" w:hAnsi="Cambria Math" w:cs="Times New Roman"/>
            <w:sz w:val="20"/>
            <w:szCs w:val="20"/>
          </w:rPr>
          <m:t>×</m:t>
        </m:r>
        <m:r>
          <w:rPr>
            <w:rFonts w:ascii="Cambria Math"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F</m:t>
        </m:r>
        <m:r>
          <w:rPr>
            <w:rFonts w:ascii="Cambria Math" w:eastAsiaTheme="minorEastAsia" w:hAnsi="Cambria Math" w:cs="Times New Roman"/>
            <w:sz w:val="20"/>
            <w:szCs w:val="20"/>
          </w:rPr>
          <m:t>(</m:t>
        </m:r>
        <m:r>
          <w:rPr>
            <w:rFonts w:ascii="Cambria Math" w:eastAsiaTheme="minorEastAsia" w:hAnsi="Cambria Math" w:cs="Times New Roman"/>
            <w:sz w:val="20"/>
            <w:szCs w:val="20"/>
          </w:rPr>
          <m:t>T</m:t>
        </m:r>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t</m:t>
            </m:r>
          </m:sub>
        </m:sSub>
      </m:oMath>
      <w:r w:rsidR="00C41802" w:rsidRPr="009668D3">
        <w:rPr>
          <w:rFonts w:ascii="Times New Roman" w:hAnsi="Times New Roman" w:cs="Times New Roman"/>
          <w:sz w:val="20"/>
          <w:szCs w:val="20"/>
        </w:rPr>
        <w:t>... Equation 3</w:t>
      </w:r>
    </w:p>
    <w:p w14:paraId="0DFBCAEC" w14:textId="36E9762E" w:rsidR="00C41802" w:rsidRPr="009668D3" w:rsidRDefault="00000000"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oMath>
      <w:r w:rsidR="00C41802" w:rsidRPr="009668D3">
        <w:rPr>
          <w:rFonts w:ascii="Times New Roman" w:hAnsi="Times New Roman" w:cs="Times New Roman"/>
          <w:sz w:val="20"/>
          <w:szCs w:val="20"/>
        </w:rPr>
        <w:t xml:space="preserve"> is the rate of change in </w:t>
      </w:r>
      <w:r w:rsidR="0093149B" w:rsidRPr="009668D3">
        <w:rPr>
          <w:rFonts w:ascii="Times New Roman" w:hAnsi="Times New Roman" w:cs="Times New Roman"/>
          <w:sz w:val="20"/>
          <w:szCs w:val="20"/>
        </w:rPr>
        <w:t xml:space="preserve">the </w:t>
      </w:r>
      <w:r w:rsidR="00C41802" w:rsidRPr="009668D3">
        <w:rPr>
          <w:rFonts w:ascii="Times New Roman" w:hAnsi="Times New Roman" w:cs="Times New Roman"/>
          <w:sz w:val="20"/>
          <w:szCs w:val="20"/>
        </w:rPr>
        <w:t xml:space="preserve">population density of </w:t>
      </w:r>
      <w:r w:rsidR="0093149B" w:rsidRPr="009668D3">
        <w:rPr>
          <w:rFonts w:ascii="Times New Roman" w:hAnsi="Times New Roman" w:cs="Times New Roman"/>
          <w:sz w:val="20"/>
          <w:szCs w:val="20"/>
        </w:rPr>
        <w:t xml:space="preserve">the </w:t>
      </w:r>
      <w:r w:rsidR="00C41802" w:rsidRPr="009668D3">
        <w:rPr>
          <w:rFonts w:ascii="Times New Roman" w:hAnsi="Times New Roman" w:cs="Times New Roman"/>
          <w:sz w:val="20"/>
          <w:szCs w:val="20"/>
        </w:rPr>
        <w:t>parasitoid</w:t>
      </w:r>
      <w:r w:rsidR="00BD67A8" w:rsidRPr="009668D3">
        <w:rPr>
          <w:rFonts w:ascii="Times New Roman" w:hAnsi="Times New Roman" w:cs="Times New Roman"/>
          <w:sz w:val="20"/>
          <w:szCs w:val="20"/>
        </w:rPr>
        <w:t xml:space="preserve">. Here </w:t>
      </w:r>
      <m:oMath>
        <m:r>
          <w:rPr>
            <w:rFonts w:ascii="Cambria Math" w:hAnsi="Cambria Math" w:cs="Times New Roman"/>
            <w:sz w:val="20"/>
            <w:szCs w:val="20"/>
          </w:rPr>
          <m:t>η</m:t>
        </m:r>
        <m:r>
          <w:rPr>
            <w:rFonts w:ascii="Cambria Math" w:eastAsiaTheme="minorEastAsia" w:hAnsi="Cambria Math" w:cs="Times New Roman"/>
            <w:sz w:val="20"/>
            <w:szCs w:val="20"/>
          </w:rPr>
          <m:t>×</m:t>
        </m:r>
        <m:r>
          <w:rPr>
            <w:rFonts w:ascii="Cambria Math" w:hAnsi="Cambria Math" w:cs="Times New Roman"/>
            <w:sz w:val="20"/>
            <w:szCs w:val="20"/>
          </w:rPr>
          <m:t>δ</m:t>
        </m:r>
        <m:r>
          <w:rPr>
            <w:rFonts w:ascii="Cambria Math" w:eastAsiaTheme="minorEastAsia" w:hAnsi="Cambria Math" w:cs="Times New Roman"/>
            <w:sz w:val="20"/>
            <w:szCs w:val="20"/>
          </w:rPr>
          <m:t>×</m:t>
        </m:r>
        <m:r>
          <w:rPr>
            <w:rFonts w:ascii="Cambria Math" w:hAnsi="Cambria Math" w:cs="Times New Roman"/>
            <w:sz w:val="20"/>
            <w:szCs w:val="20"/>
          </w:rPr>
          <m:t>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BD67A8" w:rsidRPr="009668D3">
        <w:rPr>
          <w:rFonts w:ascii="Times New Roman" w:hAnsi="Times New Roman" w:cs="Times New Roman"/>
          <w:sz w:val="20"/>
          <w:szCs w:val="20"/>
        </w:rPr>
        <w:t xml:space="preserve"> represents the recruitment of new adult parasitoids: each parasitised larva that undergoes parasitoid-induced death (at rate δ) yields η new adult flies, where η is mathematically the conversion efficiency. For the solitary endoparasitoid, η ≤ 1 (one parasitoid per host); η &lt; 1 accounts for parasitoid mortality during development within the host. The second term is </w:t>
      </w:r>
      <w:r w:rsidR="00677CC7" w:rsidRPr="009668D3">
        <w:rPr>
          <w:rFonts w:ascii="Times New Roman" w:hAnsi="Times New Roman" w:cs="Times New Roman"/>
          <w:sz w:val="20"/>
          <w:szCs w:val="20"/>
        </w:rPr>
        <w:t xml:space="preserve">the </w:t>
      </w:r>
      <w:r w:rsidR="00BD67A8" w:rsidRPr="009668D3">
        <w:rPr>
          <w:rFonts w:ascii="Times New Roman" w:hAnsi="Times New Roman" w:cs="Times New Roman"/>
          <w:sz w:val="20"/>
          <w:szCs w:val="20"/>
        </w:rPr>
        <w:t>natural mortality of adult parasitoid flies. The third term is the parasitoid augmentation control</w:t>
      </w:r>
      <w:r w:rsidR="00677CC7" w:rsidRPr="009668D3">
        <w:rPr>
          <w:rFonts w:ascii="Times New Roman" w:hAnsi="Times New Roman" w:cs="Times New Roman"/>
          <w:sz w:val="20"/>
          <w:szCs w:val="20"/>
        </w:rPr>
        <w:t>, where</w:t>
      </w:r>
      <w:r w:rsidR="00BD67A8"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τ</m:t>
                </m:r>
              </m:e>
            </m:d>
          </m:sub>
        </m:sSub>
        <m:r>
          <w:rPr>
            <w:rFonts w:ascii="Cambria Math" w:hAnsi="Cambria Math" w:cs="Times New Roman"/>
            <w:sz w:val="20"/>
            <w:szCs w:val="20"/>
          </w:rPr>
          <m:t>,</m:t>
        </m:r>
      </m:oMath>
      <w:r w:rsidR="00BD67A8" w:rsidRPr="009668D3">
        <w:rPr>
          <w:rFonts w:ascii="Times New Roman" w:hAnsi="Times New Roman" w:cs="Times New Roman"/>
          <w:sz w:val="20"/>
          <w:szCs w:val="20"/>
        </w:rPr>
        <w:t xml:space="preserve"> representing management actions that increase parasitoid density (e.g., </w:t>
      </w:r>
      <w:r w:rsidR="00677CC7" w:rsidRPr="009668D3">
        <w:rPr>
          <w:rFonts w:ascii="Times New Roman" w:hAnsi="Times New Roman" w:cs="Times New Roman"/>
          <w:sz w:val="20"/>
          <w:szCs w:val="20"/>
        </w:rPr>
        <w:t>intentional release of parasitoids in the forests</w:t>
      </w:r>
      <w:r w:rsidR="00BD67A8" w:rsidRPr="009668D3">
        <w:rPr>
          <w:rFonts w:ascii="Times New Roman" w:hAnsi="Times New Roman" w:cs="Times New Roman"/>
          <w:sz w:val="20"/>
          <w:szCs w:val="20"/>
        </w:rPr>
        <w:t>).</w:t>
      </w:r>
    </w:p>
    <w:p w14:paraId="4010F357" w14:textId="29F2D673" w:rsidR="00C41802" w:rsidRPr="009668D3" w:rsidRDefault="00000000"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m:t>
        </m:r>
        <m:r>
          <w:rPr>
            <w:rFonts w:ascii="Cambria Math" w:hAnsi="Cambria Math" w:cs="Times New Roman"/>
            <w:sz w:val="20"/>
            <w:szCs w:val="20"/>
          </w:rPr>
          <m:t>κ</m:t>
        </m:r>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r>
          <w:rPr>
            <w:rFonts w:ascii="Cambria Math" w:eastAsiaTheme="minorEastAsia"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 xml:space="preserve">=0, </m:t>
        </m:r>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00BD67A8" w:rsidRPr="009668D3">
        <w:rPr>
          <w:rFonts w:ascii="Times New Roman" w:hAnsi="Times New Roman" w:cs="Times New Roman"/>
          <w:sz w:val="20"/>
          <w:szCs w:val="20"/>
        </w:rPr>
        <w:t xml:space="preserve"> ... Equation 4</w:t>
      </w:r>
    </w:p>
    <w:p w14:paraId="6EA48935" w14:textId="26670354" w:rsidR="009668D3" w:rsidRDefault="00000000"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 xml:space="preserve"> </m:t>
        </m:r>
      </m:oMath>
      <w:r w:rsidR="00BD67A8" w:rsidRPr="009668D3">
        <w:rPr>
          <w:rFonts w:ascii="Times New Roman" w:hAnsi="Times New Roman" w:cs="Times New Roman"/>
          <w:sz w:val="20"/>
          <w:szCs w:val="20"/>
        </w:rPr>
        <w:t xml:space="preserve">represents </w:t>
      </w:r>
      <w:r w:rsidR="00677CC7" w:rsidRPr="009668D3">
        <w:rPr>
          <w:rFonts w:ascii="Times New Roman" w:hAnsi="Times New Roman" w:cs="Times New Roman"/>
          <w:sz w:val="20"/>
          <w:szCs w:val="20"/>
        </w:rPr>
        <w:t xml:space="preserve">the </w:t>
      </w:r>
      <w:r w:rsidR="00BD67A8" w:rsidRPr="009668D3">
        <w:rPr>
          <w:rFonts w:ascii="Times New Roman" w:hAnsi="Times New Roman" w:cs="Times New Roman"/>
          <w:sz w:val="20"/>
          <w:szCs w:val="20"/>
        </w:rPr>
        <w:t xml:space="preserve">accumulation of the total defoliation damage </w:t>
      </w:r>
      <m:oMath>
        <m:r>
          <w:rPr>
            <w:rFonts w:ascii="Cambria Math" w:eastAsiaTheme="minorEastAsia" w:hAnsi="Cambria Math" w:cs="Times New Roman"/>
            <w:sz w:val="20"/>
            <w:szCs w:val="20"/>
          </w:rPr>
          <m:t>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BD67A8" w:rsidRPr="001E6700">
        <w:rPr>
          <w:rFonts w:ascii="Times New Roman" w:eastAsiaTheme="minorEastAsia" w:hAnsi="Times New Roman" w:cs="Times New Roman"/>
          <w:sz w:val="20"/>
          <w:szCs w:val="20"/>
        </w:rPr>
        <w:t xml:space="preserve"> </w:t>
      </w:r>
      <w:r w:rsidR="006B4AE1" w:rsidRPr="001E6700">
        <w:rPr>
          <w:rFonts w:ascii="Times New Roman" w:eastAsiaTheme="minorEastAsia" w:hAnsi="Times New Roman" w:cs="Times New Roman"/>
          <w:sz w:val="20"/>
          <w:szCs w:val="20"/>
        </w:rPr>
        <w:t>as an index (</w:t>
      </w:r>
      <m:oMath>
        <m:r>
          <w:rPr>
            <w:rFonts w:ascii="Cambria Math" w:eastAsiaTheme="minorEastAsia" w:hAnsi="Cambria Math" w:cs="Times New Roman"/>
            <w:sz w:val="20"/>
            <w:szCs w:val="20"/>
          </w:rPr>
          <m:t>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∈[0,1</m:t>
        </m:r>
      </m:oMath>
      <w:r w:rsidR="00483705" w:rsidRPr="001E6700">
        <w:rPr>
          <w:rFonts w:ascii="Times New Roman" w:eastAsiaTheme="minorEastAsia" w:hAnsi="Times New Roman" w:cs="Times New Roman"/>
          <w:sz w:val="20"/>
          <w:szCs w:val="20"/>
        </w:rPr>
        <w:t>)</w:t>
      </w:r>
      <w:r w:rsidR="006B4AE1" w:rsidRPr="001E6700">
        <w:rPr>
          <w:rFonts w:ascii="Times New Roman" w:eastAsiaTheme="minorEastAsia" w:hAnsi="Times New Roman" w:cs="Times New Roman"/>
          <w:sz w:val="20"/>
          <w:szCs w:val="20"/>
        </w:rPr>
        <w:t>)</w:t>
      </w:r>
      <w:r w:rsidR="00483705" w:rsidRPr="001E6700">
        <w:rPr>
          <w:rFonts w:ascii="Times New Roman" w:eastAsiaTheme="minorEastAsia" w:hAnsi="Times New Roman" w:cs="Times New Roman"/>
          <w:sz w:val="20"/>
          <w:szCs w:val="20"/>
        </w:rPr>
        <w:t xml:space="preserve"> </w:t>
      </w:r>
      <w:r w:rsidR="00483705" w:rsidRPr="009668D3">
        <w:rPr>
          <w:rFonts w:ascii="Times New Roman" w:hAnsi="Times New Roman" w:cs="Times New Roman"/>
          <w:sz w:val="20"/>
          <w:szCs w:val="20"/>
        </w:rPr>
        <w:t xml:space="preserve"> </w:t>
      </w:r>
      <w:r w:rsidR="00BD67A8" w:rsidRPr="009668D3">
        <w:rPr>
          <w:rFonts w:ascii="Times New Roman" w:hAnsi="Times New Roman" w:cs="Times New Roman"/>
          <w:sz w:val="20"/>
          <w:szCs w:val="20"/>
        </w:rPr>
        <w:t xml:space="preserve">inflicted by both susceptible and parasitised larvae over the season. The parameter </w:t>
      </w:r>
      <m:oMath>
        <m:r>
          <w:rPr>
            <w:rFonts w:ascii="Cambria Math" w:eastAsiaTheme="minorEastAsia" w:hAnsi="Cambria Math" w:cs="Times New Roman"/>
            <w:sz w:val="20"/>
            <w:szCs w:val="20"/>
          </w:rPr>
          <m:t>κ</m:t>
        </m:r>
      </m:oMath>
      <w:r w:rsidR="00BD67A8" w:rsidRPr="009668D3">
        <w:rPr>
          <w:rFonts w:ascii="Times New Roman" w:hAnsi="Times New Roman" w:cs="Times New Roman"/>
          <w:sz w:val="20"/>
          <w:szCs w:val="20"/>
        </w:rPr>
        <w:t xml:space="preserve"> converts larval density into a fractional defoliation rate.</w:t>
      </w:r>
      <w:r w:rsidR="00FD02E6" w:rsidRPr="009668D3">
        <w:rPr>
          <w:rFonts w:ascii="Times New Roman" w:hAnsi="Times New Roman" w:cs="Times New Roman"/>
          <w:sz w:val="20"/>
          <w:szCs w:val="20"/>
        </w:rPr>
        <w:t xml:space="preserve"> </w:t>
      </w:r>
      <w:r w:rsidR="00B25A2B" w:rsidRPr="001E6700">
        <w:rPr>
          <w:rFonts w:ascii="Times New Roman" w:eastAsiaTheme="minorEastAsia" w:hAnsi="Times New Roman" w:cs="Times New Roman"/>
          <w:sz w:val="20"/>
          <w:szCs w:val="20"/>
        </w:rPr>
        <w:t xml:space="preserve">The per-capita defoliation rate κ is taken as independent of larval density because </w:t>
      </w:r>
      <w:r w:rsidR="00B25A2B" w:rsidRPr="001E6700">
        <w:rPr>
          <w:rFonts w:ascii="Times New Roman" w:eastAsiaTheme="minorEastAsia" w:hAnsi="Times New Roman" w:cs="Times New Roman"/>
          <w:i/>
          <w:iCs/>
          <w:sz w:val="20"/>
          <w:szCs w:val="20"/>
        </w:rPr>
        <w:t>A. alni</w:t>
      </w:r>
      <w:r w:rsidR="00B25A2B" w:rsidRPr="001E6700">
        <w:rPr>
          <w:rFonts w:ascii="Times New Roman" w:eastAsiaTheme="minorEastAsia" w:hAnsi="Times New Roman" w:cs="Times New Roman"/>
          <w:sz w:val="20"/>
          <w:szCs w:val="20"/>
        </w:rPr>
        <w:t xml:space="preserve"> larvae are sedentary leaf feeders whose individual consumption is energy- and gut-limited rather than encounter-limited, and the empirical stand-scale defoliation–growth relationship reported for broadleaf trees is linear (Ferretti et al., 2021; Sivrikaya et al., 2020), with resource-limitation feedback captured at the annual scale via Equation 8.</w:t>
      </w:r>
      <w:r w:rsidR="00BD67A8" w:rsidRPr="001E6700">
        <w:rPr>
          <w:rFonts w:ascii="Times New Roman" w:eastAsiaTheme="minorEastAsia" w:hAnsi="Times New Roman" w:cs="Times New Roman"/>
          <w:sz w:val="20"/>
          <w:szCs w:val="20"/>
        </w:rPr>
        <w:t xml:space="preserve"> </w:t>
      </w:r>
      <w:r w:rsidR="00BD67A8" w:rsidRPr="009668D3">
        <w:rPr>
          <w:rFonts w:ascii="Times New Roman" w:hAnsi="Times New Roman" w:cs="Times New Roman"/>
          <w:sz w:val="20"/>
          <w:szCs w:val="20"/>
        </w:rPr>
        <w:t>Ecologically</w:t>
      </w:r>
      <w:r w:rsidR="00677CC7" w:rsidRPr="009668D3">
        <w:rPr>
          <w:rFonts w:ascii="Times New Roman" w:hAnsi="Times New Roman" w:cs="Times New Roman"/>
          <w:sz w:val="20"/>
          <w:szCs w:val="20"/>
        </w:rPr>
        <w:t xml:space="preserve">, it represents the foraging rate of larvae on the </w:t>
      </w:r>
      <w:r w:rsidR="00BD67A8" w:rsidRPr="009668D3">
        <w:rPr>
          <w:rFonts w:ascii="Times New Roman" w:hAnsi="Times New Roman" w:cs="Times New Roman"/>
          <w:sz w:val="20"/>
          <w:szCs w:val="20"/>
        </w:rPr>
        <w:t xml:space="preserve">leaves of Black Adler. The terminal value </w:t>
      </w:r>
      <m:oMath>
        <m:r>
          <w:rPr>
            <w:rFonts w:ascii="Cambria Math" w:eastAsiaTheme="minorEastAsia" w:hAnsi="Cambria Math" w:cs="Times New Roman"/>
            <w:sz w:val="20"/>
            <w:szCs w:val="20"/>
          </w:rPr>
          <m:t>D</m:t>
        </m:r>
        <m:r>
          <w:rPr>
            <w:rFonts w:ascii="Cambria Math" w:eastAsiaTheme="minorEastAsia" w:hAnsi="Cambria Math" w:cs="Times New Roman"/>
            <w:sz w:val="20"/>
            <w:szCs w:val="20"/>
          </w:rPr>
          <m:t>(</m:t>
        </m:r>
        <m:r>
          <w:rPr>
            <w:rFonts w:ascii="Cambria Math" w:eastAsiaTheme="minorEastAsia" w:hAnsi="Cambria Math" w:cs="Times New Roman"/>
            <w:sz w:val="20"/>
            <w:szCs w:val="20"/>
          </w:rPr>
          <m:t>T</m:t>
        </m:r>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t</m:t>
            </m:r>
          </m:sub>
        </m:sSub>
      </m:oMath>
      <w:r w:rsidR="00BD67A8" w:rsidRPr="009668D3">
        <w:rPr>
          <w:rFonts w:ascii="Times New Roman" w:hAnsi="Times New Roman" w:cs="Times New Roman"/>
          <w:sz w:val="20"/>
          <w:szCs w:val="20"/>
        </w:rPr>
        <w:t xml:space="preserve"> </w:t>
      </w:r>
      <w:r w:rsidR="00CB45E5" w:rsidRPr="009668D3">
        <w:rPr>
          <w:rFonts w:ascii="Times New Roman" w:hAnsi="Times New Roman" w:cs="Times New Roman"/>
          <w:sz w:val="20"/>
          <w:szCs w:val="20"/>
        </w:rPr>
        <w:t xml:space="preserve">represents the end of season defoliation and </w:t>
      </w:r>
      <w:r w:rsidR="00BD67A8" w:rsidRPr="009668D3">
        <w:rPr>
          <w:rFonts w:ascii="Times New Roman" w:hAnsi="Times New Roman" w:cs="Times New Roman"/>
          <w:sz w:val="20"/>
          <w:szCs w:val="20"/>
        </w:rPr>
        <w:t>is passed to Module 2</w:t>
      </w:r>
      <w:r w:rsidR="00677CC7" w:rsidRPr="009668D3">
        <w:rPr>
          <w:rFonts w:ascii="Times New Roman" w:hAnsi="Times New Roman" w:cs="Times New Roman"/>
          <w:sz w:val="20"/>
          <w:szCs w:val="20"/>
        </w:rPr>
        <w:t xml:space="preserve">, which determines the reduction in carrying capacity of the </w:t>
      </w:r>
      <w:r w:rsidR="00BD67A8" w:rsidRPr="009668D3">
        <w:rPr>
          <w:rFonts w:ascii="Times New Roman" w:hAnsi="Times New Roman" w:cs="Times New Roman"/>
          <w:sz w:val="20"/>
          <w:szCs w:val="20"/>
        </w:rPr>
        <w:t>beetle for the following year</w:t>
      </w:r>
    </w:p>
    <w:p w14:paraId="4B47C07A" w14:textId="3D728D53" w:rsidR="00643ED9" w:rsidRPr="009668D3" w:rsidRDefault="00643ED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Module 2</w:t>
      </w:r>
      <w:r w:rsidR="00BD67A8" w:rsidRPr="009668D3">
        <w:rPr>
          <w:rFonts w:ascii="Times New Roman" w:hAnsi="Times New Roman" w:cs="Times New Roman"/>
          <w:sz w:val="20"/>
          <w:szCs w:val="20"/>
        </w:rPr>
        <w:t xml:space="preserve">: We model the temporal map of the annual recurrence that links successive within-season modules in this second module. It updates beetle recruitment, parasitoid carryover, and the implicit alder carrying capacity. The key ecological process captured here is the resilience mechanism: the deciduous </w:t>
      </w:r>
      <w:r w:rsidR="00BD67A8" w:rsidRPr="009668D3">
        <w:rPr>
          <w:rFonts w:ascii="Times New Roman" w:hAnsi="Times New Roman" w:cs="Times New Roman"/>
          <w:i/>
          <w:sz w:val="20"/>
          <w:szCs w:val="20"/>
        </w:rPr>
        <w:t>Alnus glutinosa</w:t>
      </w:r>
      <w:r w:rsidR="00BD67A8" w:rsidRPr="009668D3">
        <w:rPr>
          <w:rFonts w:ascii="Times New Roman" w:hAnsi="Times New Roman" w:cs="Times New Roman"/>
          <w:sz w:val="20"/>
          <w:szCs w:val="20"/>
        </w:rPr>
        <w:t xml:space="preserve"> regenerates its entire canopy each spring from new foliage, restoring the carrying capacity for beetle larvae</w:t>
      </w:r>
      <w:r w:rsidR="00CB3732" w:rsidRPr="009668D3">
        <w:rPr>
          <w:rFonts w:ascii="Times New Roman" w:hAnsi="Times New Roman" w:cs="Times New Roman"/>
          <w:sz w:val="20"/>
          <w:szCs w:val="20"/>
        </w:rPr>
        <w:t xml:space="preserve">, </w:t>
      </w:r>
      <w:r w:rsidR="00BD67A8" w:rsidRPr="009668D3">
        <w:rPr>
          <w:rFonts w:ascii="Times New Roman" w:hAnsi="Times New Roman" w:cs="Times New Roman"/>
          <w:sz w:val="20"/>
          <w:szCs w:val="20"/>
        </w:rPr>
        <w:t>but only to the extent permitted by the tree's vigour, which is penalised by cumulative defoliation damage from the previous season.</w:t>
      </w:r>
      <w:r w:rsidRPr="009668D3">
        <w:rPr>
          <w:rFonts w:ascii="Times New Roman" w:hAnsi="Times New Roman" w:cs="Times New Roman"/>
          <w:sz w:val="20"/>
          <w:szCs w:val="20"/>
        </w:rPr>
        <w:t xml:space="preserve"> </w:t>
      </w:r>
      <w:r w:rsidR="007E0084" w:rsidRPr="009668D3">
        <w:rPr>
          <w:rFonts w:ascii="Times New Roman" w:hAnsi="Times New Roman" w:cs="Times New Roman"/>
          <w:sz w:val="20"/>
          <w:szCs w:val="20"/>
        </w:rPr>
        <w:t xml:space="preserve">This module consists of 5 </w:t>
      </w:r>
      <w:r w:rsidR="009A31EC" w:rsidRPr="009668D3">
        <w:rPr>
          <w:rFonts w:ascii="Times New Roman" w:hAnsi="Times New Roman" w:cs="Times New Roman"/>
          <w:sz w:val="20"/>
          <w:szCs w:val="20"/>
        </w:rPr>
        <w:t xml:space="preserve">main </w:t>
      </w:r>
      <w:r w:rsidR="007E0084" w:rsidRPr="009668D3">
        <w:rPr>
          <w:rFonts w:ascii="Times New Roman" w:hAnsi="Times New Roman" w:cs="Times New Roman"/>
          <w:sz w:val="20"/>
          <w:szCs w:val="20"/>
        </w:rPr>
        <w:t>equations</w:t>
      </w:r>
      <w:r w:rsidR="009A31EC" w:rsidRPr="009668D3">
        <w:rPr>
          <w:rFonts w:ascii="Times New Roman" w:hAnsi="Times New Roman" w:cs="Times New Roman"/>
          <w:sz w:val="20"/>
          <w:szCs w:val="20"/>
        </w:rPr>
        <w:t xml:space="preserve"> and 2 additional equations for optimal control and threshold identification for regime shift during stability analyses</w:t>
      </w:r>
      <w:r w:rsidR="007E0084" w:rsidRPr="009668D3">
        <w:rPr>
          <w:rFonts w:ascii="Times New Roman" w:hAnsi="Times New Roman" w:cs="Times New Roman"/>
          <w:sz w:val="20"/>
          <w:szCs w:val="20"/>
        </w:rPr>
        <w:t>.</w:t>
      </w:r>
    </w:p>
    <w:p w14:paraId="26A9EDC4" w14:textId="5C44F40E" w:rsidR="007E0084" w:rsidRPr="009668D3" w:rsidRDefault="00420E5B" w:rsidP="002D21BC">
      <w:pPr>
        <w:spacing w:line="240" w:lineRule="auto"/>
        <w:jc w:val="both"/>
        <w:rPr>
          <w:rFonts w:ascii="Times New Roman" w:hAnsi="Times New Roman" w:cs="Times New Roman"/>
          <w:sz w:val="20"/>
          <w:szCs w:val="20"/>
        </w:rPr>
      </w:pP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sSub>
              <m:sSubPr>
                <m:ctrlPr>
                  <w:rPr>
                    <w:rFonts w:ascii="Cambria Math" w:hAnsi="Cambria Math" w:cs="Times New Roman"/>
                    <w:i/>
                    <w:sz w:val="20"/>
                    <w:szCs w:val="20"/>
                  </w:rPr>
                </m:ctrlPr>
              </m:sSubPr>
              <m:e>
                <m:r>
                  <w:rPr>
                    <w:rFonts w:ascii="Cambria Math" w:hAnsi="Cambria Math" w:cs="Times New Roman"/>
                    <w:sz w:val="20"/>
                    <w:szCs w:val="20"/>
                  </w:rPr>
                  <m:t xml:space="preserve">× </m:t>
                </m:r>
                <m:r>
                  <w:rPr>
                    <w:rFonts w:ascii="Cambria Math" w:hAnsi="Cambria Math" w:cs="Times New Roman"/>
                    <w:sz w:val="20"/>
                    <w:szCs w:val="20"/>
                  </w:rPr>
                  <m:t>A</m:t>
                </m:r>
              </m:e>
              <m:sub>
                <m:r>
                  <w:rPr>
                    <w:rFonts w:ascii="Cambria Math" w:hAnsi="Cambria Math" w:cs="Times New Roman"/>
                    <w:sz w:val="20"/>
                    <w:szCs w:val="20"/>
                  </w:rPr>
                  <m:t>t</m:t>
                </m:r>
              </m:sub>
            </m:sSub>
          </m:num>
          <m:den>
            <m:r>
              <w:rPr>
                <w:rFonts w:ascii="Cambria Math" w:hAnsi="Cambria Math" w:cs="Times New Roman"/>
                <w:sz w:val="20"/>
                <w:szCs w:val="20"/>
              </w:rPr>
              <m:t>1+</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num>
              <m:den>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den>
            </m:f>
          </m:den>
        </m:f>
        <m:r>
          <w:rPr>
            <w:rFonts w:ascii="Cambria Math" w:hAnsi="Cambria Math" w:cs="Times New Roman"/>
            <w:sz w:val="20"/>
            <w:szCs w:val="20"/>
          </w:rPr>
          <m:t>, I</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=0, F</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oMath>
      <w:r w:rsidR="007E0084" w:rsidRPr="009668D3">
        <w:rPr>
          <w:rFonts w:ascii="Times New Roman" w:hAnsi="Times New Roman" w:cs="Times New Roman"/>
          <w:sz w:val="20"/>
          <w:szCs w:val="20"/>
        </w:rPr>
        <w:t>...Equation 5</w:t>
      </w:r>
    </w:p>
    <w:p w14:paraId="2F92B1CD" w14:textId="66EB3263" w:rsidR="007E0084" w:rsidRPr="009668D3" w:rsidRDefault="00EE3E2A" w:rsidP="002D21BC">
      <w:pPr>
        <w:spacing w:line="240" w:lineRule="auto"/>
        <w:jc w:val="both"/>
        <w:rPr>
          <w:rFonts w:ascii="Times New Roman" w:hAnsi="Times New Roman" w:cs="Times New Roman"/>
          <w:sz w:val="20"/>
          <w:szCs w:val="20"/>
        </w:rPr>
      </w:pP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oMath>
      <w:r w:rsidR="00F052EE" w:rsidRPr="001E6700">
        <w:rPr>
          <w:rFonts w:ascii="Times New Roman" w:eastAsiaTheme="minorEastAsia" w:hAnsi="Times New Roman" w:cs="Times New Roman"/>
          <w:sz w:val="20"/>
          <w:szCs w:val="20"/>
        </w:rPr>
        <w:t>,</w:t>
      </w:r>
      <w:r w:rsidRPr="001E6700">
        <w:rPr>
          <w:rFonts w:ascii="Times New Roman" w:eastAsiaTheme="minorEastAsia" w:hAnsi="Times New Roman" w:cs="Times New Roman"/>
          <w:sz w:val="20"/>
          <w:szCs w:val="20"/>
        </w:rPr>
        <w:t xml:space="preserve"> </w:t>
      </w:r>
      <w:r w:rsidR="00F052EE" w:rsidRPr="001E6700">
        <w:rPr>
          <w:rFonts w:ascii="Times New Roman" w:eastAsiaTheme="minorEastAsia" w:hAnsi="Times New Roman" w:cs="Times New Roman"/>
          <w:sz w:val="20"/>
          <w:szCs w:val="20"/>
        </w:rPr>
        <w:t>t</w:t>
      </w:r>
      <w:r w:rsidR="00677CC7" w:rsidRPr="001E6700">
        <w:rPr>
          <w:rFonts w:ascii="Times New Roman" w:eastAsiaTheme="minorEastAsia" w:hAnsi="Times New Roman" w:cs="Times New Roman"/>
          <w:sz w:val="20"/>
          <w:szCs w:val="20"/>
        </w:rPr>
        <w:t>he</w:t>
      </w:r>
      <w:r w:rsidR="007E0084" w:rsidRPr="009668D3">
        <w:rPr>
          <w:rFonts w:ascii="Times New Roman" w:hAnsi="Times New Roman" w:cs="Times New Roman"/>
          <w:sz w:val="20"/>
          <w:szCs w:val="20"/>
        </w:rPr>
        <w:t xml:space="preserve"> initial susceptible larval density at the start of each season is determined by </w:t>
      </w:r>
      <w:r w:rsidR="00677CC7" w:rsidRPr="009668D3">
        <w:rPr>
          <w:rFonts w:ascii="Times New Roman" w:hAnsi="Times New Roman" w:cs="Times New Roman"/>
          <w:sz w:val="20"/>
          <w:szCs w:val="20"/>
        </w:rPr>
        <w:t xml:space="preserve">the </w:t>
      </w:r>
      <w:r w:rsidR="007E0084" w:rsidRPr="009668D3">
        <w:rPr>
          <w:rFonts w:ascii="Times New Roman" w:hAnsi="Times New Roman" w:cs="Times New Roman"/>
          <w:sz w:val="20"/>
          <w:szCs w:val="20"/>
        </w:rPr>
        <w:t>Bever</w:t>
      </w:r>
      <w:r w:rsidR="003F1BE8" w:rsidRPr="009668D3">
        <w:rPr>
          <w:rFonts w:ascii="Times New Roman" w:hAnsi="Times New Roman" w:cs="Times New Roman"/>
          <w:sz w:val="20"/>
          <w:szCs w:val="20"/>
        </w:rPr>
        <w:t>t</w:t>
      </w:r>
      <w:r w:rsidR="007E0084" w:rsidRPr="009668D3">
        <w:rPr>
          <w:rFonts w:ascii="Times New Roman" w:hAnsi="Times New Roman" w:cs="Times New Roman"/>
          <w:sz w:val="20"/>
          <w:szCs w:val="20"/>
        </w:rPr>
        <w:t xml:space="preserve">on-Holt recruitment function (Beverton and Holt, 1957), which limits the recruiting </w:t>
      </w:r>
      <w:r w:rsidR="002A39E8" w:rsidRPr="001E6700">
        <w:rPr>
          <w:rFonts w:ascii="Times New Roman" w:eastAsiaTheme="minorEastAsia" w:hAnsi="Times New Roman" w:cs="Times New Roman"/>
          <w:sz w:val="20"/>
          <w:szCs w:val="20"/>
        </w:rPr>
        <w:t>cohorts</w:t>
      </w:r>
      <w:r w:rsidR="007E0084" w:rsidRPr="001E6700">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t</m:t>
            </m:r>
          </m:sub>
        </m:sSub>
      </m:oMath>
      <w:r w:rsidR="007E0084" w:rsidRPr="009668D3">
        <w:rPr>
          <w:rFonts w:ascii="Times New Roman" w:hAnsi="Times New Roman" w:cs="Times New Roman"/>
          <w:sz w:val="20"/>
          <w:szCs w:val="20"/>
        </w:rPr>
        <w:t xml:space="preserve"> to the current carrying capacity</w:t>
      </w:r>
      <w:r w:rsidRPr="009668D3">
        <w:rPr>
          <w:rFonts w:ascii="Times New Roman" w:hAnsi="Times New Roman" w:cs="Times New Roman"/>
          <w:sz w:val="20"/>
          <w:szCs w:val="20"/>
        </w:rPr>
        <w:t xml:space="preserve"> of beetles</w:t>
      </w:r>
      <w:r w:rsidR="007E0084" w:rsidRPr="009668D3">
        <w:rPr>
          <w:rFonts w:ascii="Times New Roman" w:hAnsi="Times New Roman" w:cs="Times New Roman"/>
          <w:sz w:val="20"/>
          <w:szCs w:val="20"/>
        </w:rPr>
        <w:t xml:space="preserve"> </w:t>
      </w:r>
      <w:r w:rsidR="00000000" w:rsidRPr="001E6700">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w:r w:rsidR="00000000" w:rsidRPr="001E6700">
        <w:rPr>
          <w:rFonts w:ascii="Times New Roman" w:hAnsi="Times New Roman" w:cs="Times New Roman"/>
          <w:sz w:val="20"/>
          <w:szCs w:val="20"/>
        </w:rPr>
        <w:t>)</w:t>
      </w:r>
      <w:r w:rsidR="007E0084" w:rsidRPr="009668D3">
        <w:rPr>
          <w:rFonts w:ascii="Times New Roman" w:hAnsi="Times New Roman" w:cs="Times New Roman"/>
          <w:sz w:val="20"/>
          <w:szCs w:val="20"/>
        </w:rPr>
        <w:t xml:space="preserve"> through density-dependent competition for foliag</w:t>
      </w:r>
      <w:r w:rsidR="00FF759C">
        <w:rPr>
          <w:rFonts w:ascii="Times New Roman" w:hAnsi="Times New Roman" w:cs="Times New Roman"/>
          <w:sz w:val="20"/>
          <w:szCs w:val="20"/>
        </w:rPr>
        <w:t>e.</w:t>
      </w:r>
      <w:r w:rsidR="00097FF7">
        <w:rPr>
          <w:rFonts w:ascii="Times New Roman" w:hAnsi="Times New Roman" w:cs="Times New Roman"/>
          <w:color w:val="0000FF"/>
          <w:sz w:val="20"/>
          <w:szCs w:val="20"/>
          <w:u w:val="single"/>
        </w:rPr>
        <w:t xml:space="preserve"> </w:t>
      </w:r>
      <w:r w:rsidR="00F052EE" w:rsidRPr="009668D3">
        <w:rPr>
          <w:rFonts w:ascii="Times New Roman" w:hAnsi="Times New Roman" w:cs="Times New Roman"/>
          <w:sz w:val="20"/>
          <w:szCs w:val="20"/>
        </w:rPr>
        <w:t xml:space="preserve">The Beverton–Holt form is adopted </w:t>
      </w:r>
      <w:r w:rsidR="00000000" w:rsidRPr="001E6700">
        <w:rPr>
          <w:rFonts w:ascii="Times New Roman" w:hAnsi="Times New Roman" w:cs="Times New Roman"/>
          <w:color w:val="0000FF"/>
          <w:sz w:val="20"/>
          <w:szCs w:val="20"/>
          <w:u w:val="single"/>
        </w:rPr>
        <w:t xml:space="preserve">as </w:t>
      </w:r>
      <w:r w:rsidR="00000000" w:rsidRPr="006A1945">
        <w:rPr>
          <w:rFonts w:ascii="Times New Roman" w:hAnsi="Times New Roman" w:cs="Times New Roman"/>
          <w:sz w:val="20"/>
          <w:szCs w:val="20"/>
        </w:rPr>
        <w:t>the baseline</w:t>
      </w:r>
      <w:r w:rsidR="00000000" w:rsidRPr="006A1945">
        <w:rPr>
          <w:rFonts w:ascii="Times New Roman" w:hAnsi="Times New Roman" w:cs="Times New Roman"/>
          <w:sz w:val="20"/>
          <w:szCs w:val="20"/>
          <w:u w:val="single"/>
        </w:rPr>
        <w:t xml:space="preserve"> </w:t>
      </w:r>
      <w:r w:rsidR="00F052EE" w:rsidRPr="009668D3">
        <w:rPr>
          <w:rFonts w:ascii="Times New Roman" w:hAnsi="Times New Roman" w:cs="Times New Roman"/>
          <w:sz w:val="20"/>
          <w:szCs w:val="20"/>
        </w:rPr>
        <w:t xml:space="preserve">because </w:t>
      </w:r>
      <w:r w:rsidR="00F052EE" w:rsidRPr="001E6700">
        <w:rPr>
          <w:rFonts w:ascii="Times New Roman" w:eastAsiaTheme="minorEastAsia" w:hAnsi="Times New Roman" w:cs="Times New Roman"/>
          <w:sz w:val="20"/>
          <w:szCs w:val="20"/>
        </w:rPr>
        <w:t>A. alni exhibits behavioural traits consistent with</w:t>
      </w:r>
      <w:r w:rsidR="00F052EE" w:rsidRPr="009668D3">
        <w:rPr>
          <w:rFonts w:ascii="Times New Roman" w:hAnsi="Times New Roman" w:cs="Times New Roman"/>
          <w:sz w:val="20"/>
          <w:szCs w:val="20"/>
        </w:rPr>
        <w:t xml:space="preserve"> compensatory</w:t>
      </w:r>
      <w:r w:rsidR="00F052EE" w:rsidRPr="001E6700">
        <w:rPr>
          <w:rFonts w:ascii="Times New Roman" w:eastAsiaTheme="minorEastAsia" w:hAnsi="Times New Roman" w:cs="Times New Roman"/>
          <w:sz w:val="20"/>
          <w:szCs w:val="20"/>
        </w:rPr>
        <w:t>, not overcompensatory,</w:t>
      </w:r>
      <w:r w:rsidR="00F052EE" w:rsidRPr="009668D3">
        <w:rPr>
          <w:rFonts w:ascii="Times New Roman" w:hAnsi="Times New Roman" w:cs="Times New Roman"/>
          <w:sz w:val="20"/>
          <w:szCs w:val="20"/>
        </w:rPr>
        <w:t xml:space="preserve"> density dependence</w:t>
      </w:r>
      <w:r w:rsidR="00F052EE" w:rsidRPr="001E6700">
        <w:rPr>
          <w:rFonts w:ascii="Times New Roman" w:eastAsiaTheme="minorEastAsia" w:hAnsi="Times New Roman" w:cs="Times New Roman"/>
          <w:sz w:val="20"/>
          <w:szCs w:val="20"/>
        </w:rPr>
        <w:t xml:space="preserve"> at </w:t>
      </w:r>
      <w:r w:rsidR="00F052EE" w:rsidRPr="009668D3">
        <w:rPr>
          <w:rFonts w:ascii="Times New Roman" w:hAnsi="Times New Roman" w:cs="Times New Roman"/>
          <w:sz w:val="20"/>
          <w:szCs w:val="20"/>
        </w:rPr>
        <w:t>stand scale</w:t>
      </w:r>
      <w:r w:rsidR="00F052EE" w:rsidRPr="001E6700">
        <w:rPr>
          <w:rFonts w:ascii="Times New Roman" w:eastAsiaTheme="minorEastAsia" w:hAnsi="Times New Roman" w:cs="Times New Roman"/>
          <w:sz w:val="20"/>
          <w:szCs w:val="20"/>
        </w:rPr>
        <w:t>: females distribute 200</w:t>
      </w:r>
      <w:r w:rsidR="00023591" w:rsidRPr="001E6700">
        <w:rPr>
          <w:rFonts w:ascii="Times New Roman" w:eastAsiaTheme="minorEastAsia" w:hAnsi="Times New Roman" w:cs="Times New Roman"/>
          <w:sz w:val="20"/>
          <w:szCs w:val="20"/>
        </w:rPr>
        <w:t>-</w:t>
      </w:r>
      <w:r w:rsidR="00F052EE" w:rsidRPr="001E6700">
        <w:rPr>
          <w:rFonts w:ascii="Times New Roman" w:eastAsiaTheme="minorEastAsia" w:hAnsi="Times New Roman" w:cs="Times New Roman"/>
          <w:sz w:val="20"/>
          <w:szCs w:val="20"/>
        </w:rPr>
        <w:t>400 eggs</w:t>
      </w:r>
      <w:r w:rsidR="00F052EE" w:rsidRPr="009668D3">
        <w:rPr>
          <w:rFonts w:ascii="Times New Roman" w:hAnsi="Times New Roman" w:cs="Times New Roman"/>
          <w:sz w:val="20"/>
          <w:szCs w:val="20"/>
        </w:rPr>
        <w:t xml:space="preserve"> across </w:t>
      </w:r>
      <w:r w:rsidR="00F052EE" w:rsidRPr="001E6700">
        <w:rPr>
          <w:rFonts w:ascii="Times New Roman" w:eastAsiaTheme="minorEastAsia" w:hAnsi="Times New Roman" w:cs="Times New Roman"/>
          <w:sz w:val="20"/>
          <w:szCs w:val="20"/>
        </w:rPr>
        <w:t>multiple oviposition sites in clusters of 60-70 (Sivrikaya et al., 2020); larval clustering is loose</w:t>
      </w:r>
      <w:r w:rsidR="00F052EE" w:rsidRPr="009668D3">
        <w:rPr>
          <w:rFonts w:ascii="Times New Roman" w:hAnsi="Times New Roman" w:cs="Times New Roman"/>
          <w:sz w:val="20"/>
          <w:szCs w:val="20"/>
        </w:rPr>
        <w:t xml:space="preserve"> rather than </w:t>
      </w:r>
      <w:r w:rsidR="00F052EE" w:rsidRPr="001E6700">
        <w:rPr>
          <w:rFonts w:ascii="Times New Roman" w:eastAsiaTheme="minorEastAsia" w:hAnsi="Times New Roman" w:cs="Times New Roman"/>
          <w:sz w:val="20"/>
          <w:szCs w:val="20"/>
        </w:rPr>
        <w:t xml:space="preserve">obligate, with alarm-pheromone-mediated dispersal of crowded larvae (Grégoire, 1988; Bünnige &amp; Hilker, 1999); and induced phytochemical resistance in defoliated trees redistributes herbivory to undamaged neighbours (Dolch &amp; Tscharntke, 2000), generating stand-scale contest rather than leaf-scale scramble. Density-dependent emigration in related chrysomelids (Herzig, 1995; Chapman et al., 2007) supports this interpretation more broadly, and empirical outbreak records for A. alni show multi-year episodes rather than the biennial cycles characteristic of overcompensatory Ricker dynamics. </w:t>
      </w:r>
      <w:r w:rsidR="006A1945">
        <w:rPr>
          <w:rFonts w:ascii="Times New Roman" w:eastAsiaTheme="minorEastAsia" w:hAnsi="Times New Roman" w:cs="Times New Roman"/>
          <w:sz w:val="20"/>
          <w:szCs w:val="20"/>
        </w:rPr>
        <w:t>Beverton–Holt, therefore,</w:t>
      </w:r>
      <w:r w:rsidR="00F052EE" w:rsidRPr="009668D3">
        <w:rPr>
          <w:rFonts w:ascii="Times New Roman" w:hAnsi="Times New Roman" w:cs="Times New Roman"/>
          <w:sz w:val="20"/>
          <w:szCs w:val="20"/>
        </w:rPr>
        <w:t xml:space="preserve"> </w:t>
      </w:r>
      <w:r w:rsidR="00F052EE" w:rsidRPr="001E6700">
        <w:rPr>
          <w:rFonts w:ascii="Times New Roman" w:eastAsiaTheme="minorEastAsia" w:hAnsi="Times New Roman" w:cs="Times New Roman"/>
          <w:sz w:val="20"/>
          <w:szCs w:val="20"/>
        </w:rPr>
        <w:t xml:space="preserve">also serves </w:t>
      </w:r>
      <w:r w:rsidR="00F052EE" w:rsidRPr="009668D3">
        <w:rPr>
          <w:rFonts w:ascii="Times New Roman" w:hAnsi="Times New Roman" w:cs="Times New Roman"/>
          <w:sz w:val="20"/>
          <w:szCs w:val="20"/>
        </w:rPr>
        <w:t xml:space="preserve">the </w:t>
      </w:r>
      <w:r w:rsidR="00F052EE" w:rsidRPr="001E6700">
        <w:rPr>
          <w:rFonts w:ascii="Times New Roman" w:eastAsiaTheme="minorEastAsia" w:hAnsi="Times New Roman" w:cs="Times New Roman"/>
          <w:sz w:val="20"/>
          <w:szCs w:val="20"/>
        </w:rPr>
        <w:t xml:space="preserve">methodological purpose of isolating instability arising from </w:t>
      </w:r>
      <w:r w:rsidR="00F052EE" w:rsidRPr="009668D3">
        <w:rPr>
          <w:rFonts w:ascii="Times New Roman" w:hAnsi="Times New Roman" w:cs="Times New Roman"/>
          <w:sz w:val="20"/>
          <w:szCs w:val="20"/>
        </w:rPr>
        <w:t xml:space="preserve">the </w:t>
      </w:r>
      <w:r w:rsidR="00F052EE" w:rsidRPr="001E6700">
        <w:rPr>
          <w:rFonts w:ascii="Times New Roman" w:eastAsiaTheme="minorEastAsia" w:hAnsi="Times New Roman" w:cs="Times New Roman"/>
          <w:sz w:val="20"/>
          <w:szCs w:val="20"/>
        </w:rPr>
        <w:t>tri-trophic interaction from any instability intrinsic to the recruitment function; the Ricker</w:t>
      </w:r>
      <w:r w:rsidR="00F052EE" w:rsidRPr="009668D3">
        <w:rPr>
          <w:rFonts w:ascii="Times New Roman" w:hAnsi="Times New Roman" w:cs="Times New Roman"/>
          <w:sz w:val="20"/>
          <w:szCs w:val="20"/>
        </w:rPr>
        <w:t xml:space="preserve"> alternative </w:t>
      </w:r>
      <w:r w:rsidR="00F052EE" w:rsidRPr="001E6700">
        <w:rPr>
          <w:rFonts w:ascii="Times New Roman" w:eastAsiaTheme="minorEastAsia" w:hAnsi="Times New Roman" w:cs="Times New Roman"/>
          <w:sz w:val="20"/>
          <w:szCs w:val="20"/>
        </w:rPr>
        <w:t xml:space="preserve">is retained as </w:t>
      </w:r>
      <w:r w:rsidR="00F052EE" w:rsidRPr="001E6700">
        <w:rPr>
          <w:rFonts w:ascii="Times New Roman" w:eastAsiaTheme="minorEastAsia" w:hAnsi="Times New Roman" w:cs="Times New Roman"/>
          <w:sz w:val="20"/>
          <w:szCs w:val="20"/>
        </w:rPr>
        <w:lastRenderedPageBreak/>
        <w:t xml:space="preserve">the </w:t>
      </w:r>
      <w:r w:rsidR="00F052EE" w:rsidRPr="009668D3">
        <w:rPr>
          <w:rFonts w:ascii="Times New Roman" w:hAnsi="Times New Roman" w:cs="Times New Roman"/>
          <w:sz w:val="20"/>
          <w:szCs w:val="20"/>
        </w:rPr>
        <w:t>structural</w:t>
      </w:r>
      <w:r w:rsidR="00F052EE" w:rsidRPr="001E6700">
        <w:rPr>
          <w:rFonts w:ascii="Times New Roman" w:eastAsiaTheme="minorEastAsia" w:hAnsi="Times New Roman" w:cs="Times New Roman"/>
          <w:sz w:val="20"/>
          <w:szCs w:val="20"/>
        </w:rPr>
        <w:t>-</w:t>
      </w:r>
      <w:r w:rsidR="00F052EE" w:rsidRPr="009668D3">
        <w:rPr>
          <w:rFonts w:ascii="Times New Roman" w:hAnsi="Times New Roman" w:cs="Times New Roman"/>
          <w:sz w:val="20"/>
          <w:szCs w:val="20"/>
        </w:rPr>
        <w:t xml:space="preserve">robustness </w:t>
      </w:r>
      <w:r w:rsidR="00F052EE" w:rsidRPr="001E6700">
        <w:rPr>
          <w:rFonts w:ascii="Times New Roman" w:eastAsiaTheme="minorEastAsia" w:hAnsi="Times New Roman" w:cs="Times New Roman"/>
          <w:sz w:val="20"/>
          <w:szCs w:val="20"/>
        </w:rPr>
        <w:t>control</w:t>
      </w:r>
      <w:r w:rsidR="00F052EE" w:rsidRPr="009668D3">
        <w:rPr>
          <w:rFonts w:ascii="Times New Roman" w:hAnsi="Times New Roman" w:cs="Times New Roman"/>
          <w:sz w:val="20"/>
          <w:szCs w:val="20"/>
        </w:rPr>
        <w:t xml:space="preserve"> in </w:t>
      </w:r>
      <w:r w:rsidR="00F052EE" w:rsidRPr="001E6700">
        <w:rPr>
          <w:rFonts w:ascii="Times New Roman" w:eastAsiaTheme="minorEastAsia" w:hAnsi="Times New Roman" w:cs="Times New Roman"/>
          <w:sz w:val="20"/>
          <w:szCs w:val="20"/>
        </w:rPr>
        <w:t>Step 10 of Annex.</w:t>
      </w:r>
      <w:r w:rsidR="007E0084" w:rsidRPr="001E670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Pr="001E6700">
        <w:rPr>
          <w:rFonts w:ascii="Times New Roman" w:eastAsiaTheme="minorEastAsia" w:hAnsi="Times New Roman" w:cs="Times New Roman"/>
          <w:sz w:val="20"/>
          <w:szCs w:val="20"/>
        </w:rPr>
        <w:t xml:space="preserve"> is here annual beetle reproduction rate calculated from its fecundity.</w:t>
      </w:r>
      <w:r w:rsidRPr="009668D3">
        <w:rPr>
          <w:rFonts w:ascii="Times New Roman" w:hAnsi="Times New Roman" w:cs="Times New Roman"/>
          <w:sz w:val="20"/>
          <w:szCs w:val="20"/>
        </w:rPr>
        <w:t xml:space="preserve"> </w:t>
      </w:r>
      <w:r w:rsidR="007E0084" w:rsidRPr="009668D3">
        <w:rPr>
          <w:rFonts w:ascii="Times New Roman" w:hAnsi="Times New Roman" w:cs="Times New Roman"/>
          <w:sz w:val="20"/>
          <w:szCs w:val="20"/>
        </w:rPr>
        <w:t xml:space="preserve">No parasitised larvae exist at season onset because parasitoid activity begins only when adult </w:t>
      </w:r>
      <w:r w:rsidR="007E0084" w:rsidRPr="009668D3">
        <w:rPr>
          <w:rFonts w:ascii="Times New Roman" w:hAnsi="Times New Roman" w:cs="Times New Roman"/>
          <w:i/>
          <w:sz w:val="20"/>
          <w:szCs w:val="20"/>
        </w:rPr>
        <w:t>M. mutabilis</w:t>
      </w:r>
      <w:r w:rsidR="007E0084" w:rsidRPr="009668D3">
        <w:rPr>
          <w:rFonts w:ascii="Times New Roman" w:hAnsi="Times New Roman" w:cs="Times New Roman"/>
          <w:sz w:val="20"/>
          <w:szCs w:val="20"/>
        </w:rPr>
        <w:t xml:space="preserve"> encounter susceptible host larvae within the season. The initial parasitoid density</w:t>
      </w:r>
      <w:r w:rsidR="00C8160C" w:rsidRPr="009668D3">
        <w:rPr>
          <w:rFonts w:ascii="Times New Roman" w:hAnsi="Times New Roman" w:cs="Times New Roman"/>
          <w:sz w:val="20"/>
          <w:szCs w:val="20"/>
        </w:rPr>
        <w:t xml:space="preserve"> </w:t>
      </w:r>
      <w:r w:rsidR="00C8160C" w:rsidRPr="001E6700">
        <w:rPr>
          <w:rFonts w:ascii="Times New Roman" w:eastAsiaTheme="minorEastAsia" w:hAnsi="Times New Roman" w:cs="Times New Roman"/>
          <w:sz w:val="20"/>
          <w:szCs w:val="20"/>
        </w:rPr>
        <w:t>(F(0))</w:t>
      </w:r>
      <w:r w:rsidR="007E0084" w:rsidRPr="001E6700">
        <w:rPr>
          <w:rFonts w:ascii="Times New Roman" w:eastAsiaTheme="minorEastAsia" w:hAnsi="Times New Roman" w:cs="Times New Roman"/>
          <w:sz w:val="20"/>
          <w:szCs w:val="20"/>
        </w:rPr>
        <w:t xml:space="preserve"> </w:t>
      </w:r>
      <w:r w:rsidR="007E0084" w:rsidRPr="009668D3">
        <w:rPr>
          <w:rFonts w:ascii="Times New Roman" w:hAnsi="Times New Roman" w:cs="Times New Roman"/>
          <w:sz w:val="20"/>
          <w:szCs w:val="20"/>
        </w:rPr>
        <w:t xml:space="preserve">equals the overwintering carryover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t</m:t>
            </m:r>
          </m:sub>
        </m:sSub>
      </m:oMath>
      <w:r w:rsidR="004403DE" w:rsidRPr="001E6700">
        <w:rPr>
          <w:rFonts w:ascii="Times New Roman" w:eastAsiaTheme="minorEastAsia" w:hAnsi="Times New Roman" w:cs="Times New Roman"/>
          <w:sz w:val="20"/>
          <w:szCs w:val="20"/>
        </w:rPr>
        <w:t xml:space="preserve"> from last year t</w:t>
      </w:r>
      <w:r w:rsidR="007E0084" w:rsidRPr="009668D3">
        <w:rPr>
          <w:rFonts w:ascii="Times New Roman" w:hAnsi="Times New Roman" w:cs="Times New Roman"/>
          <w:sz w:val="20"/>
          <w:szCs w:val="20"/>
        </w:rPr>
        <w:t>.</w:t>
      </w:r>
    </w:p>
    <w:p w14:paraId="4DE53893" w14:textId="08242C76" w:rsidR="007E0084" w:rsidRPr="009668D3" w:rsidRDefault="00000000"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r>
          <w:rPr>
            <w:rFonts w:ascii="Cambria Math" w:hAnsi="Cambria Math" w:cs="Times New Roman"/>
            <w:sz w:val="20"/>
            <w:szCs w:val="20"/>
          </w:rPr>
          <m:t>×</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oMath>
      <w:r w:rsidR="007E0084"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eastAsiaTheme="minorEastAsia" w:hAnsi="Cambria Math" w:cs="Times New Roman"/>
            <w:sz w:val="20"/>
            <w:szCs w:val="20"/>
          </w:rPr>
          <m:t>×</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oMath>
      <w:r w:rsidR="007E0084" w:rsidRPr="009668D3">
        <w:rPr>
          <w:rFonts w:ascii="Times New Roman" w:hAnsi="Times New Roman" w:cs="Times New Roman"/>
          <w:sz w:val="20"/>
          <w:szCs w:val="20"/>
        </w:rPr>
        <w:t xml:space="preserve"> ...Equation 6</w:t>
      </w:r>
    </w:p>
    <w:p w14:paraId="40FFF4B2" w14:textId="4CD8699A" w:rsidR="005444A5" w:rsidRPr="009668D3" w:rsidRDefault="00EE3E2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the end of each within-season window, the surviving susceptible larvae S(T) are mapped to the recruiting cohort for the next year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e>
        </m:d>
      </m:oMath>
      <w:r w:rsidRPr="009668D3">
        <w:rPr>
          <w:rFonts w:ascii="Times New Roman" w:hAnsi="Times New Roman" w:cs="Times New Roman"/>
          <w:sz w:val="20"/>
          <w:szCs w:val="20"/>
        </w:rPr>
        <w:t xml:space="preserve">through an overwinter survival fraction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000000"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 xml:space="preserve"> This term mathematically represents a single annual survival parameter that captures all the overwintering survivals: pupation in soil, cold-season mortality, adult emergence, mating, and oviposition. Similarly,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Pr="009668D3">
        <w:rPr>
          <w:rFonts w:ascii="Times New Roman" w:hAnsi="Times New Roman" w:cs="Times New Roman"/>
          <w:sz w:val="20"/>
          <w:szCs w:val="20"/>
        </w:rPr>
        <w:t xml:space="preserve"> represents end-of-season adult parasitoid density to next year's initial density, accounting for tachinid puparia overwinter survival.</w:t>
      </w:r>
    </w:p>
    <w:p w14:paraId="5E3EF935" w14:textId="25581974" w:rsidR="00EE3E2A" w:rsidRPr="009668D3" w:rsidRDefault="00000000"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B</m:t>
            </m:r>
          </m:e>
          <m:sub>
            <m:r>
              <w:rPr>
                <w:rFonts w:ascii="Cambria Math" w:hAnsi="Cambria Math" w:cs="Times New Roman"/>
                <w:sz w:val="20"/>
                <w:szCs w:val="20"/>
              </w:rPr>
              <m:t>t</m:t>
            </m:r>
          </m:sub>
          <m:sup>
            <m:r>
              <m:rPr>
                <m:nor/>
              </m:rPr>
              <w:rPr>
                <w:rFonts w:ascii="Times New Roman" w:hAnsi="Times New Roman" w:cs="Times New Roman"/>
                <w:sz w:val="20"/>
                <w:szCs w:val="20"/>
              </w:rPr>
              <m:t>index</m:t>
            </m:r>
          </m:sup>
        </m:sSubSup>
        <m:d>
          <m:dPr>
            <m:ctrlPr>
              <w:rPr>
                <w:rFonts w:ascii="Cambria Math" w:hAnsi="Cambria Math" w:cs="Times New Roman"/>
                <w:sz w:val="20"/>
                <w:szCs w:val="20"/>
              </w:rPr>
            </m:ctrlPr>
          </m:dPr>
          <m:e>
            <m:r>
              <w:rPr>
                <w:rFonts w:ascii="Cambria Math" w:hAnsi="Cambria Math" w:cs="Times New Roman"/>
                <w:sz w:val="20"/>
                <w:szCs w:val="20"/>
              </w:rPr>
              <m:t>1+</m:t>
            </m:r>
            <m:r>
              <w:rPr>
                <w:rFonts w:ascii="Cambria Math" w:hAnsi="Cambria Math" w:cs="Times New Roman"/>
                <w:sz w:val="20"/>
                <w:szCs w:val="20"/>
              </w:rPr>
              <m:t>ξ</m:t>
            </m:r>
            <m:r>
              <w:rPr>
                <w:rFonts w:ascii="Cambria Math" w:hAnsi="Cambria Math" w:cs="Times New Roman"/>
                <w:sz w:val="20"/>
                <w:szCs w:val="20"/>
              </w:rPr>
              <m:t> </m:t>
            </m:r>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ctrlPr>
              <w:rPr>
                <w:rFonts w:ascii="Cambria Math" w:hAnsi="Cambria Math" w:cs="Times New Roman"/>
                <w:i/>
                <w:sz w:val="20"/>
                <w:szCs w:val="20"/>
              </w:rPr>
            </m:ctrlPr>
          </m:e>
        </m:d>
      </m:oMath>
      <w:r w:rsidR="00EE3E2A" w:rsidRPr="009668D3">
        <w:rPr>
          <w:rFonts w:ascii="Times New Roman" w:hAnsi="Times New Roman" w:cs="Times New Roman"/>
          <w:sz w:val="20"/>
          <w:szCs w:val="20"/>
        </w:rPr>
        <w:t>... Equation 7</w:t>
      </w:r>
    </w:p>
    <w:p w14:paraId="3D6EBF9B" w14:textId="3FD54F2F" w:rsidR="00EE3E2A" w:rsidRPr="009668D3" w:rsidRDefault="0065337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is the effective bird pressure in each year is the product of the baseline bird index </w:t>
      </w:r>
      <m:oMath>
        <m:sSubSup>
          <m:sSubSupPr>
            <m:ctrlPr>
              <w:rPr>
                <w:rFonts w:ascii="Cambria Math" w:hAnsi="Cambria Math" w:cs="Times New Roman"/>
                <w:i/>
                <w:sz w:val="20"/>
                <w:szCs w:val="20"/>
              </w:rPr>
            </m:ctrlPr>
          </m:sSubSupPr>
          <m:e>
            <m:r>
              <w:rPr>
                <w:rFonts w:ascii="Cambria Math" w:hAnsi="Cambria Math" w:cs="Times New Roman"/>
                <w:sz w:val="20"/>
                <w:szCs w:val="20"/>
              </w:rPr>
              <m:t>B</m:t>
            </m:r>
          </m:e>
          <m:sub>
            <m:r>
              <w:rPr>
                <w:rFonts w:ascii="Cambria Math" w:hAnsi="Cambria Math" w:cs="Times New Roman"/>
                <w:sz w:val="20"/>
                <w:szCs w:val="20"/>
              </w:rPr>
              <m:t>t</m:t>
            </m:r>
          </m:sub>
          <m:sup>
            <m:r>
              <w:rPr>
                <w:rFonts w:ascii="Cambria Math" w:hAnsi="Cambria Math" w:cs="Times New Roman"/>
                <w:sz w:val="20"/>
                <w:szCs w:val="20"/>
              </w:rPr>
              <m:t>index</m:t>
            </m:r>
          </m:sup>
        </m:sSubSup>
      </m:oMath>
      <w:r w:rsidRPr="009668D3">
        <w:rPr>
          <w:rFonts w:ascii="Times New Roman" w:hAnsi="Times New Roman" w:cs="Times New Roman"/>
          <w:sz w:val="20"/>
          <w:szCs w:val="20"/>
        </w:rPr>
        <w:t xml:space="preserve"> (obtained from PECBMS monitoring data or equivalent woodland bird surveys) and a management multiplier </w:t>
      </w:r>
      <m:oMath>
        <m:d>
          <m:dPr>
            <m:ctrlPr>
              <w:rPr>
                <w:rFonts w:ascii="Cambria Math" w:hAnsi="Cambria Math" w:cs="Times New Roman"/>
                <w:i/>
                <w:sz w:val="20"/>
                <w:szCs w:val="20"/>
              </w:rPr>
            </m:ctrlPr>
          </m:dPr>
          <m:e>
            <m:r>
              <w:rPr>
                <w:rFonts w:ascii="Cambria Math" w:hAnsi="Cambria Math" w:cs="Times New Roman"/>
                <w:sz w:val="20"/>
                <w:szCs w:val="20"/>
              </w:rPr>
              <m:t>1+ξ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e>
        </m:d>
      </m:oMath>
      <w:r w:rsidRPr="009668D3">
        <w:rPr>
          <w:rFonts w:ascii="Times New Roman" w:hAnsi="Times New Roman" w:cs="Times New Roman"/>
          <w:sz w:val="20"/>
          <w:szCs w:val="20"/>
        </w:rPr>
        <w:t xml:space="preserve">. The control variable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d>
              <m:dPr>
                <m:ctrlPr>
                  <w:rPr>
                    <w:rFonts w:ascii="Cambria Math" w:hAnsi="Cambria Math" w:cs="Times New Roman"/>
                    <w:i/>
                    <w:sz w:val="20"/>
                    <w:szCs w:val="20"/>
                  </w:rPr>
                </m:ctrlPr>
              </m:dPr>
              <m:e>
                <m:r>
                  <w:rPr>
                    <w:rFonts w:ascii="Cambria Math" w:hAnsi="Cambria Math" w:cs="Times New Roman"/>
                    <w:sz w:val="20"/>
                    <w:szCs w:val="20"/>
                  </w:rPr>
                  <m:t>t</m:t>
                </m:r>
              </m:e>
            </m:d>
          </m:sub>
        </m:sSub>
      </m:oMath>
      <w:r w:rsidRPr="009668D3">
        <w:rPr>
          <w:rFonts w:ascii="Times New Roman" w:hAnsi="Times New Roman" w:cs="Times New Roman"/>
          <w:sz w:val="20"/>
          <w:szCs w:val="20"/>
        </w:rPr>
        <w:t xml:space="preserve"> represents annual bird-habitat enhancement actions (e.g., nest-box provisioning, structural habitat improvements, reduced disturbance during the breeding season). The parameter </w:t>
      </w:r>
      <m:oMath>
        <m:r>
          <w:rPr>
            <w:rFonts w:ascii="Cambria Math" w:hAnsi="Cambria Math" w:cs="Times New Roman"/>
            <w:sz w:val="20"/>
            <w:szCs w:val="20"/>
          </w:rPr>
          <m:t>ξ </m:t>
        </m:r>
      </m:oMath>
      <w:r w:rsidRPr="009668D3">
        <w:rPr>
          <w:rFonts w:ascii="Times New Roman" w:hAnsi="Times New Roman" w:cs="Times New Roman"/>
          <w:sz w:val="20"/>
          <w:szCs w:val="20"/>
        </w:rPr>
        <w:t xml:space="preserve"> scales the management effort to its effect on local bird density, i.e. the increment or change of bird index as a response to management effort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Pr="009668D3">
        <w:rPr>
          <w:rFonts w:ascii="Times New Roman" w:hAnsi="Times New Roman" w:cs="Times New Roman"/>
          <w:sz w:val="20"/>
          <w:szCs w:val="20"/>
        </w:rPr>
        <w:t>.</w:t>
      </w:r>
    </w:p>
    <w:p w14:paraId="3AB2D80D" w14:textId="754B81F5" w:rsidR="00653373" w:rsidRPr="009668D3" w:rsidRDefault="00000000"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r>
                  <w:rPr>
                    <w:rFonts w:ascii="Cambria Math" w:hAnsi="Cambria Math" w:cs="Times New Roman"/>
                    <w:sz w:val="20"/>
                    <w:szCs w:val="20"/>
                  </w:rPr>
                  <m:t>ϕ</m:t>
                </m:r>
                <m:sSub>
                  <m:sSubPr>
                    <m:ctrlPr>
                      <w:rPr>
                        <w:rFonts w:ascii="Cambria Math" w:hAnsi="Cambria Math" w:cs="Times New Roman"/>
                        <w:i/>
                        <w:sz w:val="20"/>
                        <w:szCs w:val="20"/>
                      </w:rPr>
                    </m:ctrlPr>
                  </m:sSubPr>
                  <m:e>
                    <m:r>
                      <w:rPr>
                        <w:rFonts w:ascii="Cambria Math" w:hAnsi="Cambria Math" w:cs="Times New Roman"/>
                        <w:sz w:val="20"/>
                        <w:szCs w:val="20"/>
                      </w:rPr>
                      <m:t>×</m:t>
                    </m:r>
                    <m:r>
                      <w:rPr>
                        <w:rFonts w:ascii="Cambria Math" w:hAnsi="Cambria Math" w:cs="Times New Roman"/>
                        <w:sz w:val="20"/>
                        <w:szCs w:val="20"/>
                      </w:rPr>
                      <m:t>D</m:t>
                    </m:r>
                  </m:e>
                  <m:sub>
                    <m:r>
                      <w:rPr>
                        <w:rFonts w:ascii="Cambria Math" w:hAnsi="Cambria Math" w:cs="Times New Roman"/>
                        <w:sz w:val="20"/>
                        <w:szCs w:val="20"/>
                      </w:rPr>
                      <m:t>t</m:t>
                    </m:r>
                  </m:sub>
                </m:sSub>
              </m:e>
            </m:d>
          </m:e>
        </m:func>
      </m:oMath>
      <w:r w:rsidR="00653373" w:rsidRPr="009668D3">
        <w:rPr>
          <w:rFonts w:ascii="Times New Roman" w:hAnsi="Times New Roman" w:cs="Times New Roman"/>
          <w:sz w:val="20"/>
          <w:szCs w:val="20"/>
        </w:rPr>
        <w:t>... Equation 8</w:t>
      </w:r>
    </w:p>
    <w:p w14:paraId="7A2470DA" w14:textId="6CC58392" w:rsidR="00653373" w:rsidRPr="009668D3" w:rsidRDefault="00000000"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r>
              <w:rPr>
                <w:rFonts w:ascii="Cambria Math" w:hAnsi="Cambria Math" w:cs="Times New Roman"/>
                <w:sz w:val="20"/>
                <w:szCs w:val="20"/>
              </w:rPr>
              <m:t>+1</m:t>
            </m:r>
          </m:sub>
        </m:sSub>
      </m:oMath>
      <w:r w:rsidR="00653373" w:rsidRPr="009668D3">
        <w:rPr>
          <w:rFonts w:ascii="Times New Roman" w:hAnsi="Times New Roman" w:cs="Times New Roman"/>
          <w:sz w:val="20"/>
          <w:szCs w:val="20"/>
        </w:rPr>
        <w:t xml:space="preserve"> is the carrying capacity of consecutive years that captures the core resilience of the system due to inter-annual feedback from cumulative defoliation.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oMath>
      <w:r w:rsidR="00653373" w:rsidRPr="009668D3">
        <w:rPr>
          <w:rFonts w:ascii="Times New Roman" w:hAnsi="Times New Roman" w:cs="Times New Roman"/>
          <w:sz w:val="20"/>
          <w:szCs w:val="20"/>
        </w:rPr>
        <w:t xml:space="preserve"> is the</w:t>
      </w:r>
      <w:r w:rsidR="00A255AF" w:rsidRPr="009668D3">
        <w:rPr>
          <w:rFonts w:ascii="Times New Roman" w:hAnsi="Times New Roman" w:cs="Times New Roman"/>
          <w:sz w:val="20"/>
          <w:szCs w:val="20"/>
        </w:rPr>
        <w:t xml:space="preserve"> undamaged baseline carrying capacity (corresponding to a fully recovered canopy from a healthy </w:t>
      </w:r>
      <w:r w:rsidR="00A255AF" w:rsidRPr="009668D3">
        <w:rPr>
          <w:rFonts w:ascii="Times New Roman" w:hAnsi="Times New Roman" w:cs="Times New Roman"/>
          <w:i/>
          <w:sz w:val="20"/>
          <w:szCs w:val="20"/>
        </w:rPr>
        <w:t>Alnus glutinosa</w:t>
      </w:r>
      <w:r w:rsidR="00A255AF" w:rsidRPr="009668D3">
        <w:rPr>
          <w:rFonts w:ascii="Times New Roman" w:hAnsi="Times New Roman" w:cs="Times New Roman"/>
          <w:sz w:val="20"/>
          <w:szCs w:val="20"/>
        </w:rPr>
        <w:t xml:space="preserve"> stand). </w:t>
      </w:r>
      <m:oMath>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r>
                  <w:rPr>
                    <w:rFonts w:ascii="Cambria Math" w:hAnsi="Cambria Math" w:cs="Times New Roman"/>
                    <w:sz w:val="20"/>
                    <w:szCs w:val="20"/>
                  </w:rPr>
                  <m:t>ϕ</m:t>
                </m:r>
                <m:sSub>
                  <m:sSubPr>
                    <m:ctrlPr>
                      <w:rPr>
                        <w:rFonts w:ascii="Cambria Math" w:hAnsi="Cambria Math" w:cs="Times New Roman"/>
                        <w:i/>
                        <w:sz w:val="20"/>
                        <w:szCs w:val="20"/>
                      </w:rPr>
                    </m:ctrlPr>
                  </m:sSubPr>
                  <m:e>
                    <m:r>
                      <w:rPr>
                        <w:rFonts w:ascii="Cambria Math" w:hAnsi="Cambria Math" w:cs="Times New Roman"/>
                        <w:sz w:val="20"/>
                        <w:szCs w:val="20"/>
                      </w:rPr>
                      <m:t>×</m:t>
                    </m:r>
                    <m:r>
                      <w:rPr>
                        <w:rFonts w:ascii="Cambria Math" w:hAnsi="Cambria Math" w:cs="Times New Roman"/>
                        <w:sz w:val="20"/>
                        <w:szCs w:val="20"/>
                      </w:rPr>
                      <m:t>D</m:t>
                    </m:r>
                  </m:e>
                  <m:sub>
                    <m:r>
                      <w:rPr>
                        <w:rFonts w:ascii="Cambria Math" w:hAnsi="Cambria Math" w:cs="Times New Roman"/>
                        <w:sz w:val="20"/>
                        <w:szCs w:val="20"/>
                      </w:rPr>
                      <m:t>t</m:t>
                    </m:r>
                  </m:sub>
                </m:sSub>
              </m:e>
            </m:d>
          </m:e>
        </m:func>
      </m:oMath>
      <w:r w:rsidR="00A255AF" w:rsidRPr="009668D3">
        <w:rPr>
          <w:rFonts w:ascii="Times New Roman" w:hAnsi="Times New Roman" w:cs="Times New Roman"/>
          <w:sz w:val="20"/>
          <w:szCs w:val="20"/>
        </w:rPr>
        <w:t xml:space="preserve"> is a penalty that depends upon the accumulated damage </w:t>
      </w:r>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00A255AF" w:rsidRPr="009668D3">
        <w:rPr>
          <w:rFonts w:ascii="Times New Roman" w:hAnsi="Times New Roman" w:cs="Times New Roman"/>
          <w:sz w:val="20"/>
          <w:szCs w:val="20"/>
        </w:rPr>
        <w:t>. The penalty reduces proporti</w:t>
      </w:r>
      <w:r w:rsidR="008A7872" w:rsidRPr="009668D3">
        <w:rPr>
          <w:rFonts w:ascii="Times New Roman" w:hAnsi="Times New Roman" w:cs="Times New Roman"/>
          <w:sz w:val="20"/>
          <w:szCs w:val="20"/>
        </w:rPr>
        <w:t>on</w:t>
      </w:r>
      <w:r w:rsidR="00A255AF" w:rsidRPr="009668D3">
        <w:rPr>
          <w:rFonts w:ascii="Times New Roman" w:hAnsi="Times New Roman" w:cs="Times New Roman"/>
          <w:sz w:val="20"/>
          <w:szCs w:val="20"/>
        </w:rPr>
        <w:t>ally to next year's foliage quality and quantity, as per the empirical findings of Ferretti et al. (2021) and Dolch and Tscharntke (2000):  broadleaf tree growth decreases by approximately 0.9% per 1% increase in defoliation, and with the induced chemical resistance and persists through the growing season (~133 days) and reduces subsequent beetle herbivory in the following year.</w:t>
      </w:r>
    </w:p>
    <w:p w14:paraId="7356208B" w14:textId="6ABBC49D" w:rsidR="00A255AF" w:rsidRPr="009668D3" w:rsidRDefault="00FB6661"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Finally, to analyse the optimal control of the system, we define an objective functional that minimises the total ecological and management cost of beetle damage and intervention over a multi-year planning horizon of </w:t>
      </w:r>
      <m:oMath>
        <m:r>
          <w:rPr>
            <w:rFonts w:ascii="Cambria Math" w:hAnsi="Cambria Math" w:cs="Times New Roman"/>
            <w:sz w:val="20"/>
            <w:szCs w:val="20"/>
          </w:rPr>
          <m:t>N</m:t>
        </m:r>
      </m:oMath>
      <w:r w:rsidRPr="009668D3">
        <w:rPr>
          <w:rFonts w:ascii="Times New Roman" w:hAnsi="Times New Roman" w:cs="Times New Roman"/>
          <w:sz w:val="20"/>
          <w:szCs w:val="20"/>
        </w:rPr>
        <w:t xml:space="preserve"> years, where each year contains one within-season window of duration </w:t>
      </w:r>
      <m:oMath>
        <m:r>
          <w:rPr>
            <w:rFonts w:ascii="Cambria Math" w:hAnsi="Cambria Math" w:cs="Times New Roman"/>
            <w:sz w:val="20"/>
            <w:szCs w:val="20"/>
          </w:rPr>
          <m:t>T</m:t>
        </m:r>
      </m:oMath>
      <w:r w:rsidR="00A255AF" w:rsidRPr="009668D3">
        <w:rPr>
          <w:rFonts w:ascii="Times New Roman" w:hAnsi="Times New Roman" w:cs="Times New Roman"/>
          <w:sz w:val="20"/>
          <w:szCs w:val="20"/>
        </w:rPr>
        <w:t xml:space="preserve">. </w:t>
      </w:r>
    </w:p>
    <w:p w14:paraId="54DBFDDD" w14:textId="079D4576" w:rsidR="00182DFF" w:rsidRPr="001E6700" w:rsidRDefault="00420E5B" w:rsidP="002D21BC">
      <w:pPr>
        <w:spacing w:line="240" w:lineRule="auto"/>
        <w:jc w:val="both"/>
        <w:rPr>
          <w:rFonts w:ascii="Times New Roman" w:eastAsiaTheme="minorEastAsia" w:hAnsi="Times New Roman" w:cs="Times New Roman"/>
          <w:sz w:val="20"/>
          <w:szCs w:val="20"/>
        </w:rPr>
      </w:pPr>
      <m:oMath>
        <m:r>
          <w:rPr>
            <w:rFonts w:ascii="Cambria Math" w:hAnsi="Cambria Math" w:cs="Times New Roman"/>
            <w:sz w:val="20"/>
            <w:szCs w:val="20"/>
          </w:rPr>
          <m:t>J=</m:t>
        </m:r>
        <m:nary>
          <m:naryPr>
            <m:chr m:val="∑"/>
            <m:ctrlPr>
              <w:rPr>
                <w:rFonts w:ascii="Cambria Math" w:hAnsi="Cambria Math" w:cs="Times New Roman"/>
                <w:i/>
                <w:sz w:val="20"/>
                <w:szCs w:val="20"/>
              </w:rPr>
            </m:ctrlPr>
          </m:naryPr>
          <m:sub>
            <m:r>
              <w:rPr>
                <w:rFonts w:ascii="Cambria Math" w:hAnsi="Cambria Math" w:cs="Times New Roman"/>
                <w:sz w:val="20"/>
                <w:szCs w:val="20"/>
              </w:rPr>
              <m:t>t</m:t>
            </m:r>
          </m:sub>
          <m:sup>
            <m:r>
              <w:rPr>
                <w:rFonts w:ascii="Cambria Math" w:hAnsi="Cambria Math" w:cs="Times New Roman"/>
                <w:sz w:val="20"/>
                <w:szCs w:val="20"/>
              </w:rPr>
              <m:t>N</m:t>
            </m:r>
          </m:sup>
          <m:e>
            <m:d>
              <m:dPr>
                <m:begChr m:val="["/>
                <m:endChr m:val="]"/>
                <m:ctrlPr>
                  <w:rPr>
                    <w:rFonts w:ascii="Cambria Math" w:hAnsi="Cambria Math" w:cs="Times New Roman"/>
                    <w:i/>
                    <w:sz w:val="20"/>
                    <w:szCs w:val="20"/>
                  </w:rPr>
                </m:ctrlPr>
              </m:dPr>
              <m:e>
                <m:nary>
                  <m:naryPr>
                    <m:ctrlPr>
                      <w:rPr>
                        <w:rFonts w:ascii="Cambria Math" w:hAnsi="Cambria Math" w:cs="Times New Roman"/>
                        <w:i/>
                        <w:sz w:val="20"/>
                        <w:szCs w:val="20"/>
                      </w:rPr>
                    </m:ctrlPr>
                  </m:naryPr>
                  <m:sub>
                    <m:r>
                      <w:rPr>
                        <w:rFonts w:ascii="Cambria Math" w:hAnsi="Cambria Math" w:cs="Times New Roman"/>
                        <w:sz w:val="20"/>
                        <w:szCs w:val="20"/>
                      </w:rPr>
                      <m:t>0</m:t>
                    </m:r>
                  </m:sub>
                  <m:sup>
                    <m:r>
                      <w:rPr>
                        <w:rFonts w:ascii="Cambria Math" w:hAnsi="Cambria Math" w:cs="Times New Roman"/>
                        <w:sz w:val="20"/>
                        <w:szCs w:val="20"/>
                      </w:rPr>
                      <m:t>T</m:t>
                    </m:r>
                  </m:sup>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τ</m:t>
                                </m:r>
                              </m:e>
                            </m:d>
                          </m:e>
                          <m:sup>
                            <m:r>
                              <w:rPr>
                                <w:rFonts w:ascii="Cambria Math" w:hAnsi="Cambria Math" w:cs="Times New Roman"/>
                                <w:sz w:val="20"/>
                                <w:szCs w:val="20"/>
                              </w:rPr>
                              <m:t>2</m:t>
                            </m:r>
                          </m:sup>
                        </m:sSup>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τ</m:t>
                                </m:r>
                              </m:e>
                            </m:d>
                          </m:e>
                          <m:sup>
                            <m:r>
                              <w:rPr>
                                <w:rFonts w:ascii="Cambria Math" w:hAnsi="Cambria Math" w:cs="Times New Roman"/>
                                <w:sz w:val="20"/>
                                <w:szCs w:val="20"/>
                              </w:rPr>
                              <m:t>2</m:t>
                            </m:r>
                          </m:sup>
                        </m:sSup>
                      </m:e>
                    </m:d>
                  </m:e>
                </m:nary>
                <m:r>
                  <w:rPr>
                    <w:rFonts w:ascii="Cambria Math" w:hAnsi="Cambria Math" w:cs="Times New Roman"/>
                    <w:sz w:val="20"/>
                    <w:szCs w:val="20"/>
                  </w:rPr>
                  <m:t>dτ+</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B,cost</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t</m:t>
                        </m:r>
                      </m:e>
                    </m:d>
                  </m:e>
                  <m:sup>
                    <m:r>
                      <w:rPr>
                        <w:rFonts w:ascii="Cambria Math" w:hAnsi="Cambria Math" w:cs="Times New Roman"/>
                        <w:sz w:val="20"/>
                        <w:szCs w:val="20"/>
                      </w:rPr>
                      <m:t>2</m:t>
                    </m:r>
                  </m:sup>
                </m:s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e>
            </m:d>
          </m:e>
        </m:nary>
      </m:oMath>
      <w:r w:rsidR="00FB6661" w:rsidRPr="009668D3">
        <w:rPr>
          <w:rFonts w:ascii="Times New Roman" w:hAnsi="Times New Roman" w:cs="Times New Roman"/>
          <w:sz w:val="20"/>
          <w:szCs w:val="20"/>
        </w:rPr>
        <w:t xml:space="preserve">... Equation </w:t>
      </w:r>
      <w:r w:rsidR="008D6301" w:rsidRPr="009668D3">
        <w:rPr>
          <w:rFonts w:ascii="Times New Roman" w:hAnsi="Times New Roman" w:cs="Times New Roman"/>
          <w:sz w:val="20"/>
          <w:szCs w:val="20"/>
        </w:rPr>
        <w:t>9</w:t>
      </w:r>
      <w:r w:rsidR="002D621C" w:rsidRPr="009668D3">
        <w:rPr>
          <w:rFonts w:ascii="Times New Roman" w:hAnsi="Times New Roman" w:cs="Times New Roman"/>
          <w:sz w:val="20"/>
          <w:szCs w:val="20"/>
        </w:rPr>
        <w:t>,</w:t>
      </w:r>
    </w:p>
    <w:p w14:paraId="58C5E92D" w14:textId="6637FE99" w:rsidR="002D621C" w:rsidRPr="009668D3" w:rsidRDefault="002D621C" w:rsidP="002D21BC">
      <w:pPr>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sz w:val="20"/>
          <w:szCs w:val="20"/>
        </w:rPr>
        <w:t xml:space="preserve"> </w:t>
      </w:r>
      <w:r w:rsidR="001E5D4C" w:rsidRPr="001E6700">
        <w:rPr>
          <w:rFonts w:ascii="Times New Roman" w:eastAsiaTheme="minorEastAsia" w:hAnsi="Times New Roman" w:cs="Times New Roman"/>
          <w:sz w:val="20"/>
          <w:szCs w:val="20"/>
        </w:rPr>
        <w:t>where,</w:t>
      </w:r>
      <w:r w:rsidR="00FB6661" w:rsidRPr="009668D3">
        <w:rPr>
          <w:rFonts w:ascii="Times New Roman" w:hAnsi="Times New Roman" w:cs="Times New Roman"/>
          <w:sz w:val="20"/>
          <w:szCs w:val="20"/>
        </w:rPr>
        <w:t xml:space="preserve"> </w:t>
      </w:r>
      <m:oMath>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r>
              <w:rPr>
                <w:rFonts w:ascii="Cambria Math" w:hAnsi="Cambria Math" w:cs="Times New Roman"/>
                <w:sz w:val="20"/>
                <w:szCs w:val="20"/>
              </w:rPr>
              <m:t>,max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(τ)≤</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r>
              <w:rPr>
                <w:rFonts w:ascii="Cambria Math" w:hAnsi="Cambria Math" w:cs="Times New Roman"/>
                <w:sz w:val="20"/>
                <w:szCs w:val="20"/>
              </w:rPr>
              <m:t>,max</m:t>
            </m:r>
          </m:sub>
        </m:sSub>
        <m:r>
          <w:rPr>
            <w:rFonts w:ascii="Cambria Math" w:hAnsi="Cambria Math" w:cs="Times New Roman"/>
            <w:sz w:val="20"/>
            <w:szCs w:val="20"/>
          </w:rPr>
          <m:t>,</m:t>
        </m:r>
      </m:oMath>
      <w:r w:rsidRPr="009668D3">
        <w:rPr>
          <w:rFonts w:ascii="Times New Roman" w:hAnsi="Times New Roman" w:cs="Times New Roman"/>
          <w:sz w:val="20"/>
          <w:szCs w:val="20"/>
        </w:rPr>
        <w:t xml:space="preserve"> </w:t>
      </w:r>
      <m:oMath>
        <m:r>
          <w:rPr>
            <w:rFonts w:ascii="Cambria Math" w:hAnsi="Cambria Math" w:cs="Times New Roman"/>
            <w:sz w:val="20"/>
            <w:szCs w:val="20"/>
          </w:rPr>
          <m:t>0</m:t>
        </m:r>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ctrlPr>
              <w:rPr>
                <w:rFonts w:ascii="Cambria Math" w:hAnsi="Cambria Math" w:cs="Times New Roman"/>
                <w:sz w:val="20"/>
                <w:szCs w:val="20"/>
              </w:rPr>
            </m:ctrlP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ctrlPr>
              <w:rPr>
                <w:rFonts w:ascii="Cambria Math" w:hAnsi="Cambria Math" w:cs="Times New Roman"/>
                <w:sz w:val="20"/>
                <w:szCs w:val="20"/>
              </w:rPr>
            </m:ctrlPr>
          </m:e>
          <m:sub>
            <m:r>
              <w:rPr>
                <w:rFonts w:ascii="Cambria Math" w:hAnsi="Cambria Math" w:cs="Times New Roman"/>
                <w:sz w:val="20"/>
                <w:szCs w:val="20"/>
              </w:rPr>
              <m:t>B,max</m:t>
            </m:r>
          </m:sub>
        </m:sSub>
      </m:oMath>
      <w:r w:rsidR="00C80A99" w:rsidRPr="001E6700">
        <w:rPr>
          <w:rFonts w:ascii="Times New Roman" w:eastAsiaTheme="minorEastAsia" w:hAnsi="Times New Roman" w:cs="Times New Roman"/>
          <w:sz w:val="20"/>
          <w:szCs w:val="20"/>
        </w:rPr>
        <w:t>...</w:t>
      </w:r>
      <w:r w:rsidR="00C80A99" w:rsidRPr="009668D3">
        <w:rPr>
          <w:rFonts w:ascii="Times New Roman" w:hAnsi="Times New Roman" w:cs="Times New Roman"/>
          <w:sz w:val="20"/>
          <w:szCs w:val="20"/>
        </w:rPr>
        <w:t>Eq</w:t>
      </w:r>
      <w:r w:rsidR="00253C4A" w:rsidRPr="009668D3">
        <w:rPr>
          <w:rFonts w:ascii="Times New Roman" w:hAnsi="Times New Roman" w:cs="Times New Roman"/>
          <w:sz w:val="20"/>
          <w:szCs w:val="20"/>
        </w:rPr>
        <w:t>uation 10</w:t>
      </w:r>
    </w:p>
    <w:p w14:paraId="40EBE7BE" w14:textId="241B0400" w:rsidR="002D621C" w:rsidRPr="009668D3" w:rsidRDefault="002D621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oMath>
      <w:r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oMath>
      <w:r w:rsidRPr="009668D3">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are the weights that penalise cumulative damage, current larval density, and terminal damage respectively.</w:t>
      </w:r>
      <w:r w:rsidR="00FC5975" w:rsidRPr="009668D3">
        <w:rPr>
          <w:rFonts w:ascii="Times New Roman" w:hAnsi="Times New Roman" w:cs="Times New Roman"/>
          <w:sz w:val="20"/>
          <w:szCs w:val="20"/>
        </w:rPr>
        <w:t xml:space="preserve"> Because D(τ) accumulates over the season, the running penalty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D(τ</m:t>
        </m:r>
      </m:oMath>
      <w:r w:rsidR="00FC5975" w:rsidRPr="009668D3">
        <w:rPr>
          <w:rFonts w:ascii="Times New Roman" w:hAnsi="Times New Roman" w:cs="Times New Roman"/>
          <w:sz w:val="20"/>
          <w:szCs w:val="20"/>
        </w:rPr>
        <w:t>) assigns greater weight to damage sustained later in the season, reflecting the increasing physiological cost of prolonged defoliation.</w:t>
      </w:r>
      <w:r w:rsidRPr="009668D3">
        <w:rPr>
          <w:rFonts w:ascii="Times New Roman" w:hAnsi="Times New Roman" w:cs="Times New Roman"/>
          <w:sz w:val="20"/>
          <w:szCs w:val="20"/>
        </w:rPr>
        <w:t xml:space="preserve"> </w:t>
      </w:r>
      <w:r w:rsidR="009A31EC" w:rsidRPr="009668D3">
        <w:rPr>
          <w:rFonts w:ascii="Times New Roman" w:hAnsi="Times New Roman" w:cs="Times New Roman"/>
          <w:sz w:val="20"/>
          <w:szCs w:val="20"/>
        </w:rPr>
        <w:t>Ecologically</w:t>
      </w:r>
      <w:r w:rsidRPr="009668D3">
        <w:rPr>
          <w:rFonts w:ascii="Times New Roman" w:hAnsi="Times New Roman" w:cs="Times New Roman"/>
          <w:sz w:val="20"/>
          <w:szCs w:val="20"/>
        </w:rPr>
        <w:t xml:space="preserve">, these are the </w:t>
      </w:r>
      <w:r w:rsidR="00C80A99" w:rsidRPr="009668D3">
        <w:rPr>
          <w:rFonts w:ascii="Times New Roman" w:hAnsi="Times New Roman" w:cs="Times New Roman"/>
          <w:sz w:val="20"/>
          <w:szCs w:val="20"/>
        </w:rPr>
        <w:t>feedback to the carrying capacities for the beetle larvae through accumulation of canopy loss, accumulation of susceptibility to the infection from parasitoid, and accumulation of end-of-season</w:t>
      </w:r>
      <w:r w:rsidR="009A31EC" w:rsidRPr="009668D3">
        <w:rPr>
          <w:rFonts w:ascii="Times New Roman" w:hAnsi="Times New Roman" w:cs="Times New Roman"/>
          <w:sz w:val="20"/>
          <w:szCs w:val="20"/>
        </w:rPr>
        <w:t xml:space="preserve"> defoliation that reduces the chances of overwintering of the beetles.</w:t>
      </w:r>
      <w:r w:rsidR="004248F4" w:rsidRPr="001E6700">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P</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r>
          <w:rPr>
            <w:rFonts w:ascii="Cambria Math" w:eastAsiaTheme="minorEastAsia" w:hAnsi="Cambria Math" w:cs="Times New Roman"/>
            <w:sz w:val="20"/>
            <w:szCs w:val="20"/>
          </w:rPr>
          <m:t>and</m:t>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B,cost</m:t>
            </m:r>
          </m:sub>
        </m:sSub>
      </m:oMath>
      <w:r w:rsidR="009A31EC" w:rsidRPr="009668D3">
        <w:rPr>
          <w:rFonts w:ascii="Times New Roman" w:hAnsi="Times New Roman" w:cs="Times New Roman"/>
          <w:sz w:val="20"/>
          <w:szCs w:val="20"/>
        </w:rPr>
        <w:t xml:space="preserve"> are the unit </w:t>
      </w:r>
      <w:r w:rsidR="00C80A99" w:rsidRPr="009668D3">
        <w:rPr>
          <w:rFonts w:ascii="Times New Roman" w:hAnsi="Times New Roman" w:cs="Times New Roman"/>
          <w:sz w:val="20"/>
          <w:szCs w:val="20"/>
        </w:rPr>
        <w:t>costs</w:t>
      </w:r>
      <w:r w:rsidR="009A31EC" w:rsidRPr="009668D3">
        <w:rPr>
          <w:rFonts w:ascii="Times New Roman" w:hAnsi="Times New Roman" w:cs="Times New Roman"/>
          <w:sz w:val="20"/>
          <w:szCs w:val="20"/>
        </w:rPr>
        <w:t xml:space="preserve"> for the three respective processes: Unit cost of parasitoid attack on larvae to other forest economy, Unit cost of targeted removal of larvae, Unit cost of bird-habitat conservation. However, for the model</w:t>
      </w:r>
      <w:r w:rsidR="001164B3" w:rsidRPr="009668D3">
        <w:rPr>
          <w:rFonts w:ascii="Times New Roman" w:hAnsi="Times New Roman" w:cs="Times New Roman"/>
          <w:sz w:val="20"/>
          <w:szCs w:val="20"/>
        </w:rPr>
        <w:t xml:space="preserve"> </w:t>
      </w:r>
      <w:r w:rsidR="00544863">
        <w:rPr>
          <w:rFonts w:ascii="Times New Roman" w:hAnsi="Times New Roman" w:cs="Times New Roman"/>
          <w:sz w:val="20"/>
          <w:szCs w:val="20"/>
        </w:rPr>
        <w:t>retractability</w:t>
      </w:r>
      <w:r w:rsidR="009A31EC" w:rsidRPr="009668D3">
        <w:rPr>
          <w:rFonts w:ascii="Times New Roman" w:hAnsi="Times New Roman" w:cs="Times New Roman"/>
          <w:sz w:val="20"/>
          <w:szCs w:val="20"/>
        </w:rPr>
        <w:t xml:space="preserve">, we consider these costs as </w:t>
      </w:r>
      <w:r w:rsidR="00C80A99" w:rsidRPr="009668D3">
        <w:rPr>
          <w:rFonts w:ascii="Times New Roman" w:hAnsi="Times New Roman" w:cs="Times New Roman"/>
          <w:sz w:val="20"/>
          <w:szCs w:val="20"/>
        </w:rPr>
        <w:t xml:space="preserve">a fraction of the </w:t>
      </w:r>
      <w:r w:rsidR="009A31EC" w:rsidRPr="009668D3">
        <w:rPr>
          <w:rFonts w:ascii="Times New Roman" w:hAnsi="Times New Roman" w:cs="Times New Roman"/>
          <w:sz w:val="20"/>
          <w:szCs w:val="20"/>
        </w:rPr>
        <w:t>forest management budget</w:t>
      </w:r>
      <w:r w:rsidR="00C80A99" w:rsidRPr="009668D3">
        <w:rPr>
          <w:rFonts w:ascii="Times New Roman" w:hAnsi="Times New Roman" w:cs="Times New Roman"/>
          <w:sz w:val="20"/>
          <w:szCs w:val="20"/>
        </w:rPr>
        <w:t xml:space="preserve"> and, therefore,</w:t>
      </w:r>
      <w:r w:rsidR="009A31EC" w:rsidRPr="009668D3">
        <w:rPr>
          <w:rFonts w:ascii="Times New Roman" w:hAnsi="Times New Roman" w:cs="Times New Roman"/>
          <w:sz w:val="20"/>
          <w:szCs w:val="20"/>
        </w:rPr>
        <w:t xml:space="preserve"> dimensionless.</w:t>
      </w:r>
    </w:p>
    <w:p w14:paraId="705E2B33" w14:textId="0D00A7D2" w:rsidR="009A31EC" w:rsidRPr="009668D3" w:rsidRDefault="009A31E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Then</w:t>
      </w:r>
      <w:r w:rsidR="0029509E" w:rsidRPr="001E6700">
        <w:rPr>
          <w:rFonts w:ascii="Times New Roman" w:eastAsiaTheme="minorEastAsia" w:hAnsi="Times New Roman" w:cs="Times New Roman"/>
          <w:sz w:val="20"/>
          <w:szCs w:val="20"/>
        </w:rPr>
        <w:t>,</w:t>
      </w:r>
      <w:r w:rsidRPr="009668D3">
        <w:rPr>
          <w:rFonts w:ascii="Times New Roman" w:hAnsi="Times New Roman" w:cs="Times New Roman"/>
          <w:sz w:val="20"/>
          <w:szCs w:val="20"/>
        </w:rPr>
        <w:t xml:space="preserve"> we also use a function to capture </w:t>
      </w:r>
      <w:r w:rsidR="00C80A99"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central quantity for the stability analysis as the parasitoid invasion regime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oMath>
      <w:r w:rsidRPr="009668D3">
        <w:rPr>
          <w:rFonts w:ascii="Times New Roman" w:hAnsi="Times New Roman" w:cs="Times New Roman"/>
          <w:sz w:val="20"/>
          <w:szCs w:val="20"/>
        </w:rPr>
        <w:t xml:space="preserve"> In the hybrid seasonal-annual architecture of this model,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is defined operationally as the dominant eigenvalue (spectral radius) of the parasitoid update linearised around the parasitoid-free fixed point of the annual map, rather than from the within-season ODE equilibria alone. This definition follows the next-generation approach for compartmental models (van den Driessche and Watmough, 2002) adapted to the hybrid structure via the Poincaré (stroboscopic) map framework (Kuznetsov, 2004).</w:t>
      </w:r>
      <w:r w:rsidR="00683C2B" w:rsidRPr="009668D3">
        <w:rPr>
          <w:rFonts w:ascii="Times New Roman" w:hAnsi="Times New Roman" w:cs="Times New Roman"/>
          <w:sz w:val="20"/>
          <w:szCs w:val="20"/>
        </w:rPr>
        <w:t xml:space="preserve"> At the parasitoid-free annual fixed point </w:t>
      </w:r>
      <m:oMath>
        <m:r>
          <w:rPr>
            <w:rFonts w:ascii="Cambria Math" w:eastAsiaTheme="minorEastAsia" w:hAnsi="Cambria Math" w:cs="Times New Roman"/>
            <w:sz w:val="20"/>
            <w:szCs w:val="20"/>
          </w:rPr>
          <m:t>x₁*</m:t>
        </m:r>
        <m:r>
          <w:rPr>
            <w:rFonts w:ascii="Cambria Math" w:hAnsi="Cambria Math" w:cs="Times New Roman"/>
            <w:sz w:val="20"/>
            <w:szCs w:val="20"/>
          </w:rPr>
          <m:t xml:space="preserve"> = (</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 xml:space="preserve">, 0,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m:t>
            </m:r>
          </m:sup>
        </m:sSup>
        <m:r>
          <w:rPr>
            <w:rFonts w:ascii="Cambria Math" w:hAnsi="Cambria Math" w:cs="Times New Roman"/>
            <w:sz w:val="20"/>
            <w:szCs w:val="20"/>
          </w:rPr>
          <m:t>)</m:t>
        </m:r>
      </m:oMath>
      <w:r w:rsidR="00683C2B" w:rsidRPr="009668D3">
        <w:rPr>
          <w:rFonts w:ascii="Times New Roman" w:hAnsi="Times New Roman" w:cs="Times New Roman"/>
          <w:sz w:val="20"/>
          <w:szCs w:val="20"/>
        </w:rPr>
        <w:t>, the parasitoid component F is absent</w:t>
      </w:r>
      <w:r w:rsidR="00C80A99" w:rsidRPr="009668D3">
        <w:rPr>
          <w:rFonts w:ascii="Times New Roman" w:hAnsi="Times New Roman" w:cs="Times New Roman"/>
          <w:sz w:val="20"/>
          <w:szCs w:val="20"/>
        </w:rPr>
        <w:t>,</w:t>
      </w:r>
      <w:r w:rsidR="00683C2B" w:rsidRPr="009668D3">
        <w:rPr>
          <w:rFonts w:ascii="Times New Roman" w:hAnsi="Times New Roman" w:cs="Times New Roman"/>
          <w:sz w:val="20"/>
          <w:szCs w:val="20"/>
        </w:rPr>
        <w:t xml:space="preserve"> and the beetle–foliage subsystem is at its resident equilibrium. The capacity of a small parasitoid introduction to grow across one full </w:t>
      </w:r>
      <w:r w:rsidR="00C80A99" w:rsidRPr="009668D3">
        <w:rPr>
          <w:rFonts w:ascii="Times New Roman" w:hAnsi="Times New Roman" w:cs="Times New Roman"/>
          <w:sz w:val="20"/>
          <w:szCs w:val="20"/>
        </w:rPr>
        <w:t>seasonal</w:t>
      </w:r>
      <w:r w:rsidR="00683C2B" w:rsidRPr="009668D3">
        <w:rPr>
          <w:rFonts w:ascii="Times New Roman" w:hAnsi="Times New Roman" w:cs="Times New Roman"/>
          <w:sz w:val="20"/>
          <w:szCs w:val="20"/>
        </w:rPr>
        <w:t xml:space="preserve"> cycle is:</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t+1</m:t>
                </m:r>
              </m:sub>
            </m:sSub>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den>
        </m:f>
        <m:sSub>
          <m:sSubPr>
            <m:ctrlPr>
              <w:rPr>
                <w:rFonts w:ascii="Cambria Math" w:hAnsi="Cambria Math" w:cs="Times New Roman"/>
                <w:i/>
                <w:sz w:val="20"/>
                <w:szCs w:val="20"/>
              </w:rPr>
            </m:ctrlPr>
          </m:sSubPr>
          <m:e>
            <m:d>
              <m:dPr>
                <m:begChr m:val=""/>
                <m:endChr m:val="|"/>
                <m:ctrlPr>
                  <w:rPr>
                    <w:rFonts w:ascii="Cambria Math" w:hAnsi="Cambria Math" w:cs="Times New Roman"/>
                    <w:i/>
                    <w:sz w:val="20"/>
                    <w:szCs w:val="20"/>
                  </w:rPr>
                </m:ctrlPr>
              </m:dPr>
              <m:e>
                <m:r>
                  <w:rPr>
                    <w:rFonts w:ascii="Cambria Math" w:hAnsi="Cambria Math" w:cs="Times New Roman"/>
                    <w:sz w:val="20"/>
                    <w:szCs w:val="20"/>
                  </w:rPr>
                  <m:t>​</m:t>
                </m:r>
              </m:e>
            </m:d>
          </m:e>
          <m:sub>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1</m:t>
                </m:r>
              </m:sub>
              <m:sup>
                <m:r>
                  <w:rPr>
                    <w:rFonts w:ascii="Cambria Math" w:hAnsi="Cambria Math" w:cs="Times New Roman"/>
                    <w:sz w:val="20"/>
                    <w:szCs w:val="20"/>
                  </w:rPr>
                  <m:t>*</m:t>
                </m:r>
              </m:sup>
            </m:sSubSup>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num>
          <m:den>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m:t>
                </m:r>
              </m:e>
            </m:d>
          </m:den>
        </m:f>
        <m:sSub>
          <m:sSubPr>
            <m:ctrlPr>
              <w:rPr>
                <w:rFonts w:ascii="Cambria Math" w:hAnsi="Cambria Math" w:cs="Times New Roman"/>
                <w:i/>
                <w:sz w:val="20"/>
                <w:szCs w:val="20"/>
              </w:rPr>
            </m:ctrlPr>
          </m:sSubPr>
          <m:e>
            <m:d>
              <m:dPr>
                <m:begChr m:val=""/>
                <m:endChr m:val="|"/>
                <m:ctrlPr>
                  <w:rPr>
                    <w:rFonts w:ascii="Cambria Math" w:hAnsi="Cambria Math" w:cs="Times New Roman"/>
                    <w:i/>
                    <w:sz w:val="20"/>
                    <w:szCs w:val="20"/>
                  </w:rPr>
                </m:ctrlPr>
              </m:dPr>
              <m:e>
                <m:r>
                  <w:rPr>
                    <w:rFonts w:ascii="Cambria Math" w:hAnsi="Cambria Math" w:cs="Times New Roman"/>
                    <w:sz w:val="20"/>
                    <w:szCs w:val="20"/>
                  </w:rPr>
                  <m:t>​</m:t>
                </m:r>
              </m:e>
            </m:d>
          </m:e>
          <m: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acc>
              <m:accPr>
                <m:ctrlPr>
                  <w:rPr>
                    <w:rFonts w:ascii="Cambria Math" w:hAnsi="Cambria Math" w:cs="Times New Roman"/>
                    <w:i/>
                    <w:sz w:val="20"/>
                    <w:szCs w:val="20"/>
                  </w:rPr>
                </m:ctrlPr>
              </m:accPr>
              <m:e>
                <m:r>
                  <w:rPr>
                    <w:rFonts w:ascii="Cambria Math" w:hAnsi="Cambria Math" w:cs="Times New Roman"/>
                    <w:sz w:val="20"/>
                    <w:szCs w:val="20"/>
                  </w:rPr>
                  <m:t>S</m:t>
                </m:r>
              </m:e>
            </m:acc>
            <m:r>
              <w:rPr>
                <w:rFonts w:ascii="Cambria Math" w:hAnsi="Cambria Math" w:cs="Times New Roman"/>
                <w:sz w:val="20"/>
                <w:szCs w:val="20"/>
              </w:rPr>
              <m:t>, I</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=0, F</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 xml:space="preserve">=0 </m:t>
            </m:r>
          </m:sub>
        </m:sSub>
      </m:oMath>
      <w:r w:rsidR="00683C2B" w:rsidRPr="009668D3">
        <w:rPr>
          <w:rFonts w:ascii="Times New Roman" w:hAnsi="Times New Roman" w:cs="Times New Roman"/>
          <w:sz w:val="20"/>
          <w:szCs w:val="20"/>
        </w:rPr>
        <w:t>... Equation 11</w:t>
      </w:r>
    </w:p>
    <w:p w14:paraId="247771F4" w14:textId="4003FEC2" w:rsidR="004036B2" w:rsidRPr="009668D3" w:rsidRDefault="00683C2B" w:rsidP="002D21BC">
      <w:pPr>
        <w:spacing w:line="240" w:lineRule="auto"/>
        <w:jc w:val="both"/>
        <w:rPr>
          <w:rFonts w:ascii="Times New Roman" w:hAnsi="Times New Roman" w:cs="Times New Roman"/>
          <w:i/>
          <w:sz w:val="20"/>
          <w:szCs w:val="20"/>
        </w:rPr>
      </w:pPr>
      <w:r w:rsidRPr="009668D3">
        <w:rPr>
          <w:rFonts w:ascii="Times New Roman" w:hAnsi="Times New Roman" w:cs="Times New Roman"/>
          <w:sz w:val="20"/>
          <w:szCs w:val="20"/>
        </w:rPr>
        <w:lastRenderedPageBreak/>
        <w:t xml:space="preserve">Here </w:t>
      </w:r>
      <m:oMath>
        <m:f>
          <m:fPr>
            <m:ctrlPr>
              <w:rPr>
                <w:rFonts w:ascii="Cambria Math" w:hAnsi="Cambria Math" w:cs="Times New Roman"/>
                <w:i/>
                <w:sz w:val="20"/>
                <w:szCs w:val="20"/>
              </w:rPr>
            </m:ctrlPr>
          </m:fPr>
          <m:num>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0</m:t>
                </m:r>
              </m:e>
            </m:d>
          </m:den>
        </m:f>
      </m:oMath>
      <w:r w:rsidRPr="009668D3">
        <w:rPr>
          <w:rFonts w:ascii="Times New Roman" w:hAnsi="Times New Roman" w:cs="Times New Roman"/>
          <w:sz w:val="20"/>
          <w:szCs w:val="20"/>
        </w:rPr>
        <w:t xml:space="preserve"> is the partial derivative obtained from the variational (sensitivity) equations of within season ODE. When the within-season dynamics are evaluated at constant S</w:t>
      </w:r>
      <w:r w:rsidR="008A38BF" w:rsidRPr="001E6700">
        <w:rPr>
          <w:rFonts w:ascii="Times New Roman" w:eastAsiaTheme="minorEastAsia" w:hAnsi="Times New Roman" w:cs="Times New Roman"/>
          <w:sz w:val="20"/>
          <w:szCs w:val="20"/>
        </w:rPr>
        <w:t>(0)</w:t>
      </w:r>
      <w:r w:rsidRPr="001E6700">
        <w:rPr>
          <w:rFonts w:ascii="Times New Roman" w:eastAsiaTheme="minorEastAsia" w:hAnsi="Times New Roman" w:cs="Times New Roman"/>
          <w:sz w:val="20"/>
          <w:szCs w:val="20"/>
        </w:rPr>
        <w:t xml:space="preserve"> ≈</w:t>
      </w:r>
      <w:r w:rsidR="00E731F7" w:rsidRPr="001E6700">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 </m:t>
        </m:r>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S</m:t>
            </m:r>
          </m:e>
        </m:acc>
      </m:oMath>
      <w:r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 xml:space="preserve"> and constant bird pressure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w:t>
      </w:r>
      <w:r w:rsidR="00165E61" w:rsidRPr="001E6700">
        <w:rPr>
          <w:rFonts w:ascii="Times New Roman" w:eastAsiaTheme="minorEastAsia" w:hAnsi="Times New Roman" w:cs="Times New Roman"/>
          <w:sz w:val="20"/>
          <w:szCs w:val="20"/>
        </w:rPr>
        <w:t>We reduce this</w:t>
      </w:r>
      <w:r w:rsidRPr="009668D3">
        <w:rPr>
          <w:rFonts w:ascii="Times New Roman" w:hAnsi="Times New Roman" w:cs="Times New Roman"/>
          <w:sz w:val="20"/>
          <w:szCs w:val="20"/>
        </w:rPr>
        <w:t xml:space="preserve"> rigorous definition </w:t>
      </w:r>
      <w:r w:rsidR="00000000" w:rsidRPr="001E6700">
        <w:rPr>
          <w:rFonts w:ascii="Times New Roman" w:eastAsiaTheme="minorEastAsia" w:hAnsi="Times New Roman" w:cs="Times New Roman"/>
          <w:sz w:val="20"/>
          <w:szCs w:val="20"/>
        </w:rPr>
        <w:t xml:space="preserve">reduces </w:t>
      </w:r>
      <w:r w:rsidRPr="009668D3">
        <w:rPr>
          <w:rFonts w:ascii="Times New Roman" w:hAnsi="Times New Roman" w:cs="Times New Roman"/>
          <w:sz w:val="20"/>
          <w:szCs w:val="20"/>
        </w:rPr>
        <w:t>to the interpretable approximation:</w:t>
      </w:r>
      <w:r w:rsidR="00E82C6D" w:rsidRPr="009668D3">
        <w:rPr>
          <w:rFonts w:ascii="Times New Roman" w:hAnsi="Times New Roman" w:cs="Times New Roman"/>
          <w:i/>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m:rPr>
            <m:sty m:val="p"/>
          </m:rPr>
          <w:rPr>
            <w:rFonts w:ascii="Cambria Math" w:hAnsi="Cambria Math" w:cs="Times New Roman"/>
            <w:sz w:val="20"/>
            <w:szCs w:val="20"/>
          </w:rPr>
          <m:t>≈</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η </m:t>
            </m:r>
            <m:r>
              <w:rPr>
                <w:rFonts w:ascii="Cambria Math" w:eastAsiaTheme="minorEastAsia" w:hAnsi="Cambria Math" w:cs="Times New Roman"/>
                <w:sz w:val="20"/>
                <w:szCs w:val="20"/>
              </w:rPr>
              <m:t>×</m:t>
            </m:r>
            <m:r>
              <w:rPr>
                <w:rFonts w:ascii="Cambria Math" w:eastAsiaTheme="minorEastAsia" w:hAnsi="Cambria Math" w:cs="Times New Roman"/>
                <w:sz w:val="20"/>
                <w:szCs w:val="20"/>
              </w:rPr>
              <m:t>δ</m:t>
            </m:r>
            <m:r>
              <w:rPr>
                <w:rFonts w:ascii="Cambria Math" w:eastAsiaTheme="minorEastAsia" w:hAnsi="Cambria Math" w:cs="Times New Roman"/>
                <w:sz w:val="20"/>
                <w:szCs w:val="20"/>
              </w:rPr>
              <m:t>×</m:t>
            </m:r>
            <m:r>
              <w:rPr>
                <w:rFonts w:ascii="Cambria Math" w:eastAsiaTheme="minorEastAsia" w:hAnsi="Cambria Math" w:cs="Times New Roman"/>
                <w:sz w:val="20"/>
                <w:szCs w:val="20"/>
              </w:rPr>
              <m:t> β</m:t>
            </m:r>
            <m:r>
              <w:rPr>
                <w:rFonts w:ascii="Cambria Math" w:eastAsiaTheme="minorEastAsia" w:hAnsi="Cambria Math" w:cs="Times New Roman"/>
                <w:sz w:val="20"/>
                <w:szCs w:val="20"/>
              </w:rPr>
              <m:t>×</m:t>
            </m:r>
            <m:r>
              <w:rPr>
                <w:rFonts w:ascii="Cambria Math" w:eastAsiaTheme="minorEastAsia" w:hAnsi="Cambria Math" w:cs="Times New Roman"/>
                <w:sz w:val="20"/>
                <w:szCs w:val="20"/>
              </w:rPr>
              <m:t> </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ctrlPr>
              <w:rPr>
                <w:rFonts w:ascii="Cambria Math" w:eastAsiaTheme="minorEastAsia" w:hAnsi="Cambria Math" w:cs="Times New Roman"/>
                <w:i/>
                <w:sz w:val="20"/>
                <w:szCs w:val="20"/>
              </w:rPr>
            </m:ctrlPr>
          </m:num>
          <m:den>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h</m:t>
                </m:r>
                <m:r>
                  <w:rPr>
                    <w:rFonts w:ascii="Cambria Math" w:eastAsiaTheme="minorEastAsia" w:hAnsi="Cambria Math" w:cs="Times New Roman"/>
                    <w:sz w:val="20"/>
                    <w:szCs w:val="20"/>
                  </w:rPr>
                  <m:t>×</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e>
            </m:d>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ctrlPr>
                  <w:rPr>
                    <w:rFonts w:ascii="Cambria Math" w:eastAsiaTheme="minorEastAsia" w:hAnsi="Cambria Math" w:cs="Times New Roman"/>
                    <w:sz w:val="20"/>
                    <w:szCs w:val="20"/>
                  </w:rPr>
                </m:ctrlPr>
              </m:e>
              <m:sub>
                <m:r>
                  <w:rPr>
                    <w:rFonts w:ascii="Cambria Math" w:eastAsiaTheme="minorEastAsia" w:hAnsi="Cambria Math" w:cs="Times New Roman"/>
                    <w:sz w:val="20"/>
                    <w:szCs w:val="20"/>
                  </w:rPr>
                  <m:t>F</m:t>
                </m:r>
              </m:sub>
            </m:sSub>
            <m:r>
              <m:rPr>
                <m:sty m:val="p"/>
              </m:rPr>
              <w:rPr>
                <w:rFonts w:ascii="Cambria Math" w:eastAsiaTheme="minorEastAsia" w:hAnsi="Cambria Math" w:cs="Times New Roman"/>
                <w:sz w:val="20"/>
                <w:szCs w:val="20"/>
              </w:rPr>
              <m:t>×</m:t>
            </m:r>
            <m:d>
              <m:dPr>
                <m:ctrlPr>
                  <w:rPr>
                    <w:rFonts w:ascii="Cambria Math" w:eastAsiaTheme="minorEastAsia" w:hAnsi="Cambria Math" w:cs="Times New Roman"/>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+δ+</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t>
                        </m:r>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sub>
                    </m:sSub>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 </m:t>
                    </m:r>
                    <m:r>
                      <w:rPr>
                        <w:rFonts w:ascii="Cambria Math" w:eastAsiaTheme="minorEastAsia" w:hAnsi="Cambria Math" w:cs="Times New Roman"/>
                        <w:sz w:val="20"/>
                        <w:szCs w:val="20"/>
                      </w:rPr>
                      <m:t>×</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ctrlPr>
                      <w:rPr>
                        <w:rFonts w:ascii="Cambria Math" w:eastAsiaTheme="minorEastAsia" w:hAnsi="Cambria Math" w:cs="Times New Roman"/>
                        <w:i/>
                        <w:sz w:val="20"/>
                        <w:szCs w:val="20"/>
                      </w:rPr>
                    </m:ctrlPr>
                  </m:den>
                </m:f>
                <m:ctrlPr>
                  <w:rPr>
                    <w:rFonts w:ascii="Cambria Math" w:eastAsiaTheme="minorEastAsia" w:hAnsi="Cambria Math" w:cs="Times New Roman"/>
                    <w:i/>
                    <w:sz w:val="20"/>
                    <w:szCs w:val="20"/>
                  </w:rPr>
                </m:ctrlPr>
              </m:e>
            </m:d>
            <m:ctrlPr>
              <w:rPr>
                <w:rFonts w:ascii="Cambria Math" w:eastAsiaTheme="minorEastAsia" w:hAnsi="Cambria Math" w:cs="Times New Roman"/>
                <w:i/>
                <w:sz w:val="20"/>
                <w:szCs w:val="20"/>
              </w:rPr>
            </m:ctrlPr>
          </m:den>
        </m:f>
      </m:oMath>
      <w:r w:rsidR="0092146F" w:rsidRPr="009668D3">
        <w:rPr>
          <w:rFonts w:ascii="Times New Roman" w:hAnsi="Times New Roman" w:cs="Times New Roman"/>
          <w:i/>
          <w:sz w:val="20"/>
          <w:szCs w:val="20"/>
        </w:rPr>
        <w:t xml:space="preserve">. </w:t>
      </w:r>
      <w:r w:rsidR="004036B2"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&lt;1</m:t>
        </m:r>
      </m:oMath>
      <w:r w:rsidR="004036B2" w:rsidRPr="009668D3">
        <w:rPr>
          <w:rFonts w:ascii="Times New Roman" w:hAnsi="Times New Roman" w:cs="Times New Roman"/>
          <w:sz w:val="20"/>
          <w:szCs w:val="20"/>
        </w:rPr>
        <w:t xml:space="preserve"> denotes parasitoid dies out eventually in a regime</w:t>
      </w:r>
      <w:r w:rsidR="00C80A99" w:rsidRPr="009668D3">
        <w:rPr>
          <w:rFonts w:ascii="Times New Roman" w:hAnsi="Times New Roman" w:cs="Times New Roman"/>
          <w:sz w:val="20"/>
          <w:szCs w:val="20"/>
        </w:rPr>
        <w:t>, and the equilibrium would be parasite-free</w:t>
      </w:r>
      <w:r w:rsidR="004036B2"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&gt; 1</m:t>
        </m:r>
      </m:oMath>
      <w:r w:rsidR="004036B2" w:rsidRPr="009668D3">
        <w:rPr>
          <w:rFonts w:ascii="Times New Roman" w:hAnsi="Times New Roman" w:cs="Times New Roman"/>
          <w:sz w:val="20"/>
          <w:szCs w:val="20"/>
        </w:rPr>
        <w:t xml:space="preserve"> means the parasitoid can invade and persist, and it represents </w:t>
      </w:r>
      <w:r w:rsidR="00C80A99" w:rsidRPr="009668D3">
        <w:rPr>
          <w:rFonts w:ascii="Times New Roman" w:hAnsi="Times New Roman" w:cs="Times New Roman"/>
          <w:sz w:val="20"/>
          <w:szCs w:val="20"/>
        </w:rPr>
        <w:t xml:space="preserve">the </w:t>
      </w:r>
      <w:r w:rsidR="004036B2" w:rsidRPr="009668D3">
        <w:rPr>
          <w:rFonts w:ascii="Times New Roman" w:hAnsi="Times New Roman" w:cs="Times New Roman"/>
          <w:sz w:val="20"/>
          <w:szCs w:val="20"/>
        </w:rPr>
        <w:t xml:space="preserve">present endemic </w:t>
      </w:r>
      <w:r w:rsidR="004F245F">
        <w:rPr>
          <w:rFonts w:ascii="Times New Roman" w:hAnsi="Times New Roman" w:cs="Times New Roman"/>
          <w:sz w:val="20"/>
          <w:szCs w:val="20"/>
        </w:rPr>
        <w:t>parasitoidism</w:t>
      </w:r>
      <w:r w:rsidR="004036B2" w:rsidRPr="009668D3">
        <w:rPr>
          <w:rFonts w:ascii="Times New Roman" w:hAnsi="Times New Roman" w:cs="Times New Roman"/>
          <w:sz w:val="20"/>
          <w:szCs w:val="20"/>
        </w:rPr>
        <w:t xml:space="preserve"> regime where biological control is effective. Therefore</w:t>
      </w:r>
      <w:r w:rsidR="00E731F7" w:rsidRPr="001E6700">
        <w:rPr>
          <w:rFonts w:ascii="Times New Roman" w:eastAsiaTheme="minorEastAsia" w:hAnsi="Times New Roman" w:cs="Times New Roman"/>
          <w:sz w:val="20"/>
          <w:szCs w:val="20"/>
        </w:rPr>
        <w:t>,</w:t>
      </w:r>
      <w:r w:rsidR="004036B2"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4036B2" w:rsidRPr="009668D3">
        <w:rPr>
          <w:rFonts w:ascii="Times New Roman" w:hAnsi="Times New Roman" w:cs="Times New Roman"/>
          <w:sz w:val="20"/>
          <w:szCs w:val="20"/>
        </w:rPr>
        <w:t xml:space="preserve"> is the transcritical bifurcation boundary, where we can observe </w:t>
      </w:r>
      <w:r w:rsidR="00C80A99" w:rsidRPr="009668D3">
        <w:rPr>
          <w:rFonts w:ascii="Times New Roman" w:hAnsi="Times New Roman" w:cs="Times New Roman"/>
          <w:sz w:val="20"/>
          <w:szCs w:val="20"/>
        </w:rPr>
        <w:t xml:space="preserve">a </w:t>
      </w:r>
      <w:r w:rsidR="004036B2" w:rsidRPr="009668D3">
        <w:rPr>
          <w:rFonts w:ascii="Times New Roman" w:hAnsi="Times New Roman" w:cs="Times New Roman"/>
          <w:sz w:val="20"/>
          <w:szCs w:val="20"/>
        </w:rPr>
        <w:t xml:space="preserve">regime shift. The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4036B2" w:rsidRPr="009668D3">
        <w:rPr>
          <w:rFonts w:ascii="Times New Roman" w:hAnsi="Times New Roman" w:cs="Times New Roman"/>
          <w:sz w:val="20"/>
          <w:szCs w:val="20"/>
        </w:rPr>
        <w:t xml:space="preserve"> is searched by controlling the following model parameters: β</w:t>
      </w:r>
      <m:oMath>
        <m:r>
          <w:rPr>
            <w:rFonts w:ascii="Cambria Math" w:hAnsi="Cambria Math" w:cs="Times New Roman"/>
            <w:sz w:val="20"/>
            <w:szCs w:val="20"/>
          </w:rPr>
          <m:t xml:space="preserve">, η, </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oMath>
      <w:r w:rsidR="004036B2" w:rsidRPr="009668D3">
        <w:rPr>
          <w:rFonts w:ascii="Times New Roman" w:hAnsi="Times New Roman" w:cs="Times New Roman"/>
          <w:sz w:val="20"/>
          <w:szCs w:val="20"/>
        </w:rPr>
        <w:t xml:space="preserve">. </w:t>
      </w:r>
      <w:r w:rsidR="00C80A99" w:rsidRPr="009668D3">
        <w:rPr>
          <w:rFonts w:ascii="Times New Roman" w:hAnsi="Times New Roman" w:cs="Times New Roman"/>
          <w:sz w:val="20"/>
          <w:szCs w:val="20"/>
        </w:rPr>
        <w:t>The rest</w:t>
      </w:r>
      <w:r w:rsidR="004036B2" w:rsidRPr="009668D3">
        <w:rPr>
          <w:rFonts w:ascii="Times New Roman" w:hAnsi="Times New Roman" w:cs="Times New Roman"/>
          <w:sz w:val="20"/>
          <w:szCs w:val="20"/>
        </w:rPr>
        <w:t xml:space="preserve"> of the model parameters are obtained from the literature and listed in </w:t>
      </w:r>
      <w:r w:rsidR="00AA2E71" w:rsidRPr="009668D3">
        <w:rPr>
          <w:rFonts w:ascii="Times New Roman" w:hAnsi="Times New Roman" w:cs="Times New Roman"/>
          <w:sz w:val="20"/>
          <w:szCs w:val="20"/>
        </w:rPr>
        <w:t>Annex</w:t>
      </w:r>
      <w:r w:rsidR="004036B2" w:rsidRPr="009668D3">
        <w:rPr>
          <w:rFonts w:ascii="Times New Roman" w:hAnsi="Times New Roman" w:cs="Times New Roman"/>
          <w:sz w:val="20"/>
          <w:szCs w:val="20"/>
        </w:rPr>
        <w:t xml:space="preserve"> 1.</w:t>
      </w:r>
    </w:p>
    <w:p w14:paraId="1CDC9908" w14:textId="65115F41" w:rsidR="000E2FF5" w:rsidRPr="009668D3" w:rsidRDefault="007717A7" w:rsidP="009668D3">
      <w:pPr>
        <w:pStyle w:val="ListParagraph"/>
        <w:numPr>
          <w:ilvl w:val="0"/>
          <w:numId w:val="7"/>
        </w:num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Phenological scenarios and parameter mapping</w:t>
      </w:r>
    </w:p>
    <w:p w14:paraId="79F3DC6F" w14:textId="382C76F6" w:rsidR="00A8673D" w:rsidRPr="009668D3" w:rsidRDefault="00A8673D" w:rsidP="000E2FF5">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 </w:t>
      </w:r>
      <w:r w:rsidR="007717A7" w:rsidRPr="009668D3">
        <w:rPr>
          <w:rFonts w:ascii="Times New Roman" w:hAnsi="Times New Roman" w:cs="Times New Roman"/>
          <w:sz w:val="20"/>
          <w:szCs w:val="20"/>
        </w:rPr>
        <w:t xml:space="preserve">The nine phenological scenarios described in the Introduction are represented in the model through variation of specific parameters. Table </w:t>
      </w:r>
      <w:r w:rsidR="000A3B97" w:rsidRPr="009668D3">
        <w:rPr>
          <w:rFonts w:ascii="Times New Roman" w:hAnsi="Times New Roman" w:cs="Times New Roman"/>
          <w:sz w:val="20"/>
          <w:szCs w:val="20"/>
        </w:rPr>
        <w:t>S1</w:t>
      </w:r>
      <w:r w:rsidR="007717A7" w:rsidRPr="009668D3">
        <w:rPr>
          <w:rFonts w:ascii="Times New Roman" w:hAnsi="Times New Roman" w:cs="Times New Roman"/>
          <w:sz w:val="20"/>
          <w:szCs w:val="20"/>
        </w:rPr>
        <w:t xml:space="preserve"> maps each scenario to its climate driver, the affected model parameter(s), the baseline value, and the perturbed range. Each range is justified by published literature or biologically constrained priors (Annex 1). In the numerical analyses, the effect of each scenario is first assessed individually (one-at-a-time variation holding other parameters at baseline) to isolate the contribution of each phenology, and then jointly through full Latin Hypercube Sampling across all parameter ranges to capture interactions among scenarios.</w:t>
      </w:r>
    </w:p>
    <w:p w14:paraId="34201884" w14:textId="6D98D106" w:rsidR="004036B2" w:rsidRPr="009668D3" w:rsidRDefault="004036B2"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2.</w:t>
      </w:r>
      <w:r w:rsidR="00757681" w:rsidRPr="009668D3">
        <w:rPr>
          <w:rFonts w:ascii="Times New Roman" w:hAnsi="Times New Roman" w:cs="Times New Roman"/>
          <w:b/>
          <w:sz w:val="20"/>
          <w:szCs w:val="20"/>
        </w:rPr>
        <w:t>3</w:t>
      </w:r>
      <w:r w:rsidRPr="009668D3">
        <w:rPr>
          <w:rFonts w:ascii="Times New Roman" w:hAnsi="Times New Roman" w:cs="Times New Roman"/>
          <w:b/>
          <w:sz w:val="20"/>
          <w:szCs w:val="20"/>
        </w:rPr>
        <w:t xml:space="preserve"> Stability Analyses</w:t>
      </w:r>
    </w:p>
    <w:p w14:paraId="27D85E33" w14:textId="4FE84A60" w:rsidR="004036B2" w:rsidRPr="009668D3" w:rsidRDefault="00AE0201"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long-term stability of this system is determined by the annual recurrence map rather than by the within-season ordinary differential equation (ODE) considered in isolation. The within-season ODE (Equations 1</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4) </w:t>
      </w:r>
      <w:r w:rsidR="00AA2E71" w:rsidRPr="009668D3">
        <w:rPr>
          <w:rFonts w:ascii="Times New Roman" w:hAnsi="Times New Roman" w:cs="Times New Roman"/>
          <w:sz w:val="20"/>
          <w:szCs w:val="20"/>
        </w:rPr>
        <w:t>characterises</w:t>
      </w:r>
      <w:r w:rsidRPr="009668D3">
        <w:rPr>
          <w:rFonts w:ascii="Times New Roman" w:hAnsi="Times New Roman" w:cs="Times New Roman"/>
          <w:sz w:val="20"/>
          <w:szCs w:val="20"/>
        </w:rPr>
        <w:t xml:space="preserve"> loss and accumulation processes over a finite interval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Setting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dS</m:t>
            </m:r>
            <m:r>
              <w:rPr>
                <w:rFonts w:ascii="Cambria Math" w:eastAsiaTheme="minorEastAsia" w:hAnsi="Cambria Math" w:cs="Times New Roman"/>
                <w:sz w:val="20"/>
                <w:szCs w:val="20"/>
              </w:rPr>
              <m:t>(τ)</m:t>
            </m:r>
          </m:num>
          <m:den>
            <m:r>
              <w:rPr>
                <w:rFonts w:ascii="Cambria Math" w:eastAsiaTheme="minorEastAsia" w:hAnsi="Cambria Math" w:cs="Times New Roman"/>
                <w:sz w:val="20"/>
                <w:szCs w:val="20"/>
              </w:rPr>
              <m:t>dτ</m:t>
            </m:r>
          </m:den>
        </m:f>
        <m:r>
          <w:rPr>
            <w:rFonts w:ascii="Cambria Math" w:hAnsi="Cambria Math" w:cs="Times New Roman"/>
            <w:sz w:val="20"/>
            <w:szCs w:val="20"/>
          </w:rPr>
          <m:t xml:space="preserve"> =</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m:t>
            </m:r>
            <m:r>
              <w:rPr>
                <w:rFonts w:ascii="Cambria Math" w:eastAsiaTheme="minorEastAsia" w:hAnsi="Cambria Math" w:cs="Times New Roman"/>
                <w:sz w:val="20"/>
                <w:szCs w:val="20"/>
              </w:rPr>
              <m:t>(τ)</m:t>
            </m:r>
          </m:num>
          <m:den>
            <m:r>
              <w:rPr>
                <w:rFonts w:ascii="Cambria Math" w:eastAsiaTheme="minorEastAsia" w:hAnsi="Cambria Math" w:cs="Times New Roman"/>
                <w:sz w:val="20"/>
                <w:szCs w:val="20"/>
              </w:rPr>
              <m:t>dτ</m:t>
            </m:r>
          </m:den>
        </m:f>
        <m:r>
          <w:rPr>
            <w:rFonts w:ascii="Cambria Math"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r>
              <w:rPr>
                <w:rFonts w:ascii="Cambria Math" w:eastAsiaTheme="minorEastAsia" w:hAnsi="Cambria Math" w:cs="Times New Roman"/>
                <w:sz w:val="20"/>
                <w:szCs w:val="20"/>
              </w:rPr>
              <m:t>(τ)</m:t>
            </m:r>
          </m:num>
          <m:den>
            <m:r>
              <w:rPr>
                <w:rFonts w:ascii="Cambria Math" w:eastAsiaTheme="minorEastAsia" w:hAnsi="Cambria Math" w:cs="Times New Roman"/>
                <w:sz w:val="20"/>
                <w:szCs w:val="20"/>
              </w:rPr>
              <m:t>dτ</m:t>
            </m:r>
          </m:den>
        </m:f>
        <m:r>
          <w:rPr>
            <w:rFonts w:ascii="Cambria Math" w:hAnsi="Cambria Math" w:cs="Times New Roman"/>
            <w:sz w:val="20"/>
            <w:szCs w:val="20"/>
          </w:rPr>
          <m:t>= 0</m:t>
        </m:r>
      </m:oMath>
      <w:r w:rsidRPr="009668D3">
        <w:rPr>
          <w:rFonts w:ascii="Times New Roman" w:hAnsi="Times New Roman" w:cs="Times New Roman"/>
          <w:sz w:val="20"/>
          <w:szCs w:val="20"/>
        </w:rPr>
        <w:t xml:space="preserve"> produces within-season pseudo-equilibria, which do not represent ecologically relevant steady states, since the system is reset annually through recruitment, overwinter survival, and foliage recovery equations (5</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8). Multi-year dynamics, including outbreak recurrence, parasitoid persistence, and tipping risk, are governed by the annual map. The stability analysis is analytically well-posed </w:t>
      </w:r>
      <w:r w:rsidR="000C1AD6" w:rsidRPr="001E6700">
        <w:rPr>
          <w:rFonts w:ascii="Times New Roman" w:eastAsiaTheme="minorEastAsia" w:hAnsi="Times New Roman" w:cs="Times New Roman"/>
          <w:sz w:val="20"/>
          <w:szCs w:val="20"/>
        </w:rPr>
        <w:t xml:space="preserve">for our model </w:t>
      </w:r>
      <w:r w:rsidRPr="009668D3">
        <w:rPr>
          <w:rFonts w:ascii="Times New Roman" w:hAnsi="Times New Roman" w:cs="Times New Roman"/>
          <w:sz w:val="20"/>
          <w:szCs w:val="20"/>
        </w:rPr>
        <w:t xml:space="preserve">but does not admit a closed-form solution. Specifically, the annual map G and its structure, existence conditions for fixed points, the Jacobian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of the annual map (derived via the chain rule and variational equations),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as the dominant eigenvalue of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local stability criteria (spectral radius less than one), and bifurcation conditions (eigenvalue crossing the unit circle) are all derived analytically. In contrast, the seasonal flow </w:t>
      </w:r>
      <m:oMath>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and its derivatives are evaluated numerically, as the Holling Type II functional responses render the within-season ODE nonlinear and analytically intractable. This approach, which combines analytic stability conditions with numerical evaluation of the seasonal flow, is standard and mathematically rigorous for hybrid eco-epidemic models (Kot, 2001; Kuznetsov, 2004). The analysis proceeds through </w:t>
      </w:r>
      <w:r w:rsidR="004543AC" w:rsidRPr="009668D3">
        <w:rPr>
          <w:rFonts w:ascii="Times New Roman" w:hAnsi="Times New Roman" w:cs="Times New Roman"/>
          <w:sz w:val="20"/>
          <w:szCs w:val="20"/>
        </w:rPr>
        <w:t>a 10-step framework: 1. Definition</w:t>
      </w:r>
      <w:r w:rsidRPr="009668D3">
        <w:rPr>
          <w:rFonts w:ascii="Times New Roman" w:hAnsi="Times New Roman" w:cs="Times New Roman"/>
          <w:sz w:val="20"/>
          <w:szCs w:val="20"/>
        </w:rPr>
        <w:t xml:space="preserve"> the annual state and the seasonal flow operator, 2. Construction of the annual recurrence map 3. Identification of fixed points (annual equilibria) of the map 4. Assessing local stability of annual fixed points via the Jacobian of the annual map 5. Derivation of the seasonal flow via variational (sensitivity) equations. 6. Calculation of Parasitoid invasion threshold from the annual map 7.</w:t>
      </w:r>
      <w:r w:rsidR="00507442" w:rsidRPr="009668D3">
        <w:rPr>
          <w:rFonts w:ascii="Times New Roman" w:hAnsi="Times New Roman" w:cs="Times New Roman"/>
          <w:sz w:val="20"/>
          <w:szCs w:val="20"/>
        </w:rPr>
        <w:t xml:space="preserve"> Identification of tipping points as bifurcation boundaries of the annual map. 8. Assessing Optimal control via Pontryagin's Maximum Principle and the </w:t>
      </w:r>
      <w:r w:rsidR="004543AC" w:rsidRPr="009668D3">
        <w:rPr>
          <w:rFonts w:ascii="Times New Roman" w:hAnsi="Times New Roman" w:cs="Times New Roman"/>
          <w:sz w:val="20"/>
          <w:szCs w:val="20"/>
        </w:rPr>
        <w:t>forward-backwards</w:t>
      </w:r>
      <w:r w:rsidR="00507442" w:rsidRPr="009668D3">
        <w:rPr>
          <w:rFonts w:ascii="Times New Roman" w:hAnsi="Times New Roman" w:cs="Times New Roman"/>
          <w:sz w:val="20"/>
          <w:szCs w:val="20"/>
        </w:rPr>
        <w:t xml:space="preserve"> sweep method </w:t>
      </w:r>
      <w:r w:rsidR="00D34DD3" w:rsidRPr="009668D3">
        <w:rPr>
          <w:rFonts w:ascii="Times New Roman" w:hAnsi="Times New Roman" w:cs="Times New Roman"/>
          <w:sz w:val="20"/>
          <w:szCs w:val="20"/>
        </w:rPr>
        <w:t>9</w:t>
      </w:r>
      <w:r w:rsidR="00507442" w:rsidRPr="009668D3">
        <w:rPr>
          <w:rFonts w:ascii="Times New Roman" w:hAnsi="Times New Roman" w:cs="Times New Roman"/>
          <w:sz w:val="20"/>
          <w:szCs w:val="20"/>
        </w:rPr>
        <w:t xml:space="preserve">. Searching Tipping under optimal control </w:t>
      </w:r>
      <w:r w:rsidR="00D34DD3" w:rsidRPr="009668D3">
        <w:rPr>
          <w:rFonts w:ascii="Times New Roman" w:hAnsi="Times New Roman" w:cs="Times New Roman"/>
          <w:sz w:val="20"/>
          <w:szCs w:val="20"/>
        </w:rPr>
        <w:t>10</w:t>
      </w:r>
      <w:r w:rsidR="00507442" w:rsidRPr="009668D3">
        <w:rPr>
          <w:rFonts w:ascii="Times New Roman" w:hAnsi="Times New Roman" w:cs="Times New Roman"/>
          <w:sz w:val="20"/>
          <w:szCs w:val="20"/>
        </w:rPr>
        <w:t xml:space="preserve">. Assessing robustness under parameter uncertainty. The detailed calculation of these steps </w:t>
      </w:r>
      <w:r w:rsidR="004543AC" w:rsidRPr="009668D3">
        <w:rPr>
          <w:rFonts w:ascii="Times New Roman" w:hAnsi="Times New Roman" w:cs="Times New Roman"/>
          <w:sz w:val="20"/>
          <w:szCs w:val="20"/>
        </w:rPr>
        <w:t>is</w:t>
      </w:r>
      <w:r w:rsidR="00507442" w:rsidRPr="009668D3">
        <w:rPr>
          <w:rFonts w:ascii="Times New Roman" w:hAnsi="Times New Roman" w:cs="Times New Roman"/>
          <w:sz w:val="20"/>
          <w:szCs w:val="20"/>
        </w:rPr>
        <w:t xml:space="preserve"> in Annex 2, and has been generated via Mathematica, MathCad, and manual calculation.</w:t>
      </w:r>
    </w:p>
    <w:p w14:paraId="723756CB" w14:textId="7D197543" w:rsidR="00684C73" w:rsidRPr="009668D3" w:rsidRDefault="00684C7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stability analysis addresses the three study objectives through a stepwise analytical structure. For Objective 1 (O1), all ecologically distinct fixed points of the annual map are identified (Step 3). Their local stability is classified using the Jacobian eigenvalues (Step 4).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is then computed (Step 6). The analysis scans the full parameter space to determine the frequency of each equilibrium type across phenological scenarios. The equilibrium with the highest frequency is designated as the most probable equilibrium. Objective 2 (O2) is addressed by tracking eigenvalue magnitudes and bifurcation boundaries across parameter space (Step 7). The regime shift probability is computed as the fraction of sampled parameter sets converging to an alternative equilibrium. Parameters are ranked by their influence on bifurcation proximity using the PRCC of the dominant eigenvalue magnitude (Step 10). Parameters identified as drivers of instability become candidate early warning signals if the corresponding phenology is empirically observable and its variation matches the destabilising parameter direction. Objective 3 (O3) is addressed by optimal control analysis (Step 8) and a three-scenario comparison (Step 9). This compares resistance, resilience, stability, and cost outcomes across parasitoid-only, combined parasitoid-and-bird, and full integrated control, applying a lexicographic decision rule: feasibility first, then minimum cost.</w:t>
      </w:r>
    </w:p>
    <w:p w14:paraId="031DDEBC" w14:textId="03EFF483" w:rsidR="00D578B6" w:rsidRPr="009668D3" w:rsidRDefault="00757681"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2.4 </w:t>
      </w:r>
      <w:r w:rsidR="000875CC" w:rsidRPr="009668D3">
        <w:rPr>
          <w:rFonts w:ascii="Times New Roman" w:hAnsi="Times New Roman" w:cs="Times New Roman"/>
          <w:b/>
          <w:sz w:val="20"/>
          <w:szCs w:val="20"/>
        </w:rPr>
        <w:t>Definitions of resistance, resilience, and tipping during stability analyses</w:t>
      </w:r>
      <w:r w:rsidR="000875CC" w:rsidRPr="009668D3">
        <w:rPr>
          <w:rFonts w:ascii="Times New Roman" w:hAnsi="Times New Roman" w:cs="Times New Roman"/>
          <w:sz w:val="20"/>
          <w:szCs w:val="20"/>
        </w:rPr>
        <w:t xml:space="preserve"> </w:t>
      </w:r>
    </w:p>
    <w:p w14:paraId="105B0185" w14:textId="6C2CFAE0" w:rsidR="00F9663D" w:rsidRPr="009668D3" w:rsidRDefault="00F9663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In this study, the framework of Van Meerbeek et al. (2021) is used to structure the interpretation of stability, not to replace the model-specific metrics required by the present eco-epidemic system. Their synthesis treats ecological stability as a set of complementary properties that describe how a system responds to perturbation relative to a reference condition and its domain of attraction. We therefore map those general properties onto the quantities generated by our annual map.</w:t>
      </w:r>
      <w:r w:rsidR="002F0864" w:rsidRPr="009668D3">
        <w:rPr>
          <w:rFonts w:ascii="Times New Roman" w:hAnsi="Times New Roman" w:cs="Times New Roman"/>
          <w:sz w:val="20"/>
          <w:szCs w:val="20"/>
        </w:rPr>
        <w:t xml:space="preserve"> Resistance is represented by suppression of outbreak intensity, measured through equilibrium defoliation and peak larval load; resilience is represented by the rate of return to the annual equilibrium, measured through the dominant eigenvalue magnitude and return time; and tipping is evaluated from loss of local stability and from ecologically relevant functional thresholds.</w:t>
      </w:r>
      <w:r w:rsidRPr="009668D3">
        <w:rPr>
          <w:rFonts w:ascii="Times New Roman" w:hAnsi="Times New Roman" w:cs="Times New Roman"/>
          <w:sz w:val="20"/>
          <w:szCs w:val="20"/>
        </w:rPr>
        <w:t xml:space="preserve"> The parasitoid invasion threshold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is included as a complementary regime-structure metric for Objective 2, rather than as a direct Van Meerbeek stability component</w:t>
      </w:r>
      <w:r w:rsidR="007717A7" w:rsidRPr="009668D3">
        <w:rPr>
          <w:rFonts w:ascii="Times New Roman" w:hAnsi="Times New Roman" w:cs="Times New Roman"/>
          <w:sz w:val="20"/>
          <w:szCs w:val="20"/>
        </w:rPr>
        <w:t>.</w:t>
      </w:r>
    </w:p>
    <w:p w14:paraId="0F1E1B8F" w14:textId="3D912E23" w:rsidR="007742C1" w:rsidRPr="009668D3" w:rsidRDefault="007717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 We operationalise the first </w:t>
      </w:r>
      <w:r w:rsidR="002F0864" w:rsidRPr="009668D3">
        <w:rPr>
          <w:rFonts w:ascii="Times New Roman" w:hAnsi="Times New Roman" w:cs="Times New Roman"/>
          <w:sz w:val="20"/>
          <w:szCs w:val="20"/>
        </w:rPr>
        <w:t>two</w:t>
      </w:r>
      <w:r w:rsidRPr="009668D3">
        <w:rPr>
          <w:rFonts w:ascii="Times New Roman" w:hAnsi="Times New Roman" w:cs="Times New Roman"/>
          <w:sz w:val="20"/>
          <w:szCs w:val="20"/>
        </w:rPr>
        <w:t xml:space="preserve"> components for the hybrid seasonal</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annual model as follows. All metrics are standardised against a reference state and bounded between −1 and 1, enabling comparison across phenological scenarios. We apply these standardised metrics to model-simulated trajectories from the annual recurrence map, treating </w:t>
      </w:r>
      <w:r w:rsidR="002F0864" w:rsidRPr="009668D3">
        <w:rPr>
          <w:rFonts w:ascii="Times New Roman" w:hAnsi="Times New Roman" w:cs="Times New Roman"/>
          <w:sz w:val="20"/>
          <w:szCs w:val="20"/>
        </w:rPr>
        <w:t xml:space="preserve">the map output as the system time series from which the reference value and perturbation response are extracted. </w:t>
      </w:r>
      <w:r w:rsidRPr="009668D3">
        <w:rPr>
          <w:rFonts w:ascii="Times New Roman" w:hAnsi="Times New Roman" w:cs="Times New Roman"/>
          <w:sz w:val="20"/>
          <w:szCs w:val="20"/>
        </w:rPr>
        <w:t xml:space="preserve">Reference state. For each system variable, the reference state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9668D3">
        <w:rPr>
          <w:rFonts w:ascii="Times New Roman" w:hAnsi="Times New Roman" w:cs="Times New Roman"/>
          <w:sz w:val="20"/>
          <w:szCs w:val="20"/>
        </w:rPr>
        <w:t xml:space="preserve"> is defined as its value at the annual fixed point </w:t>
      </w:r>
      <m:oMath>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 xml:space="preserve">= </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m:t>
                </m:r>
              </m:sup>
            </m:sSup>
          </m:e>
        </m:d>
      </m:oMath>
      <w:r w:rsidRPr="009668D3">
        <w:rPr>
          <w:rFonts w:ascii="Times New Roman" w:hAnsi="Times New Roman" w:cs="Times New Roman"/>
          <w:sz w:val="20"/>
          <w:szCs w:val="20"/>
        </w:rPr>
        <w:t xml:space="preserve">. Specifically, resistance is assessed using cumulative defoliation </w:t>
      </w:r>
      <w:r w:rsidR="00000000" w:rsidRPr="001E6700">
        <w:rPr>
          <w:rFonts w:ascii="Times New Roman" w:eastAsiaTheme="minorEastAsia" w:hAnsi="Times New Roman" w:cs="Times New Roman"/>
          <w:sz w:val="20"/>
          <w:szCs w:val="20"/>
        </w:rPr>
        <w:t>D</w:t>
      </w:r>
      <w:r w:rsidRPr="009668D3">
        <w:rPr>
          <w:rFonts w:ascii="Times New Roman" w:hAnsi="Times New Roman" w:cs="Times New Roman"/>
          <w:sz w:val="20"/>
          <w:szCs w:val="20"/>
        </w:rPr>
        <w:t xml:space="preserve"> as the system variable, with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 </m:t>
        </m:r>
        <m:sSup>
          <m:sSupPr>
            <m:ctrlPr>
              <w:rPr>
                <w:rFonts w:ascii="Cambria Math" w:hAnsi="Cambria Math" w:cs="Times New Roman"/>
                <w:i/>
                <w:sz w:val="20"/>
                <w:szCs w:val="20"/>
              </w:rPr>
            </m:ctrlPr>
          </m:sSupPr>
          <m:e>
            <m:r>
              <w:rPr>
                <w:rFonts w:ascii="Cambria Math" w:hAnsi="Cambria Math" w:cs="Times New Roman"/>
                <w:sz w:val="20"/>
                <w:szCs w:val="20"/>
              </w:rPr>
              <m:t>D</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(equilibrium defoliation</w:t>
      </w:r>
      <w:r w:rsidR="00F3266B" w:rsidRPr="001E6700">
        <w:rPr>
          <w:rFonts w:ascii="Times New Roman" w:eastAsiaTheme="minorEastAsia" w:hAnsi="Times New Roman" w:cs="Times New Roman"/>
          <w:sz w:val="20"/>
          <w:szCs w:val="20"/>
        </w:rPr>
        <w:t xml:space="preserve"> defined by </w:t>
      </w:r>
      <w:r w:rsidR="00C951BD" w:rsidRPr="001E6700">
        <w:rPr>
          <w:rFonts w:ascii="Times New Roman" w:eastAsiaTheme="minorEastAsia" w:hAnsi="Times New Roman" w:cs="Times New Roman"/>
          <w:sz w:val="20"/>
          <w:szCs w:val="20"/>
        </w:rPr>
        <w:t>mean</w:t>
      </w:r>
      <w:r w:rsidR="00F3266B" w:rsidRPr="001E6700">
        <w:rPr>
          <w:rFonts w:ascii="Times New Roman" w:eastAsiaTheme="minorEastAsia" w:hAnsi="Times New Roman" w:cs="Times New Roman"/>
          <w:sz w:val="20"/>
          <w:szCs w:val="20"/>
        </w:rPr>
        <w:t xml:space="preserve"> of simulated recurrent defoliation over</w:t>
      </w:r>
      <w:r w:rsidR="00F3266B" w:rsidRPr="009668D3">
        <w:rPr>
          <w:rFonts w:ascii="Times New Roman" w:hAnsi="Times New Roman" w:cs="Times New Roman"/>
          <w:sz w:val="20"/>
          <w:szCs w:val="20"/>
        </w:rPr>
        <w:t xml:space="preserve"> the </w:t>
      </w:r>
      <w:r w:rsidR="00F3266B" w:rsidRPr="001E6700">
        <w:rPr>
          <w:rFonts w:ascii="Times New Roman" w:eastAsiaTheme="minorEastAsia" w:hAnsi="Times New Roman" w:cs="Times New Roman"/>
          <w:sz w:val="20"/>
          <w:szCs w:val="20"/>
        </w:rPr>
        <w:t>year</w:t>
      </w:r>
      <w:r w:rsidRPr="001E6700">
        <w:rPr>
          <w:rFonts w:ascii="Times New Roman" w:eastAsiaTheme="minorEastAsia" w:hAnsi="Times New Roman" w:cs="Times New Roman"/>
          <w:sz w:val="20"/>
          <w:szCs w:val="20"/>
        </w:rPr>
        <w:t xml:space="preserve">); resilience is assessed using carrying capacity K as the </w:t>
      </w:r>
      <w:r w:rsidRPr="009668D3">
        <w:rPr>
          <w:rFonts w:ascii="Times New Roman" w:hAnsi="Times New Roman" w:cs="Times New Roman"/>
          <w:sz w:val="20"/>
          <w:szCs w:val="20"/>
        </w:rPr>
        <w:t xml:space="preserve">system variable, with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p>
          <m:sSupPr>
            <m:ctrlPr>
              <w:rPr>
                <w:rFonts w:ascii="Cambria Math" w:hAnsi="Cambria Math" w:cs="Times New Roman"/>
                <w:sz w:val="20"/>
                <w:szCs w:val="20"/>
              </w:rPr>
            </m:ctrlPr>
          </m:sSupPr>
          <m:e>
            <m:r>
              <w:rPr>
                <w:rFonts w:ascii="Cambria Math" w:hAnsi="Cambria Math" w:cs="Times New Roman"/>
                <w:sz w:val="20"/>
                <w:szCs w:val="20"/>
              </w:rPr>
              <m:t>K</m:t>
            </m:r>
            <m:ctrlPr>
              <w:rPr>
                <w:rFonts w:ascii="Cambria Math" w:hAnsi="Cambria Math" w:cs="Times New Roman"/>
                <w:i/>
                <w:sz w:val="20"/>
                <w:szCs w:val="20"/>
              </w:rPr>
            </m:ctrlP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(equilibrium carrying capacity). Different system variables may have different reference states, consistent with the multidimensional treatment of stability (Donohue et al., 2016; Hillebrand et al., 2018). Resistance is the capacity of the system to withstand change during a perturbation (Van Meerbeek et al., 2021). It is measured by the standardised index: </w:t>
      </w:r>
      <m:oMath>
        <m:r>
          <w:rPr>
            <w:rFonts w:ascii="Cambria Math" w:hAnsi="Cambria Math" w:cs="Times New Roman"/>
            <w:sz w:val="20"/>
            <w:szCs w:val="20"/>
          </w:rPr>
          <m:t>Resistance = 1 -</m:t>
        </m:r>
        <m:f>
          <m:fPr>
            <m:ctrlPr>
              <w:rPr>
                <w:rFonts w:ascii="Cambria Math" w:hAnsi="Cambria Math" w:cs="Times New Roman"/>
                <w:i/>
                <w:sz w:val="20"/>
                <w:szCs w:val="20"/>
              </w:rPr>
            </m:ctrlPr>
          </m:fPr>
          <m:num>
            <m:r>
              <w:rPr>
                <w:rFonts w:ascii="Cambria Math" w:hAnsi="Cambria Math" w:cs="Times New Roman"/>
                <w:sz w:val="20"/>
                <w:szCs w:val="20"/>
              </w:rPr>
              <m:t>2</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e>
            </m:d>
          </m:num>
          <m:den>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e>
            </m:d>
          </m:den>
        </m:f>
        <m:r>
          <w:rPr>
            <w:rFonts w:ascii="Cambria Math" w:hAnsi="Cambria Math" w:cs="Times New Roman"/>
            <w:sz w:val="20"/>
            <w:szCs w:val="20"/>
          </w:rPr>
          <m:t xml:space="preserve"> </m:t>
        </m:r>
      </m:oMath>
      <w:r w:rsidRPr="009668D3">
        <w:rPr>
          <w:rFonts w:ascii="Times New Roman" w:hAnsi="Times New Roman" w:cs="Times New Roman"/>
          <w:sz w:val="20"/>
          <w:szCs w:val="20"/>
        </w:rPr>
        <w:t xml:space="preserve">(R1), where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oMath>
      <w:r w:rsidRPr="009668D3">
        <w:rPr>
          <w:rFonts w:ascii="Times New Roman" w:hAnsi="Times New Roman" w:cs="Times New Roman"/>
          <w:sz w:val="20"/>
          <w:szCs w:val="20"/>
        </w:rPr>
        <w:t xml:space="preserve"> is the value of the system variable at maximum deviation following a standardised pulse perturbation to the annual map (displacement of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by ±</w:t>
      </w:r>
      <w:r w:rsidR="0092146F" w:rsidRPr="009668D3">
        <w:rPr>
          <w:rFonts w:ascii="Times New Roman" w:hAnsi="Times New Roman" w:cs="Times New Roman"/>
          <w:sz w:val="20"/>
          <w:szCs w:val="20"/>
        </w:rPr>
        <w:t xml:space="preserve"> </w:t>
      </w:r>
      <w:r w:rsidRPr="009668D3">
        <w:rPr>
          <w:rFonts w:ascii="Times New Roman" w:hAnsi="Times New Roman" w:cs="Times New Roman"/>
          <w:sz w:val="20"/>
          <w:szCs w:val="20"/>
        </w:rPr>
        <w:t xml:space="preserve">δ% of </w:t>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with δ = 20% as the baseline perturbation magnitude). A resistance value of 1 indicates no deviation from the reference; 0 indicates deviation equal to the reference value. As complementary indicators, we also report the equilibrium cumulative defoliation D* and the peak within-season total larval density </w:t>
      </w:r>
      <m:oMath>
        <m:r>
          <w:rPr>
            <w:rFonts w:ascii="Cambria Math" w:hAnsi="Cambria Math" w:cs="Times New Roman"/>
            <w:sz w:val="20"/>
            <w:szCs w:val="20"/>
          </w:rPr>
          <m:t>ma</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τ</m:t>
            </m:r>
          </m:sub>
        </m:sSub>
        <m:r>
          <w:rPr>
            <w:rFonts w:ascii="Cambria Math" w:hAnsi="Cambria Math" w:cs="Times New Roman"/>
            <w:sz w:val="20"/>
            <w:szCs w:val="20"/>
          </w:rPr>
          <m:t xml:space="preserve">[S(τ)+I(τ)] </m:t>
        </m:r>
      </m:oMath>
      <w:r w:rsidRPr="009668D3">
        <w:rPr>
          <w:rFonts w:ascii="Times New Roman" w:hAnsi="Times New Roman" w:cs="Times New Roman"/>
          <w:sz w:val="20"/>
          <w:szCs w:val="20"/>
        </w:rPr>
        <w:t xml:space="preserve">along the seasonal trajectory starting from fixed-point initial conditions. Resilience is the rate at which the system returns to its reference state after a perturbation (Van Meerbeek et al., 2021; Pimm, 1984). It is measured by the standardised index: </w:t>
      </w:r>
      <m:oMath>
        <m:r>
          <w:rPr>
            <w:rFonts w:ascii="Cambria Math" w:hAnsi="Cambria Math" w:cs="Times New Roman"/>
            <w:sz w:val="20"/>
            <w:szCs w:val="20"/>
          </w:rPr>
          <m:t>Resilience =</m:t>
        </m:r>
        <m:f>
          <m:fPr>
            <m:ctrlPr>
              <w:rPr>
                <w:rFonts w:ascii="Cambria Math" w:hAnsi="Cambria Math" w:cs="Times New Roman"/>
                <w:i/>
                <w:sz w:val="20"/>
                <w:szCs w:val="20"/>
              </w:rPr>
            </m:ctrlPr>
          </m:fPr>
          <m:num>
            <m:r>
              <w:rPr>
                <w:rFonts w:ascii="Cambria Math" w:hAnsi="Cambria Math" w:cs="Times New Roman"/>
                <w:sz w:val="20"/>
                <w:szCs w:val="20"/>
              </w:rPr>
              <m:t>2</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e>
            </m:d>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Y</m:t>
                    </m:r>
                  </m:sub>
                </m:sSub>
              </m:e>
            </m:d>
          </m:den>
        </m:f>
        <m:r>
          <w:rPr>
            <w:rFonts w:ascii="Cambria Math" w:hAnsi="Cambria Math" w:cs="Times New Roman"/>
            <w:sz w:val="20"/>
            <w:szCs w:val="20"/>
          </w:rPr>
          <m:t>- 1</m:t>
        </m:r>
      </m:oMath>
      <w:r w:rsidRPr="009668D3">
        <w:rPr>
          <w:rFonts w:ascii="Times New Roman" w:hAnsi="Times New Roman" w:cs="Times New Roman"/>
          <w:sz w:val="20"/>
          <w:szCs w:val="20"/>
        </w:rPr>
        <w:t xml:space="preserve"> (R2), where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oMath>
      <w:r w:rsidRPr="009668D3">
        <w:rPr>
          <w:rFonts w:ascii="Times New Roman" w:hAnsi="Times New Roman" w:cs="Times New Roman"/>
          <w:sz w:val="20"/>
          <w:szCs w:val="20"/>
        </w:rPr>
        <w:t xml:space="preserve"> is the value of the system variable at maximum deviation from the reference (i.e.,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oMath>
      <w:r w:rsidRPr="009668D3">
        <w:rPr>
          <w:rFonts w:ascii="Times New Roman" w:hAnsi="Times New Roman" w:cs="Times New Roman"/>
          <w:sz w:val="20"/>
          <w:szCs w:val="20"/>
        </w:rPr>
        <w:t xml:space="preserve"> from the resistance measurement),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Y</m:t>
            </m:r>
          </m:sub>
        </m:sSub>
      </m:oMath>
      <w:r w:rsidRPr="009668D3">
        <w:rPr>
          <w:rFonts w:ascii="Times New Roman" w:hAnsi="Times New Roman" w:cs="Times New Roman"/>
          <w:sz w:val="20"/>
          <w:szCs w:val="20"/>
        </w:rPr>
        <w:t xml:space="preserve"> is the value after Y annual iterations following the perturbation. We set Y = 5 annual cycles as the standardised recovery window, corresponding to a management-relevant planning horizon. A resilience value of 1 indicates full recovery within Y iterations; 0 indicates no net recovery. As complementary indicators, we report the dominant eigenvalue magnitude </w:t>
      </w:r>
      <m:oMath>
        <m:sSup>
          <m:sSupPr>
            <m:ctrlPr>
              <w:rPr>
                <w:rFonts w:ascii="Cambria Math" w:hAnsi="Cambria Math" w:cs="Times New Roman"/>
                <w:i/>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r>
          <w:rPr>
            <w:rFonts w:ascii="Cambria Math" w:hAnsi="Cambria Math" w:cs="Times New Roman"/>
            <w:sz w:val="20"/>
            <w:szCs w:val="20"/>
          </w:rPr>
          <m:t xml:space="preserve"> = ma</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e>
                </m:d>
              </m:e>
            </m:d>
          </m:e>
        </m:d>
        <m:r>
          <w:rPr>
            <w:rFonts w:ascii="Cambria Math" w:hAnsi="Cambria Math" w:cs="Times New Roman"/>
            <w:sz w:val="20"/>
            <w:szCs w:val="20"/>
          </w:rPr>
          <m:t xml:space="preserve"> </m:t>
        </m:r>
      </m:oMath>
      <w:r w:rsidRPr="009668D3">
        <w:rPr>
          <w:rFonts w:ascii="Times New Roman" w:hAnsi="Times New Roman" w:cs="Times New Roman"/>
          <w:sz w:val="20"/>
          <w:szCs w:val="20"/>
        </w:rPr>
        <w:t xml:space="preserve">of the annual-map Jacobian at the fixed point and the characteristic return time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return</m:t>
            </m:r>
          </m:sub>
        </m:sSub>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ln</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e>
            </m:d>
          </m:den>
        </m:f>
      </m:oMath>
      <w:r w:rsidRPr="009668D3">
        <w:rPr>
          <w:rFonts w:ascii="Times New Roman" w:hAnsi="Times New Roman" w:cs="Times New Roman"/>
          <w:sz w:val="20"/>
          <w:szCs w:val="20"/>
        </w:rPr>
        <w:t xml:space="preserve">, which captures asymptotic (linearised) resilience. Eigenvalue-based and trajectory-based resilience provide complementary information: the former reflects the local linear return rate, while the latter captures nonlinear dynamics far from the fixed point </w:t>
      </w:r>
      <w:r w:rsidR="00583262" w:rsidRPr="009668D3">
        <w:rPr>
          <w:rFonts w:ascii="Times New Roman" w:hAnsi="Times New Roman" w:cs="Times New Roman"/>
          <w:sz w:val="20"/>
          <w:szCs w:val="20"/>
        </w:rPr>
        <w:t>(Arnoldi et al., 2016; Medeiros et al., 2021</w:t>
      </w:r>
      <w:r w:rsidR="007742C1"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p>
    <w:p w14:paraId="5BC6C9A5" w14:textId="203324DA" w:rsidR="00CA44A1" w:rsidRDefault="00DE1444" w:rsidP="00CC2139">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two metric sets differ in their mathematical domain of validity. The eigenvalue-based indicators ρ* and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return</m:t>
            </m:r>
          </m:sub>
        </m:sSub>
        <m:r>
          <w:rPr>
            <w:rFonts w:ascii="Cambria Math" w:hAnsi="Cambria Math" w:cs="Times New Roman"/>
            <w:sz w:val="20"/>
            <w:szCs w:val="20"/>
          </w:rPr>
          <m:t>= -</m:t>
        </m:r>
        <m:f>
          <m:fPr>
            <m:ctrlPr>
              <w:rPr>
                <w:rFonts w:ascii="Cambria Math" w:hAnsi="Cambria Math" w:cs="Times New Roman"/>
                <w:i/>
                <w:sz w:val="20"/>
                <w:szCs w:val="20"/>
              </w:rPr>
            </m:ctrlPr>
          </m:fPr>
          <m:num>
            <m:r>
              <w:rPr>
                <w:rFonts w:ascii="Cambria Math" w:hAnsi="Cambria Math" w:cs="Times New Roman"/>
                <w:sz w:val="20"/>
                <w:szCs w:val="20"/>
              </w:rPr>
              <m:t>1</m:t>
            </m:r>
          </m:num>
          <m:den>
            <m:func>
              <m:funcPr>
                <m:ctrlPr>
                  <w:rPr>
                    <w:rFonts w:ascii="Cambria Math" w:hAnsi="Cambria Math" w:cs="Times New Roman"/>
                    <w:sz w:val="20"/>
                    <w:szCs w:val="20"/>
                  </w:rPr>
                </m:ctrlPr>
              </m:funcPr>
              <m:fName>
                <m:r>
                  <m:rPr>
                    <m:sty m:val="p"/>
                  </m:rPr>
                  <w:rPr>
                    <w:rFonts w:ascii="Cambria Math" w:hAnsi="Cambria Math" w:cs="Times New Roman"/>
                    <w:sz w:val="20"/>
                    <w:szCs w:val="20"/>
                  </w:rPr>
                  <m:t>ln</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ρ*</m:t>
                    </m:r>
                  </m:e>
                </m:d>
              </m:e>
            </m:func>
          </m:den>
        </m:f>
      </m:oMath>
      <w:r w:rsidRPr="009668D3">
        <w:rPr>
          <w:rFonts w:ascii="Times New Roman" w:hAnsi="Times New Roman" w:cs="Times New Roman"/>
          <w:sz w:val="20"/>
          <w:szCs w:val="20"/>
        </w:rPr>
        <w:t xml:space="preserve"> are properties of the Jacobian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evaluated at the fixed</w:t>
      </w:r>
      <w:r w:rsidR="001E164D">
        <w:rPr>
          <w:rFonts w:ascii="Times New Roman" w:hAnsi="Times New Roman" w:cs="Times New Roman"/>
          <w:sz w:val="20"/>
          <w:szCs w:val="20"/>
        </w:rPr>
        <w:t>-</w:t>
      </w:r>
      <w:r w:rsidRPr="009668D3">
        <w:rPr>
          <w:rFonts w:ascii="Times New Roman" w:hAnsi="Times New Roman" w:cs="Times New Roman"/>
          <w:sz w:val="20"/>
          <w:szCs w:val="20"/>
        </w:rPr>
        <w:t xml:space="preserve">point x*; they characterise the linearised return rate and are therefore valid only for infinitesimally small perturbations within the immediate neighbourhood of x*. In contrast, R1 and R2 are computed from the full nonlinear annual map iterated from a finite-amplitude perturbation (±20% displacement of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Because the Holling Type II functional responses in Equations 1-2 introduce curvature that the Jacobian cannot capture, the nonlinear trajectory may deviate substantially from the linearised prediction when the </w:t>
      </w:r>
      <w:r w:rsidR="008D2889">
        <w:rPr>
          <w:rFonts w:ascii="Times New Roman" w:hAnsi="Times New Roman" w:cs="Times New Roman"/>
          <w:sz w:val="20"/>
          <w:szCs w:val="20"/>
        </w:rPr>
        <w:t>perturbation</w:t>
      </w:r>
      <w:r w:rsidRPr="009668D3">
        <w:rPr>
          <w:rFonts w:ascii="Times New Roman" w:hAnsi="Times New Roman" w:cs="Times New Roman"/>
          <w:sz w:val="20"/>
          <w:szCs w:val="20"/>
        </w:rPr>
        <w:t xml:space="preserve"> is large or when the system state approaches a basin boundary. Consequently, ρ* and R2 need not rank parameter scenarios identically: a fixed point with ρ* close to unity (slow linearised return) may nonetheless exhibit adequate finite-time recovery if the nonlinear restoring forces are stronger than the linearisation predicts, while a fixed point with small ρ* (fast linearised return) may yield low R2 if the perturbation places the trajectory near a separatrix between basins of attraction. Including both metric sets, therefore, ensures that stability assessment is not an artefact of the </w:t>
      </w:r>
      <w:r w:rsidR="00E30B95">
        <w:rPr>
          <w:rFonts w:ascii="Times New Roman" w:hAnsi="Times New Roman" w:cs="Times New Roman"/>
          <w:sz w:val="20"/>
          <w:szCs w:val="20"/>
        </w:rPr>
        <w:t>linearization.</w:t>
      </w:r>
    </w:p>
    <w:p w14:paraId="0A4F2E7B" w14:textId="57E7341B" w:rsidR="006A1945" w:rsidRDefault="00000000" w:rsidP="00CC2139">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In</w:t>
      </w:r>
      <w:r w:rsidR="007717A7" w:rsidRPr="009668D3">
        <w:rPr>
          <w:rFonts w:ascii="Times New Roman" w:hAnsi="Times New Roman" w:cs="Times New Roman"/>
          <w:sz w:val="20"/>
          <w:szCs w:val="20"/>
        </w:rPr>
        <w:t xml:space="preserve"> a system with alternative stable states, a perturbation that pushes the system into a different basin of attraction will yield recovery near 0 or negative; a perturbation from which the system returns to x* yields recovery = 1. Latitude is the maximum perturbation magnitude the system can absorb before losing its ability to recover (Walker et al., 2004; Van Meerbeek et al., 2021). It is computed by progressively increasing the perturbation magnitude δ until the annual map fails to return to the original equilibrium within a specified horizon (50 annual iterations). The critical δ at which the system transitions to an alternative attractor defines the latitude boundary. This is related </w:t>
      </w:r>
      <w:r w:rsidR="007717A7" w:rsidRPr="009668D3">
        <w:rPr>
          <w:rFonts w:ascii="Times New Roman" w:hAnsi="Times New Roman" w:cs="Times New Roman"/>
          <w:sz w:val="20"/>
          <w:szCs w:val="20"/>
        </w:rPr>
        <w:lastRenderedPageBreak/>
        <w:t xml:space="preserve">to the basin stability concept of Menck et al. (2013). Adaptive stability. We define adaptive stability as the capacity of the system to maintain ecological function through the joint action of within-season resistance and annual resilience, where the balance between resistance and resilience adapts to phenological conditions. Unlike engineering resilience (a single return-rate measure; Pimm, 1984), ecological resilience (a basin-of-attraction measure; Holling, 1973), or adaptive capacity (a social-ecological management concept; Folke et al., 2005), adaptive stability captures the multi-timescale interplay in which within-season resistance to outbreak damage and annual recovery of canopy condition jointly determine whether the system persists in a functional regime. </w:t>
      </w:r>
      <w:r w:rsidR="000407FB" w:rsidRPr="001E6700">
        <w:rPr>
          <w:rFonts w:ascii="Times New Roman" w:hAnsi="Times New Roman" w:cs="Times New Roman"/>
          <w:sz w:val="20"/>
          <w:szCs w:val="20"/>
        </w:rPr>
        <w:t>Here, “adaptive stability” is used as a descriptive</w:t>
      </w:r>
      <w:r w:rsidR="007717A7" w:rsidRPr="009668D3">
        <w:rPr>
          <w:rFonts w:ascii="Times New Roman" w:hAnsi="Times New Roman" w:cs="Times New Roman"/>
          <w:sz w:val="20"/>
          <w:szCs w:val="20"/>
        </w:rPr>
        <w:t xml:space="preserve"> term </w:t>
      </w:r>
      <w:r w:rsidR="000407FB" w:rsidRPr="001E6700">
        <w:rPr>
          <w:rFonts w:ascii="Times New Roman" w:hAnsi="Times New Roman" w:cs="Times New Roman"/>
          <w:sz w:val="20"/>
          <w:szCs w:val="20"/>
        </w:rPr>
        <w:t xml:space="preserve">representing </w:t>
      </w:r>
      <w:r w:rsidR="007717A7" w:rsidRPr="009668D3">
        <w:rPr>
          <w:rFonts w:ascii="Times New Roman" w:hAnsi="Times New Roman" w:cs="Times New Roman"/>
          <w:sz w:val="20"/>
          <w:szCs w:val="20"/>
        </w:rPr>
        <w:t xml:space="preserve">the joint </w:t>
      </w:r>
      <w:r w:rsidR="000407FB" w:rsidRPr="001E6700">
        <w:rPr>
          <w:rFonts w:ascii="Times New Roman" w:hAnsi="Times New Roman" w:cs="Times New Roman"/>
          <w:sz w:val="20"/>
          <w:szCs w:val="20"/>
        </w:rPr>
        <w:t>behaviour</w:t>
      </w:r>
      <w:r w:rsidR="007717A7" w:rsidRPr="009668D3">
        <w:rPr>
          <w:rFonts w:ascii="Times New Roman" w:hAnsi="Times New Roman" w:cs="Times New Roman"/>
          <w:sz w:val="20"/>
          <w:szCs w:val="20"/>
        </w:rPr>
        <w:t xml:space="preserve"> of resistance (R1)</w:t>
      </w:r>
      <w:r w:rsidR="004543AC" w:rsidRPr="009668D3">
        <w:rPr>
          <w:rFonts w:ascii="Times New Roman" w:hAnsi="Times New Roman" w:cs="Times New Roman"/>
          <w:sz w:val="20"/>
          <w:szCs w:val="20"/>
        </w:rPr>
        <w:t xml:space="preserve"> </w:t>
      </w:r>
      <w:r w:rsidR="00B06361" w:rsidRPr="009668D3">
        <w:rPr>
          <w:rFonts w:ascii="Times New Roman" w:hAnsi="Times New Roman" w:cs="Times New Roman"/>
          <w:sz w:val="20"/>
          <w:szCs w:val="20"/>
        </w:rPr>
        <w:t>and</w:t>
      </w:r>
      <w:r w:rsidR="007717A7" w:rsidRPr="009668D3">
        <w:rPr>
          <w:rFonts w:ascii="Times New Roman" w:hAnsi="Times New Roman" w:cs="Times New Roman"/>
          <w:sz w:val="20"/>
          <w:szCs w:val="20"/>
        </w:rPr>
        <w:t xml:space="preserve"> resilience (R</w:t>
      </w:r>
      <w:r w:rsidR="00B06361" w:rsidRPr="009668D3">
        <w:rPr>
          <w:rFonts w:ascii="Times New Roman" w:hAnsi="Times New Roman" w:cs="Times New Roman"/>
          <w:sz w:val="20"/>
          <w:szCs w:val="20"/>
        </w:rPr>
        <w:t>2</w:t>
      </w:r>
      <w:r w:rsidR="000407FB" w:rsidRPr="001E6700">
        <w:rPr>
          <w:rFonts w:ascii="Times New Roman" w:hAnsi="Times New Roman" w:cs="Times New Roman"/>
          <w:sz w:val="20"/>
          <w:szCs w:val="20"/>
        </w:rPr>
        <w:t>),</w:t>
      </w:r>
      <w:r w:rsidR="007717A7" w:rsidRPr="009668D3">
        <w:rPr>
          <w:rFonts w:ascii="Times New Roman" w:hAnsi="Times New Roman" w:cs="Times New Roman"/>
          <w:sz w:val="20"/>
          <w:szCs w:val="20"/>
        </w:rPr>
        <w:t xml:space="preserve"> rather than </w:t>
      </w:r>
      <w:r w:rsidR="000407FB" w:rsidRPr="001E6700">
        <w:rPr>
          <w:rFonts w:ascii="Times New Roman" w:hAnsi="Times New Roman" w:cs="Times New Roman"/>
          <w:sz w:val="20"/>
          <w:szCs w:val="20"/>
        </w:rPr>
        <w:t>a formally distinct theoretical construct.</w:t>
      </w:r>
      <w:r w:rsidR="007717A7" w:rsidRPr="009668D3">
        <w:rPr>
          <w:rFonts w:ascii="Times New Roman" w:hAnsi="Times New Roman" w:cs="Times New Roman"/>
          <w:sz w:val="20"/>
          <w:szCs w:val="20"/>
        </w:rPr>
        <w:t xml:space="preserve"> </w:t>
      </w:r>
    </w:p>
    <w:p w14:paraId="54EAABB7" w14:textId="100AD30C" w:rsidR="00CC2139" w:rsidRPr="001E6700" w:rsidRDefault="00CC2139" w:rsidP="00CC2139">
      <w:pPr>
        <w:spacing w:line="240" w:lineRule="auto"/>
        <w:jc w:val="both"/>
        <w:rPr>
          <w:rFonts w:ascii="Times New Roman" w:eastAsiaTheme="minorEastAsia" w:hAnsi="Times New Roman" w:cs="Times New Roman"/>
          <w:sz w:val="20"/>
          <w:szCs w:val="20"/>
        </w:rPr>
      </w:pPr>
      <w:r w:rsidRPr="001E6700">
        <w:rPr>
          <w:rFonts w:ascii="Times New Roman" w:eastAsiaTheme="minorEastAsia" w:hAnsi="Times New Roman" w:cs="Times New Roman"/>
          <w:sz w:val="20"/>
          <w:szCs w:val="20"/>
        </w:rPr>
        <w:t xml:space="preserve">The model contains two mathematically distinct bifurcation structures. The within-season ODE (Equations 1–4) is a continuous-time system whose local stability requires Re(λᵢ) &lt; 0 for all eigenvalues of its Jacobian, with bifurcation boundaries on the imaginary axis (Kuznetsov, 2004). The annual recurrence map G (Equations 5–8) is a discrete-time system constructed as the Poincaré return map of the seasonally forced flow (Kot, 2001; Wiggins, 2003); its local stability requires |λᵢ| &lt; 1 for all eigenvalues of the annual Jacobian J_G, with bifurcation boundaries on the unit circle in the complex plane. Because the within-season state is reset each year by overwinter survival, recruitment, and foliage recovery (Equations 5–8), within-season ODE pseudo-equilibria are not ecologically interpretable as steady states (Elaydi, 2005). All ecologically meaningful tipping in this study is therefore defined on the discrete-time annual map; the continuous-time flow enters only through its contribution to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G</m:t>
            </m:r>
          </m:sub>
        </m:sSub>
      </m:oMath>
      <w:r w:rsidRPr="001E6700">
        <w:rPr>
          <w:rFonts w:ascii="Times New Roman" w:eastAsiaTheme="minorEastAsia" w:hAnsi="Times New Roman" w:cs="Times New Roman"/>
          <w:sz w:val="20"/>
          <w:szCs w:val="20"/>
        </w:rPr>
        <w:t xml:space="preserve"> via the variational equations (Annex 2, Step 5).</w:t>
      </w:r>
      <w:r w:rsidR="00C207F5" w:rsidRPr="001E6700">
        <w:rPr>
          <w:rFonts w:ascii="Times New Roman" w:eastAsiaTheme="minorEastAsia" w:hAnsi="Times New Roman" w:cs="Times New Roman"/>
          <w:sz w:val="20"/>
          <w:szCs w:val="20"/>
        </w:rPr>
        <w:t xml:space="preserve"> </w:t>
      </w:r>
      <w:r w:rsidR="00C207F5" w:rsidRPr="009668D3">
        <w:rPr>
          <w:rFonts w:ascii="Times New Roman" w:hAnsi="Times New Roman" w:cs="Times New Roman"/>
          <w:sz w:val="20"/>
          <w:szCs w:val="20"/>
        </w:rPr>
        <w:t xml:space="preserve">We </w:t>
      </w:r>
      <w:r w:rsidRPr="009668D3">
        <w:rPr>
          <w:rFonts w:ascii="Times New Roman" w:hAnsi="Times New Roman" w:cs="Times New Roman"/>
          <w:sz w:val="20"/>
          <w:szCs w:val="20"/>
        </w:rPr>
        <w:t>distinguish three levels of stability loss that may or may not coincide (</w:t>
      </w:r>
      <w:r w:rsidRPr="001E6700">
        <w:rPr>
          <w:rFonts w:ascii="Times New Roman" w:eastAsiaTheme="minorEastAsia" w:hAnsi="Times New Roman" w:cs="Times New Roman"/>
          <w:sz w:val="20"/>
          <w:szCs w:val="20"/>
        </w:rPr>
        <w:t xml:space="preserve">Scheffer et al., 2001; </w:t>
      </w:r>
      <w:r w:rsidRPr="009668D3">
        <w:rPr>
          <w:rFonts w:ascii="Times New Roman" w:hAnsi="Times New Roman" w:cs="Times New Roman"/>
          <w:sz w:val="20"/>
          <w:szCs w:val="20"/>
        </w:rPr>
        <w:t>Van Meerbeek et al., 2021</w:t>
      </w:r>
      <w:r w:rsidRPr="001E6700">
        <w:rPr>
          <w:rFonts w:ascii="Times New Roman" w:eastAsiaTheme="minorEastAsia" w:hAnsi="Times New Roman" w:cs="Times New Roman"/>
          <w:sz w:val="20"/>
          <w:szCs w:val="20"/>
        </w:rPr>
        <w:t>):</w:t>
      </w:r>
    </w:p>
    <w:p w14:paraId="49CA5E5A" w14:textId="62C52DBF"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 Loss of local asymptotic stability</w:t>
      </w:r>
      <w:r w:rsidRPr="001E6700">
        <w:rPr>
          <w:rFonts w:ascii="Times New Roman" w:eastAsiaTheme="minorEastAsia" w:hAnsi="Times New Roman" w:cs="Times New Roman"/>
          <w:i/>
          <w:iCs/>
          <w:sz w:val="20"/>
          <w:szCs w:val="20"/>
        </w:rPr>
        <w:t xml:space="preserve"> </w:t>
      </w:r>
      <w:r w:rsidR="00C207F5"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i/>
          <w:iCs/>
          <w:sz w:val="20"/>
          <w:szCs w:val="20"/>
        </w:rPr>
        <w:t>discrete-time bifurcation of the annual map</w:t>
      </w:r>
      <w:r w:rsidR="00C207F5"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sz w:val="20"/>
          <w:szCs w:val="20"/>
        </w:rPr>
        <w:t xml:space="preserve"> The</w:t>
      </w:r>
      <w:r w:rsidRPr="009668D3">
        <w:rPr>
          <w:rFonts w:ascii="Times New Roman" w:hAnsi="Times New Roman" w:cs="Times New Roman"/>
          <w:sz w:val="20"/>
          <w:szCs w:val="20"/>
        </w:rPr>
        <w:t xml:space="preserve"> dominant eigenvalue magnitude </w:t>
      </w:r>
      <m:oMath>
        <m:r>
          <w:rPr>
            <w:rFonts w:ascii="Cambria Math" w:eastAsiaTheme="minorEastAsia" w:hAnsi="Cambria Math" w:cs="Times New Roman"/>
            <w:sz w:val="20"/>
            <w:szCs w:val="20"/>
          </w:rPr>
          <m:t>ρ* = maxᵢ |λᵢ(</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G</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oMath>
      <w:r w:rsidRPr="001E6700">
        <w:rPr>
          <w:rFonts w:ascii="Times New Roman" w:eastAsiaTheme="minorEastAsia" w:hAnsi="Times New Roman" w:cs="Times New Roman"/>
          <w:sz w:val="20"/>
          <w:szCs w:val="20"/>
        </w:rPr>
        <w:t xml:space="preserve"> at the </w:t>
      </w:r>
      <w:r w:rsidRPr="009668D3">
        <w:rPr>
          <w:rFonts w:ascii="Times New Roman" w:hAnsi="Times New Roman" w:cs="Times New Roman"/>
          <w:sz w:val="20"/>
          <w:szCs w:val="20"/>
        </w:rPr>
        <w:t xml:space="preserve">fixed point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oMath>
      <w:r w:rsidRPr="001E6700">
        <w:rPr>
          <w:rFonts w:ascii="Times New Roman" w:eastAsiaTheme="minorEastAsia" w:hAnsi="Times New Roman" w:cs="Times New Roman"/>
          <w:sz w:val="20"/>
          <w:szCs w:val="20"/>
        </w:rPr>
        <w:t xml:space="preserve">crosses the unit circle (ρ* → 1), and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oMath>
      <w:r w:rsidR="00C207F5"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loses its local attracting property.</w:t>
      </w:r>
      <w:r w:rsidRPr="001E6700">
        <w:rPr>
          <w:rFonts w:ascii="Times New Roman" w:eastAsiaTheme="minorEastAsia" w:hAnsi="Times New Roman" w:cs="Times New Roman"/>
          <w:sz w:val="20"/>
          <w:szCs w:val="20"/>
        </w:rPr>
        <w:t xml:space="preserve"> The type of bifurcation follows from the direction of</w:t>
      </w:r>
      <w:r w:rsidRPr="009668D3">
        <w:rPr>
          <w:rFonts w:ascii="Times New Roman" w:hAnsi="Times New Roman" w:cs="Times New Roman"/>
          <w:sz w:val="20"/>
          <w:szCs w:val="20"/>
        </w:rPr>
        <w:t xml:space="preserve"> crossing</w:t>
      </w:r>
      <w:r w:rsidRPr="001E6700">
        <w:rPr>
          <w:rFonts w:ascii="Times New Roman" w:eastAsiaTheme="minorEastAsia" w:hAnsi="Times New Roman" w:cs="Times New Roman"/>
          <w:sz w:val="20"/>
          <w:szCs w:val="20"/>
        </w:rPr>
        <w:t>: a real eigenvalue through +1 is a saddle-node (fold), a real eigenvalue through −1 is a flip (period-doubling), and a complex-conjugate pair</w:t>
      </w:r>
      <w:r w:rsidRPr="009668D3">
        <w:rPr>
          <w:rFonts w:ascii="Times New Roman" w:hAnsi="Times New Roman" w:cs="Times New Roman"/>
          <w:sz w:val="20"/>
          <w:szCs w:val="20"/>
        </w:rPr>
        <w:t xml:space="preserve"> crossing </w:t>
      </w:r>
      <w:r w:rsidRPr="001E6700">
        <w:rPr>
          <w:rFonts w:ascii="Times New Roman" w:eastAsiaTheme="minorEastAsia" w:hAnsi="Times New Roman" w:cs="Times New Roman"/>
          <w:sz w:val="20"/>
          <w:szCs w:val="20"/>
        </w:rPr>
        <w:t>|λ| = 1 is a Neimark–Sacker bifurcation (Kuznetsov, 2004; Annex 2, Step 7). These discrete-time criteria are strictly distinct from the continuous-time imaginary-axis crossings that would apply to the within-season ODE if considered in isolation</w:t>
      </w:r>
      <w:r w:rsidRPr="009668D3">
        <w:rPr>
          <w:rFonts w:ascii="Times New Roman" w:hAnsi="Times New Roman" w:cs="Times New Roman"/>
          <w:sz w:val="20"/>
          <w:szCs w:val="20"/>
        </w:rPr>
        <w:t xml:space="preserve">; the latter </w:t>
      </w:r>
      <w:r w:rsidRPr="001E6700">
        <w:rPr>
          <w:rFonts w:ascii="Times New Roman" w:eastAsiaTheme="minorEastAsia" w:hAnsi="Times New Roman" w:cs="Times New Roman"/>
          <w:sz w:val="20"/>
          <w:szCs w:val="20"/>
        </w:rPr>
        <w:t>are not used as tipping diagnostics here because the ODE is reset annually.</w:t>
      </w:r>
    </w:p>
    <w:p w14:paraId="7392787C" w14:textId="5E431361"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(ii) Functional threshold crossing</w:t>
      </w:r>
      <w:r w:rsidR="00A12CA2" w:rsidRPr="009668D3">
        <w:rPr>
          <w:rFonts w:ascii="Times New Roman" w:hAnsi="Times New Roman" w:cs="Times New Roman"/>
          <w:i/>
          <w:sz w:val="20"/>
          <w:szCs w:val="20"/>
        </w:rPr>
        <w:t>:</w:t>
      </w:r>
      <w:r w:rsidRPr="009668D3">
        <w:rPr>
          <w:rFonts w:ascii="Times New Roman" w:hAnsi="Times New Roman" w:cs="Times New Roman"/>
          <w:sz w:val="20"/>
          <w:szCs w:val="20"/>
        </w:rPr>
        <w:t xml:space="preserve"> </w:t>
      </w:r>
      <w:r w:rsidRPr="001E6700">
        <w:rPr>
          <w:rFonts w:ascii="Times New Roman" w:eastAsiaTheme="minorEastAsia" w:hAnsi="Times New Roman" w:cs="Times New Roman"/>
          <w:sz w:val="20"/>
          <w:szCs w:val="20"/>
        </w:rPr>
        <w:t>T</w:t>
      </w:r>
      <w:r w:rsidRPr="009668D3">
        <w:rPr>
          <w:rFonts w:ascii="Times New Roman" w:hAnsi="Times New Roman" w:cs="Times New Roman"/>
          <w:sz w:val="20"/>
          <w:szCs w:val="20"/>
        </w:rPr>
        <w:t xml:space="preserve">he system </w:t>
      </w:r>
      <w:r w:rsidR="00000000" w:rsidRPr="001E6700">
        <w:rPr>
          <w:rFonts w:ascii="Times New Roman" w:hAnsi="Times New Roman" w:cs="Times New Roman"/>
          <w:sz w:val="20"/>
          <w:szCs w:val="20"/>
        </w:rPr>
        <w:t xml:space="preserve">variable </w:t>
      </w:r>
      <w:r w:rsidRPr="009668D3">
        <w:rPr>
          <w:rFonts w:ascii="Times New Roman" w:hAnsi="Times New Roman" w:cs="Times New Roman"/>
          <w:sz w:val="20"/>
          <w:szCs w:val="20"/>
        </w:rPr>
        <w:t>enters a functionally unacceptable range</w:t>
      </w:r>
      <w:r w:rsidRPr="001E6700">
        <w:rPr>
          <w:rFonts w:ascii="Times New Roman" w:eastAsiaTheme="minorEastAsia" w:hAnsi="Times New Roman" w:cs="Times New Roman"/>
          <w:sz w:val="20"/>
          <w:szCs w:val="20"/>
        </w:rPr>
        <w:t xml:space="preserve"> independent of any mathematical bifurcation:</w:t>
      </w:r>
      <w:r w:rsidRPr="009668D3">
        <w:rPr>
          <w:rFonts w:ascii="Times New Roman" w:hAnsi="Times New Roman" w:cs="Times New Roman"/>
          <w:sz w:val="20"/>
          <w:szCs w:val="20"/>
        </w:rPr>
        <w:t xml:space="preserve"> the long-run mean defoliation exceeds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crit</m:t>
            </m:r>
          </m:sub>
        </m:sSub>
        <m:r>
          <w:rPr>
            <w:rFonts w:ascii="Cambria Math" w:eastAsiaTheme="minorEastAsia" w:hAnsi="Cambria Math" w:cs="Times New Roman"/>
            <w:sz w:val="20"/>
            <w:szCs w:val="20"/>
          </w:rPr>
          <m:t xml:space="preserve"> = 0.5</m:t>
        </m:r>
      </m:oMath>
      <w:r w:rsidRPr="009668D3">
        <w:rPr>
          <w:rFonts w:ascii="Times New Roman" w:hAnsi="Times New Roman" w:cs="Times New Roman"/>
          <w:sz w:val="20"/>
          <w:szCs w:val="20"/>
        </w:rPr>
        <w:t xml:space="preserve"> (corresponding to 50% seasonal defoliation; Ferretti et al., 2021), or the carrying capacity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m:t>
            </m:r>
          </m:sub>
        </m:sSub>
      </m:oMath>
      <w:r w:rsidRPr="009668D3">
        <w:rPr>
          <w:rFonts w:ascii="Times New Roman" w:hAnsi="Times New Roman" w:cs="Times New Roman"/>
          <w:sz w:val="20"/>
          <w:szCs w:val="20"/>
        </w:rPr>
        <w:t xml:space="preserve"> falls below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min</m:t>
            </m:r>
          </m:sub>
        </m:sSub>
        <m:r>
          <w:rPr>
            <w:rFonts w:ascii="Cambria Math" w:eastAsiaTheme="minorEastAsia" w:hAnsi="Cambria Math" w:cs="Times New Roman"/>
            <w:sz w:val="20"/>
            <w:szCs w:val="20"/>
          </w:rPr>
          <m:t xml:space="preserve"> = 0.5</m:t>
        </m:r>
      </m:oMath>
      <w:r w:rsidRPr="001E6700">
        <w:rPr>
          <w:rFonts w:ascii="Times New Roman" w:eastAsiaTheme="minorEastAsia" w:hAnsi="Times New Roman" w:cs="Times New Roman"/>
          <w:sz w:val="20"/>
          <w:szCs w:val="20"/>
        </w:rPr>
        <w:t xml:space="preserve"> K₀</w:t>
      </w:r>
      <w:r w:rsidRPr="009668D3">
        <w:rPr>
          <w:rFonts w:ascii="Times New Roman" w:hAnsi="Times New Roman" w:cs="Times New Roman"/>
          <w:sz w:val="20"/>
          <w:szCs w:val="20"/>
        </w:rPr>
        <w:t xml:space="preserve"> for three or more consecutive years, indicating persistent canopy degradation</w:t>
      </w:r>
      <w:r w:rsidRPr="001E6700">
        <w:rPr>
          <w:rFonts w:ascii="Times New Roman" w:eastAsiaTheme="minorEastAsia" w:hAnsi="Times New Roman" w:cs="Times New Roman"/>
          <w:sz w:val="20"/>
          <w:szCs w:val="20"/>
        </w:rPr>
        <w:t xml:space="preserve">. The system may satisfy this criterion </w:t>
      </w:r>
      <w:r w:rsidRPr="009668D3">
        <w:rPr>
          <w:rFonts w:ascii="Times New Roman" w:hAnsi="Times New Roman" w:cs="Times New Roman"/>
          <w:sz w:val="20"/>
          <w:szCs w:val="20"/>
        </w:rPr>
        <w:t xml:space="preserve">while </w:t>
      </w:r>
      <w:r w:rsidRPr="001E6700">
        <w:rPr>
          <w:rFonts w:ascii="Times New Roman" w:eastAsiaTheme="minorEastAsia" w:hAnsi="Times New Roman" w:cs="Times New Roman"/>
          <w:sz w:val="20"/>
          <w:szCs w:val="20"/>
        </w:rPr>
        <w:t>still retaining ρ* &lt; 1, because functional thresholds depend on the magnitude of the state, not on the topology of the attractor.</w:t>
      </w:r>
    </w:p>
    <w:p w14:paraId="55252C6D" w14:textId="69CB8BAC"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(iii) Regime shift</w:t>
      </w:r>
      <w:r w:rsidRPr="001E6700">
        <w:rPr>
          <w:rFonts w:ascii="Times New Roman" w:eastAsiaTheme="minorEastAsia" w:hAnsi="Times New Roman" w:cs="Times New Roman"/>
          <w:i/>
          <w:iCs/>
          <w:sz w:val="20"/>
          <w:szCs w:val="20"/>
        </w:rPr>
        <w:t xml:space="preserve"> </w:t>
      </w:r>
      <w:r w:rsidR="00A12CA2"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i/>
          <w:iCs/>
          <w:sz w:val="20"/>
          <w:szCs w:val="20"/>
        </w:rPr>
        <w:t>basin-crossing event in</w:t>
      </w:r>
      <w:r w:rsidRPr="009668D3">
        <w:rPr>
          <w:rFonts w:ascii="Times New Roman" w:hAnsi="Times New Roman" w:cs="Times New Roman"/>
          <w:i/>
          <w:sz w:val="20"/>
          <w:szCs w:val="20"/>
        </w:rPr>
        <w:t xml:space="preserve"> the </w:t>
      </w:r>
      <w:r w:rsidRPr="001E6700">
        <w:rPr>
          <w:rFonts w:ascii="Times New Roman" w:eastAsiaTheme="minorEastAsia" w:hAnsi="Times New Roman" w:cs="Times New Roman"/>
          <w:i/>
          <w:iCs/>
          <w:sz w:val="20"/>
          <w:szCs w:val="20"/>
        </w:rPr>
        <w:t>discrete-time map</w:t>
      </w:r>
      <w:r w:rsidR="00A12CA2"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sz w:val="20"/>
          <w:szCs w:val="20"/>
        </w:rPr>
        <w:t xml:space="preserve"> The annual-map trajectory</w:t>
      </w:r>
      <w:r w:rsidRPr="009668D3">
        <w:rPr>
          <w:rFonts w:ascii="Times New Roman" w:hAnsi="Times New Roman" w:cs="Times New Roman"/>
          <w:sz w:val="20"/>
          <w:szCs w:val="20"/>
        </w:rPr>
        <w:t xml:space="preserve"> from </w:t>
      </w:r>
      <w:r w:rsidRPr="001E6700">
        <w:rPr>
          <w:rFonts w:ascii="Times New Roman" w:eastAsiaTheme="minorEastAsia" w:hAnsi="Times New Roman" w:cs="Times New Roman"/>
          <w:sz w:val="20"/>
          <w:szCs w:val="20"/>
        </w:rPr>
        <w:t xml:space="preserve">the current initial condition no longer converges to the reference </w:t>
      </w:r>
      <w:r w:rsidRPr="009668D3">
        <w:rPr>
          <w:rFonts w:ascii="Times New Roman" w:hAnsi="Times New Roman" w:cs="Times New Roman"/>
          <w:sz w:val="20"/>
          <w:szCs w:val="20"/>
        </w:rPr>
        <w:t xml:space="preserve">coexistence </w:t>
      </w:r>
      <w:r w:rsidRPr="001E6700">
        <w:rPr>
          <w:rFonts w:ascii="Times New Roman" w:eastAsiaTheme="minorEastAsia" w:hAnsi="Times New Roman" w:cs="Times New Roman"/>
          <w:sz w:val="20"/>
          <w:szCs w:val="20"/>
        </w:rPr>
        <w:t xml:space="preserve">fixed point </w:t>
      </w:r>
      <w:r w:rsidR="00C03207" w:rsidRPr="001E6700">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r>
              <w:rPr>
                <w:rFonts w:ascii="Cambria Math" w:eastAsiaTheme="minorEastAsia" w:hAnsi="Cambria Math" w:cs="Times New Roman"/>
                <w:sz w:val="20"/>
                <w:szCs w:val="20"/>
              </w:rPr>
              <m:t>*</m:t>
            </m:r>
          </m:sup>
        </m:sSubSup>
      </m:oMath>
      <w:r w:rsidRPr="001E6700">
        <w:rPr>
          <w:rFonts w:ascii="Times New Roman" w:eastAsiaTheme="minorEastAsia" w:hAnsi="Times New Roman" w:cs="Times New Roman"/>
          <w:sz w:val="20"/>
          <w:szCs w:val="20"/>
        </w:rPr>
        <w:t xml:space="preserve"> but</w:t>
      </w:r>
      <w:r w:rsidRPr="009668D3">
        <w:rPr>
          <w:rFonts w:ascii="Times New Roman" w:hAnsi="Times New Roman" w:cs="Times New Roman"/>
          <w:sz w:val="20"/>
          <w:szCs w:val="20"/>
        </w:rPr>
        <w:t xml:space="preserve"> to a structurally different attractor</w:t>
      </w:r>
      <w:r w:rsidRPr="001E6700">
        <w:rPr>
          <w:rFonts w:ascii="Times New Roman" w:eastAsiaTheme="minorEastAsia" w:hAnsi="Times New Roman" w:cs="Times New Roman"/>
          <w:sz w:val="20"/>
          <w:szCs w:val="20"/>
        </w:rPr>
        <w:t xml:space="preserve"> of G</w:t>
      </w:r>
      <w:r w:rsidR="00A12CA2" w:rsidRPr="001E6700">
        <w:rPr>
          <w:rFonts w:ascii="Times New Roman" w:eastAsiaTheme="minorEastAsia" w:hAnsi="Times New Roman" w:cs="Times New Roman"/>
          <w:sz w:val="20"/>
          <w:szCs w:val="20"/>
        </w:rPr>
        <w:t>,</w:t>
      </w:r>
      <w:r w:rsidRPr="001E6700">
        <w:rPr>
          <w:rFonts w:ascii="Times New Roman" w:eastAsiaTheme="minorEastAsia" w:hAnsi="Times New Roman" w:cs="Times New Roman"/>
          <w:sz w:val="20"/>
          <w:szCs w:val="20"/>
        </w:rPr>
        <w:t xml:space="preserve"> the parasitoid-free fixed point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1</m:t>
            </m:r>
          </m:sub>
          <m:sup>
            <m:r>
              <w:rPr>
                <w:rFonts w:ascii="Cambria Math" w:eastAsiaTheme="minorEastAsia" w:hAnsi="Cambria Math" w:cs="Times New Roman"/>
                <w:sz w:val="20"/>
                <w:szCs w:val="20"/>
              </w:rPr>
              <m:t>*</m:t>
            </m:r>
          </m:sup>
        </m:sSubSup>
      </m:oMath>
      <w:r w:rsidRPr="001E6700">
        <w:rPr>
          <w:rFonts w:ascii="Times New Roman" w:eastAsiaTheme="minorEastAsia" w:hAnsi="Times New Roman" w:cs="Times New Roman"/>
          <w:sz w:val="20"/>
          <w:szCs w:val="20"/>
        </w:rPr>
        <w:t xml:space="preserve">, the canopy-only state </w:t>
      </w:r>
      <w:r w:rsidR="00C03207" w:rsidRPr="001E6700">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up>
            <m:r>
              <w:rPr>
                <w:rFonts w:ascii="Cambria Math" w:eastAsiaTheme="minorEastAsia" w:hAnsi="Cambria Math" w:cs="Times New Roman"/>
                <w:sz w:val="20"/>
                <w:szCs w:val="20"/>
              </w:rPr>
              <m:t>*</m:t>
            </m:r>
          </m:sup>
        </m:sSubSup>
      </m:oMath>
      <w:r w:rsidRPr="001E6700">
        <w:rPr>
          <w:rFonts w:ascii="Times New Roman" w:eastAsiaTheme="minorEastAsia" w:hAnsi="Times New Roman" w:cs="Times New Roman"/>
          <w:sz w:val="20"/>
          <w:szCs w:val="20"/>
        </w:rPr>
        <w:t>, or a period-</w:t>
      </w:r>
      <w:r w:rsidRPr="001E6700">
        <w:rPr>
          <w:rFonts w:ascii="Times New Roman" w:eastAsiaTheme="minorEastAsia" w:hAnsi="Times New Roman" w:cs="Times New Roman"/>
          <w:i/>
          <w:iCs/>
          <w:sz w:val="20"/>
          <w:szCs w:val="20"/>
        </w:rPr>
        <w:t>k</w:t>
      </w:r>
      <w:r w:rsidRPr="001E6700">
        <w:rPr>
          <w:rFonts w:ascii="Times New Roman" w:eastAsiaTheme="minorEastAsia" w:hAnsi="Times New Roman" w:cs="Times New Roman"/>
          <w:sz w:val="20"/>
          <w:szCs w:val="20"/>
        </w:rPr>
        <w:t xml:space="preserve"> cycle arising from a flip or Neimark–Sacker bifurcation. Regime shift can occur either as a consequence of (i) when the basin of </w:t>
      </w:r>
      <w:r w:rsidR="00652138" w:rsidRPr="001E6700">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r>
              <w:rPr>
                <w:rFonts w:ascii="Cambria Math" w:eastAsiaTheme="minorEastAsia" w:hAnsi="Cambria Math" w:cs="Times New Roman"/>
                <w:sz w:val="20"/>
                <w:szCs w:val="20"/>
              </w:rPr>
              <m:t>*</m:t>
            </m:r>
          </m:sup>
        </m:sSubSup>
      </m:oMath>
      <w:r w:rsidRPr="001E6700">
        <w:rPr>
          <w:rFonts w:ascii="Times New Roman" w:eastAsiaTheme="minorEastAsia" w:hAnsi="Times New Roman" w:cs="Times New Roman"/>
          <w:sz w:val="20"/>
          <w:szCs w:val="20"/>
        </w:rPr>
        <w:t xml:space="preserve"> vanishes, or independently of (i) when a finite-amplitude perturbation or slow parameter drift moves the state across a basin boundary while </w:t>
      </w:r>
      <w:r w:rsidR="000178DF" w:rsidRPr="001E6700">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r>
              <w:rPr>
                <w:rFonts w:ascii="Cambria Math" w:eastAsiaTheme="minorEastAsia" w:hAnsi="Cambria Math" w:cs="Times New Roman"/>
                <w:sz w:val="20"/>
                <w:szCs w:val="20"/>
              </w:rPr>
              <m:t>*</m:t>
            </m:r>
          </m:sup>
        </m:sSubSup>
      </m:oMath>
      <w:r w:rsidRPr="001E6700">
        <w:rPr>
          <w:rFonts w:ascii="Times New Roman" w:eastAsiaTheme="minorEastAsia" w:hAnsi="Times New Roman" w:cs="Times New Roman"/>
          <w:sz w:val="20"/>
          <w:szCs w:val="20"/>
        </w:rPr>
        <w:t xml:space="preserve"> retains local stability.</w:t>
      </w:r>
    </w:p>
    <w:p w14:paraId="0E262359" w14:textId="21BD3A7B" w:rsidR="00CC2139" w:rsidRPr="001E6700" w:rsidRDefault="00CC2139" w:rsidP="00CC2139">
      <w:pPr>
        <w:spacing w:line="240" w:lineRule="auto"/>
        <w:jc w:val="both"/>
        <w:rPr>
          <w:rFonts w:ascii="Times New Roman" w:eastAsiaTheme="minorEastAsia" w:hAnsi="Times New Roman" w:cs="Times New Roman"/>
          <w:sz w:val="20"/>
          <w:szCs w:val="20"/>
        </w:rPr>
      </w:pPr>
      <w:r w:rsidRPr="001E6700">
        <w:rPr>
          <w:rFonts w:ascii="Times New Roman" w:eastAsiaTheme="minorEastAsia" w:hAnsi="Times New Roman" w:cs="Times New Roman"/>
          <w:b/>
          <w:bCs/>
          <w:sz w:val="20"/>
          <w:szCs w:val="20"/>
        </w:rPr>
        <w:t>Dynamical tipping boundary.</w:t>
      </w:r>
      <w:r w:rsidRPr="009668D3">
        <w:rPr>
          <w:rFonts w:ascii="Times New Roman" w:hAnsi="Times New Roman" w:cs="Times New Roman"/>
          <w:sz w:val="20"/>
          <w:szCs w:val="20"/>
        </w:rPr>
        <w:t xml:space="preserve"> The dynamical tipping boundary is the critical parameter value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oMath>
      <w:r w:rsidRPr="001E6700">
        <w:rPr>
          <w:rFonts w:ascii="Times New Roman" w:eastAsiaTheme="minorEastAsia" w:hAnsi="Times New Roman" w:cs="Times New Roman"/>
          <w:sz w:val="20"/>
          <w:szCs w:val="20"/>
        </w:rPr>
        <w:t xml:space="preserve"> at which </w:t>
      </w:r>
      <m:oMath>
        <m:r>
          <w:rPr>
            <w:rFonts w:ascii="Cambria Math" w:eastAsiaTheme="minorEastAsia" w:hAnsi="Cambria Math" w:cs="Times New Roman"/>
            <w:sz w:val="20"/>
            <w:szCs w:val="20"/>
          </w:rPr>
          <m:t>ρ*(</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 = maxᵢ |λᵢ(</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 xml:space="preserve">)| = </m:t>
        </m:r>
      </m:oMath>
      <w:r w:rsidRPr="001E6700">
        <w:rPr>
          <w:rFonts w:ascii="Times New Roman" w:eastAsiaTheme="minorEastAsia" w:hAnsi="Times New Roman" w:cs="Times New Roman"/>
          <w:sz w:val="20"/>
          <w:szCs w:val="20"/>
        </w:rPr>
        <w:t>1 in the annual map (Equation 19). The functional tipping criterion (ii) is evaluated relative to this boundary to determine whether ecological collapse precedes or follows mathematical destabilisation.</w:t>
      </w:r>
    </w:p>
    <w:p w14:paraId="671D1B44" w14:textId="6826C753" w:rsidR="00684C73" w:rsidRPr="009668D3" w:rsidRDefault="007717A7" w:rsidP="002D21BC">
      <w:pPr>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sz w:val="20"/>
          <w:szCs w:val="20"/>
        </w:rPr>
        <w:t xml:space="preserve"> . The dynamical tipping boundary is the critical parameter value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oMath>
      <w:r w:rsidRPr="001E6700">
        <w:rPr>
          <w:rFonts w:ascii="Times New Roman" w:eastAsiaTheme="minorEastAsia" w:hAnsi="Times New Roman" w:cs="Times New Roman"/>
          <w:sz w:val="20"/>
          <w:szCs w:val="20"/>
        </w:rPr>
        <w:t xml:space="preserve"> at which </w:t>
      </w:r>
      <m:oMath>
        <m:r>
          <w:rPr>
            <w:rFonts w:ascii="Cambria Math" w:eastAsiaTheme="minorEastAsia" w:hAnsi="Cambria Math" w:cs="Times New Roman"/>
            <w:sz w:val="20"/>
            <w:szCs w:val="20"/>
          </w:rPr>
          <m:t>ma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λ</m:t>
                </m:r>
              </m:e>
              <m:sub>
                <m:r>
                  <w:rPr>
                    <w:rFonts w:ascii="Cambria Math" w:eastAsiaTheme="minorEastAsia" w:hAnsi="Cambria Math" w:cs="Times New Roman"/>
                    <w:sz w:val="20"/>
                    <w:szCs w:val="20"/>
                  </w:rPr>
                  <m:t>i</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e>
            </m:d>
          </m:e>
        </m:d>
        <m:r>
          <w:rPr>
            <w:rFonts w:ascii="Cambria Math" w:eastAsiaTheme="minorEastAsia" w:hAnsi="Cambria Math" w:cs="Times New Roman"/>
            <w:sz w:val="20"/>
            <w:szCs w:val="20"/>
          </w:rPr>
          <m:t xml:space="preserve"> = 1</m:t>
        </m:r>
      </m:oMath>
      <w:r w:rsidRPr="001E6700">
        <w:rPr>
          <w:rFonts w:ascii="Times New Roman" w:eastAsiaTheme="minorEastAsia" w:hAnsi="Times New Roman" w:cs="Times New Roman"/>
          <w:sz w:val="20"/>
          <w:szCs w:val="20"/>
        </w:rPr>
        <w:t xml:space="preserve"> (Equation 19).</w:t>
      </w:r>
      <w:r w:rsidRPr="009668D3">
        <w:rPr>
          <w:rFonts w:ascii="Times New Roman" w:hAnsi="Times New Roman" w:cs="Times New Roman"/>
          <w:sz w:val="20"/>
          <w:szCs w:val="20"/>
        </w:rPr>
        <w:t xml:space="preserve"> The functional tipping criterion is evaluated relative to the dynamical boundary to determine whether ecological collapse precedes or follows the loss of mathematical stability.</w:t>
      </w:r>
    </w:p>
    <w:p w14:paraId="426ED1C9" w14:textId="7B9C6708" w:rsidR="007717A7" w:rsidRPr="009668D3" w:rsidRDefault="007717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Regime shift probability and parametric drivers of instability for O2. The probability of regime shift is defined as the fraction of N LHS-sampled parameter sets (Step 10) for which the annual map converges to an equilibrium qualitatively different from the coexistence fixed point </w:t>
      </w:r>
      <m:oMath>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2</m:t>
            </m:r>
          </m:sub>
          <m:sup>
            <m:r>
              <w:rPr>
                <w:rFonts w:ascii="Cambria Math" w:hAnsi="Cambria Math" w:cs="Times New Roman"/>
                <w:sz w:val="20"/>
                <w:szCs w:val="20"/>
              </w:rPr>
              <m:t>*</m:t>
            </m:r>
          </m:sup>
        </m:sSubSup>
      </m:oMath>
      <w:r w:rsidRPr="009668D3">
        <w:rPr>
          <w:rFonts w:ascii="Times New Roman" w:hAnsi="Times New Roman" w:cs="Times New Roman"/>
          <w:sz w:val="20"/>
          <w:szCs w:val="20"/>
        </w:rPr>
        <w:t xml:space="preserve">. Formally,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shift</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alt</m:t>
                </m:r>
              </m:sub>
            </m:sSub>
          </m:num>
          <m:den>
            <m:r>
              <w:rPr>
                <w:rFonts w:ascii="Cambria Math" w:hAnsi="Cambria Math" w:cs="Times New Roman"/>
                <w:sz w:val="20"/>
                <w:szCs w:val="20"/>
              </w:rPr>
              <m:t>N</m:t>
            </m:r>
          </m:den>
        </m:f>
      </m:oMath>
      <w:r w:rsidRPr="009668D3">
        <w:rPr>
          <w:rFonts w:ascii="Times New Roman" w:hAnsi="Times New Roman" w:cs="Times New Roman"/>
          <w:sz w:val="20"/>
          <w:szCs w:val="20"/>
        </w:rPr>
        <w:t xml:space="preserve">, where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alt</m:t>
            </m:r>
          </m:sub>
        </m:sSub>
      </m:oMath>
      <w:r w:rsidRPr="009668D3">
        <w:rPr>
          <w:rFonts w:ascii="Times New Roman" w:hAnsi="Times New Roman" w:cs="Times New Roman"/>
          <w:sz w:val="20"/>
          <w:szCs w:val="20"/>
        </w:rPr>
        <w:t xml:space="preserve"> is the number of sampled parameter sets yielding a parasitoid-free or trivial equilibrium. This probability is conditional on the assumed uniform distributions over the parameter ranges in Annex 1 and is reported with 95% bootstrap confidence intervals. Parametric drivers of instability are identified by computing PRCC between each model parameter and the dominant eigenvalue magnitude ρ* across the LHS sample. Parameters with </w:t>
      </w:r>
      <m:oMath>
        <m:r>
          <w:rPr>
            <w:rFonts w:ascii="Cambria Math" w:hAnsi="Cambria Math" w:cs="Times New Roman"/>
            <w:sz w:val="20"/>
            <w:szCs w:val="20"/>
          </w:rPr>
          <m:t>|PRCC| &gt; 0.25</m:t>
        </m:r>
      </m:oMath>
      <w:r w:rsidRPr="009668D3">
        <w:rPr>
          <w:rFonts w:ascii="Times New Roman" w:hAnsi="Times New Roman" w:cs="Times New Roman"/>
          <w:sz w:val="20"/>
          <w:szCs w:val="20"/>
        </w:rPr>
        <w:t xml:space="preserve"> that drive ρ* toward unity are classified as parametric drivers of instability. These parametric drivers can be translated to candidate early warning signals when the phenological process providing ecological meaning to the </w:t>
      </w:r>
      <w:r w:rsidRPr="009668D3">
        <w:rPr>
          <w:rFonts w:ascii="Times New Roman" w:hAnsi="Times New Roman" w:cs="Times New Roman"/>
          <w:sz w:val="20"/>
          <w:szCs w:val="20"/>
        </w:rPr>
        <w:lastRenderedPageBreak/>
        <w:t>parameter is empirically observable</w:t>
      </w:r>
      <w:r w:rsidR="003215C3" w:rsidRPr="009668D3">
        <w:rPr>
          <w:rFonts w:ascii="Times New Roman" w:hAnsi="Times New Roman" w:cs="Times New Roman"/>
          <w:sz w:val="20"/>
          <w:szCs w:val="20"/>
        </w:rPr>
        <w:t>,</w:t>
      </w:r>
      <w:r w:rsidRPr="009668D3">
        <w:rPr>
          <w:rFonts w:ascii="Times New Roman" w:hAnsi="Times New Roman" w:cs="Times New Roman"/>
          <w:sz w:val="20"/>
          <w:szCs w:val="20"/>
        </w:rPr>
        <w:t xml:space="preserve"> and its direction of variation under climatic change matches the destabilising direction identified by the model. For example, if the model identifies overwinter beetle survival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Pr="009668D3">
        <w:rPr>
          <w:rFonts w:ascii="Times New Roman" w:hAnsi="Times New Roman" w:cs="Times New Roman"/>
          <w:sz w:val="20"/>
          <w:szCs w:val="20"/>
        </w:rPr>
        <w:t xml:space="preserve"> as a parametric driver whose increase destabilises coexistence, and if milder winters observably increase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8C375D" w:rsidRPr="009668D3">
        <w:rPr>
          <w:rFonts w:ascii="Times New Roman" w:hAnsi="Times New Roman" w:cs="Times New Roman"/>
          <w:sz w:val="20"/>
          <w:szCs w:val="20"/>
        </w:rPr>
        <w:t xml:space="preserve"> </w:t>
      </w:r>
      <w:r w:rsidR="003215C3" w:rsidRPr="009668D3">
        <w:rPr>
          <w:rFonts w:ascii="Times New Roman" w:hAnsi="Times New Roman" w:cs="Times New Roman"/>
          <w:sz w:val="20"/>
          <w:szCs w:val="20"/>
        </w:rPr>
        <w:t>Then,</w:t>
      </w:r>
      <w:r w:rsidRPr="009668D3">
        <w:rPr>
          <w:rFonts w:ascii="Times New Roman" w:hAnsi="Times New Roman" w:cs="Times New Roman"/>
          <w:sz w:val="20"/>
          <w:szCs w:val="20"/>
        </w:rPr>
        <w:t xml:space="preserve"> declining winter severity constitutes a candidate early warning signal for regime shift. As a focused analysis within O2, we compute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across the full range of the bird pressure index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 xml:space="preserve"> ∈ [0.5, 2.0]</m:t>
        </m:r>
      </m:oMath>
      <w:r w:rsidRPr="009668D3">
        <w:rPr>
          <w:rFonts w:ascii="Times New Roman" w:hAnsi="Times New Roman" w:cs="Times New Roman"/>
          <w:sz w:val="20"/>
          <w:szCs w:val="20"/>
        </w:rPr>
        <w:t xml:space="preserve"> at the calibrated baseline, and across the </w:t>
      </w:r>
      <m:oMath>
        <m:r>
          <w:rPr>
            <w:rFonts w:ascii="Cambria Math" w:hAnsi="Cambria Math" w:cs="Times New Roman"/>
            <w:sz w:val="20"/>
            <w:szCs w:val="20"/>
          </w:rPr>
          <m:t xml:space="preserve">(β, </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parameter plane, to map the transcritical bifurcation boundary separating the coexistence and parasitoid-free regimes.</w:t>
      </w:r>
    </w:p>
    <w:p w14:paraId="5427FDCD" w14:textId="49BEEB68" w:rsidR="00507442" w:rsidRPr="009668D3" w:rsidRDefault="0094245B"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2.5</w:t>
      </w:r>
      <w:r w:rsidR="0074256D" w:rsidRPr="009668D3">
        <w:rPr>
          <w:rFonts w:ascii="Times New Roman" w:hAnsi="Times New Roman" w:cs="Times New Roman"/>
          <w:b/>
          <w:sz w:val="20"/>
          <w:szCs w:val="20"/>
        </w:rPr>
        <w:t xml:space="preserve"> </w:t>
      </w:r>
      <w:r w:rsidR="00507442" w:rsidRPr="009668D3">
        <w:rPr>
          <w:rFonts w:ascii="Times New Roman" w:hAnsi="Times New Roman" w:cs="Times New Roman"/>
          <w:b/>
          <w:sz w:val="20"/>
          <w:szCs w:val="20"/>
        </w:rPr>
        <w:t>Numerical analyses</w:t>
      </w:r>
    </w:p>
    <w:p w14:paraId="18353E8D" w14:textId="51AF0D47" w:rsidR="0074256D" w:rsidRPr="009668D3" w:rsidRDefault="00A8673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numerical analyses are conducted across all nine phenological scenarios (Table </w:t>
      </w:r>
      <w:r w:rsidR="008C375D" w:rsidRPr="009668D3">
        <w:rPr>
          <w:rFonts w:ascii="Times New Roman" w:hAnsi="Times New Roman" w:cs="Times New Roman"/>
          <w:sz w:val="20"/>
          <w:szCs w:val="20"/>
        </w:rPr>
        <w:t>S1</w:t>
      </w:r>
      <w:r w:rsidRPr="009668D3">
        <w:rPr>
          <w:rFonts w:ascii="Times New Roman" w:hAnsi="Times New Roman" w:cs="Times New Roman"/>
          <w:sz w:val="20"/>
          <w:szCs w:val="20"/>
        </w:rPr>
        <w:t>), first by one-at-a-time parameter variation to isolate the effect of each scenario, and then by joint Latin Hypercube Sampling</w:t>
      </w:r>
      <w:r w:rsidR="008C375D" w:rsidRPr="009668D3">
        <w:rPr>
          <w:rFonts w:ascii="Times New Roman" w:hAnsi="Times New Roman" w:cs="Times New Roman"/>
          <w:sz w:val="20"/>
          <w:szCs w:val="20"/>
        </w:rPr>
        <w:t xml:space="preserve"> (JLHS)</w:t>
      </w:r>
      <w:r w:rsidRPr="009668D3">
        <w:rPr>
          <w:rFonts w:ascii="Times New Roman" w:hAnsi="Times New Roman" w:cs="Times New Roman"/>
          <w:sz w:val="20"/>
          <w:szCs w:val="20"/>
        </w:rPr>
        <w:t xml:space="preserve"> across all parameter ranges to capture interactions. </w:t>
      </w:r>
      <w:r w:rsidR="00507442" w:rsidRPr="009668D3">
        <w:rPr>
          <w:rFonts w:ascii="Times New Roman" w:hAnsi="Times New Roman" w:cs="Times New Roman"/>
          <w:sz w:val="20"/>
          <w:szCs w:val="20"/>
        </w:rPr>
        <w:t xml:space="preserve">The absence of long-term, site-specific time series for </w:t>
      </w:r>
      <w:r w:rsidR="00066319" w:rsidRPr="009668D3">
        <w:rPr>
          <w:rFonts w:ascii="Times New Roman" w:hAnsi="Times New Roman" w:cs="Times New Roman"/>
          <w:sz w:val="20"/>
          <w:szCs w:val="20"/>
        </w:rPr>
        <w:t>Beetle</w:t>
      </w:r>
      <w:r w:rsidR="00507442" w:rsidRPr="009668D3">
        <w:rPr>
          <w:rFonts w:ascii="Times New Roman" w:hAnsi="Times New Roman" w:cs="Times New Roman"/>
          <w:sz w:val="20"/>
          <w:szCs w:val="20"/>
        </w:rPr>
        <w:t xml:space="preserve"> outbreak density, M. mutabilis </w:t>
      </w:r>
      <w:r w:rsidR="004F245F">
        <w:rPr>
          <w:rFonts w:ascii="Times New Roman" w:hAnsi="Times New Roman" w:cs="Times New Roman"/>
          <w:sz w:val="20"/>
          <w:szCs w:val="20"/>
        </w:rPr>
        <w:t>parasitoidism</w:t>
      </w:r>
      <w:r w:rsidR="00507442" w:rsidRPr="009668D3">
        <w:rPr>
          <w:rFonts w:ascii="Times New Roman" w:hAnsi="Times New Roman" w:cs="Times New Roman"/>
          <w:sz w:val="20"/>
          <w:szCs w:val="20"/>
        </w:rPr>
        <w:t xml:space="preserve"> prevalence, and passerine kill rates on this beetle challenges only numerical simulation-based analyses. Therefore, we focus on the system characteristic through mapping the structural stability landscape of the system</w:t>
      </w:r>
      <w:r w:rsidR="0074256D" w:rsidRPr="009668D3">
        <w:rPr>
          <w:rFonts w:ascii="Times New Roman" w:hAnsi="Times New Roman" w:cs="Times New Roman"/>
          <w:sz w:val="20"/>
          <w:szCs w:val="20"/>
        </w:rPr>
        <w:t xml:space="preserve"> and calibration for </w:t>
      </w:r>
      <w:r w:rsidR="003F1BE8" w:rsidRPr="009668D3">
        <w:rPr>
          <w:rFonts w:ascii="Times New Roman" w:hAnsi="Times New Roman" w:cs="Times New Roman"/>
          <w:sz w:val="20"/>
          <w:szCs w:val="20"/>
        </w:rPr>
        <w:t>parameter</w:t>
      </w:r>
      <w:r w:rsidR="0074256D" w:rsidRPr="009668D3">
        <w:rPr>
          <w:rFonts w:ascii="Times New Roman" w:hAnsi="Times New Roman" w:cs="Times New Roman"/>
          <w:sz w:val="20"/>
          <w:szCs w:val="20"/>
        </w:rPr>
        <w:t xml:space="preserve"> ranges per regime. This technique allows us</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to</w:t>
      </w:r>
      <w:r w:rsidR="00507442" w:rsidRPr="009668D3">
        <w:rPr>
          <w:rFonts w:ascii="Times New Roman" w:hAnsi="Times New Roman" w:cs="Times New Roman"/>
          <w:sz w:val="20"/>
          <w:szCs w:val="20"/>
        </w:rPr>
        <w:t xml:space="preserve"> identif</w:t>
      </w:r>
      <w:r w:rsidR="0074256D" w:rsidRPr="009668D3">
        <w:rPr>
          <w:rFonts w:ascii="Times New Roman" w:hAnsi="Times New Roman" w:cs="Times New Roman"/>
          <w:sz w:val="20"/>
          <w:szCs w:val="20"/>
        </w:rPr>
        <w:t>y</w:t>
      </w:r>
      <w:r w:rsidR="00507442" w:rsidRPr="009668D3">
        <w:rPr>
          <w:rFonts w:ascii="Times New Roman" w:hAnsi="Times New Roman" w:cs="Times New Roman"/>
          <w:sz w:val="20"/>
          <w:szCs w:val="20"/>
        </w:rPr>
        <w:t xml:space="preserve"> parameter combinations and control allocations that support a stable low-damage equilibri</w:t>
      </w:r>
      <w:r w:rsidR="0074256D" w:rsidRPr="009668D3">
        <w:rPr>
          <w:rFonts w:ascii="Times New Roman" w:hAnsi="Times New Roman" w:cs="Times New Roman"/>
          <w:sz w:val="20"/>
          <w:szCs w:val="20"/>
        </w:rPr>
        <w:t>a:</w:t>
      </w:r>
      <w:r w:rsidR="00507442" w:rsidRPr="009668D3">
        <w:rPr>
          <w:rFonts w:ascii="Times New Roman" w:hAnsi="Times New Roman" w:cs="Times New Roman"/>
          <w:sz w:val="20"/>
          <w:szCs w:val="20"/>
        </w:rPr>
        <w:t xml:space="preserve"> those that induce tipping, and the response of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00507442" w:rsidRPr="009668D3">
        <w:rPr>
          <w:rFonts w:ascii="Times New Roman" w:hAnsi="Times New Roman" w:cs="Times New Roman"/>
          <w:sz w:val="20"/>
          <w:szCs w:val="20"/>
        </w:rPr>
        <w:t xml:space="preserve"> to intraguild predation and control effort. </w:t>
      </w:r>
      <w:r w:rsidR="0074256D" w:rsidRPr="009668D3">
        <w:rPr>
          <w:rFonts w:ascii="Times New Roman" w:hAnsi="Times New Roman" w:cs="Times New Roman"/>
          <w:sz w:val="20"/>
          <w:szCs w:val="20"/>
        </w:rPr>
        <w:t>However, this</w:t>
      </w:r>
      <w:r w:rsidR="00507442" w:rsidRPr="009668D3">
        <w:rPr>
          <w:rFonts w:ascii="Times New Roman" w:hAnsi="Times New Roman" w:cs="Times New Roman"/>
          <w:sz w:val="20"/>
          <w:szCs w:val="20"/>
        </w:rPr>
        <w:t xml:space="preserve"> analysis </w:t>
      </w:r>
      <w:r w:rsidR="0074256D" w:rsidRPr="009668D3">
        <w:rPr>
          <w:rFonts w:ascii="Times New Roman" w:hAnsi="Times New Roman" w:cs="Times New Roman"/>
          <w:sz w:val="20"/>
          <w:szCs w:val="20"/>
        </w:rPr>
        <w:t xml:space="preserve">therefore </w:t>
      </w:r>
      <w:r w:rsidR="003215C3" w:rsidRPr="009668D3">
        <w:rPr>
          <w:rFonts w:ascii="Times New Roman" w:hAnsi="Times New Roman" w:cs="Times New Roman"/>
          <w:sz w:val="20"/>
          <w:szCs w:val="20"/>
        </w:rPr>
        <w:t>restricts us from aiming to predict site-specific outbreak timing or magnitude without site-specific</w:t>
      </w:r>
      <w:r w:rsidR="0074256D" w:rsidRPr="009668D3">
        <w:rPr>
          <w:rFonts w:ascii="Times New Roman" w:hAnsi="Times New Roman" w:cs="Times New Roman"/>
          <w:sz w:val="20"/>
          <w:szCs w:val="20"/>
        </w:rPr>
        <w:t xml:space="preserve"> time series data</w:t>
      </w:r>
      <w:r w:rsidR="00507442" w:rsidRPr="009668D3">
        <w:rPr>
          <w:rFonts w:ascii="Times New Roman" w:hAnsi="Times New Roman" w:cs="Times New Roman"/>
          <w:sz w:val="20"/>
          <w:szCs w:val="20"/>
        </w:rPr>
        <w:t>. Stability properties, including fixed-point existence, eigenvalue conditions, and bifurcation type, are determined by the structure of the annual map and the qualitative nature of the functional responses</w:t>
      </w:r>
      <w:r w:rsidR="0074256D" w:rsidRPr="009668D3">
        <w:rPr>
          <w:rFonts w:ascii="Times New Roman" w:hAnsi="Times New Roman" w:cs="Times New Roman"/>
          <w:sz w:val="20"/>
          <w:szCs w:val="20"/>
        </w:rPr>
        <w:t xml:space="preserve"> in our simulation for a range of plausible values based on stability analyses in annex 2 and known parameter values in annex 1</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We follow this parameter range for simulation</w:t>
      </w:r>
      <w:r w:rsidR="00507442" w:rsidRPr="009668D3">
        <w:rPr>
          <w:rFonts w:ascii="Times New Roman" w:hAnsi="Times New Roman" w:cs="Times New Roman"/>
          <w:sz w:val="20"/>
          <w:szCs w:val="20"/>
        </w:rPr>
        <w:t xml:space="preserve"> in</w:t>
      </w:r>
      <w:r w:rsidR="0074256D" w:rsidRPr="009668D3">
        <w:rPr>
          <w:rFonts w:ascii="Times New Roman" w:hAnsi="Times New Roman" w:cs="Times New Roman"/>
          <w:sz w:val="20"/>
          <w:szCs w:val="20"/>
        </w:rPr>
        <w:t xml:space="preserve"> </w:t>
      </w:r>
      <w:r w:rsidR="003215C3" w:rsidRPr="009668D3">
        <w:rPr>
          <w:rFonts w:ascii="Times New Roman" w:hAnsi="Times New Roman" w:cs="Times New Roman"/>
          <w:sz w:val="20"/>
          <w:szCs w:val="20"/>
        </w:rPr>
        <w:t>the standardised protocol in theoretical eco-epidemic modelling,</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 xml:space="preserve">as it is in </w:t>
      </w:r>
      <w:r w:rsidR="00507442" w:rsidRPr="009668D3">
        <w:rPr>
          <w:rFonts w:ascii="Times New Roman" w:hAnsi="Times New Roman" w:cs="Times New Roman"/>
          <w:sz w:val="20"/>
          <w:szCs w:val="20"/>
        </w:rPr>
        <w:t xml:space="preserve">Chattopadhyay and Arino, </w:t>
      </w:r>
      <w:r w:rsidR="002C32B5">
        <w:rPr>
          <w:rFonts w:ascii="Times New Roman" w:hAnsi="Times New Roman" w:cs="Times New Roman"/>
          <w:sz w:val="20"/>
          <w:szCs w:val="20"/>
        </w:rPr>
        <w:t>(</w:t>
      </w:r>
      <w:r w:rsidR="00507442" w:rsidRPr="009668D3">
        <w:rPr>
          <w:rFonts w:ascii="Times New Roman" w:hAnsi="Times New Roman" w:cs="Times New Roman"/>
          <w:sz w:val="20"/>
          <w:szCs w:val="20"/>
        </w:rPr>
        <w:t>1999</w:t>
      </w:r>
      <w:r w:rsidR="002C32B5">
        <w:rPr>
          <w:rFonts w:ascii="Times New Roman" w:hAnsi="Times New Roman" w:cs="Times New Roman"/>
          <w:sz w:val="20"/>
          <w:szCs w:val="20"/>
        </w:rPr>
        <w:t>) and</w:t>
      </w:r>
      <w:r w:rsidR="00507442" w:rsidRPr="009668D3">
        <w:rPr>
          <w:rFonts w:ascii="Times New Roman" w:hAnsi="Times New Roman" w:cs="Times New Roman"/>
          <w:sz w:val="20"/>
          <w:szCs w:val="20"/>
        </w:rPr>
        <w:t xml:space="preserve"> Hethcote et al., </w:t>
      </w:r>
      <w:r w:rsidR="002C32B5">
        <w:rPr>
          <w:rFonts w:ascii="Times New Roman" w:hAnsi="Times New Roman" w:cs="Times New Roman"/>
          <w:sz w:val="20"/>
          <w:szCs w:val="20"/>
        </w:rPr>
        <w:t>(</w:t>
      </w:r>
      <w:r w:rsidR="00507442" w:rsidRPr="009668D3">
        <w:rPr>
          <w:rFonts w:ascii="Times New Roman" w:hAnsi="Times New Roman" w:cs="Times New Roman"/>
          <w:sz w:val="20"/>
          <w:szCs w:val="20"/>
        </w:rPr>
        <w:t>2004</w:t>
      </w:r>
      <w:r w:rsidR="002C32B5">
        <w:rPr>
          <w:rFonts w:ascii="Times New Roman" w:hAnsi="Times New Roman" w:cs="Times New Roman"/>
          <w:sz w:val="20"/>
          <w:szCs w:val="20"/>
        </w:rPr>
        <w:t>)</w:t>
      </w:r>
      <w:r w:rsidR="0074256D" w:rsidRPr="009668D3">
        <w:rPr>
          <w:rFonts w:ascii="Times New Roman" w:hAnsi="Times New Roman" w:cs="Times New Roman"/>
          <w:sz w:val="20"/>
          <w:szCs w:val="20"/>
        </w:rPr>
        <w:t>.</w:t>
      </w:r>
      <w:r w:rsidR="00507442" w:rsidRPr="009668D3">
        <w:rPr>
          <w:rFonts w:ascii="Times New Roman" w:hAnsi="Times New Roman" w:cs="Times New Roman"/>
          <w:sz w:val="20"/>
          <w:szCs w:val="20"/>
        </w:rPr>
        <w:t xml:space="preserve"> </w:t>
      </w:r>
    </w:p>
    <w:p w14:paraId="3E449B89" w14:textId="6ED79F2D" w:rsidR="002F14EA" w:rsidRPr="009668D3" w:rsidRDefault="002F14E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During numerical analyses, parameters were divided into four classes: biological baseline parameters, calibrated structural parameters, bounded management controls, and objective-function weights. Biological parameters were assigned from empirical studies, cross-system proxies, or biologically constrained priors as summarised in Annex 1. Structural parameters lacking direct estimates but required for scale consistency or threshold behaviour, including </w:t>
      </w:r>
      <m:oMath>
        <m:r>
          <w:rPr>
            <w:rFonts w:ascii="Cambria Math" w:hAnsi="Cambria Math" w:cs="Times New Roman"/>
            <w:sz w:val="20"/>
            <w:szCs w:val="20"/>
          </w:rPr>
          <m:t>β</m:t>
        </m:r>
      </m:oMath>
      <w:r w:rsidRPr="009668D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oMath>
      <w:r w:rsidRPr="009668D3">
        <w:rPr>
          <w:rFonts w:ascii="Times New Roman" w:hAnsi="Times New Roman" w:cs="Times New Roman"/>
          <w:sz w:val="20"/>
          <w:szCs w:val="20"/>
        </w:rPr>
        <w:t xml:space="preserve">, and </w:t>
      </w:r>
      <m:oMath>
        <m:r>
          <w:rPr>
            <w:rFonts w:ascii="Cambria Math" w:hAnsi="Cambria Math" w:cs="Times New Roman"/>
            <w:sz w:val="20"/>
            <w:szCs w:val="20"/>
          </w:rPr>
          <m:t>κ</m:t>
        </m:r>
      </m:oMath>
      <w:r w:rsidRPr="009668D3">
        <w:rPr>
          <w:rFonts w:ascii="Times New Roman" w:hAnsi="Times New Roman" w:cs="Times New Roman"/>
          <w:sz w:val="20"/>
          <w:szCs w:val="20"/>
        </w:rPr>
        <w:t xml:space="preserve">, were calibrated so that the model reproduced plausible baseline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daily bird predation, and proportional defoliation. The management variables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Pr="009668D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Pr="009668D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Pr="009668D3">
        <w:rPr>
          <w:rFonts w:ascii="Times New Roman" w:hAnsi="Times New Roman" w:cs="Times New Roman"/>
          <w:sz w:val="20"/>
          <w:szCs w:val="20"/>
        </w:rPr>
        <w:t>were not treated as ecological constants, but as bounded decision variables with baseline value zero. The weights in the objective functional were treated as scenario-dependent management preferences rather than empirically fixed ecological parameters.</w:t>
      </w:r>
    </w:p>
    <w:p w14:paraId="0CC9F201" w14:textId="145A7390" w:rsidR="00507442" w:rsidRPr="009668D3" w:rsidRDefault="0050744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To address the lack of precise parameter estimates, the analysis employs two complementary safeguards. First, all uncertain parameters are represented as intervals, as specified in the parameter tables of </w:t>
      </w:r>
      <w:r w:rsidR="0074256D" w:rsidRPr="009668D3">
        <w:rPr>
          <w:rFonts w:ascii="Times New Roman" w:hAnsi="Times New Roman" w:cs="Times New Roman"/>
          <w:sz w:val="20"/>
          <w:szCs w:val="20"/>
        </w:rPr>
        <w:t>Annex 1</w:t>
      </w:r>
      <w:r w:rsidRPr="009668D3">
        <w:rPr>
          <w:rFonts w:ascii="Times New Roman" w:hAnsi="Times New Roman" w:cs="Times New Roman"/>
          <w:sz w:val="20"/>
          <w:szCs w:val="20"/>
        </w:rPr>
        <w:t xml:space="preserve">, with empirically justified ranges. As a result, stability and control outcomes are reported as robust regions within parameter space rather than as point estimates. Conclusions are accepted only if they are valid across the entire range of each uncertain parameter. Second, structural robustness is assessed by replacing the baseline functional forms with </w:t>
      </w:r>
      <w:r w:rsidR="003F1BE8" w:rsidRPr="009668D3">
        <w:rPr>
          <w:rFonts w:ascii="Times New Roman" w:hAnsi="Times New Roman" w:cs="Times New Roman"/>
          <w:sz w:val="20"/>
          <w:szCs w:val="20"/>
        </w:rPr>
        <w:t>ecologically plausible alternatives: Beverton</w:t>
      </w:r>
      <w:r w:rsidR="00FA7DD2" w:rsidRPr="009668D3">
        <w:rPr>
          <w:rFonts w:ascii="Times New Roman" w:hAnsi="Times New Roman" w:cs="Times New Roman"/>
          <w:sz w:val="20"/>
          <w:szCs w:val="20"/>
        </w:rPr>
        <w:t>-</w:t>
      </w:r>
      <w:r w:rsidR="003F1BE8" w:rsidRPr="009668D3">
        <w:rPr>
          <w:rFonts w:ascii="Times New Roman" w:hAnsi="Times New Roman" w:cs="Times New Roman"/>
          <w:sz w:val="20"/>
          <w:szCs w:val="20"/>
        </w:rPr>
        <w:t xml:space="preserve">Holt versus </w:t>
      </w:r>
      <w:r w:rsidR="00FA7DD2" w:rsidRPr="009668D3">
        <w:rPr>
          <w:rFonts w:ascii="Times New Roman" w:hAnsi="Times New Roman" w:cs="Times New Roman"/>
          <w:sz w:val="20"/>
          <w:szCs w:val="20"/>
        </w:rPr>
        <w:t>Ricker recruitment</w:t>
      </w:r>
      <w:r w:rsidRPr="009668D3">
        <w:rPr>
          <w:rFonts w:ascii="Times New Roman" w:hAnsi="Times New Roman" w:cs="Times New Roman"/>
          <w:sz w:val="20"/>
          <w:szCs w:val="20"/>
        </w:rPr>
        <w:t xml:space="preserve"> in Equation (5), Holling Type II versus linear functional response for bird predation, </w:t>
      </w:r>
      <w:r w:rsidR="00FF759C" w:rsidRPr="002C32B5">
        <w:rPr>
          <w:rFonts w:ascii="Times New Roman" w:hAnsi="Times New Roman" w:cs="Times New Roman"/>
          <w:color w:val="000000" w:themeColor="text1"/>
          <w:sz w:val="20"/>
          <w:szCs w:val="20"/>
        </w:rPr>
        <w:t>a</w:t>
      </w:r>
      <w:r w:rsidR="00000000" w:rsidRPr="002C32B5">
        <w:rPr>
          <w:rFonts w:ascii="Times New Roman" w:hAnsi="Times New Roman" w:cs="Times New Roman"/>
          <w:color w:val="000000" w:themeColor="text1"/>
          <w:sz w:val="20"/>
          <w:szCs w:val="20"/>
        </w:rPr>
        <w:t xml:space="preserve">nd S → I compartmental </w:t>
      </w:r>
      <w:r w:rsidR="004F245F" w:rsidRPr="002C32B5">
        <w:rPr>
          <w:rFonts w:ascii="Times New Roman" w:hAnsi="Times New Roman" w:cs="Times New Roman"/>
          <w:color w:val="000000" w:themeColor="text1"/>
          <w:sz w:val="20"/>
          <w:szCs w:val="20"/>
        </w:rPr>
        <w:t>parasitoidism</w:t>
      </w:r>
      <w:r w:rsidR="00000000" w:rsidRPr="002C32B5">
        <w:rPr>
          <w:rFonts w:ascii="Times New Roman" w:hAnsi="Times New Roman" w:cs="Times New Roman"/>
          <w:color w:val="000000" w:themeColor="text1"/>
          <w:sz w:val="20"/>
          <w:szCs w:val="20"/>
        </w:rPr>
        <w:t xml:space="preserve"> versus direct parasitoid-induced mortality. In particular, substituting Ricker recruitment </w:t>
      </w:r>
      <m:oMath>
        <m:r>
          <w:rPr>
            <w:rFonts w:ascii="Cambria Math" w:eastAsiaTheme="minorEastAsia" w:hAnsi="Cambria Math" w:cs="Times New Roman"/>
            <w:color w:val="000000" w:themeColor="text1"/>
            <w:sz w:val="20"/>
            <w:szCs w:val="20"/>
          </w:rPr>
          <m:t xml:space="preserve">S(0) = </m:t>
        </m:r>
        <m:sSub>
          <m:sSubPr>
            <m:ctrlPr>
              <w:rPr>
                <w:rFonts w:ascii="Cambria Math" w:eastAsiaTheme="minorEastAsia" w:hAnsi="Cambria Math" w:cs="Times New Roman"/>
                <w:i/>
                <w:color w:val="000000" w:themeColor="text1"/>
                <w:sz w:val="20"/>
                <w:szCs w:val="20"/>
              </w:rPr>
            </m:ctrlPr>
          </m:sSubPr>
          <m:e>
            <m:r>
              <w:rPr>
                <w:rFonts w:ascii="Cambria Math" w:eastAsiaTheme="minorEastAsia" w:hAnsi="Cambria Math" w:cs="Times New Roman"/>
                <w:color w:val="000000" w:themeColor="text1"/>
                <w:sz w:val="20"/>
                <w:szCs w:val="20"/>
              </w:rPr>
              <m:t>A</m:t>
            </m:r>
          </m:e>
          <m:sub>
            <m:r>
              <w:rPr>
                <w:rFonts w:ascii="Cambria Math" w:eastAsiaTheme="minorEastAsia" w:hAnsi="Cambria Math" w:cs="Times New Roman"/>
                <w:color w:val="000000" w:themeColor="text1"/>
                <w:sz w:val="20"/>
                <w:szCs w:val="20"/>
              </w:rPr>
              <m:t>t</m:t>
            </m:r>
          </m:sub>
        </m:sSub>
        <m:r>
          <w:rPr>
            <w:rFonts w:ascii="Cambria Math" w:eastAsiaTheme="minorEastAsia" w:hAnsi="Cambria Math" w:cs="Times New Roman"/>
            <w:color w:val="000000" w:themeColor="text1"/>
            <w:sz w:val="20"/>
            <w:szCs w:val="20"/>
          </w:rPr>
          <m:t xml:space="preserve"> exp(r(1 - </m:t>
        </m:r>
        <m:sSub>
          <m:sSubPr>
            <m:ctrlPr>
              <w:rPr>
                <w:rFonts w:ascii="Cambria Math" w:eastAsiaTheme="minorEastAsia" w:hAnsi="Cambria Math" w:cs="Times New Roman"/>
                <w:i/>
                <w:color w:val="000000" w:themeColor="text1"/>
                <w:sz w:val="20"/>
                <w:szCs w:val="20"/>
              </w:rPr>
            </m:ctrlPr>
          </m:sSubPr>
          <m:e>
            <m:r>
              <w:rPr>
                <w:rFonts w:ascii="Cambria Math" w:eastAsiaTheme="minorEastAsia" w:hAnsi="Cambria Math" w:cs="Times New Roman"/>
                <w:color w:val="000000" w:themeColor="text1"/>
                <w:sz w:val="20"/>
                <w:szCs w:val="20"/>
              </w:rPr>
              <m:t>A</m:t>
            </m:r>
          </m:e>
          <m:sub>
            <m:r>
              <w:rPr>
                <w:rFonts w:ascii="Cambria Math" w:eastAsiaTheme="minorEastAsia" w:hAnsi="Cambria Math" w:cs="Times New Roman"/>
                <w:color w:val="000000" w:themeColor="text1"/>
                <w:sz w:val="20"/>
                <w:szCs w:val="20"/>
              </w:rPr>
              <m:t>t</m:t>
            </m:r>
          </m:sub>
        </m:sSub>
        <m:r>
          <w:rPr>
            <w:rFonts w:ascii="Cambria Math" w:eastAsiaTheme="minorEastAsia" w:hAnsi="Cambria Math" w:cs="Times New Roman"/>
            <w:color w:val="000000" w:themeColor="text1"/>
            <w:sz w:val="20"/>
            <w:szCs w:val="20"/>
          </w:rPr>
          <m:t>/</m:t>
        </m:r>
        <m:sSub>
          <m:sSubPr>
            <m:ctrlPr>
              <w:rPr>
                <w:rFonts w:ascii="Cambria Math" w:eastAsiaTheme="minorEastAsia" w:hAnsi="Cambria Math" w:cs="Times New Roman"/>
                <w:i/>
                <w:color w:val="000000" w:themeColor="text1"/>
                <w:sz w:val="20"/>
                <w:szCs w:val="20"/>
              </w:rPr>
            </m:ctrlPr>
          </m:sSubPr>
          <m:e>
            <m:r>
              <w:rPr>
                <w:rFonts w:ascii="Cambria Math" w:eastAsiaTheme="minorEastAsia" w:hAnsi="Cambria Math" w:cs="Times New Roman"/>
                <w:color w:val="000000" w:themeColor="text1"/>
                <w:sz w:val="20"/>
                <w:szCs w:val="20"/>
              </w:rPr>
              <m:t>K</m:t>
            </m:r>
          </m:e>
          <m:sub>
            <m:r>
              <w:rPr>
                <w:rFonts w:ascii="Cambria Math" w:eastAsiaTheme="minorEastAsia" w:hAnsi="Cambria Math" w:cs="Times New Roman"/>
                <w:color w:val="000000" w:themeColor="text1"/>
                <w:sz w:val="20"/>
                <w:szCs w:val="20"/>
              </w:rPr>
              <m:t>t</m:t>
            </m:r>
          </m:sub>
        </m:sSub>
        <m:r>
          <w:rPr>
            <w:rFonts w:ascii="Cambria Math" w:eastAsiaTheme="minorEastAsia" w:hAnsi="Cambria Math" w:cs="Times New Roman"/>
            <w:color w:val="000000" w:themeColor="text1"/>
            <w:sz w:val="20"/>
            <w:szCs w:val="20"/>
          </w:rPr>
          <m:t>))</m:t>
        </m:r>
      </m:oMath>
      <w:r w:rsidR="00000000" w:rsidRPr="002C32B5">
        <w:rPr>
          <w:rFonts w:ascii="Times New Roman" w:hAnsi="Times New Roman" w:cs="Times New Roman"/>
          <w:color w:val="000000" w:themeColor="text1"/>
          <w:sz w:val="20"/>
          <w:szCs w:val="20"/>
        </w:rPr>
        <w:t xml:space="preserve"> </w:t>
      </w:r>
      <w:r w:rsidR="00000000" w:rsidRPr="002C32B5">
        <w:rPr>
          <w:rFonts w:ascii="Times New Roman" w:hAnsi="Times New Roman" w:cs="Times New Roman"/>
          <w:color w:val="000000" w:themeColor="text1"/>
          <w:sz w:val="20"/>
          <w:szCs w:val="20"/>
        </w:rPr>
        <w:t>for the Beverton–Holt baseline</w:t>
      </w:r>
      <w:r w:rsidR="009D3F7F">
        <w:rPr>
          <w:rFonts w:ascii="Times New Roman" w:hAnsi="Times New Roman" w:cs="Times New Roman"/>
          <w:color w:val="000000" w:themeColor="text1"/>
          <w:sz w:val="20"/>
          <w:szCs w:val="20"/>
        </w:rPr>
        <w:t>,</w:t>
      </w:r>
      <w:r w:rsidR="00000000" w:rsidRPr="002C32B5">
        <w:rPr>
          <w:rFonts w:ascii="Times New Roman" w:hAnsi="Times New Roman" w:cs="Times New Roman"/>
          <w:color w:val="000000" w:themeColor="text1"/>
          <w:sz w:val="20"/>
          <w:szCs w:val="20"/>
        </w:rPr>
        <w:t xml:space="preserve"> preserved all three qualitative</w:t>
      </w:r>
      <w:r w:rsidR="00A8673D" w:rsidRPr="00097FF7">
        <w:rPr>
          <w:rFonts w:ascii="Times New Roman" w:hAnsi="Times New Roman" w:cs="Times New Roman"/>
          <w:color w:val="000000" w:themeColor="text1"/>
          <w:sz w:val="20"/>
          <w:szCs w:val="20"/>
        </w:rPr>
        <w:t xml:space="preserve"> </w:t>
      </w:r>
      <w:r w:rsidR="00A8673D" w:rsidRPr="009668D3">
        <w:rPr>
          <w:rFonts w:ascii="Times New Roman" w:hAnsi="Times New Roman" w:cs="Times New Roman"/>
          <w:sz w:val="20"/>
          <w:szCs w:val="20"/>
        </w:rPr>
        <w:t>conclusions</w:t>
      </w:r>
      <w:r w:rsidR="00AF5FD7" w:rsidRPr="001E6700">
        <w:rPr>
          <w:rFonts w:ascii="Times New Roman" w:eastAsiaTheme="minorEastAsia" w:hAnsi="Times New Roman" w:cs="Times New Roman"/>
          <w:sz w:val="20"/>
          <w:szCs w:val="20"/>
        </w:rPr>
        <w:t xml:space="preserve">, </w:t>
      </w:r>
      <w:r w:rsidR="00A8673D" w:rsidRPr="009668D3">
        <w:rPr>
          <w:rFonts w:ascii="Times New Roman" w:hAnsi="Times New Roman" w:cs="Times New Roman"/>
          <w:sz w:val="20"/>
          <w:szCs w:val="20"/>
        </w:rPr>
        <w:t>specifically, which equilibrium is most probable (O1), whether the regime shift probability exceeds a policy-relevant threshold (O2), and which strategy is minimal-effort feasible (O3)</w:t>
      </w:r>
      <w:r w:rsidR="00FA7DD2" w:rsidRPr="009668D3">
        <w:rPr>
          <w:rFonts w:ascii="Times New Roman" w:hAnsi="Times New Roman" w:cs="Times New Roman"/>
          <w:sz w:val="20"/>
          <w:szCs w:val="20"/>
        </w:rPr>
        <w:t xml:space="preserve"> </w:t>
      </w:r>
      <w:r w:rsidR="00A8673D" w:rsidRPr="009668D3">
        <w:rPr>
          <w:rFonts w:ascii="Times New Roman" w:hAnsi="Times New Roman" w:cs="Times New Roman"/>
          <w:sz w:val="20"/>
          <w:szCs w:val="20"/>
        </w:rPr>
        <w:t>remain consistent under both parametric and structural perturbations, these results are interpreted as intrinsic properties of the tri-trophic interaction architecture rather than artefacts of specific modelling assumptions</w:t>
      </w:r>
      <w:r w:rsidRPr="009668D3">
        <w:rPr>
          <w:rFonts w:ascii="Times New Roman" w:hAnsi="Times New Roman" w:cs="Times New Roman"/>
          <w:sz w:val="20"/>
          <w:szCs w:val="20"/>
        </w:rPr>
        <w:t>.</w:t>
      </w:r>
    </w:p>
    <w:p w14:paraId="4466103A" w14:textId="56464AEB" w:rsidR="00977094" w:rsidRPr="009668D3" w:rsidRDefault="00977094"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For each equilibrium and each control scenario, we compute the resistance metrics </w:t>
      </w:r>
      <m:oMath>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max</m:t>
            </m:r>
          </m:e>
          <m:sub>
            <m:r>
              <w:rPr>
                <w:rFonts w:ascii="Cambria Math" w:hAnsi="Cambria Math" w:cs="Times New Roman"/>
                <w:sz w:val="20"/>
                <w:szCs w:val="20"/>
              </w:rPr>
              <m:t>τ</m:t>
            </m:r>
          </m:sub>
        </m:sSub>
        <m:d>
          <m:dPr>
            <m:begChr m:val="["/>
            <m:endChr m:val="]"/>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oMath>
      <w:r w:rsidRPr="009668D3">
        <w:rPr>
          <w:rFonts w:ascii="Times New Roman" w:hAnsi="Times New Roman" w:cs="Times New Roman"/>
          <w:sz w:val="20"/>
          <w:szCs w:val="20"/>
        </w:rPr>
        <w:t xml:space="preserve">, the resilience metrics </w:t>
      </w:r>
      <m:oMath>
        <m:sSup>
          <m:sSupPr>
            <m:ctrlPr>
              <w:rPr>
                <w:rFonts w:ascii="Cambria Math" w:hAnsi="Cambria Math" w:cs="Times New Roman"/>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return</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func>
              <m:funcPr>
                <m:ctrlPr>
                  <w:rPr>
                    <w:rFonts w:ascii="Cambria Math" w:hAnsi="Cambria Math" w:cs="Times New Roman"/>
                    <w:i/>
                    <w:sz w:val="20"/>
                    <w:szCs w:val="20"/>
                  </w:rPr>
                </m:ctrlPr>
              </m:funcPr>
              <m:fName>
                <m:r>
                  <m:rPr>
                    <m:sty m:val="p"/>
                  </m:rPr>
                  <w:rPr>
                    <w:rFonts w:ascii="Cambria Math" w:hAnsi="Cambria Math" w:cs="Times New Roman"/>
                    <w:sz w:val="20"/>
                    <w:szCs w:val="20"/>
                  </w:rPr>
                  <m:t>ln</m:t>
                </m:r>
                <m:ctrlPr>
                  <w:rPr>
                    <w:rFonts w:ascii="Cambria Math" w:hAnsi="Cambria Math" w:cs="Times New Roman"/>
                    <w:sz w:val="20"/>
                    <w:szCs w:val="20"/>
                  </w:rPr>
                </m:ctrlPr>
              </m:fName>
              <m:e>
                <m:d>
                  <m:dPr>
                    <m:ctrlPr>
                      <w:rPr>
                        <w:rFonts w:ascii="Cambria Math" w:hAnsi="Cambria Math" w:cs="Times New Roman"/>
                        <w:i/>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e>
                </m:d>
              </m:e>
            </m:func>
          </m:den>
        </m:f>
      </m:oMath>
      <w:r w:rsidRPr="009668D3">
        <w:rPr>
          <w:rFonts w:ascii="Times New Roman" w:hAnsi="Times New Roman" w:cs="Times New Roman"/>
          <w:sz w:val="20"/>
          <w:szCs w:val="20"/>
        </w:rPr>
        <w:t xml:space="preserve">, and </w:t>
      </w:r>
      <w:r w:rsidR="00C8521D" w:rsidRPr="009668D3">
        <w:rPr>
          <w:rFonts w:ascii="Times New Roman" w:hAnsi="Times New Roman" w:cs="Times New Roman"/>
          <w:sz w:val="20"/>
          <w:szCs w:val="20"/>
        </w:rPr>
        <w:t xml:space="preserve">cumulative control cost </w:t>
      </w:r>
      <m:oMath>
        <m:r>
          <w:rPr>
            <w:rFonts w:ascii="Cambria Math" w:hAnsi="Cambria Math" w:cs="Times New Roman"/>
            <w:sz w:val="20"/>
            <w:szCs w:val="20"/>
          </w:rPr>
          <m:t>J</m:t>
        </m:r>
      </m:oMath>
      <w:r w:rsidR="00C8521D" w:rsidRPr="009668D3">
        <w:rPr>
          <w:rFonts w:ascii="Times New Roman" w:hAnsi="Times New Roman" w:cs="Times New Roman"/>
          <w:sz w:val="20"/>
          <w:szCs w:val="20"/>
        </w:rPr>
        <w:t xml:space="preserve"> </w:t>
      </w:r>
      <w:r w:rsidRPr="009668D3">
        <w:rPr>
          <w:rFonts w:ascii="Times New Roman" w:hAnsi="Times New Roman" w:cs="Times New Roman"/>
          <w:sz w:val="20"/>
          <w:szCs w:val="20"/>
        </w:rPr>
        <w:t>where relevant</w:t>
      </w:r>
      <w:r w:rsidR="00C8521D"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r w:rsidR="00C8521D" w:rsidRPr="009668D3">
        <w:rPr>
          <w:rFonts w:ascii="Times New Roman" w:hAnsi="Times New Roman" w:cs="Times New Roman"/>
          <w:sz w:val="20"/>
          <w:szCs w:val="20"/>
        </w:rPr>
        <w:t>A</w:t>
      </w:r>
      <w:r w:rsidRPr="009668D3">
        <w:rPr>
          <w:rFonts w:ascii="Times New Roman" w:hAnsi="Times New Roman" w:cs="Times New Roman"/>
          <w:sz w:val="20"/>
          <w:szCs w:val="20"/>
        </w:rPr>
        <w:t xml:space="preserve"> perturbation-recovery time obtained by iterating the annual map from a standardised displacement of the fixed </w:t>
      </w:r>
      <w:r w:rsidR="00FA7DD2" w:rsidRPr="009668D3">
        <w:rPr>
          <w:rFonts w:ascii="Times New Roman" w:hAnsi="Times New Roman" w:cs="Times New Roman"/>
          <w:sz w:val="20"/>
          <w:szCs w:val="20"/>
        </w:rPr>
        <w:t>point</w:t>
      </w:r>
      <w:r w:rsidR="00C8521D" w:rsidRPr="009668D3">
        <w:rPr>
          <w:rFonts w:ascii="Times New Roman" w:hAnsi="Times New Roman" w:cs="Times New Roman"/>
          <w:sz w:val="20"/>
          <w:szCs w:val="20"/>
        </w:rPr>
        <w:t>, so that the relative performance of parasitoid-only and combined control strategies can be compared on resistance, resilience, and cost grounds.</w:t>
      </w:r>
    </w:p>
    <w:p w14:paraId="0083AABE" w14:textId="77777777" w:rsidR="00814654" w:rsidRPr="009668D3" w:rsidRDefault="00B8166E" w:rsidP="002D21BC">
      <w:pPr>
        <w:pStyle w:val="ListParagraph"/>
        <w:numPr>
          <w:ilvl w:val="0"/>
          <w:numId w:val="7"/>
        </w:num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Result</w:t>
      </w:r>
      <w:r w:rsidR="0094245B" w:rsidRPr="009668D3">
        <w:rPr>
          <w:rFonts w:ascii="Times New Roman" w:hAnsi="Times New Roman" w:cs="Times New Roman"/>
          <w:b/>
          <w:sz w:val="20"/>
          <w:szCs w:val="20"/>
        </w:rPr>
        <w:t>s</w:t>
      </w:r>
    </w:p>
    <w:p w14:paraId="368F840B" w14:textId="06081E6B" w:rsidR="00FA7DD2" w:rsidRPr="009668D3" w:rsidRDefault="00497BE6" w:rsidP="00814654">
      <w:pPr>
        <w:spacing w:line="240" w:lineRule="auto"/>
        <w:jc w:val="both"/>
        <w:rPr>
          <w:rFonts w:ascii="Times New Roman" w:hAnsi="Times New Roman" w:cs="Times New Roman"/>
          <w:b/>
          <w:sz w:val="20"/>
          <w:szCs w:val="20"/>
        </w:rPr>
      </w:pPr>
      <w:r w:rsidRPr="009668D3">
        <w:rPr>
          <w:rFonts w:ascii="Times New Roman" w:hAnsi="Times New Roman" w:cs="Times New Roman"/>
          <w:sz w:val="20"/>
          <w:szCs w:val="20"/>
        </w:rPr>
        <w:t>The results of this study are grouped by each objective. Each subsection from 3.1</w:t>
      </w:r>
      <w:r w:rsidR="00FA7DD2" w:rsidRPr="009668D3">
        <w:rPr>
          <w:rFonts w:ascii="Times New Roman" w:hAnsi="Times New Roman" w:cs="Times New Roman"/>
          <w:sz w:val="20"/>
          <w:szCs w:val="20"/>
        </w:rPr>
        <w:t xml:space="preserve"> to </w:t>
      </w:r>
      <w:r w:rsidRPr="009668D3">
        <w:rPr>
          <w:rFonts w:ascii="Times New Roman" w:hAnsi="Times New Roman" w:cs="Times New Roman"/>
          <w:sz w:val="20"/>
          <w:szCs w:val="20"/>
        </w:rPr>
        <w:t xml:space="preserve">3.3 reports the metrics that directly test the corresponding hypothesis. </w:t>
      </w:r>
    </w:p>
    <w:p w14:paraId="08BD9FB6" w14:textId="00EF3DC5" w:rsidR="003937AD" w:rsidRPr="009668D3" w:rsidRDefault="003937AD"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 xml:space="preserve">3.1 </w:t>
      </w:r>
      <w:r w:rsidR="008A5F26" w:rsidRPr="009668D3">
        <w:rPr>
          <w:rFonts w:ascii="Times New Roman" w:hAnsi="Times New Roman" w:cs="Times New Roman"/>
          <w:b/>
          <w:sz w:val="20"/>
          <w:szCs w:val="20"/>
        </w:rPr>
        <w:t xml:space="preserve">Meeting objective </w:t>
      </w:r>
      <w:r w:rsidR="000E2FF5" w:rsidRPr="009668D3">
        <w:rPr>
          <w:rFonts w:ascii="Times New Roman" w:hAnsi="Times New Roman" w:cs="Times New Roman"/>
          <w:b/>
          <w:sz w:val="20"/>
          <w:szCs w:val="20"/>
        </w:rPr>
        <w:t>1</w:t>
      </w:r>
    </w:p>
    <w:p w14:paraId="054AB28D" w14:textId="228595C0" w:rsidR="00CB764F" w:rsidRPr="009668D3" w:rsidRDefault="00000000" w:rsidP="002D21BC">
      <w:pPr>
        <w:keepNext/>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noProof/>
          <w:sz w:val="20"/>
          <w:szCs w:val="20"/>
        </w:rPr>
        <w:lastRenderedPageBreak/>
        <w:drawing>
          <wp:inline distT="0" distB="0" distL="0" distR="0" wp14:anchorId="30FBBAF4" wp14:editId="443FFDD4">
            <wp:extent cx="5731510" cy="2257108"/>
            <wp:effectExtent l="0" t="0" r="2540" b="0"/>
            <wp:docPr id="807424083"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pic:cNvPicPr/>
                  </pic:nvPicPr>
                  <pic:blipFill>
                    <a:blip r:embed="rId8"/>
                    <a:srcRect t="1863"/>
                    <a:stretch>
                      <a:fillRect/>
                    </a:stretch>
                  </pic:blipFill>
                  <pic:spPr bwMode="auto">
                    <a:xfrm>
                      <a:off x="0" y="0"/>
                      <a:ext cx="5731510" cy="2257108"/>
                    </a:xfrm>
                    <a:prstGeom prst="rect">
                      <a:avLst/>
                    </a:prstGeom>
                    <a:ln>
                      <a:noFill/>
                    </a:ln>
                    <a:extLst>
                      <a:ext uri="{53640926-AAD7-44D8-BBD7-CCE9431645EC}">
                        <a14:shadowObscured xmlns:a14="http://schemas.microsoft.com/office/drawing/2010/main"/>
                      </a:ext>
                    </a:extLst>
                  </pic:spPr>
                </pic:pic>
              </a:graphicData>
            </a:graphic>
          </wp:inline>
        </w:drawing>
      </w:r>
    </w:p>
    <w:p w14:paraId="56254881" w14:textId="4A4F7053" w:rsidR="008A5F26" w:rsidRPr="009668D3" w:rsidRDefault="00CB764F" w:rsidP="002D21BC">
      <w:pPr>
        <w:pStyle w:val="Caption"/>
        <w:jc w:val="both"/>
        <w:rPr>
          <w:rFonts w:ascii="Times New Roman" w:hAnsi="Times New Roman" w:cs="Times New Roman"/>
          <w:i w:val="0"/>
          <w:sz w:val="20"/>
          <w:szCs w:val="20"/>
        </w:rPr>
      </w:pPr>
      <w:r w:rsidRPr="009668D3">
        <w:rPr>
          <w:rFonts w:ascii="Times New Roman" w:hAnsi="Times New Roman" w:cs="Times New Roman"/>
          <w:i w:val="0"/>
          <w:sz w:val="20"/>
          <w:szCs w:val="20"/>
        </w:rPr>
        <w:t xml:space="preserve">Figure </w:t>
      </w:r>
      <w:r w:rsidRPr="009668D3">
        <w:rPr>
          <w:rFonts w:ascii="Times New Roman" w:hAnsi="Times New Roman" w:cs="Times New Roman"/>
          <w:i w:val="0"/>
          <w:sz w:val="20"/>
          <w:szCs w:val="20"/>
        </w:rPr>
        <w:fldChar w:fldCharType="begin"/>
      </w:r>
      <w:r w:rsidRPr="009668D3">
        <w:rPr>
          <w:rFonts w:ascii="Times New Roman" w:hAnsi="Times New Roman" w:cs="Times New Roman"/>
          <w:i w:val="0"/>
          <w:sz w:val="20"/>
          <w:szCs w:val="20"/>
        </w:rPr>
        <w:instrText xml:space="preserve"> SEQ Figure \* ARABIC </w:instrText>
      </w:r>
      <w:r w:rsidRPr="009668D3">
        <w:rPr>
          <w:rFonts w:ascii="Times New Roman" w:hAnsi="Times New Roman" w:cs="Times New Roman"/>
          <w:i w:val="0"/>
          <w:sz w:val="20"/>
          <w:szCs w:val="20"/>
        </w:rPr>
        <w:fldChar w:fldCharType="separate"/>
      </w:r>
      <w:r w:rsidR="003E58BB" w:rsidRPr="009668D3">
        <w:rPr>
          <w:rFonts w:ascii="Times New Roman" w:hAnsi="Times New Roman" w:cs="Times New Roman"/>
          <w:i w:val="0"/>
          <w:sz w:val="20"/>
          <w:szCs w:val="20"/>
        </w:rPr>
        <w:t>1</w:t>
      </w:r>
      <w:r w:rsidRPr="009668D3">
        <w:rPr>
          <w:rFonts w:ascii="Times New Roman" w:hAnsi="Times New Roman" w:cs="Times New Roman"/>
          <w:i w:val="0"/>
          <w:sz w:val="20"/>
          <w:szCs w:val="20"/>
        </w:rPr>
        <w:fldChar w:fldCharType="end"/>
      </w:r>
      <w:r w:rsidRPr="009668D3">
        <w:rPr>
          <w:rFonts w:ascii="Times New Roman" w:hAnsi="Times New Roman" w:cs="Times New Roman"/>
          <w:i w:val="0"/>
          <w:sz w:val="20"/>
          <w:szCs w:val="20"/>
        </w:rPr>
        <w:t xml:space="preserve">: </w:t>
      </w:r>
      <w:r w:rsidR="00602B9A" w:rsidRPr="009668D3">
        <w:rPr>
          <w:rFonts w:ascii="Times New Roman" w:hAnsi="Times New Roman" w:cs="Times New Roman"/>
          <w:i w:val="0"/>
          <w:sz w:val="20"/>
          <w:szCs w:val="20"/>
        </w:rPr>
        <w:t xml:space="preserve">Equilibrium </w:t>
      </w:r>
      <w:r w:rsidR="0010751B" w:rsidRPr="009668D3">
        <w:rPr>
          <w:rFonts w:ascii="Times New Roman" w:hAnsi="Times New Roman" w:cs="Times New Roman"/>
          <w:i w:val="0"/>
          <w:sz w:val="20"/>
          <w:szCs w:val="20"/>
        </w:rPr>
        <w:t>landscape</w:t>
      </w:r>
      <w:r w:rsidR="00602B9A" w:rsidRPr="009668D3">
        <w:rPr>
          <w:rFonts w:ascii="Times New Roman" w:hAnsi="Times New Roman" w:cs="Times New Roman"/>
          <w:i w:val="0"/>
          <w:sz w:val="20"/>
          <w:szCs w:val="20"/>
        </w:rPr>
        <w:t xml:space="preserve"> across the phenological parameter space. </w:t>
      </w:r>
      <m:oMath>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0</m:t>
            </m:r>
          </m:sub>
          <m:sup>
            <m:r>
              <w:rPr>
                <w:rFonts w:ascii="Cambria Math" w:hAnsi="Cambria Math" w:cs="Times New Roman"/>
                <w:sz w:val="20"/>
                <w:szCs w:val="20"/>
              </w:rPr>
              <m:t>*</m:t>
            </m:r>
          </m:sup>
        </m:sSubSup>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1</m:t>
            </m:r>
          </m:sub>
          <m:sup>
            <m:r>
              <w:rPr>
                <w:rFonts w:ascii="Cambria Math" w:hAnsi="Cambria Math" w:cs="Times New Roman"/>
                <w:sz w:val="20"/>
                <w:szCs w:val="20"/>
              </w:rPr>
              <m:t>*</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2</m:t>
            </m:r>
          </m:sub>
          <m:sup>
            <m:r>
              <w:rPr>
                <w:rFonts w:ascii="Cambria Math" w:hAnsi="Cambria Math" w:cs="Times New Roman"/>
                <w:sz w:val="20"/>
                <w:szCs w:val="20"/>
              </w:rPr>
              <m:t>*</m:t>
            </m:r>
          </m:sup>
        </m:sSubSup>
      </m:oMath>
      <w:r w:rsidR="00D22CA7" w:rsidRPr="009668D3">
        <w:rPr>
          <w:rFonts w:ascii="Times New Roman" w:hAnsi="Times New Roman" w:cs="Times New Roman"/>
          <w:i w:val="0"/>
          <w:sz w:val="20"/>
          <w:szCs w:val="20"/>
        </w:rPr>
        <w:t>are canopy-</w:t>
      </w:r>
      <w:r w:rsidR="00E82C6D" w:rsidRPr="009668D3">
        <w:rPr>
          <w:rFonts w:ascii="Times New Roman" w:hAnsi="Times New Roman" w:cs="Times New Roman"/>
          <w:i w:val="0"/>
          <w:sz w:val="20"/>
          <w:szCs w:val="20"/>
        </w:rPr>
        <w:t>only,</w:t>
      </w:r>
      <w:r w:rsidR="00D22CA7" w:rsidRPr="009668D3">
        <w:rPr>
          <w:rFonts w:ascii="Times New Roman" w:hAnsi="Times New Roman" w:cs="Times New Roman"/>
          <w:i w:val="0"/>
          <w:sz w:val="20"/>
          <w:szCs w:val="20"/>
        </w:rPr>
        <w:t xml:space="preserve"> parasitoid-free, and coexistence equilibria</w:t>
      </w:r>
      <w:r w:rsidR="005040EF" w:rsidRPr="009668D3">
        <w:rPr>
          <w:rFonts w:ascii="Times New Roman" w:hAnsi="Times New Roman" w:cs="Times New Roman"/>
          <w:i w:val="0"/>
          <w:sz w:val="20"/>
          <w:szCs w:val="20"/>
        </w:rPr>
        <w:t>. No degraded equilibria (i.e., carrying capacity below half the threshold value) were found</w:t>
      </w:r>
      <w:r w:rsidR="00FA7DD2" w:rsidRPr="009668D3">
        <w:rPr>
          <w:rFonts w:ascii="Times New Roman" w:hAnsi="Times New Roman" w:cs="Times New Roman"/>
          <w:i w:val="0"/>
          <w:sz w:val="20"/>
          <w:szCs w:val="20"/>
        </w:rPr>
        <w:t>.</w:t>
      </w:r>
      <w:r w:rsidR="00D22CA7" w:rsidRPr="009668D3">
        <w:rPr>
          <w:rFonts w:ascii="Times New Roman" w:hAnsi="Times New Roman" w:cs="Times New Roman"/>
          <w:i w:val="0"/>
          <w:sz w:val="20"/>
          <w:szCs w:val="20"/>
        </w:rPr>
        <w:t xml:space="preserve"> </w:t>
      </w:r>
      <w:r w:rsidR="00602B9A" w:rsidRPr="009668D3">
        <w:rPr>
          <w:rFonts w:ascii="Times New Roman" w:hAnsi="Times New Roman" w:cs="Times New Roman"/>
          <w:i w:val="0"/>
          <w:sz w:val="20"/>
          <w:szCs w:val="20"/>
        </w:rPr>
        <w:t>(A) Baseline fixed points of the annual map at calibrated parameters; bar length indicates equilibrium beetle density A*, with spectral radius ρ* and stability status annotated. (B) Fraction of the Latin Hypercube–sampled parameter space in which each equilibrium class exists as a locally stable fixed point; bars can exceed unity in sum due to multistability. (C) Dominant-attractor frequency: the fraction of sampled parameter sets for which the annual map trajectory converges to each class from the coexistence reference initial condition; multistability rate annotated.</w:t>
      </w:r>
    </w:p>
    <w:p w14:paraId="41286441" w14:textId="4AE0350B" w:rsidR="00CB764F" w:rsidRPr="009668D3" w:rsidRDefault="004E0271" w:rsidP="002D21BC">
      <w:pPr>
        <w:keepNext/>
        <w:spacing w:line="240" w:lineRule="auto"/>
        <w:jc w:val="both"/>
        <w:rPr>
          <w:rFonts w:ascii="Times New Roman" w:hAnsi="Times New Roman" w:cs="Times New Roman"/>
          <w:sz w:val="20"/>
          <w:szCs w:val="20"/>
        </w:rPr>
      </w:pPr>
      <w:r w:rsidRPr="004E0271">
        <w:rPr>
          <w:rFonts w:ascii="Times New Roman" w:hAnsi="Times New Roman" w:cs="Times New Roman"/>
          <w:sz w:val="20"/>
          <w:szCs w:val="20"/>
        </w:rPr>
        <w:t xml:space="preserve">Figure 1 shows 3 outputs from stability analyses: Annual equilibria identified as fixed points of the yearly recurrence map (Step 3), their local stability classified from the Jacobian eigenvalues of that annual map (Step 4), and the frequency of each equilibrium occurs across Latin Hypercube Sampling under parameter space (Step 10). Figure 1A reports the stable-presence probability, i.e., the fraction of sampled parameter sets for which a given equilibrium exists as a locally stable fixed point of the annual map. In this sense, the parasitoid-free equilibrium canopy-only is the most frequent stable regime across parameter space, whereas the coexistence equilibrium parasitoid-free is the least frequent stable regime found across the parameter space. The stable presence probability of the parasitoid-free equilibria is closest to the coexistence equilibria. Therefore, under continuous variable phenology, the phenological mismatch can lead to a parasitoid-free equilibrium where the beetle outbreak is regulated by birds, and eventually the system is likely to jump into a stable equilibrium where the beetle is also absent. This result indicates rejection of the H1: under all variability in phenologies, the system is likely to converge to a desirable coexistence equilibrium, defined by the presence of a canopy, bird, and parasitoid that can </w:t>
      </w:r>
      <w:r w:rsidRPr="004E0271">
        <w:rPr>
          <w:rFonts w:ascii="Times New Roman" w:hAnsi="Times New Roman" w:cs="Times New Roman"/>
          <w:sz w:val="20"/>
          <w:szCs w:val="20"/>
        </w:rPr>
        <w:lastRenderedPageBreak/>
        <w:t>prevent future beetle outbreaks if reintroduced.</w:t>
      </w:r>
      <w:r w:rsidR="00BE0894" w:rsidRPr="001E6700">
        <w:rPr>
          <w:rFonts w:ascii="Times New Roman" w:hAnsi="Times New Roman" w:cs="Times New Roman"/>
          <w:noProof/>
          <w:sz w:val="20"/>
          <w:szCs w:val="20"/>
        </w:rPr>
        <w:drawing>
          <wp:inline distT="0" distB="0" distL="0" distR="0" wp14:anchorId="50859A8A" wp14:editId="07AF0238">
            <wp:extent cx="5731510" cy="4958080"/>
            <wp:effectExtent l="0" t="0" r="2540" b="0"/>
            <wp:docPr id="2075905365"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5365"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958080"/>
                    </a:xfrm>
                    <a:prstGeom prst="rect">
                      <a:avLst/>
                    </a:prstGeom>
                  </pic:spPr>
                </pic:pic>
              </a:graphicData>
            </a:graphic>
          </wp:inline>
        </w:drawing>
      </w:r>
    </w:p>
    <w:p w14:paraId="747C3C33" w14:textId="77777777" w:rsidR="004E0271" w:rsidRDefault="00CB764F" w:rsidP="00163EB0">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Figure \* ARABIC </w:instrText>
      </w:r>
      <w:r w:rsidRPr="009668D3">
        <w:rPr>
          <w:rFonts w:ascii="Times New Roman" w:hAnsi="Times New Roman" w:cs="Times New Roman"/>
          <w:sz w:val="20"/>
          <w:szCs w:val="20"/>
        </w:rPr>
        <w:fldChar w:fldCharType="separate"/>
      </w:r>
      <w:r w:rsidR="003E58BB" w:rsidRPr="009668D3">
        <w:rPr>
          <w:rFonts w:ascii="Times New Roman" w:hAnsi="Times New Roman" w:cs="Times New Roman"/>
          <w:sz w:val="20"/>
          <w:szCs w:val="20"/>
        </w:rPr>
        <w:t>2</w:t>
      </w:r>
      <w:r w:rsidRPr="009668D3">
        <w:rPr>
          <w:rFonts w:ascii="Times New Roman" w:hAnsi="Times New Roman" w:cs="Times New Roman"/>
          <w:sz w:val="20"/>
          <w:szCs w:val="20"/>
        </w:rPr>
        <w:fldChar w:fldCharType="end"/>
      </w:r>
      <w:r w:rsidR="00602B9A" w:rsidRPr="009668D3">
        <w:rPr>
          <w:rFonts w:ascii="Times New Roman" w:hAnsi="Times New Roman" w:cs="Times New Roman"/>
          <w:color w:val="FAF9F5"/>
          <w:kern w:val="0"/>
          <w:sz w:val="20"/>
          <w:szCs w:val="20"/>
          <w:bdr w:val="single" w:sz="2" w:space="0" w:color="DEDCD1" w:frame="1"/>
          <w14:ligatures w14:val="none"/>
        </w:rPr>
        <w:t xml:space="preserve"> </w:t>
      </w:r>
      <w:r w:rsidR="00407F07" w:rsidRPr="009668D3">
        <w:rPr>
          <w:rFonts w:ascii="Times New Roman" w:hAnsi="Times New Roman" w:cs="Times New Roman"/>
          <w:sz w:val="20"/>
          <w:szCs w:val="20"/>
        </w:rPr>
        <w:t xml:space="preserve">Equilibrium transition boundaries across all nine phenological scenarios and the pairwise </w:t>
      </w:r>
      <m:oMath>
        <m:r>
          <w:rPr>
            <w:rFonts w:ascii="Cambria Math" w:hAnsi="Cambria Math" w:cs="Times New Roman"/>
            <w:sz w:val="20"/>
            <w:szCs w:val="20"/>
          </w:rPr>
          <m:t xml:space="preserve">β × </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407F07" w:rsidRPr="009668D3">
        <w:rPr>
          <w:rFonts w:ascii="Times New Roman" w:hAnsi="Times New Roman" w:cs="Times New Roman"/>
          <w:sz w:val="20"/>
          <w:szCs w:val="20"/>
        </w:rPr>
        <w:t xml:space="preserve"> parameter plane. Panels A-I show equilibrium damage D* at the stable fixed point of the annual map as each phenological parameter is varied individually across its plausible range (one-at-a-time scans; all other parameters held at the calibrated baseline). Green squares: coexistence equilibria; pink circles: parasitoid-free equilibria; blue diamonds: canopy-only (beetle-free) equilibria; teal triangles: coexistence non-fixed-point attractors. Connecting lines trace the equilibrium branch within each class. The horizontal dotted line marks the functional damage threshold</w:t>
      </w: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r>
          <w:rPr>
            <w:rFonts w:ascii="Cambria Math" w:hAnsi="Cambria Math" w:cs="Times New Roman"/>
            <w:sz w:val="20"/>
            <w:szCs w:val="20"/>
          </w:rPr>
          <m:t>= 0.5</m:t>
        </m:r>
      </m:oMath>
      <w:r w:rsidR="00407F07" w:rsidRPr="009668D3">
        <w:rPr>
          <w:rFonts w:ascii="Times New Roman" w:hAnsi="Times New Roman" w:cs="Times New Roman"/>
          <w:sz w:val="20"/>
          <w:szCs w:val="20"/>
        </w:rPr>
        <w:t xml:space="preserve">. (A) Season duration T. (B) Beetle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8C375D" w:rsidRPr="009668D3">
        <w:rPr>
          <w:rFonts w:ascii="Times New Roman" w:hAnsi="Times New Roman" w:cs="Times New Roman"/>
          <w:sz w:val="20"/>
          <w:szCs w:val="20"/>
        </w:rPr>
        <w:t xml:space="preserve"> </w:t>
      </w:r>
      <w:r w:rsidR="00407F07" w:rsidRPr="009668D3">
        <w:rPr>
          <w:rFonts w:ascii="Times New Roman" w:hAnsi="Times New Roman" w:cs="Times New Roman"/>
          <w:sz w:val="20"/>
          <w:szCs w:val="20"/>
        </w:rPr>
        <w:t xml:space="preserve">. (C) Parasitoid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00407F07" w:rsidRPr="009668D3">
        <w:rPr>
          <w:rFonts w:ascii="Times New Roman" w:hAnsi="Times New Roman" w:cs="Times New Roman"/>
          <w:sz w:val="20"/>
          <w:szCs w:val="20"/>
        </w:rPr>
        <w:t xml:space="preserve">. (D) Parasitoid emergence rate δ. (E) Susceptible larval mortality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407F07" w:rsidRPr="009668D3">
        <w:rPr>
          <w:rFonts w:ascii="Times New Roman" w:hAnsi="Times New Roman" w:cs="Times New Roman"/>
          <w:sz w:val="20"/>
          <w:szCs w:val="20"/>
        </w:rPr>
        <w:t xml:space="preserve">. (F) Passerine bird pressure index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407F07" w:rsidRPr="009668D3">
        <w:rPr>
          <w:rFonts w:ascii="Times New Roman" w:hAnsi="Times New Roman" w:cs="Times New Roman"/>
          <w:sz w:val="20"/>
          <w:szCs w:val="20"/>
        </w:rPr>
        <w:t xml:space="preserve">. (G) Damage-to-capacity penalty </w:t>
      </w:r>
      <m:oMath>
        <m:r>
          <w:rPr>
            <w:rFonts w:ascii="Cambria Math" w:hAnsi="Cambria Math" w:cs="Times New Roman"/>
            <w:sz w:val="20"/>
            <w:szCs w:val="20"/>
          </w:rPr>
          <m:t>φ</m:t>
        </m:r>
      </m:oMath>
      <w:r w:rsidR="00407F07" w:rsidRPr="009668D3">
        <w:rPr>
          <w:rFonts w:ascii="Times New Roman" w:hAnsi="Times New Roman" w:cs="Times New Roman"/>
          <w:sz w:val="20"/>
          <w:szCs w:val="20"/>
        </w:rPr>
        <w:t xml:space="preserve">. (H) Parasitoid attack rate β. (I) Beetle annual reproduction ratio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00407F07" w:rsidRPr="009668D3">
        <w:rPr>
          <w:rFonts w:ascii="Times New Roman" w:hAnsi="Times New Roman" w:cs="Times New Roman"/>
          <w:sz w:val="20"/>
          <w:szCs w:val="20"/>
        </w:rPr>
        <w:t>.</w:t>
      </w:r>
    </w:p>
    <w:p w14:paraId="53342A51" w14:textId="77777777" w:rsidR="002D6C8F" w:rsidRDefault="00407F07" w:rsidP="00163EB0">
      <w:pPr>
        <w:pStyle w:val="Caption"/>
        <w:jc w:val="both"/>
        <w:rPr>
          <w:rFonts w:ascii="Times New Roman" w:hAnsi="Times New Roman" w:cs="Times New Roman"/>
          <w:i w:val="0"/>
          <w:iCs w:val="0"/>
          <w:sz w:val="22"/>
          <w:szCs w:val="22"/>
        </w:rPr>
      </w:pPr>
      <w:r w:rsidRPr="009668D3">
        <w:rPr>
          <w:rFonts w:ascii="Times New Roman" w:hAnsi="Times New Roman" w:cs="Times New Roman"/>
          <w:sz w:val="20"/>
          <w:szCs w:val="20"/>
        </w:rPr>
        <w:t xml:space="preserve"> </w:t>
      </w:r>
      <w:r w:rsidR="002D6C8F" w:rsidRPr="00FE7AAC">
        <w:rPr>
          <w:rFonts w:ascii="Times New Roman" w:hAnsi="Times New Roman" w:cs="Times New Roman"/>
          <w:i w:val="0"/>
          <w:iCs w:val="0"/>
          <w:sz w:val="22"/>
          <w:szCs w:val="22"/>
        </w:rPr>
        <w:t xml:space="preserve">Following the rejection of H1, Figure 2 presents the predicted stable fixed point of the annual map and the equilibrium damage </w:t>
      </w:r>
      <m:oMath>
        <m:sSup>
          <m:sSupPr>
            <m:ctrlPr>
              <w:rPr>
                <w:rFonts w:ascii="Cambria Math" w:hAnsi="Cambria Math" w:cs="Times New Roman"/>
                <w:iCs w:val="0"/>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002D6C8F" w:rsidRPr="00FE7AAC">
        <w:rPr>
          <w:rFonts w:ascii="Times New Roman" w:hAnsi="Times New Roman" w:cs="Times New Roman"/>
          <w:i w:val="0"/>
          <w:iCs w:val="0"/>
          <w:sz w:val="22"/>
          <w:szCs w:val="22"/>
        </w:rPr>
        <w:t xml:space="preserve"> at the coexistence equilibrium. The results are displayed as a function of individual parameter variability, excluding parasitoid invasion risk as a stability driver. This analysis demonstrates the persistence of coexistence across different phenology variability ranges. Although most phenologies and associated parameters covary in natural systems, examining individual variation reveals the system's maximum potential. Among nine one-at-a-time parameter scans, seven parameters altered the equilibrium class.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2D6C8F">
        <w:rPr>
          <w:rFonts w:ascii="Times New Roman" w:hAnsi="Times New Roman" w:cs="Times New Roman"/>
          <w:i w:val="0"/>
          <w:iCs w:val="0"/>
          <w:sz w:val="22"/>
          <w:szCs w:val="22"/>
        </w:rPr>
        <w:t xml:space="preserve"> </w:t>
      </w:r>
      <w:r w:rsidR="002D6C8F" w:rsidRPr="00FE7AAC">
        <w:rPr>
          <w:rFonts w:ascii="Times New Roman" w:hAnsi="Times New Roman" w:cs="Times New Roman"/>
          <w:i w:val="0"/>
          <w:iCs w:val="0"/>
          <w:sz w:val="22"/>
          <w:szCs w:val="22"/>
        </w:rPr>
        <w:t>) and the foliage-memory penalty (ϕ) did not induce regime shifts within the scanned range. Season length (T) influenced defoliation damage but did not transition the system to alternative equilibria within the examined range. Nevertheless, because defoliation damage responds rapidly to chan</w:t>
      </w:r>
      <w:r w:rsidR="002D6C8F">
        <w:rPr>
          <w:rFonts w:ascii="Times New Roman" w:hAnsi="Times New Roman" w:cs="Times New Roman"/>
          <w:i w:val="0"/>
          <w:iCs w:val="0"/>
          <w:sz w:val="22"/>
          <w:szCs w:val="22"/>
        </w:rPr>
        <w:t>ge</w:t>
      </w:r>
      <w:r w:rsidR="002D6C8F" w:rsidRPr="00FE7AAC">
        <w:rPr>
          <w:rFonts w:ascii="Times New Roman" w:hAnsi="Times New Roman" w:cs="Times New Roman"/>
          <w:i w:val="0"/>
          <w:iCs w:val="0"/>
          <w:sz w:val="22"/>
          <w:szCs w:val="22"/>
        </w:rPr>
        <w:t xml:space="preserve">s in T, a regime shift may occur over a longer temporal scale. Notably, reducing the parasitoid attack rate </w:t>
      </w:r>
      <m:oMath>
        <m:r>
          <w:rPr>
            <w:rFonts w:ascii="Cambria Math" w:hAnsi="Cambria Math" w:cs="Times New Roman"/>
            <w:sz w:val="22"/>
            <w:szCs w:val="22"/>
          </w:rPr>
          <m:t>β</m:t>
        </m:r>
      </m:oMath>
      <w:r w:rsidR="002D6C8F" w:rsidRPr="00FE7AAC">
        <w:rPr>
          <w:rFonts w:ascii="Times New Roman" w:hAnsi="Times New Roman" w:cs="Times New Roman"/>
          <w:i w:val="0"/>
          <w:iCs w:val="0"/>
          <w:sz w:val="22"/>
          <w:szCs w:val="22"/>
        </w:rPr>
        <w:t>, parasitoid overwinter survival</w:t>
      </w:r>
      <m:oMath>
        <m:sSub>
          <m:sSubPr>
            <m:ctrlPr>
              <w:rPr>
                <w:rFonts w:ascii="Cambria Math" w:hAnsi="Cambria Math" w:cs="Times New Roman"/>
                <w:iCs w:val="0"/>
                <w:sz w:val="22"/>
                <w:szCs w:val="22"/>
              </w:rPr>
            </m:ctrlPr>
          </m:sSubPr>
          <m:e>
            <m:r>
              <w:rPr>
                <w:rFonts w:ascii="Cambria Math" w:hAnsi="Cambria Math" w:cs="Times New Roman"/>
                <w:sz w:val="22"/>
                <w:szCs w:val="22"/>
              </w:rPr>
              <m:t xml:space="preserve"> σ</m:t>
            </m:r>
            <m:ctrlPr>
              <w:rPr>
                <w:rFonts w:ascii="Cambria Math" w:hAnsi="Cambria Math" w:cs="Times New Roman"/>
                <w:i w:val="0"/>
                <w:iCs w:val="0"/>
                <w:sz w:val="22"/>
                <w:szCs w:val="22"/>
              </w:rPr>
            </m:ctrlPr>
          </m:e>
          <m:sub>
            <m:r>
              <w:rPr>
                <w:rFonts w:ascii="Cambria Math" w:hAnsi="Cambria Math" w:cs="Times New Roman"/>
                <w:sz w:val="22"/>
                <w:szCs w:val="22"/>
              </w:rPr>
              <m:t>F</m:t>
            </m:r>
          </m:sub>
        </m:sSub>
      </m:oMath>
      <w:r w:rsidR="002D6C8F" w:rsidRPr="00FE7AAC">
        <w:rPr>
          <w:rFonts w:ascii="Times New Roman" w:hAnsi="Times New Roman" w:cs="Times New Roman"/>
          <w:i w:val="0"/>
          <w:iCs w:val="0"/>
          <w:sz w:val="22"/>
          <w:szCs w:val="22"/>
        </w:rPr>
        <w:t xml:space="preserve">, or the parasitoid emergence rate </w:t>
      </w:r>
      <m:oMath>
        <m:r>
          <w:rPr>
            <w:rFonts w:ascii="Cambria Math" w:hAnsi="Cambria Math" w:cs="Times New Roman"/>
            <w:sz w:val="22"/>
            <w:szCs w:val="22"/>
          </w:rPr>
          <m:t>δ</m:t>
        </m:r>
      </m:oMath>
      <w:r w:rsidR="002D6C8F" w:rsidRPr="00FE7AAC">
        <w:rPr>
          <w:rFonts w:ascii="Times New Roman" w:hAnsi="Times New Roman" w:cs="Times New Roman"/>
          <w:i w:val="0"/>
          <w:iCs w:val="0"/>
          <w:sz w:val="22"/>
          <w:szCs w:val="22"/>
        </w:rPr>
        <w:t xml:space="preserve"> each caused a transition from coexistence to herbivore dominance, whereas increasing </w:t>
      </w:r>
      <w:r w:rsidR="002D6C8F" w:rsidRPr="00FE7AAC">
        <w:rPr>
          <w:rFonts w:ascii="Times New Roman" w:hAnsi="Times New Roman" w:cs="Times New Roman"/>
          <w:i w:val="0"/>
          <w:iCs w:val="0"/>
          <w:sz w:val="22"/>
          <w:szCs w:val="22"/>
        </w:rPr>
        <w:lastRenderedPageBreak/>
        <w:t xml:space="preserve">the beetle reproduction ratio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002D6C8F" w:rsidRPr="00FE7AAC">
        <w:rPr>
          <w:rFonts w:ascii="Times New Roman" w:hAnsi="Times New Roman" w:cs="Times New Roman"/>
          <w:i w:val="0"/>
          <w:iCs w:val="0"/>
          <w:sz w:val="22"/>
          <w:szCs w:val="22"/>
        </w:rPr>
        <w:t xml:space="preserve"> facilitated parasitoid invasion, directly affecting system stability and the resulting equilibrium class.</w:t>
      </w:r>
    </w:p>
    <w:p w14:paraId="39713B0F" w14:textId="20C8B904" w:rsidR="003E58BB" w:rsidRPr="004E0271" w:rsidRDefault="00602B9A" w:rsidP="00163EB0">
      <w:pPr>
        <w:pStyle w:val="Caption"/>
        <w:jc w:val="both"/>
        <w:rPr>
          <w:rFonts w:ascii="Times New Roman" w:hAnsi="Times New Roman" w:cs="Times New Roman"/>
          <w:i w:val="0"/>
          <w:color w:val="auto"/>
          <w:sz w:val="20"/>
          <w:szCs w:val="20"/>
        </w:rPr>
      </w:pPr>
      <w:r w:rsidRPr="009668D3">
        <w:rPr>
          <w:rFonts w:ascii="Times New Roman" w:hAnsi="Times New Roman" w:cs="Times New Roman"/>
          <w:i w:val="0"/>
          <w:color w:val="auto"/>
          <w:sz w:val="20"/>
          <w:szCs w:val="20"/>
        </w:rPr>
        <w:t> </w:t>
      </w:r>
      <w:r w:rsidR="003E58BB" w:rsidRPr="001E6700">
        <w:rPr>
          <w:rFonts w:ascii="Times New Roman" w:hAnsi="Times New Roman" w:cs="Times New Roman"/>
          <w:i w:val="0"/>
          <w:iCs w:val="0"/>
          <w:noProof/>
          <w:sz w:val="20"/>
          <w:szCs w:val="20"/>
        </w:rPr>
        <w:drawing>
          <wp:inline distT="0" distB="0" distL="0" distR="0" wp14:anchorId="136F5B93" wp14:editId="35CED77B">
            <wp:extent cx="5731510" cy="4441825"/>
            <wp:effectExtent l="0" t="0" r="2540" b="0"/>
            <wp:docPr id="570171526" name="Picture 2" descr="The image illustrates a graph depicting the relationship between the parasitoid attack rate (ￃﾟ) and various regimes, including coexistence and non-fixed-point scenarios, with a transcritical boundary at Rp =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1526" name="Picture 2" descr="The image illustrates a graph depicting the relationship between the parasitoid attack rate (ￃﾟ) and various regimes, including coexistence and non-fixed-point scenarios, with a transcritical boundary at Rp = 1.&#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r w:rsidR="003E58BB" w:rsidRPr="001E6700">
        <w:rPr>
          <w:rFonts w:ascii="Times New Roman" w:hAnsi="Times New Roman" w:cs="Times New Roman"/>
          <w:sz w:val="20"/>
          <w:szCs w:val="20"/>
        </w:rPr>
        <w:t xml:space="preserve">Figure </w:t>
      </w:r>
      <w:r w:rsidR="003E58BB" w:rsidRPr="001E6700">
        <w:rPr>
          <w:rFonts w:ascii="Times New Roman" w:hAnsi="Times New Roman" w:cs="Times New Roman"/>
          <w:sz w:val="20"/>
          <w:szCs w:val="20"/>
        </w:rPr>
        <w:fldChar w:fldCharType="begin"/>
      </w:r>
      <w:r w:rsidR="003E58BB" w:rsidRPr="001E6700">
        <w:rPr>
          <w:rFonts w:ascii="Times New Roman" w:hAnsi="Times New Roman" w:cs="Times New Roman"/>
          <w:sz w:val="20"/>
          <w:szCs w:val="20"/>
        </w:rPr>
        <w:instrText xml:space="preserve"> SEQ Figure \* ARABIC </w:instrText>
      </w:r>
      <w:r w:rsidR="003E58BB"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3</w:t>
      </w:r>
      <w:r w:rsidR="003E58BB" w:rsidRPr="001E6700">
        <w:rPr>
          <w:rFonts w:ascii="Times New Roman" w:hAnsi="Times New Roman" w:cs="Times New Roman"/>
          <w:sz w:val="20"/>
          <w:szCs w:val="20"/>
        </w:rPr>
        <w:fldChar w:fldCharType="end"/>
      </w:r>
      <w:r w:rsidR="009106DE" w:rsidRPr="001E6700">
        <w:rPr>
          <w:rFonts w:ascii="Times New Roman" w:hAnsi="Times New Roman" w:cs="Times New Roman"/>
          <w:sz w:val="20"/>
          <w:szCs w:val="20"/>
        </w:rPr>
        <w:t xml:space="preserve">: Pairwise phase plane in the β ×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9106DE" w:rsidRPr="001E6700">
        <w:rPr>
          <w:rFonts w:ascii="Times New Roman" w:hAnsi="Times New Roman" w:cs="Times New Roman"/>
          <w:sz w:val="20"/>
          <w:szCs w:val="20"/>
        </w:rPr>
        <w:t xml:space="preserve"> parameter space. Grey contours indicate values of the parasitoid invasion threshold</w:t>
      </w:r>
      <w:r w:rsidR="006B3399" w:rsidRPr="001E670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009106DE" w:rsidRPr="001E6700">
        <w:rPr>
          <w:rFonts w:ascii="Times New Roman" w:hAnsi="Times New Roman" w:cs="Times New Roman"/>
          <w:sz w:val="20"/>
          <w:szCs w:val="20"/>
        </w:rPr>
        <w:t xml:space="preserve">; the bold black curve marks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9106DE" w:rsidRPr="001E6700">
        <w:rPr>
          <w:rFonts w:ascii="Times New Roman" w:hAnsi="Times New Roman" w:cs="Times New Roman"/>
          <w:sz w:val="20"/>
          <w:szCs w:val="20"/>
        </w:rPr>
        <w:t>, the transcritical bifurcation boundary separating the coexistence regime (lower-right) from the parasitoid-free regime (upper-left). Green squares: coexistence equilibria; pink circles: parasitoid-free equilibria; teal triangles: coexistence non-fixed-point attractors. The diagonal orientation of the boundary reflects the intraguild predation mechanism; increasing bird pressure progressively raises the parasitoid attack rate required for parasitoid invasion.</w:t>
      </w:r>
    </w:p>
    <w:p w14:paraId="7FBED976" w14:textId="4FF3D6FF" w:rsidR="00533F15" w:rsidRPr="009668D3" w:rsidRDefault="00231FEF" w:rsidP="002D21BC">
      <w:pPr>
        <w:pStyle w:val="Caption"/>
        <w:jc w:val="both"/>
        <w:rPr>
          <w:rFonts w:ascii="Times New Roman" w:hAnsi="Times New Roman" w:cs="Times New Roman"/>
          <w:i w:val="0"/>
          <w:sz w:val="20"/>
          <w:szCs w:val="20"/>
        </w:rPr>
      </w:pPr>
      <w:r w:rsidRPr="009668D3">
        <w:rPr>
          <w:rFonts w:ascii="Times New Roman" w:hAnsi="Times New Roman" w:cs="Times New Roman"/>
          <w:i w:val="0"/>
          <w:sz w:val="20"/>
          <w:szCs w:val="20"/>
        </w:rPr>
        <w:t xml:space="preserve">The most pronounced regime shift is driven by the parasitoid attack rate β. As β increases, system outcomes transition from the absence of parasitoids to coexistence, accompanied by a rapid reduction in equilibrium damage. The beetle reproduction ratio </w:t>
      </w:r>
      <m:oMath>
        <m:sSub>
          <m:sSubPr>
            <m:ctrlPr>
              <w:rPr>
                <w:rFonts w:ascii="Cambria Math" w:hAnsi="Cambria Math" w:cs="Times New Roman"/>
                <w:iCs w:val="0"/>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Pr="009668D3">
        <w:rPr>
          <w:rFonts w:ascii="Times New Roman" w:hAnsi="Times New Roman" w:cs="Times New Roman"/>
          <w:i w:val="0"/>
          <w:sz w:val="20"/>
          <w:szCs w:val="20"/>
        </w:rPr>
        <w:t xml:space="preserve"> delineates three distinct regimes: at low</w:t>
      </w:r>
      <w:r w:rsidR="00000000"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beetles are unable to persist</w:t>
      </w:r>
      <w:r w:rsidR="00512A32">
        <w:rPr>
          <w:rFonts w:ascii="Times New Roman" w:hAnsi="Times New Roman" w:cs="Times New Roman"/>
          <w:i w:val="0"/>
          <w:sz w:val="20"/>
          <w:szCs w:val="20"/>
        </w:rPr>
        <w:t>,</w:t>
      </w:r>
      <w:r w:rsidRPr="009668D3">
        <w:rPr>
          <w:rFonts w:ascii="Times New Roman" w:hAnsi="Times New Roman" w:cs="Times New Roman"/>
          <w:i w:val="0"/>
          <w:sz w:val="20"/>
          <w:szCs w:val="20"/>
        </w:rPr>
        <w:t xml:space="preserve"> and only trees remain; at intermediate</w:t>
      </w:r>
      <w:r w:rsidR="00000000"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beetles persist without parasitoids and inflict canopy damage; at high</w:t>
      </w:r>
      <w:r w:rsidR="00000000"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host density supports parasitoid establishment, resulting in stable coexistence. Increasing susceptible larval mortality </w:t>
      </w:r>
      <m:oMath>
        <m:sSub>
          <m:sSubPr>
            <m:ctrlPr>
              <w:rPr>
                <w:rFonts w:ascii="Cambria Math" w:hAnsi="Cambria Math" w:cs="Times New Roman"/>
                <w:iCs w:val="0"/>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Pr="009668D3">
        <w:rPr>
          <w:rFonts w:ascii="Times New Roman" w:hAnsi="Times New Roman" w:cs="Times New Roman"/>
          <w:i w:val="0"/>
          <w:sz w:val="20"/>
          <w:szCs w:val="20"/>
        </w:rPr>
        <w:t xml:space="preserve"> initially disrupts parasitoid persistence by limiting host availability, and at higher values, beetles are eliminated, restoring the system to an intact canopy. Thresholds for regime shifts are also observed in beetle overwinter survival </w:t>
      </w:r>
      <m:oMath>
        <m:sSub>
          <m:sSubPr>
            <m:ctrlPr>
              <w:rPr>
                <w:rFonts w:ascii="Cambria Math" w:hAnsi="Cambria Math" w:cs="Times New Roman"/>
                <w:iCs w:val="0"/>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Pr="009668D3">
        <w:rPr>
          <w:rFonts w:ascii="Times New Roman" w:hAnsi="Times New Roman" w:cs="Times New Roman"/>
          <w:i w:val="0"/>
          <w:sz w:val="20"/>
          <w:szCs w:val="20"/>
        </w:rPr>
        <w:t xml:space="preserve"> and parasitoid survival</w:t>
      </w:r>
      <w:r w:rsidR="00000000"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with coexistence possible only above critical values. For the parasitoid emergence rate δ, coexistence is maintained only above a specific threshold; otherwise, the system remains parasitoid-free. Increasing bird pressure Bt does not create regime boundaries but alters equilibrium beetle and damage levels. Birds suppress beetle populations, reducing damage, and remove parasitised larvae, thereby weakening parasitoids. Consequently, their net effect modifies quantitative but not qualitative equilibrium classes within the scanned range. The phase plane illustrates how attack rate and bird predation influence equilibria (Figure </w:t>
      </w:r>
      <w:r w:rsidR="00444BAA" w:rsidRPr="001E6700">
        <w:rPr>
          <w:rFonts w:ascii="Times New Roman" w:hAnsi="Times New Roman" w:cs="Times New Roman"/>
          <w:i w:val="0"/>
          <w:iCs w:val="0"/>
          <w:sz w:val="20"/>
          <w:szCs w:val="20"/>
        </w:rPr>
        <w:t>3</w:t>
      </w:r>
      <w:r w:rsidRPr="001E6700">
        <w:rPr>
          <w:rFonts w:ascii="Times New Roman" w:hAnsi="Times New Roman" w:cs="Times New Roman"/>
          <w:i w:val="0"/>
          <w:iCs w:val="0"/>
          <w:sz w:val="20"/>
          <w:szCs w:val="20"/>
        </w:rPr>
        <w:t>).</w:t>
      </w:r>
      <w:r w:rsidRPr="009668D3">
        <w:rPr>
          <w:rFonts w:ascii="Times New Roman" w:hAnsi="Times New Roman" w:cs="Times New Roman"/>
          <w:i w:val="0"/>
          <w:sz w:val="20"/>
          <w:szCs w:val="20"/>
        </w:rPr>
        <w:t xml:space="preserve"> Higher bird predation increases the attack rate required for coexistence, which predominantly occurs at high attack rates and low-to-moderate predation (71% of the grid). The parasitoid-free regime is observed at low attack rates or high predation (27% of the grid). Coexistence is achieved when parasitoid attack rate, winter survival, emergence rate, beetle reproduction and survival are high, larval mortality is low, and passerine predation is moderate, assuming other phenologies are held constant</w:t>
      </w:r>
      <w:r w:rsidR="00533F15" w:rsidRPr="009668D3">
        <w:rPr>
          <w:rFonts w:ascii="Times New Roman" w:hAnsi="Times New Roman" w:cs="Times New Roman"/>
          <w:i w:val="0"/>
          <w:color w:val="auto"/>
          <w:sz w:val="20"/>
          <w:szCs w:val="20"/>
        </w:rPr>
        <w:t xml:space="preserve">. </w:t>
      </w:r>
    </w:p>
    <w:p w14:paraId="486CB927" w14:textId="77777777" w:rsidR="00533F15" w:rsidRPr="009668D3" w:rsidRDefault="00533F15"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lastRenderedPageBreak/>
        <w:drawing>
          <wp:inline distT="0" distB="0" distL="0" distR="0" wp14:anchorId="2D2B8C17" wp14:editId="474D19E7">
            <wp:extent cx="5731510" cy="4398645"/>
            <wp:effectExtent l="0" t="0" r="2540" b="1905"/>
            <wp:doc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5717EEB3" w14:textId="17104167" w:rsidR="00533F15" w:rsidRPr="009668D3" w:rsidRDefault="00533F15" w:rsidP="002D21BC">
      <w:pPr>
        <w:pStyle w:val="Caption"/>
        <w:jc w:val="both"/>
        <w:rPr>
          <w:rFonts w:ascii="Times New Roman" w:hAnsi="Times New Roman" w:cs="Times New Roman"/>
          <w:sz w:val="20"/>
          <w:szCs w:val="20"/>
        </w:rPr>
      </w:pPr>
      <w:r w:rsidRPr="001E6700">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4</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Parasitoid invasion threshold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as a function of each phenological parameter. Each panel shows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evaluated at the parasitoid-free fixed point of the annual map while varying one parameter across its plausible range (Table </w:t>
      </w:r>
      <w:r w:rsidR="009D6EBA" w:rsidRPr="009668D3">
        <w:rPr>
          <w:rFonts w:ascii="Times New Roman" w:hAnsi="Times New Roman" w:cs="Times New Roman"/>
          <w:sz w:val="20"/>
          <w:szCs w:val="20"/>
        </w:rPr>
        <w:t>S1</w:t>
      </w:r>
      <w:r w:rsidRPr="009668D3">
        <w:rPr>
          <w:rFonts w:ascii="Times New Roman" w:hAnsi="Times New Roman" w:cs="Times New Roman"/>
          <w:sz w:val="20"/>
          <w:szCs w:val="20"/>
        </w:rPr>
        <w:t xml:space="preserve">), with all other parameters held at the calibrated baseline. The dashed red line marks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F7489D" w:rsidRPr="009668D3">
        <w:rPr>
          <w:rFonts w:ascii="Times New Roman" w:hAnsi="Times New Roman" w:cs="Times New Roman"/>
          <w:sz w:val="20"/>
          <w:szCs w:val="20"/>
        </w:rPr>
        <w:t>. Above this boundary, the parasitoid can invade and persist (coexistence regime); below it,</w:t>
      </w:r>
      <w:r w:rsidRPr="009668D3">
        <w:rPr>
          <w:rFonts w:ascii="Times New Roman" w:hAnsi="Times New Roman" w:cs="Times New Roman"/>
          <w:sz w:val="20"/>
          <w:szCs w:val="20"/>
        </w:rPr>
        <w:t xml:space="preserve"> the parasitoid declines to extinction (parasitoid-free regime). Vertical dotted lines indicate the approximate parameter value at which the threshold crossing occurs.</w:t>
      </w:r>
    </w:p>
    <w:p w14:paraId="0FEF00D9" w14:textId="428042D0" w:rsidR="0040714D" w:rsidRPr="00C01730" w:rsidRDefault="0040714D" w:rsidP="002D21BC">
      <w:pPr>
        <w:spacing w:line="240" w:lineRule="auto"/>
        <w:jc w:val="both"/>
        <w:rPr>
          <w:rFonts w:ascii="Times New Roman" w:hAnsi="Times New Roman" w:cs="Times New Roman"/>
          <w:color w:val="0E2841" w:themeColor="text2"/>
          <w:sz w:val="22"/>
          <w:szCs w:val="22"/>
        </w:rPr>
      </w:pPr>
      <w:r w:rsidRPr="00FE7AAC">
        <w:rPr>
          <w:rFonts w:ascii="Times New Roman" w:hAnsi="Times New Roman" w:cs="Times New Roman"/>
          <w:color w:val="0E2841" w:themeColor="text2"/>
          <w:sz w:val="22"/>
          <w:szCs w:val="22"/>
        </w:rPr>
        <w:t xml:space="preserve">Figure </w:t>
      </w:r>
      <w:r w:rsidR="00773963">
        <w:rPr>
          <w:rFonts w:ascii="Times New Roman" w:hAnsi="Times New Roman" w:cs="Times New Roman"/>
          <w:color w:val="0E2841" w:themeColor="text2"/>
          <w:sz w:val="22"/>
          <w:szCs w:val="22"/>
        </w:rPr>
        <w:t xml:space="preserve">4 </w:t>
      </w:r>
      <w:r w:rsidRPr="00FE7AAC">
        <w:rPr>
          <w:rFonts w:ascii="Times New Roman" w:hAnsi="Times New Roman" w:cs="Times New Roman"/>
          <w:color w:val="0E2841" w:themeColor="text2"/>
          <w:sz w:val="22"/>
          <w:szCs w:val="22"/>
        </w:rPr>
        <w:t>evaluat</w:t>
      </w:r>
      <w:r w:rsidR="00773963">
        <w:rPr>
          <w:rFonts w:ascii="Times New Roman" w:hAnsi="Times New Roman" w:cs="Times New Roman"/>
          <w:color w:val="0E2841" w:themeColor="text2"/>
          <w:sz w:val="22"/>
          <w:szCs w:val="22"/>
        </w:rPr>
        <w:t>es</w:t>
      </w:r>
      <w:r w:rsidRPr="00FE7AAC">
        <w:rPr>
          <w:rFonts w:ascii="Times New Roman" w:hAnsi="Times New Roman" w:cs="Times New Roman"/>
          <w:color w:val="0E2841" w:themeColor="text2"/>
          <w:sz w:val="22"/>
          <w:szCs w:val="22"/>
        </w:rPr>
        <w:t xml:space="preserve"> the parasitoid invasion threshold,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at the parasitoid-free fixed point of the annual map, in contrast to the durability of the coexistence equilibrium.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measures the annual growth potential of a rare parasitoid at the boundary equilibrium.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exceeds 1, parasitoids can increase from rarity and drive the system toward coexistence;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is less than 1, they fail to establish, and the parasitoid-free state persists. The line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marks the invasion boundary between these regimes. This threshold measures how many new adult parasitoids are produced for each added per year, calculated at the parasitoid-free equilibrium of the annual map across other parameter space (Step 6). Since H1 is rejected, the parasitoid-free state is likely. Thus,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is crucial for O2.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&gt; 1</m:t>
        </m:r>
      </m:oMath>
      <w:r>
        <w:rPr>
          <w:rFonts w:ascii="Times New Roman" w:hAnsi="Times New Roman" w:cs="Times New Roman"/>
          <w:color w:val="0E2841" w:themeColor="text2"/>
          <w:sz w:val="22"/>
          <w:szCs w:val="22"/>
        </w:rPr>
        <w:t>, a</w:t>
      </w:r>
      <w:r w:rsidRPr="00FE7AAC">
        <w:rPr>
          <w:rFonts w:ascii="Times New Roman" w:hAnsi="Times New Roman" w:cs="Times New Roman"/>
          <w:color w:val="0E2841" w:themeColor="text2"/>
          <w:sz w:val="22"/>
          <w:szCs w:val="22"/>
        </w:rPr>
        <w:t xml:space="preserve"> few parasitoids can spread and push the system to coexistence. If </w:t>
      </w:r>
      <m:oMath>
        <m:sSub>
          <m:sSubPr>
            <m:ctrlPr>
              <w:rPr>
                <w:rFonts w:ascii="Cambria Math" w:eastAsiaTheme="minorEastAsia" w:hAnsi="Cambria Math" w:cs="Times New Roman"/>
                <w:i/>
                <w:color w:val="0E2841" w:themeColor="text2"/>
                <w:sz w:val="22"/>
                <w:szCs w:val="22"/>
              </w:rPr>
            </m:ctrlPr>
          </m:sSubPr>
          <m:e>
            <m:r>
              <w:rPr>
                <w:rFonts w:ascii="Cambria Math" w:eastAsiaTheme="minorEastAsia" w:hAnsi="Cambria Math" w:cs="Times New Roman"/>
                <w:color w:val="0E2841" w:themeColor="text2"/>
                <w:sz w:val="22"/>
                <w:szCs w:val="22"/>
              </w:rPr>
              <m:t>R</m:t>
            </m:r>
          </m:e>
          <m:sub>
            <m:r>
              <w:rPr>
                <w:rFonts w:ascii="Cambria Math" w:eastAsiaTheme="minorEastAsia" w:hAnsi="Cambria Math" w:cs="Times New Roman"/>
                <w:color w:val="0E2841" w:themeColor="text2"/>
                <w:sz w:val="22"/>
                <w:szCs w:val="22"/>
              </w:rPr>
              <m:t>P</m:t>
            </m:r>
          </m:sub>
        </m:sSub>
        <m:r>
          <w:rPr>
            <w:rFonts w:ascii="Cambria Math" w:eastAsiaTheme="minorEastAsia" w:hAnsi="Cambria Math" w:cs="Times New Roman"/>
            <w:color w:val="0E2841" w:themeColor="text2"/>
            <w:sz w:val="22"/>
            <w:szCs w:val="22"/>
          </w:rPr>
          <m:t xml:space="preserve"> &lt; 1</m:t>
        </m:r>
      </m:oMath>
      <w:r w:rsidRPr="00FE7AAC">
        <w:rPr>
          <w:rFonts w:ascii="Times New Roman" w:hAnsi="Times New Roman" w:cs="Times New Roman"/>
          <w:color w:val="0E2841" w:themeColor="text2"/>
          <w:sz w:val="22"/>
          <w:szCs w:val="22"/>
        </w:rPr>
        <w:t xml:space="preserve">, they die out, and the system remains parasitoid-free.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line marks where the main shift between these two states occurs. Seven of nine parameters cross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threshold. Raising the bird pressure index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B</m:t>
            </m:r>
          </m:e>
          <m:sub>
            <m:r>
              <w:rPr>
                <w:rFonts w:ascii="Cambria Math" w:hAnsi="Cambria Math" w:cs="Times New Roman"/>
                <w:color w:val="0E2841" w:themeColor="text2"/>
                <w:sz w:val="22"/>
                <w:szCs w:val="22"/>
              </w:rPr>
              <m:t>t</m:t>
            </m:r>
          </m:sub>
        </m:sSub>
      </m:oMath>
      <w:r w:rsidRPr="00FE7AAC">
        <w:rPr>
          <w:rFonts w:ascii="Times New Roman" w:hAnsi="Times New Roman" w:cs="Times New Roman"/>
          <w:color w:val="0E2841" w:themeColor="text2"/>
          <w:sz w:val="22"/>
          <w:szCs w:val="22"/>
        </w:rPr>
        <w:t xml:space="preserve"> quickly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Increasing the susceptible larval death rate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μ</m:t>
            </m:r>
          </m:e>
          <m:sub>
            <m:r>
              <w:rPr>
                <w:rFonts w:ascii="Cambria Math" w:hAnsi="Cambria Math" w:cs="Times New Roman"/>
                <w:color w:val="0E2841" w:themeColor="text2"/>
                <w:sz w:val="22"/>
                <w:szCs w:val="22"/>
              </w:rPr>
              <m:t>S</m:t>
            </m:r>
          </m:sub>
        </m:sSub>
      </m:oMath>
      <w:r w:rsidRPr="00FE7AAC">
        <w:rPr>
          <w:rFonts w:ascii="Times New Roman" w:hAnsi="Times New Roman" w:cs="Times New Roman"/>
          <w:color w:val="0E2841" w:themeColor="text2"/>
          <w:sz w:val="22"/>
          <w:szCs w:val="22"/>
        </w:rPr>
        <w:t xml:space="preserve"> also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Conversely, increasing the parasitoid attack rate β raises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Higher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Pr="00FE7AAC">
        <w:rPr>
          <w:rFonts w:ascii="Times New Roman" w:hAnsi="Times New Roman" w:cs="Times New Roman"/>
          <w:color w:val="0E2841" w:themeColor="text2"/>
          <w:sz w:val="22"/>
          <w:szCs w:val="22"/>
        </w:rPr>
        <w:t xml:space="preserve">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with persistence around the threshold value of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Pr="00FE7AAC">
        <w:rPr>
          <w:rFonts w:ascii="Times New Roman" w:hAnsi="Times New Roman" w:cs="Times New Roman"/>
          <w:color w:val="0E2841" w:themeColor="text2"/>
          <w:sz w:val="22"/>
          <w:szCs w:val="22"/>
        </w:rPr>
        <w:t xml:space="preserve"> from Figure </w:t>
      </w:r>
      <w:r w:rsidR="00773963">
        <w:rPr>
          <w:rFonts w:ascii="Times New Roman" w:hAnsi="Times New Roman" w:cs="Times New Roman"/>
          <w:color w:val="0E2841" w:themeColor="text2"/>
          <w:sz w:val="22"/>
          <w:szCs w:val="22"/>
        </w:rPr>
        <w:t>2</w:t>
      </w:r>
      <w:r w:rsidRPr="00FE7AAC">
        <w:rPr>
          <w:rFonts w:ascii="Times New Roman" w:hAnsi="Times New Roman" w:cs="Times New Roman"/>
          <w:color w:val="0E2841" w:themeColor="text2"/>
          <w:sz w:val="22"/>
          <w:szCs w:val="22"/>
        </w:rPr>
        <w:t xml:space="preserve">. Beetle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A</m:t>
            </m:r>
          </m:sub>
        </m:sSub>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B), parasitoid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F</m:t>
            </m:r>
          </m:sub>
        </m:sSub>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C) and increasing parasitoid emergence rate δ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D) each </w:t>
      </w:r>
      <w:r>
        <w:rPr>
          <w:rFonts w:ascii="Times New Roman" w:hAnsi="Times New Roman" w:cs="Times New Roman"/>
          <w:color w:val="0E2841" w:themeColor="text2"/>
          <w:sz w:val="22"/>
          <w:szCs w:val="22"/>
        </w:rPr>
        <w:t>raises</w:t>
      </w:r>
      <w:r w:rsidRPr="00FE7AAC">
        <w:rPr>
          <w:rFonts w:ascii="Times New Roman" w:hAnsi="Times New Roman" w:cs="Times New Roman"/>
          <w:color w:val="0E2841" w:themeColor="text2"/>
          <w:sz w:val="22"/>
          <w:szCs w:val="22"/>
        </w:rPr>
        <w:t xml:space="preserv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Each threshold crossing shows the parameter value needed for persistence. Season duration T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so longer seasons lower but do not eliminate parasitoid persistence at baseline. The defoliation </w:t>
      </w:r>
      <w:r>
        <w:rPr>
          <w:rFonts w:ascii="Times New Roman" w:hAnsi="Times New Roman" w:cs="Times New Roman"/>
          <w:color w:val="0E2841" w:themeColor="text2"/>
          <w:sz w:val="22"/>
          <w:szCs w:val="22"/>
        </w:rPr>
        <w:t>damages</w:t>
      </w:r>
      <w:r w:rsidRPr="00FE7AAC">
        <w:rPr>
          <w:rFonts w:ascii="Times New Roman" w:hAnsi="Times New Roman" w:cs="Times New Roman"/>
          <w:color w:val="0E2841" w:themeColor="text2"/>
          <w:sz w:val="22"/>
          <w:szCs w:val="22"/>
        </w:rPr>
        <w:t xml:space="preserve"> memory-based vernal growth </w:t>
      </w:r>
      <m:oMath>
        <m:r>
          <w:rPr>
            <w:rFonts w:ascii="Cambria Math" w:hAnsi="Cambria Math" w:cs="Times New Roman"/>
            <w:color w:val="0E2841" w:themeColor="text2"/>
            <w:sz w:val="22"/>
            <w:szCs w:val="22"/>
          </w:rPr>
          <m:t>φ</m:t>
        </m:r>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G), which defines carrying capacity, slightly decreases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This shows that foliage-memory feedback has minimal impact on parasitoid invasion. Therefore,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 reveals that moving </w:t>
      </w:r>
      <w:r w:rsidRPr="00FE7AAC">
        <w:rPr>
          <w:rFonts w:ascii="Times New Roman" w:hAnsi="Times New Roman" w:cs="Times New Roman"/>
          <w:color w:val="0E2841" w:themeColor="text2"/>
          <w:sz w:val="22"/>
          <w:szCs w:val="22"/>
        </w:rPr>
        <w:lastRenderedPageBreak/>
        <w:t xml:space="preserve">from coexisting equilibria by decreasing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results from a lower attack rate, reduced beetle or parasitoid survival, or slower emergence. </w:t>
      </w:r>
    </w:p>
    <w:p w14:paraId="4838AD77" w14:textId="6F2F9834" w:rsidR="0094245B" w:rsidRPr="009668D3" w:rsidRDefault="0094245B" w:rsidP="002D21BC">
      <w:pPr>
        <w:spacing w:line="240" w:lineRule="auto"/>
        <w:jc w:val="both"/>
        <w:rPr>
          <w:rFonts w:ascii="Times New Roman" w:hAnsi="Times New Roman" w:cs="Times New Roman"/>
          <w:b/>
          <w:color w:val="0E2841" w:themeColor="text2"/>
          <w:sz w:val="20"/>
          <w:szCs w:val="20"/>
        </w:rPr>
      </w:pPr>
      <w:r w:rsidRPr="009668D3">
        <w:rPr>
          <w:rFonts w:ascii="Times New Roman" w:hAnsi="Times New Roman" w:cs="Times New Roman"/>
          <w:b/>
          <w:color w:val="0E2841" w:themeColor="text2"/>
          <w:sz w:val="20"/>
          <w:szCs w:val="20"/>
        </w:rPr>
        <w:t xml:space="preserve">3.2 </w:t>
      </w:r>
      <w:r w:rsidR="000E2FF5" w:rsidRPr="009668D3">
        <w:rPr>
          <w:rFonts w:ascii="Times New Roman" w:hAnsi="Times New Roman" w:cs="Times New Roman"/>
          <w:b/>
          <w:color w:val="0E2841" w:themeColor="text2"/>
          <w:sz w:val="20"/>
          <w:szCs w:val="20"/>
        </w:rPr>
        <w:t xml:space="preserve"> Meeting o</w:t>
      </w:r>
      <w:r w:rsidRPr="009668D3">
        <w:rPr>
          <w:rFonts w:ascii="Times New Roman" w:hAnsi="Times New Roman" w:cs="Times New Roman"/>
          <w:b/>
          <w:color w:val="0E2841" w:themeColor="text2"/>
          <w:sz w:val="20"/>
          <w:szCs w:val="20"/>
        </w:rPr>
        <w:t xml:space="preserve">bjective </w:t>
      </w:r>
      <w:r w:rsidR="000E2FF5" w:rsidRPr="009668D3">
        <w:rPr>
          <w:rFonts w:ascii="Times New Roman" w:hAnsi="Times New Roman" w:cs="Times New Roman"/>
          <w:b/>
          <w:color w:val="0E2841" w:themeColor="text2"/>
          <w:sz w:val="20"/>
          <w:szCs w:val="20"/>
        </w:rPr>
        <w:t>2</w:t>
      </w:r>
    </w:p>
    <w:p w14:paraId="5F197F80" w14:textId="77777777" w:rsidR="004478A5" w:rsidRPr="009668D3" w:rsidRDefault="004478A5" w:rsidP="002D21BC">
      <w:pPr>
        <w:pStyle w:val="Caption"/>
        <w:keepNext/>
        <w:jc w:val="both"/>
        <w:rPr>
          <w:rFonts w:ascii="Times New Roman" w:hAnsi="Times New Roman" w:cs="Times New Roman"/>
          <w:sz w:val="20"/>
          <w:szCs w:val="20"/>
        </w:rPr>
      </w:pPr>
      <w:r w:rsidRPr="009668D3">
        <w:rPr>
          <w:rFonts w:ascii="Times New Roman" w:hAnsi="Times New Roman" w:cs="Times New Roman"/>
          <w:i w:val="0"/>
          <w:noProof/>
          <w:sz w:val="20"/>
          <w:szCs w:val="20"/>
        </w:rPr>
        <w:drawing>
          <wp:inline distT="0" distB="0" distL="0" distR="0" wp14:anchorId="34B213A3" wp14:editId="32EFFB26">
            <wp:extent cx="5731510" cy="1773555"/>
            <wp:effectExtent l="0" t="0" r="2540" b="0"/>
            <wp:doc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51041D44" w14:textId="0B58D988" w:rsidR="00665518" w:rsidRPr="00665518" w:rsidRDefault="004478A5" w:rsidP="00665518">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5</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Early-warning summary: parametric drivers, regime-shift probability, and adaptive-stability reference frame. (A) Partial rank correlation coefficients (PRCC) between each model parameter and the dominant eigenvalue magnitude ρ* across the Latin Hypercube sample; red bars indicate |PRCC| &gt; 0.25 (warning candidates). (B) Regime-shift probability per phenological scenario (one-at-a-time variation) and for the joint Latin Hypercube sample; horizontal bars show 95% bootstrap confidence intervals; colour indicates risk level. (C) All one-at-a-time scan points projected onto the resistance–resilience plane, where resistance = </w:t>
      </w:r>
      <m:oMath>
        <m:r>
          <w:rPr>
            <w:rFonts w:ascii="Cambria Math" w:hAnsi="Cambria Math" w:cs="Times New Roman"/>
            <w:sz w:val="20"/>
            <w:szCs w:val="20"/>
          </w:rPr>
          <m:t xml:space="preserve">1 - </m:t>
        </m:r>
        <m:f>
          <m:fPr>
            <m:ctrlPr>
              <w:rPr>
                <w:rFonts w:ascii="Cambria Math" w:hAnsi="Cambria Math" w:cs="Times New Roman"/>
                <w:sz w:val="20"/>
                <w:szCs w:val="20"/>
              </w:rPr>
            </m:ctrlPr>
          </m:fPr>
          <m:num>
            <m:r>
              <w:rPr>
                <w:rFonts w:ascii="Cambria Math" w:hAnsi="Cambria Math" w:cs="Times New Roman"/>
                <w:sz w:val="20"/>
                <w:szCs w:val="20"/>
              </w:rPr>
              <m:t>D</m:t>
            </m:r>
          </m:num>
          <m:den>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den>
        </m:f>
      </m:oMath>
      <w:r w:rsidRPr="009668D3">
        <w:rPr>
          <w:rFonts w:ascii="Times New Roman" w:hAnsi="Times New Roman" w:cs="Times New Roman"/>
          <w:sz w:val="20"/>
          <w:szCs w:val="20"/>
        </w:rPr>
        <w:t xml:space="preserve"> and resilience = 1 − ρ*</w:t>
      </w:r>
      <w:r w:rsidR="004611F6" w:rsidRPr="009668D3">
        <w:rPr>
          <w:rFonts w:ascii="Times New Roman" w:hAnsi="Times New Roman" w:cs="Times New Roman"/>
          <w:sz w:val="20"/>
          <w:szCs w:val="20"/>
        </w:rPr>
        <w:t xml:space="preserve"> (contrast to van Meerbeek et al. (2021) resistance and resilience)</w:t>
      </w:r>
      <w:r w:rsidRPr="009668D3">
        <w:rPr>
          <w:rFonts w:ascii="Times New Roman" w:hAnsi="Times New Roman" w:cs="Times New Roman"/>
          <w:sz w:val="20"/>
          <w:szCs w:val="20"/>
        </w:rPr>
        <w:t>; green circles denote coexistence outcomes, red crosses denote regime shifts.</w:t>
      </w:r>
    </w:p>
    <w:p w14:paraId="1AFF2E17" w14:textId="4E4BD380" w:rsidR="00842431" w:rsidRPr="00FE7AAC" w:rsidRDefault="00842431" w:rsidP="00842431">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w:t>
      </w:r>
      <w:r>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 quantifies regime-shift risk and highlights the main drivers of parametric instability—variability in phenology (the timing of seasonal biological events). The partial rank correlation coefficient (PRCC) shows how sensitive system stability at coexistence is to each parameter. Stability is measured using the dominant eigenvalue magnitude ρ* (indicating how quickly the system returns to equilibrium after disturbance), based on the Latin Hypercube sample (Step 10) in Figure </w:t>
      </w:r>
      <w:r>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A. Parameters with absolute PRCC above the threshold increase instability risk in ρ*. Only parasitoid attack rate β (the rate at which parasitoids attack hosts)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(the death rate of larvae vulnerable to attack) surpass this threshold, but their effects differ; increasing β </w:t>
      </w:r>
      <w:r>
        <w:rPr>
          <w:rFonts w:ascii="Times New Roman" w:hAnsi="Times New Roman" w:cs="Times New Roman"/>
          <w:i w:val="0"/>
          <w:iCs w:val="0"/>
          <w:sz w:val="22"/>
          <w:szCs w:val="22"/>
        </w:rPr>
        <w:t>stabilises</w:t>
      </w:r>
      <w:r w:rsidRPr="00FE7AAC">
        <w:rPr>
          <w:rFonts w:ascii="Times New Roman" w:hAnsi="Times New Roman" w:cs="Times New Roman"/>
          <w:i w:val="0"/>
          <w:iCs w:val="0"/>
          <w:sz w:val="22"/>
          <w:szCs w:val="22"/>
        </w:rPr>
        <w:t xml:space="preserve"> coexistence (positive PRCC, higher ρ*), while increasing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lowers stability. Next most influential are parasitoid conversion efficiency </w:t>
      </w:r>
      <m:oMath>
        <m:r>
          <w:rPr>
            <w:rFonts w:ascii="Cambria Math" w:hAnsi="Cambria Math" w:cs="Times New Roman"/>
            <w:sz w:val="22"/>
            <w:szCs w:val="22"/>
          </w:rPr>
          <m:t>η</m:t>
        </m:r>
      </m:oMath>
      <w:r w:rsidRPr="00FE7AAC">
        <w:rPr>
          <w:rFonts w:ascii="Times New Roman" w:hAnsi="Times New Roman" w:cs="Times New Roman"/>
          <w:i w:val="0"/>
          <w:iCs w:val="0"/>
          <w:sz w:val="22"/>
          <w:szCs w:val="22"/>
        </w:rPr>
        <w:t xml:space="preserve"> (the efficiency with which parasitoids develop within hosts) and adult parasitoid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F</m:t>
            </m:r>
          </m:sub>
        </m:sSub>
      </m:oMath>
      <w:r w:rsidRPr="00FE7AAC">
        <w:rPr>
          <w:rFonts w:ascii="Times New Roman" w:hAnsi="Times New Roman" w:cs="Times New Roman"/>
          <w:i w:val="0"/>
          <w:iCs w:val="0"/>
          <w:sz w:val="22"/>
          <w:szCs w:val="22"/>
        </w:rPr>
        <w:t xml:space="preserve"> (the death rate of adult parasitoids), indicating demographic sensitivity. Other parameters, which shift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xml:space="preserve"> in Figure </w:t>
      </w:r>
      <w:r>
        <w:rPr>
          <w:rFonts w:ascii="Times New Roman" w:hAnsi="Times New Roman" w:cs="Times New Roman"/>
          <w:i w:val="0"/>
          <w:iCs w:val="0"/>
          <w:sz w:val="22"/>
          <w:szCs w:val="22"/>
        </w:rPr>
        <w:t>4</w:t>
      </w:r>
      <w:r w:rsidRPr="00FE7AAC">
        <w:rPr>
          <w:rFonts w:ascii="Times New Roman" w:hAnsi="Times New Roman" w:cs="Times New Roman"/>
          <w:i w:val="0"/>
          <w:iCs w:val="0"/>
          <w:sz w:val="22"/>
          <w:szCs w:val="22"/>
        </w:rPr>
        <w:t xml:space="preserve">, show moderate PRCC.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m:t>
        </m:r>
      </m:oMath>
      <w:r w:rsidRPr="00FE7AAC">
        <w:rPr>
          <w:rFonts w:ascii="Times New Roman" w:hAnsi="Times New Roman" w:cs="Times New Roman"/>
          <w:i w:val="0"/>
          <w:iCs w:val="0"/>
          <w:sz w:val="22"/>
          <w:szCs w:val="22"/>
        </w:rPr>
        <w:t>indicates potential for parasitoid invasion (whether a small number of parasitoids can successfully establish), while ρ* measures the speed of return to coexistence after disturbance.</w:t>
      </w:r>
    </w:p>
    <w:p w14:paraId="25E3AC32" w14:textId="073F0D7B" w:rsidR="00665518" w:rsidRPr="00FE7AAC" w:rsidRDefault="00665518" w:rsidP="00665518">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Figure</w:t>
      </w:r>
      <w:r w:rsidR="00842431">
        <w:rPr>
          <w:rFonts w:ascii="Times New Roman" w:hAnsi="Times New Roman" w:cs="Times New Roman"/>
          <w:i w:val="0"/>
          <w:iCs w:val="0"/>
          <w:sz w:val="22"/>
          <w:szCs w:val="22"/>
        </w:rPr>
        <w:t xml:space="preserve"> 5</w:t>
      </w:r>
      <w:r w:rsidRPr="00FE7AAC">
        <w:rPr>
          <w:rFonts w:ascii="Times New Roman" w:hAnsi="Times New Roman" w:cs="Times New Roman"/>
          <w:i w:val="0"/>
          <w:iCs w:val="0"/>
          <w:sz w:val="22"/>
          <w:szCs w:val="22"/>
        </w:rPr>
        <w:t xml:space="preserve">B displays the regime-shift probability for each phenological scenario as well as for joint Latin Hypercube sampling. When all parameters are varied simultaneously, 81.5% of parameter sets force the coexistence equilibrium to shift. Season duration and beetle reproduction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are the most likely parameters to induce a regime shift when all parameters vary. Note that season duration variation alone did not show the shift in objective 4. However, in reality, season duration is linked to most phenologies; the figure </w:t>
      </w:r>
      <w:r w:rsidR="007F3148">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B observation is most likely in the real world. Beetle overwinter survival </w:t>
      </w:r>
      <m:oMath>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Pr="00FE7AAC">
        <w:rPr>
          <w:rFonts w:ascii="Times New Roman" w:hAnsi="Times New Roman" w:cs="Times New Roman"/>
          <w:i w:val="0"/>
          <w:iCs w:val="0"/>
          <w:sz w:val="22"/>
          <w:szCs w:val="22"/>
        </w:rPr>
        <w:t xml:space="preserve">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also contribute significantly. In contrast,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eastAsiaTheme="minorEastAsia" w:hAnsi="Cambria Math" w:cs="Times New Roman"/>
                <w:sz w:val="22"/>
                <w:szCs w:val="22"/>
              </w:rPr>
              <m:t>t</m:t>
            </m:r>
          </m:sub>
        </m:sSub>
      </m:oMath>
      <w:r w:rsidRPr="00FE7AAC">
        <w:rPr>
          <w:rFonts w:ascii="Times New Roman" w:hAnsi="Times New Roman" w:cs="Times New Roman"/>
          <w:i w:val="0"/>
          <w:iCs w:val="0"/>
          <w:sz w:val="22"/>
          <w:szCs w:val="22"/>
        </w:rPr>
        <w:t xml:space="preserve"> and foliage-memory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do not induce regime shifts across sampling, similar to Figure </w:t>
      </w:r>
      <w:r w:rsidR="00A34188">
        <w:rPr>
          <w:rFonts w:ascii="Times New Roman" w:hAnsi="Times New Roman" w:cs="Times New Roman"/>
          <w:i w:val="0"/>
          <w:iCs w:val="0"/>
          <w:sz w:val="22"/>
          <w:szCs w:val="22"/>
        </w:rPr>
        <w:t>4</w:t>
      </w:r>
      <w:r w:rsidRPr="00FE7AAC">
        <w:rPr>
          <w:rFonts w:ascii="Times New Roman" w:hAnsi="Times New Roman" w:cs="Times New Roman"/>
          <w:i w:val="0"/>
          <w:iCs w:val="0"/>
          <w:sz w:val="22"/>
          <w:szCs w:val="22"/>
        </w:rPr>
        <w:t xml:space="preserve">, where, upon varying alone,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hAnsi="Times New Roman" w:cs="Times New Roman"/>
          <w:i w:val="0"/>
          <w:iCs w:val="0"/>
          <w:sz w:val="22"/>
          <w:szCs w:val="22"/>
        </w:rPr>
        <w:t xml:space="preserve"> does not cross the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=1</m:t>
        </m:r>
      </m:oMath>
      <w:r w:rsidRPr="00FE7AAC">
        <w:rPr>
          <w:rFonts w:ascii="Times New Roman" w:hAnsi="Times New Roman" w:cs="Times New Roman"/>
          <w:i w:val="0"/>
          <w:iCs w:val="0"/>
          <w:sz w:val="22"/>
          <w:szCs w:val="22"/>
        </w:rPr>
        <w:t xml:space="preserve"> threshold from coexistence, and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has minimal impact 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The high joint shift probability, here all parameters vary jointly, the regime shift probability is relatively much higher than individual parameter values, which is an obvious assumption, but provides a comparison to individual parameter sensitivity.</w:t>
      </w:r>
    </w:p>
    <w:p w14:paraId="2A51C29F" w14:textId="5CFE95C8" w:rsidR="00665518" w:rsidRPr="00FE7AAC" w:rsidRDefault="00665518" w:rsidP="00665518">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w:t>
      </w:r>
      <w:r w:rsidR="00842431">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C projects all single-parameter scan points onto the resistance–resilience plane. Here, resistance is </w:t>
      </w:r>
      <m:oMath>
        <m:r>
          <w:rPr>
            <w:rFonts w:ascii="Cambria Math" w:hAnsi="Cambria Math" w:cs="Times New Roman"/>
            <w:sz w:val="22"/>
            <w:szCs w:val="22"/>
          </w:rPr>
          <m:t xml:space="preserve">1 - </m:t>
        </m:r>
        <m:f>
          <m:fPr>
            <m:ctrlPr>
              <w:rPr>
                <w:rFonts w:ascii="Cambria Math" w:hAnsi="Cambria Math" w:cs="Times New Roman"/>
                <w:iCs w:val="0"/>
                <w:sz w:val="22"/>
                <w:szCs w:val="22"/>
              </w:rPr>
            </m:ctrlPr>
          </m:fPr>
          <m:num>
            <m:r>
              <w:rPr>
                <w:rFonts w:ascii="Cambria Math" w:hAnsi="Cambria Math" w:cs="Times New Roman"/>
                <w:sz w:val="22"/>
                <w:szCs w:val="22"/>
              </w:rPr>
              <m:t>D</m:t>
            </m:r>
          </m:num>
          <m:den>
            <m:sSub>
              <m:sSubPr>
                <m:ctrlPr>
                  <w:rPr>
                    <w:rFonts w:ascii="Cambria Math" w:hAnsi="Cambria Math" w:cs="Times New Roman"/>
                    <w:iCs w:val="0"/>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oMath>
      <w:r w:rsidRPr="00FE7AAC">
        <w:rPr>
          <w:rFonts w:ascii="Times New Roman" w:hAnsi="Times New Roman" w:cs="Times New Roman"/>
          <w:i w:val="0"/>
          <w:iCs w:val="0"/>
          <w:sz w:val="22"/>
          <w:szCs w:val="22"/>
        </w:rPr>
        <w:t xml:space="preserve"> and resilience is </w:t>
      </w:r>
      <m:oMath>
        <m:r>
          <w:rPr>
            <w:rFonts w:ascii="Cambria Math" w:hAnsi="Cambria Math" w:cs="Times New Roman"/>
            <w:sz w:val="22"/>
            <w:szCs w:val="22"/>
          </w:rPr>
          <m:t>1 - ρ*</m:t>
        </m:r>
      </m:oMath>
      <w:r w:rsidRPr="00FE7AAC">
        <w:rPr>
          <w:rFonts w:ascii="Times New Roman" w:eastAsiaTheme="minorEastAsia" w:hAnsi="Times New Roman" w:cs="Times New Roman"/>
          <w:i w:val="0"/>
          <w:iCs w:val="0"/>
          <w:sz w:val="22"/>
          <w:szCs w:val="22"/>
        </w:rPr>
        <w:t xml:space="preserve">, which contrasts the resistance and resilience sensu van Meerbeek </w:t>
      </w:r>
      <w:r w:rsidRPr="00FE7AAC">
        <w:rPr>
          <w:rFonts w:ascii="Times New Roman" w:eastAsiaTheme="minorEastAsia" w:hAnsi="Times New Roman" w:cs="Times New Roman"/>
          <w:i w:val="0"/>
          <w:iCs w:val="0"/>
          <w:sz w:val="22"/>
          <w:szCs w:val="22"/>
        </w:rPr>
        <w:lastRenderedPageBreak/>
        <w:t>et al (2021) tested in later Figure 5</w:t>
      </w:r>
      <w:r w:rsidRPr="00FE7AAC">
        <w:rPr>
          <w:rFonts w:ascii="Times New Roman" w:hAnsi="Times New Roman" w:cs="Times New Roman"/>
          <w:i w:val="0"/>
          <w:iCs w:val="0"/>
          <w:sz w:val="22"/>
          <w:szCs w:val="22"/>
        </w:rPr>
        <w:t xml:space="preserve">. Points representing coexistence equilibrium cluster within a region of positive resistance and moderate resilience. Points for parasitoid-free or canopy-only regimes are more scattered and often show higher resilience. This occurs because the parasitoid-free equilibrium can have a smaller ρ* (faster return rate) than coexistence. Thus, resilient systems can remain in undesirable parasitoid-free regimes. This reflects the adaptive behaviour of this system’s stability. </w:t>
      </w:r>
    </w:p>
    <w:p w14:paraId="08E71A29" w14:textId="0DCAA08C" w:rsidR="00540DB2" w:rsidRPr="00665518" w:rsidRDefault="00665518"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Together, these plots support hypothesis H2 that changes in certain phenologies, or parameter values, may serve as early warning signals of a shift to an undesirable equilibrium that still maintains stability, and identify season duration and beetle reproduction rate as one of the major drivers of the steady state. These results also confirm the importance of Van Meerbeek’s definition of stability, that multiple stability metrics are needed to assess regime-shift risk. Based on these results</w:t>
      </w:r>
      <w:r>
        <w:rPr>
          <w:rFonts w:ascii="Times New Roman" w:hAnsi="Times New Roman" w:cs="Times New Roman"/>
          <w:i w:val="0"/>
          <w:iCs w:val="0"/>
          <w:sz w:val="22"/>
          <w:szCs w:val="22"/>
        </w:rPr>
        <w:t>,</w:t>
      </w:r>
      <w:r w:rsidRPr="00FE7AAC">
        <w:rPr>
          <w:rFonts w:ascii="Times New Roman" w:hAnsi="Times New Roman" w:cs="Times New Roman"/>
          <w:i w:val="0"/>
          <w:iCs w:val="0"/>
          <w:sz w:val="22"/>
          <w:szCs w:val="22"/>
        </w:rPr>
        <w:t xml:space="preserve"> we provide Table 1 that is likely to guide early warning signal detection based on the phenology variability measurement in the field and its likely direction of future regime, followed by Figure 5 that shows how these parameter variability adapts resistance and resilience in the system.</w:t>
      </w:r>
    </w:p>
    <w:p w14:paraId="550E72B9" w14:textId="0A13B047" w:rsidR="00540DB2" w:rsidRPr="009668D3" w:rsidRDefault="00540DB2" w:rsidP="002D21BC">
      <w:pPr>
        <w:pStyle w:val="Caption"/>
        <w:keepNext/>
        <w:jc w:val="both"/>
        <w:rPr>
          <w:rFonts w:ascii="Times New Roman" w:hAnsi="Times New Roman" w:cs="Times New Roman"/>
          <w:sz w:val="20"/>
          <w:szCs w:val="20"/>
        </w:rPr>
      </w:pPr>
      <w:r w:rsidRPr="009668D3">
        <w:rPr>
          <w:rFonts w:ascii="Times New Roman" w:hAnsi="Times New Roman" w:cs="Times New Roman"/>
          <w:sz w:val="20"/>
          <w:szCs w:val="20"/>
        </w:rPr>
        <w:t xml:space="preserve">Table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Table \* ARABIC </w:instrText>
      </w:r>
      <w:r w:rsidRPr="009668D3">
        <w:rPr>
          <w:rFonts w:ascii="Times New Roman" w:hAnsi="Times New Roman" w:cs="Times New Roman"/>
          <w:sz w:val="20"/>
          <w:szCs w:val="20"/>
        </w:rPr>
        <w:fldChar w:fldCharType="separate"/>
      </w:r>
      <w:r w:rsidR="00BE5C03" w:rsidRPr="009668D3">
        <w:rPr>
          <w:rFonts w:ascii="Times New Roman" w:hAnsi="Times New Roman" w:cs="Times New Roman"/>
          <w:sz w:val="20"/>
          <w:szCs w:val="20"/>
        </w:rPr>
        <w:t>1</w:t>
      </w:r>
      <w:r w:rsidRPr="009668D3">
        <w:rPr>
          <w:rFonts w:ascii="Times New Roman" w:hAnsi="Times New Roman" w:cs="Times New Roman"/>
          <w:sz w:val="20"/>
          <w:szCs w:val="20"/>
        </w:rPr>
        <w:fldChar w:fldCharType="end"/>
      </w:r>
      <w:r w:rsidRPr="009668D3">
        <w:rPr>
          <w:rFonts w:ascii="Times New Roman" w:hAnsi="Times New Roman" w:cs="Times New Roman"/>
          <w:sz w:val="20"/>
          <w:szCs w:val="20"/>
        </w:rPr>
        <w:t>: Candidate early-warning signal matrix for regime shift (Objective 2). Each phenological scenario is characterised by its regime-shift probability (one-at-a-time variation), PRCC with the dominant eigenvalue magnitude ρ*, the destabilising direction of the corresponding parameter, the likely alternative equilibrium, and whether the phenological change is empirically observable. Parameters with regime-shift probability &gt; 20% or |PRCC| &gt; 0.25 that are empirically observable are classified as early-warning candidates</w:t>
      </w:r>
    </w:p>
    <w:tbl>
      <w:tblPr>
        <w:tblW w:w="0" w:type="auto"/>
        <w:tblLook w:val="04A0" w:firstRow="1" w:lastRow="0" w:firstColumn="1" w:lastColumn="0" w:noHBand="0" w:noVBand="1"/>
      </w:tblPr>
      <w:tblGrid>
        <w:gridCol w:w="2370"/>
        <w:gridCol w:w="3432"/>
        <w:gridCol w:w="2794"/>
      </w:tblGrid>
      <w:tr w:rsidR="00540DB2" w:rsidRPr="001E6700" w14:paraId="6C6215ED" w14:textId="77777777" w:rsidTr="00AC027F">
        <w:trPr>
          <w:trHeight w:val="285"/>
        </w:trPr>
        <w:tc>
          <w:tcPr>
            <w:tcW w:w="0" w:type="auto"/>
            <w:tcBorders>
              <w:top w:val="nil"/>
              <w:left w:val="nil"/>
              <w:bottom w:val="single" w:sz="4" w:space="0" w:color="000000"/>
              <w:right w:val="nil"/>
            </w:tcBorders>
            <w:shd w:val="clear" w:color="000000" w:fill="2F5496"/>
            <w:vAlign w:val="center"/>
            <w:hideMark/>
          </w:tcPr>
          <w:p w14:paraId="3E84C264" w14:textId="77777777"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Parameter</w:t>
            </w:r>
          </w:p>
        </w:tc>
        <w:tc>
          <w:tcPr>
            <w:tcW w:w="0" w:type="auto"/>
            <w:tcBorders>
              <w:top w:val="nil"/>
              <w:left w:val="nil"/>
              <w:bottom w:val="single" w:sz="4" w:space="0" w:color="000000"/>
              <w:right w:val="nil"/>
            </w:tcBorders>
            <w:shd w:val="clear" w:color="000000" w:fill="2F5496"/>
            <w:vAlign w:val="center"/>
            <w:hideMark/>
          </w:tcPr>
          <w:p w14:paraId="2EF00A73" w14:textId="5EC2EA7F"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Potential early warning signals</w:t>
            </w:r>
          </w:p>
        </w:tc>
        <w:tc>
          <w:tcPr>
            <w:tcW w:w="0" w:type="auto"/>
            <w:tcBorders>
              <w:top w:val="nil"/>
              <w:left w:val="nil"/>
              <w:bottom w:val="single" w:sz="4" w:space="0" w:color="000000"/>
              <w:right w:val="nil"/>
            </w:tcBorders>
            <w:shd w:val="clear" w:color="000000" w:fill="2F5496"/>
            <w:vAlign w:val="center"/>
            <w:hideMark/>
          </w:tcPr>
          <w:p w14:paraId="49CD9B98" w14:textId="77777777"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Likely alternative equilibrium</w:t>
            </w:r>
          </w:p>
        </w:tc>
      </w:tr>
      <w:tr w:rsidR="00540DB2" w:rsidRPr="001E6700" w14:paraId="17DB461F" w14:textId="77777777" w:rsidTr="00AC027F">
        <w:trPr>
          <w:trHeight w:val="285"/>
        </w:trPr>
        <w:tc>
          <w:tcPr>
            <w:tcW w:w="0" w:type="auto"/>
            <w:tcBorders>
              <w:top w:val="nil"/>
              <w:left w:val="nil"/>
              <w:bottom w:val="single" w:sz="4" w:space="0" w:color="D0D0D0"/>
              <w:right w:val="nil"/>
            </w:tcBorders>
            <w:noWrap/>
            <w:vAlign w:val="center"/>
            <w:hideMark/>
          </w:tcPr>
          <w:p w14:paraId="57EBA54F"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T (Season length)</w:t>
            </w:r>
          </w:p>
        </w:tc>
        <w:tc>
          <w:tcPr>
            <w:tcW w:w="0" w:type="auto"/>
            <w:tcBorders>
              <w:top w:val="nil"/>
              <w:left w:val="nil"/>
              <w:bottom w:val="single" w:sz="4" w:space="0" w:color="D0D0D0"/>
              <w:right w:val="nil"/>
            </w:tcBorders>
            <w:noWrap/>
            <w:vAlign w:val="center"/>
            <w:hideMark/>
          </w:tcPr>
          <w:p w14:paraId="1A8DB9B8" w14:textId="1470E6E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Longer season → lower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P</m:t>
                  </m:r>
                </m:sub>
              </m:sSub>
            </m:oMath>
          </w:p>
        </w:tc>
        <w:tc>
          <w:tcPr>
            <w:tcW w:w="0" w:type="auto"/>
            <w:tcBorders>
              <w:top w:val="nil"/>
              <w:left w:val="nil"/>
              <w:bottom w:val="single" w:sz="4" w:space="0" w:color="D0D0D0"/>
              <w:right w:val="nil"/>
            </w:tcBorders>
            <w:noWrap/>
            <w:vAlign w:val="center"/>
            <w:hideMark/>
          </w:tcPr>
          <w:p w14:paraId="4A1A81EA"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0DFD62E3"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5F99C193" w14:textId="5E03CCAA" w:rsidR="00540DB2" w:rsidRPr="009668D3" w:rsidRDefault="00000000"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σ</m:t>
                  </m:r>
                </m:e>
                <m:sub>
                  <m:r>
                    <w:rPr>
                      <w:rFonts w:ascii="Cambria Math" w:hAnsi="Cambria Math" w:cs="Times New Roman"/>
                      <w:kern w:val="0"/>
                      <w:sz w:val="20"/>
                      <w:szCs w:val="20"/>
                      <w14:ligatures w14:val="none"/>
                    </w:rPr>
                    <m:t>A</m:t>
                  </m:r>
                </m:sub>
              </m:sSub>
            </m:oMath>
            <w:r w:rsidR="00540DB2" w:rsidRPr="009668D3">
              <w:rPr>
                <w:rFonts w:ascii="Times New Roman" w:hAnsi="Times New Roman" w:cs="Times New Roman"/>
                <w:kern w:val="0"/>
                <w:sz w:val="20"/>
                <w:szCs w:val="20"/>
                <w14:ligatures w14:val="none"/>
              </w:rPr>
              <w:t xml:space="preserve"> (Beetle overwinter)</w:t>
            </w:r>
          </w:p>
        </w:tc>
        <w:tc>
          <w:tcPr>
            <w:tcW w:w="0" w:type="auto"/>
            <w:tcBorders>
              <w:top w:val="nil"/>
              <w:left w:val="nil"/>
              <w:bottom w:val="single" w:sz="4" w:space="0" w:color="D0D0D0"/>
              <w:right w:val="nil"/>
            </w:tcBorders>
            <w:shd w:val="clear" w:color="000000" w:fill="D6E4F0"/>
            <w:noWrap/>
            <w:vAlign w:val="center"/>
            <w:hideMark/>
          </w:tcPr>
          <w:p w14:paraId="5696C41C"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Higher survival → higher beetle density</w:t>
            </w:r>
          </w:p>
        </w:tc>
        <w:tc>
          <w:tcPr>
            <w:tcW w:w="0" w:type="auto"/>
            <w:tcBorders>
              <w:top w:val="nil"/>
              <w:left w:val="nil"/>
              <w:bottom w:val="single" w:sz="4" w:space="0" w:color="D0D0D0"/>
              <w:right w:val="nil"/>
            </w:tcBorders>
            <w:shd w:val="clear" w:color="000000" w:fill="D6E4F0"/>
            <w:noWrap/>
            <w:vAlign w:val="center"/>
            <w:hideMark/>
          </w:tcPr>
          <w:p w14:paraId="70EE45B4"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42E1E0BB" w14:textId="77777777" w:rsidTr="00AC027F">
        <w:trPr>
          <w:trHeight w:val="285"/>
        </w:trPr>
        <w:tc>
          <w:tcPr>
            <w:tcW w:w="0" w:type="auto"/>
            <w:tcBorders>
              <w:top w:val="nil"/>
              <w:left w:val="nil"/>
              <w:bottom w:val="single" w:sz="4" w:space="0" w:color="D0D0D0"/>
              <w:right w:val="nil"/>
            </w:tcBorders>
            <w:noWrap/>
            <w:vAlign w:val="center"/>
            <w:hideMark/>
          </w:tcPr>
          <w:p w14:paraId="193732D7" w14:textId="795C565F" w:rsidR="00540DB2" w:rsidRPr="009668D3" w:rsidRDefault="00000000"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σ</m:t>
                  </m:r>
                </m:e>
                <m:sub>
                  <m:r>
                    <w:rPr>
                      <w:rFonts w:ascii="Cambria Math" w:hAnsi="Cambria Math" w:cs="Times New Roman"/>
                      <w:kern w:val="0"/>
                      <w:sz w:val="20"/>
                      <w:szCs w:val="20"/>
                      <w14:ligatures w14:val="none"/>
                    </w:rPr>
                    <m:t>F</m:t>
                  </m:r>
                </m:sub>
              </m:sSub>
            </m:oMath>
            <w:r w:rsidR="006450AD" w:rsidRPr="009668D3">
              <w:rPr>
                <w:rFonts w:ascii="Times New Roman" w:hAnsi="Times New Roman" w:cs="Times New Roman"/>
                <w:kern w:val="0"/>
                <w:sz w:val="20"/>
                <w:szCs w:val="20"/>
                <w14:ligatures w14:val="none"/>
              </w:rPr>
              <w:t xml:space="preserve"> </w:t>
            </w:r>
            <w:r w:rsidR="00540DB2" w:rsidRPr="009668D3">
              <w:rPr>
                <w:rFonts w:ascii="Times New Roman" w:hAnsi="Times New Roman" w:cs="Times New Roman"/>
                <w:kern w:val="0"/>
                <w:sz w:val="20"/>
                <w:szCs w:val="20"/>
                <w14:ligatures w14:val="none"/>
              </w:rPr>
              <w:t xml:space="preserve"> (Parasitoid overwinter)</w:t>
            </w:r>
          </w:p>
        </w:tc>
        <w:tc>
          <w:tcPr>
            <w:tcW w:w="0" w:type="auto"/>
            <w:tcBorders>
              <w:top w:val="nil"/>
              <w:left w:val="nil"/>
              <w:bottom w:val="single" w:sz="4" w:space="0" w:color="D0D0D0"/>
              <w:right w:val="nil"/>
            </w:tcBorders>
            <w:noWrap/>
            <w:vAlign w:val="center"/>
            <w:hideMark/>
          </w:tcPr>
          <w:p w14:paraId="18B36188"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Higher survival → higher parasitoid</w:t>
            </w:r>
          </w:p>
        </w:tc>
        <w:tc>
          <w:tcPr>
            <w:tcW w:w="0" w:type="auto"/>
            <w:tcBorders>
              <w:top w:val="nil"/>
              <w:left w:val="nil"/>
              <w:bottom w:val="single" w:sz="4" w:space="0" w:color="D0D0D0"/>
              <w:right w:val="nil"/>
            </w:tcBorders>
            <w:noWrap/>
            <w:vAlign w:val="center"/>
            <w:hideMark/>
          </w:tcPr>
          <w:p w14:paraId="34B16F2F"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Coexistence maintained</w:t>
            </w:r>
          </w:p>
        </w:tc>
      </w:tr>
      <w:tr w:rsidR="00540DB2" w:rsidRPr="001E6700" w14:paraId="0723A0EF" w14:textId="77777777" w:rsidTr="00AC027F">
        <w:trPr>
          <w:trHeight w:val="285"/>
        </w:trPr>
        <w:tc>
          <w:tcPr>
            <w:tcW w:w="0" w:type="auto"/>
            <w:tcBorders>
              <w:top w:val="nil"/>
              <w:left w:val="nil"/>
              <w:bottom w:val="single" w:sz="4" w:space="0" w:color="D0D0D0"/>
              <w:right w:val="nil"/>
            </w:tcBorders>
            <w:noWrap/>
            <w:vAlign w:val="center"/>
            <w:hideMark/>
          </w:tcPr>
          <w:p w14:paraId="0AD47B27" w14:textId="0B9ABD90" w:rsidR="00540DB2" w:rsidRPr="009668D3" w:rsidRDefault="00000000"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μ</m:t>
                  </m:r>
                </m:e>
                <m:sub>
                  <m:r>
                    <w:rPr>
                      <w:rFonts w:ascii="Cambria Math" w:hAnsi="Cambria Math" w:cs="Times New Roman"/>
                      <w:kern w:val="0"/>
                      <w:sz w:val="20"/>
                      <w:szCs w:val="20"/>
                      <w14:ligatures w14:val="none"/>
                    </w:rPr>
                    <m:t>S</m:t>
                  </m:r>
                </m:sub>
              </m:sSub>
            </m:oMath>
            <w:r w:rsidR="00540DB2" w:rsidRPr="009668D3">
              <w:rPr>
                <w:rFonts w:ascii="Times New Roman" w:hAnsi="Times New Roman" w:cs="Times New Roman"/>
                <w:kern w:val="0"/>
                <w:sz w:val="20"/>
                <w:szCs w:val="20"/>
                <w14:ligatures w14:val="none"/>
              </w:rPr>
              <w:t xml:space="preserve"> (Larval mortality)</w:t>
            </w:r>
          </w:p>
        </w:tc>
        <w:tc>
          <w:tcPr>
            <w:tcW w:w="0" w:type="auto"/>
            <w:tcBorders>
              <w:top w:val="nil"/>
              <w:left w:val="nil"/>
              <w:bottom w:val="single" w:sz="4" w:space="0" w:color="D0D0D0"/>
              <w:right w:val="nil"/>
            </w:tcBorders>
            <w:noWrap/>
            <w:vAlign w:val="center"/>
            <w:hideMark/>
          </w:tcPr>
          <w:p w14:paraId="0A0815AD" w14:textId="4FBDC703"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Lower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μ</m:t>
                  </m:r>
                </m:e>
                <m:sub>
                  <m:r>
                    <w:rPr>
                      <w:rFonts w:ascii="Cambria Math" w:hAnsi="Cambria Math" w:cs="Times New Roman"/>
                      <w:kern w:val="0"/>
                      <w:sz w:val="20"/>
                      <w:szCs w:val="20"/>
                      <w14:ligatures w14:val="none"/>
                    </w:rPr>
                    <m:t>S</m:t>
                  </m:r>
                </m:sub>
              </m:sSub>
            </m:oMath>
            <w:r w:rsidRPr="009668D3">
              <w:rPr>
                <w:rFonts w:ascii="Times New Roman" w:hAnsi="Times New Roman" w:cs="Times New Roman"/>
                <w:kern w:val="0"/>
                <w:sz w:val="20"/>
                <w:szCs w:val="20"/>
                <w14:ligatures w14:val="none"/>
              </w:rPr>
              <w:t xml:space="preserve"> → more larvae survive</w:t>
            </w:r>
          </w:p>
        </w:tc>
        <w:tc>
          <w:tcPr>
            <w:tcW w:w="0" w:type="auto"/>
            <w:tcBorders>
              <w:top w:val="nil"/>
              <w:left w:val="nil"/>
              <w:bottom w:val="single" w:sz="4" w:space="0" w:color="D0D0D0"/>
              <w:right w:val="nil"/>
            </w:tcBorders>
            <w:noWrap/>
            <w:vAlign w:val="center"/>
            <w:hideMark/>
          </w:tcPr>
          <w:p w14:paraId="7334321C"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65FEDF62"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3CBB5230"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β (Parasitoid attack rate)</w:t>
            </w:r>
          </w:p>
        </w:tc>
        <w:tc>
          <w:tcPr>
            <w:tcW w:w="0" w:type="auto"/>
            <w:tcBorders>
              <w:top w:val="nil"/>
              <w:left w:val="nil"/>
              <w:bottom w:val="single" w:sz="4" w:space="0" w:color="D0D0D0"/>
              <w:right w:val="nil"/>
            </w:tcBorders>
            <w:shd w:val="clear" w:color="000000" w:fill="D6E4F0"/>
            <w:noWrap/>
            <w:vAlign w:val="center"/>
            <w:hideMark/>
          </w:tcPr>
          <w:p w14:paraId="63D27853" w14:textId="29D78902"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Higher β → stronger </w:t>
            </w:r>
            <w:r w:rsidR="004F245F">
              <w:rPr>
                <w:rFonts w:ascii="Times New Roman" w:hAnsi="Times New Roman" w:cs="Times New Roman"/>
                <w:kern w:val="0"/>
                <w:sz w:val="20"/>
                <w:szCs w:val="20"/>
                <w14:ligatures w14:val="none"/>
              </w:rPr>
              <w:t>parasitoidism</w:t>
            </w:r>
          </w:p>
        </w:tc>
        <w:tc>
          <w:tcPr>
            <w:tcW w:w="0" w:type="auto"/>
            <w:tcBorders>
              <w:top w:val="nil"/>
              <w:left w:val="nil"/>
              <w:bottom w:val="single" w:sz="4" w:space="0" w:color="D0D0D0"/>
              <w:right w:val="nil"/>
            </w:tcBorders>
            <w:shd w:val="clear" w:color="000000" w:fill="D6E4F0"/>
            <w:noWrap/>
            <w:vAlign w:val="center"/>
            <w:hideMark/>
          </w:tcPr>
          <w:p w14:paraId="1C5F0330"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Coexistence maintained</w:t>
            </w:r>
          </w:p>
        </w:tc>
      </w:tr>
      <w:tr w:rsidR="00540DB2" w:rsidRPr="001E6700" w14:paraId="3B2C8592" w14:textId="77777777" w:rsidTr="00AC027F">
        <w:trPr>
          <w:trHeight w:val="285"/>
        </w:trPr>
        <w:tc>
          <w:tcPr>
            <w:tcW w:w="0" w:type="auto"/>
            <w:tcBorders>
              <w:top w:val="nil"/>
              <w:left w:val="nil"/>
              <w:bottom w:val="single" w:sz="4" w:space="0" w:color="D0D0D0"/>
              <w:right w:val="nil"/>
            </w:tcBorders>
            <w:noWrap/>
            <w:vAlign w:val="center"/>
            <w:hideMark/>
          </w:tcPr>
          <w:p w14:paraId="30C37CB5" w14:textId="259086C6" w:rsidR="00540DB2" w:rsidRPr="009668D3" w:rsidRDefault="00000000"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B</m:t>
                  </m:r>
                </m:sub>
              </m:sSub>
            </m:oMath>
            <w:r w:rsidR="00540DB2" w:rsidRPr="009668D3">
              <w:rPr>
                <w:rFonts w:ascii="Times New Roman" w:hAnsi="Times New Roman" w:cs="Times New Roman"/>
                <w:kern w:val="0"/>
                <w:sz w:val="20"/>
                <w:szCs w:val="20"/>
                <w14:ligatures w14:val="none"/>
              </w:rPr>
              <w:t xml:space="preserve"> (Beetle reproduction)</w:t>
            </w:r>
          </w:p>
        </w:tc>
        <w:tc>
          <w:tcPr>
            <w:tcW w:w="0" w:type="auto"/>
            <w:tcBorders>
              <w:top w:val="nil"/>
              <w:left w:val="nil"/>
              <w:bottom w:val="single" w:sz="4" w:space="0" w:color="D0D0D0"/>
              <w:right w:val="nil"/>
            </w:tcBorders>
            <w:noWrap/>
            <w:vAlign w:val="center"/>
            <w:hideMark/>
          </w:tcPr>
          <w:p w14:paraId="3EBB477F" w14:textId="5D3E9F46"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Higher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B</m:t>
                  </m:r>
                </m:sub>
              </m:sSub>
            </m:oMath>
            <w:r w:rsidRPr="009668D3">
              <w:rPr>
                <w:rFonts w:ascii="Times New Roman" w:hAnsi="Times New Roman" w:cs="Times New Roman"/>
                <w:kern w:val="0"/>
                <w:sz w:val="20"/>
                <w:szCs w:val="20"/>
                <w14:ligatures w14:val="none"/>
              </w:rPr>
              <w:t xml:space="preserve"> → stronger outbreaks</w:t>
            </w:r>
          </w:p>
        </w:tc>
        <w:tc>
          <w:tcPr>
            <w:tcW w:w="0" w:type="auto"/>
            <w:tcBorders>
              <w:top w:val="nil"/>
              <w:left w:val="nil"/>
              <w:bottom w:val="single" w:sz="4" w:space="0" w:color="D0D0D0"/>
              <w:right w:val="nil"/>
            </w:tcBorders>
            <w:noWrap/>
            <w:vAlign w:val="center"/>
            <w:hideMark/>
          </w:tcPr>
          <w:p w14:paraId="31B2A483"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bl>
    <w:p w14:paraId="4E7CCD77" w14:textId="0CDBC6D8" w:rsidR="00BE5C03" w:rsidRPr="009668D3" w:rsidRDefault="00000000" w:rsidP="002D21BC">
      <w:pPr>
        <w:pStyle w:val="Caption"/>
        <w:keepNext/>
        <w:jc w:val="both"/>
        <w:rPr>
          <w:rFonts w:ascii="Times New Roman" w:hAnsi="Times New Roman" w:cs="Times New Roman"/>
          <w:sz w:val="20"/>
          <w:szCs w:val="20"/>
        </w:rPr>
      </w:pPr>
      <w:r w:rsidRPr="001E6700">
        <w:rPr>
          <w:rFonts w:ascii="Times New Roman" w:hAnsi="Times New Roman" w:cs="Times New Roman"/>
          <w:i w:val="0"/>
          <w:iCs w:val="0"/>
          <w:noProof/>
          <w:sz w:val="20"/>
          <w:szCs w:val="20"/>
        </w:rPr>
        <w:drawing>
          <wp:inline distT="0" distB="0" distL="0" distR="0" wp14:anchorId="69B4012F" wp14:editId="399E5E03">
            <wp:extent cx="5954568" cy="3389786"/>
            <wp:effectExtent l="0" t="0" r="8255" b="1270"/>
            <wp:docPr id="743039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657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71371" cy="3399351"/>
                    </a:xfrm>
                    <a:prstGeom prst="rect">
                      <a:avLst/>
                    </a:prstGeom>
                    <a:noFill/>
                  </pic:spPr>
                </pic:pic>
              </a:graphicData>
            </a:graphic>
          </wp:inline>
        </w:drawing>
      </w:r>
    </w:p>
    <w:p w14:paraId="6AC2CD0C" w14:textId="13602177" w:rsidR="00533F15" w:rsidRPr="009668D3" w:rsidRDefault="00BE5C03" w:rsidP="002D21BC">
      <w:pPr>
        <w:pStyle w:val="Caption"/>
        <w:jc w:val="both"/>
        <w:rPr>
          <w:rFonts w:ascii="Times New Roman" w:hAnsi="Times New Roman" w:cs="Times New Roman"/>
          <w:i w:val="0"/>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6</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w:t>
      </w:r>
      <w:r w:rsidR="001137CF" w:rsidRPr="001137CF">
        <w:rPr>
          <w:rFonts w:ascii="Times New Roman" w:hAnsi="Times New Roman" w:cs="Times New Roman"/>
          <w:sz w:val="20"/>
          <w:szCs w:val="20"/>
        </w:rPr>
        <w:t xml:space="preserve">Resistance (R1) and resilience (R2) across the six candidate early-warning parameters identified in Figures 3-4 and Table 1. (A) Season duration T. (B) Beetle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1137CF" w:rsidRPr="001137CF">
        <w:rPr>
          <w:rFonts w:ascii="Times New Roman" w:hAnsi="Times New Roman" w:cs="Times New Roman"/>
          <w:sz w:val="20"/>
          <w:szCs w:val="20"/>
        </w:rPr>
        <w:t xml:space="preserve">. (C) Susceptible larval mortality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1137CF" w:rsidRPr="001137CF">
        <w:rPr>
          <w:rFonts w:ascii="Times New Roman" w:hAnsi="Times New Roman" w:cs="Times New Roman"/>
          <w:sz w:val="20"/>
          <w:szCs w:val="20"/>
        </w:rPr>
        <w:t xml:space="preserve">. (D) Parasitoid attack rate β. (E) Beetle reproduction ratio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001137CF" w:rsidRPr="001137CF">
        <w:rPr>
          <w:rFonts w:ascii="Times New Roman" w:hAnsi="Times New Roman" w:cs="Times New Roman"/>
          <w:sz w:val="20"/>
          <w:szCs w:val="20"/>
        </w:rPr>
        <w:t xml:space="preserve">. (F) Parasitoid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001137CF" w:rsidRPr="001137CF">
        <w:rPr>
          <w:rFonts w:ascii="Times New Roman" w:hAnsi="Times New Roman" w:cs="Times New Roman"/>
          <w:sz w:val="20"/>
          <w:szCs w:val="20"/>
        </w:rPr>
        <w:t>. Background shading indicates the equilibrium regime (green: coexistence; pink: parasitoid-free; blue: canopy-only); dashed vertical lines mark transcritical bifurcation boundaries from Figure 2</w:t>
      </w:r>
      <w:r w:rsidR="001137CF">
        <w:rPr>
          <w:rFonts w:ascii="Times New Roman" w:hAnsi="Times New Roman" w:cs="Times New Roman"/>
          <w:sz w:val="20"/>
          <w:szCs w:val="20"/>
        </w:rPr>
        <w:t>.</w:t>
      </w:r>
    </w:p>
    <w:p w14:paraId="6EF96B05" w14:textId="283215DA" w:rsidR="001137CF" w:rsidRPr="00FE7AAC" w:rsidRDefault="001137CF" w:rsidP="001137CF">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lastRenderedPageBreak/>
        <w:t xml:space="preserve">Figure </w:t>
      </w:r>
      <w:r>
        <w:rPr>
          <w:rFonts w:ascii="Times New Roman" w:hAnsi="Times New Roman" w:cs="Times New Roman"/>
          <w:i w:val="0"/>
          <w:iCs w:val="0"/>
          <w:sz w:val="22"/>
          <w:szCs w:val="22"/>
        </w:rPr>
        <w:t>6</w:t>
      </w:r>
      <w:r w:rsidRPr="00FE7AAC">
        <w:rPr>
          <w:rFonts w:ascii="Times New Roman" w:hAnsi="Times New Roman" w:cs="Times New Roman"/>
          <w:i w:val="0"/>
          <w:iCs w:val="0"/>
          <w:sz w:val="22"/>
          <w:szCs w:val="22"/>
        </w:rPr>
        <w:t xml:space="preserve"> helps identify the distinct dynamics of resistance (R1) and resilience (R2) </w:t>
      </w:r>
      <w:r>
        <w:rPr>
          <w:rFonts w:ascii="Times New Roman" w:hAnsi="Times New Roman" w:cs="Times New Roman"/>
          <w:i w:val="0"/>
          <w:iCs w:val="0"/>
          <w:sz w:val="22"/>
          <w:szCs w:val="22"/>
        </w:rPr>
        <w:t xml:space="preserve">sensu Van Meerbeek (2021) </w:t>
      </w:r>
      <w:r w:rsidRPr="00FE7AAC">
        <w:rPr>
          <w:rFonts w:ascii="Times New Roman" w:hAnsi="Times New Roman" w:cs="Times New Roman"/>
          <w:i w:val="0"/>
          <w:iCs w:val="0"/>
          <w:sz w:val="22"/>
          <w:szCs w:val="22"/>
        </w:rPr>
        <w:t xml:space="preserve">across the six parameters identified as potential early warning signal detectors through their covariance. </w:t>
      </w:r>
      <w:r>
        <w:rPr>
          <w:rFonts w:ascii="Times New Roman" w:hAnsi="Times New Roman" w:cs="Times New Roman"/>
          <w:i w:val="0"/>
          <w:iCs w:val="0"/>
          <w:sz w:val="22"/>
          <w:szCs w:val="22"/>
        </w:rPr>
        <w:t>The main purpose of this result is to validate our previous resistance and resilience metric, which helps us validate the previous set of results in light of adaptive stability theory. Also, it provides a comparative aspect to the result. Within</w:t>
      </w:r>
      <w:r w:rsidRPr="00FE7AAC">
        <w:rPr>
          <w:rFonts w:ascii="Times New Roman" w:hAnsi="Times New Roman" w:cs="Times New Roman"/>
          <w:i w:val="0"/>
          <w:iCs w:val="0"/>
          <w:sz w:val="22"/>
          <w:szCs w:val="22"/>
        </w:rPr>
        <w:t xml:space="preserve"> the coexistence regime, R1 remains consistently high across all parameters. In contrast, R2 exhibits considerable variation within the same regime, indicating that the coexistence equilibrium can adapt to different resilience with the variability of these phenologies, while resistance can only change upon regime shift.  Variability in susceptible beetle mortality is the only case where resilience R1 collapses. This is again another obvious assumption, as resistance is only observed when a perturbation is present; however, it still shows the differential behaviour between stability components in this system. Observation of this obvious trend also helps validate our result from our model.</w:t>
      </w:r>
    </w:p>
    <w:p w14:paraId="10056931" w14:textId="291E90FA" w:rsidR="00FE7AAC" w:rsidRPr="009668D3" w:rsidRDefault="00FE7AAC" w:rsidP="002D21BC">
      <w:pPr>
        <w:jc w:val="both"/>
        <w:rPr>
          <w:rFonts w:ascii="Times New Roman" w:hAnsi="Times New Roman" w:cs="Times New Roman"/>
          <w:b/>
          <w:sz w:val="20"/>
          <w:szCs w:val="20"/>
        </w:rPr>
      </w:pPr>
      <w:r w:rsidRPr="009668D3">
        <w:rPr>
          <w:rFonts w:ascii="Times New Roman" w:hAnsi="Times New Roman" w:cs="Times New Roman"/>
          <w:b/>
          <w:sz w:val="20"/>
          <w:szCs w:val="20"/>
        </w:rPr>
        <w:t>3.3 Objective 3: Optimal Control Strategy Comparison</w:t>
      </w:r>
    </w:p>
    <w:p w14:paraId="26BFB071" w14:textId="5885165C" w:rsidR="00BE5C03" w:rsidRPr="009668D3" w:rsidRDefault="00BE5C03" w:rsidP="002D21BC">
      <w:pPr>
        <w:pStyle w:val="Caption"/>
        <w:keepNext/>
        <w:jc w:val="both"/>
        <w:rPr>
          <w:rFonts w:ascii="Times New Roman" w:hAnsi="Times New Roman" w:cs="Times New Roman"/>
          <w:sz w:val="20"/>
          <w:szCs w:val="20"/>
        </w:rPr>
      </w:pPr>
    </w:p>
    <w:p w14:paraId="764C9D95" w14:textId="77777777" w:rsidR="00BE5C03" w:rsidRPr="009668D3" w:rsidRDefault="00BE5C03"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drawing>
          <wp:inline distT="0" distB="0" distL="0" distR="0" wp14:anchorId="15DA3B77" wp14:editId="2471D444">
            <wp:extent cx="5726364" cy="1593850"/>
            <wp:effectExtent l="0" t="0" r="8255" b="6350"/>
            <wp:docPr id="976958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8512"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6364" cy="1593850"/>
                    </a:xfrm>
                    <a:prstGeom prst="rect">
                      <a:avLst/>
                    </a:prstGeom>
                  </pic:spPr>
                </pic:pic>
              </a:graphicData>
            </a:graphic>
          </wp:inline>
        </w:drawing>
      </w:r>
    </w:p>
    <w:p w14:paraId="5A6C0AF0" w14:textId="2FF7CC85" w:rsidR="00BE5C03" w:rsidRPr="009668D3" w:rsidRDefault="00BE5C03" w:rsidP="002D21BC">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7</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00074F30">
        <w:rPr>
          <w:rFonts w:ascii="Times New Roman" w:hAnsi="Times New Roman" w:cs="Times New Roman"/>
          <w:sz w:val="20"/>
          <w:szCs w:val="20"/>
        </w:rPr>
        <w:t xml:space="preserve"> </w:t>
      </w:r>
      <w:r w:rsidR="00000000" w:rsidRPr="00074F30">
        <w:rPr>
          <w:rFonts w:ascii="Times New Roman" w:hAnsi="Times New Roman" w:cs="Times New Roman"/>
          <w:color w:val="auto"/>
          <w:sz w:val="20"/>
          <w:szCs w:val="20"/>
        </w:rPr>
        <w:t xml:space="preserve">Optimal control allocation under three management scenarios. (A) Terminal within-season parasitoid augmentation rate. (B) Terminal within-season direct larval removal rate; active only in Scenario C. (C) Annual mean control effort over the 8-year planning horizon: mean within-season parasitoid augmentation  (circles, solid), mean within-season direct removal  (squares, dashed), and annual bird habitat enhancement </w:t>
      </w:r>
      <w:r w:rsidRPr="00074F30">
        <w:rPr>
          <w:rFonts w:ascii="Times New Roman" w:hAnsi="Times New Roman" w:cs="Times New Roman"/>
          <w:color w:val="auto"/>
          <w:sz w:val="20"/>
          <w:szCs w:val="20"/>
        </w:rPr>
        <w:t xml:space="preserve"> (triangles, dotted).</w:t>
      </w:r>
    </w:p>
    <w:p w14:paraId="2467B4AA" w14:textId="676BE921" w:rsidR="00074F30" w:rsidRPr="00FE7AAC" w:rsidRDefault="00A674F1" w:rsidP="00074F30">
      <w:pPr>
        <w:spacing w:line="240" w:lineRule="auto"/>
        <w:jc w:val="both"/>
        <w:rPr>
          <w:rFonts w:ascii="Times New Roman" w:hAnsi="Times New Roman" w:cs="Times New Roman"/>
          <w:sz w:val="22"/>
          <w:szCs w:val="22"/>
        </w:rPr>
      </w:pPr>
      <w:r w:rsidRPr="009668D3">
        <w:rPr>
          <w:rFonts w:ascii="Times New Roman" w:hAnsi="Times New Roman" w:cs="Times New Roman"/>
          <w:sz w:val="20"/>
          <w:szCs w:val="20"/>
        </w:rPr>
        <w:t xml:space="preserve">Figure </w:t>
      </w:r>
      <w:r w:rsidR="00E478E3" w:rsidRPr="009668D3">
        <w:rPr>
          <w:rFonts w:ascii="Times New Roman" w:hAnsi="Times New Roman" w:cs="Times New Roman"/>
          <w:sz w:val="20"/>
          <w:szCs w:val="20"/>
        </w:rPr>
        <w:t>7</w:t>
      </w:r>
      <w:r w:rsidRPr="009668D3">
        <w:rPr>
          <w:rFonts w:ascii="Times New Roman" w:hAnsi="Times New Roman" w:cs="Times New Roman"/>
          <w:sz w:val="20"/>
          <w:szCs w:val="20"/>
        </w:rPr>
        <w:t xml:space="preserve"> </w:t>
      </w:r>
      <w:r w:rsidR="00074F30" w:rsidRPr="00FE7AAC">
        <w:rPr>
          <w:rFonts w:ascii="Times New Roman" w:hAnsi="Times New Roman" w:cs="Times New Roman"/>
          <w:sz w:val="22"/>
          <w:szCs w:val="22"/>
        </w:rPr>
        <w:t>shows how the timing and type of management affect cost savings in this eco-epidemic system to meet objective 3. Panels A and B show changes in control actions within each year. Panel C compares average effort per year per strategy.  Within each season, the three strategies differ in intervention focus and sequence. Strategy A relies solely on early parasitoid augmentation, i.e., the intentional release of parasitoid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oMath>
      <w:r w:rsidR="00074F30">
        <w:rPr>
          <w:rFonts w:ascii="Times New Roman" w:hAnsi="Times New Roman" w:cs="Times New Roman"/>
          <w:sz w:val="22"/>
          <w:szCs w:val="22"/>
        </w:rPr>
        <w:t xml:space="preserve"> </w:t>
      </w:r>
      <w:r w:rsidR="00074F30" w:rsidRPr="00FE7AAC">
        <w:rPr>
          <w:rFonts w:ascii="Times New Roman" w:hAnsi="Times New Roman" w:cs="Times New Roman"/>
          <w:sz w:val="22"/>
          <w:szCs w:val="22"/>
        </w:rPr>
        <w:t xml:space="preserve">,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 xml:space="preserve">A) to maximise impact. Strategy B also begins with early parasitoid release, but later adds bird habitat enhancement, which reduces the need for additional augmentation. In contrast, Strategy C employs intensive early-season larval removal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 xml:space="preserve">B), outperforming both parasitoid release and habitat improvements. Over multiple years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C), effort allocation and cost trends diverge by strategy. All strategies have a peak within-season control in year 1, declining and stabilising as the managed equilibrium is approached. In Strategy B, bird habitat enhancement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oMath>
      <w:r w:rsidR="00074F30" w:rsidRPr="00FE7AAC">
        <w:rPr>
          <w:rFonts w:ascii="Times New Roman" w:hAnsi="Times New Roman" w:cs="Times New Roman"/>
          <w:sz w:val="22"/>
          <w:szCs w:val="22"/>
        </w:rPr>
        <w:t xml:space="preserve">) is key: early, cost-effective suppression is enabled by initial investment, which transitions to low maintenance and reduces future costs. Strategy C instead uses moderate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r w:rsidR="00074F30" w:rsidRPr="00FE7AAC">
        <w:rPr>
          <w:rFonts w:ascii="Times New Roman" w:hAnsi="Times New Roman" w:cs="Times New Roman"/>
          <w:sz w:val="22"/>
          <w:szCs w:val="22"/>
        </w:rPr>
        <w:t xml:space="preserve"> in year , but emphasises larval removal and parasitoid augmentation for short-term control, resulting in lower long-term maintenance costs once stabilised. Strategy A, in contrast, remains reliant on parasitoid release without bird habitat investment or intensive larval removal, leading to different cost dynamics over time. Each strategy’s approach to initial investment, maintenance, and intervention mix yields unique cost-saving patterns. This highlights how explicit choices in management strategy shape both short- and long-term cost efficiency.</w:t>
      </w:r>
    </w:p>
    <w:p w14:paraId="260C3967" w14:textId="398AAEFB" w:rsidR="00A674F1" w:rsidRPr="009668D3" w:rsidRDefault="00A674F1" w:rsidP="002D21BC">
      <w:pPr>
        <w:spacing w:line="240" w:lineRule="auto"/>
        <w:jc w:val="both"/>
        <w:rPr>
          <w:rFonts w:ascii="Times New Roman" w:hAnsi="Times New Roman" w:cs="Times New Roman"/>
          <w:sz w:val="20"/>
          <w:szCs w:val="20"/>
        </w:rPr>
      </w:pPr>
    </w:p>
    <w:p w14:paraId="6294667F" w14:textId="77777777" w:rsidR="00A674F1" w:rsidRPr="009668D3" w:rsidRDefault="00A674F1"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lastRenderedPageBreak/>
        <w:drawing>
          <wp:inline distT="0" distB="0" distL="0" distR="0" wp14:anchorId="766660DB" wp14:editId="3D140D7A">
            <wp:extent cx="5731510" cy="2323465"/>
            <wp:effectExtent l="0" t="0" r="2540" b="635"/>
            <wp:doc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5ACB4E56" w14:textId="60B762D9" w:rsidR="00A674F1" w:rsidRPr="009668D3" w:rsidRDefault="00A674F1" w:rsidP="002D21BC">
      <w:pPr>
        <w:pStyle w:val="Caption"/>
        <w:jc w:val="both"/>
        <w:rPr>
          <w:rFonts w:ascii="Times New Roman" w:hAnsi="Times New Roman" w:cs="Times New Roman"/>
          <w:sz w:val="20"/>
          <w:szCs w:val="20"/>
        </w:rPr>
      </w:pPr>
      <w:r w:rsidRPr="001E6700">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8</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Multi-year state trajectories under three management scenarios. (A) Seasonal cumulative defoliation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and (B) carrying capacity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over the planning horizon. Dashed horizontal line in (A) marks the damage threshold</w:t>
      </w:r>
      <w:r w:rsidR="00194469">
        <w:rPr>
          <w:rFonts w:ascii="Times New Roman" w:hAnsi="Times New Roman" w:cs="Times New Roman"/>
          <w:sz w:val="20"/>
          <w:szCs w:val="20"/>
        </w:rPr>
        <w:t>.</w:t>
      </w:r>
    </w:p>
    <w:p w14:paraId="59E89F72" w14:textId="4C732DDD" w:rsidR="00FE6C2F" w:rsidRPr="009668D3" w:rsidRDefault="00452EB0"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00E478E3" w:rsidRPr="009668D3">
        <w:rPr>
          <w:rFonts w:ascii="Times New Roman" w:hAnsi="Times New Roman" w:cs="Times New Roman"/>
          <w:sz w:val="20"/>
          <w:szCs w:val="20"/>
        </w:rPr>
        <w:t>8</w:t>
      </w:r>
      <w:r w:rsidRPr="009668D3">
        <w:rPr>
          <w:rFonts w:ascii="Times New Roman" w:hAnsi="Times New Roman" w:cs="Times New Roman"/>
          <w:sz w:val="20"/>
          <w:szCs w:val="20"/>
        </w:rPr>
        <w:t xml:space="preserve"> presents multi-year ecological outcomes for each management strategy, beginning from an outbreak state. Panel A shows seasonal cumulative defoliation </w:t>
      </w:r>
      <w:r w:rsidR="00000000" w:rsidRPr="001E6700">
        <w:rPr>
          <w:rFonts w:ascii="Times New Roman" w:hAnsi="Times New Roman" w:cs="Times New Roman"/>
          <w:sz w:val="20"/>
          <w:szCs w:val="20"/>
        </w:rPr>
        <w:t>(),</w:t>
      </w:r>
      <w:r w:rsidRPr="009668D3">
        <w:rPr>
          <w:rFonts w:ascii="Times New Roman" w:hAnsi="Times New Roman" w:cs="Times New Roman"/>
          <w:sz w:val="20"/>
          <w:szCs w:val="20"/>
        </w:rPr>
        <w:t xml:space="preserve"> while Panel B shows carrying capacity </w:t>
      </w:r>
      <w:r w:rsidR="00000000" w:rsidRPr="001E6700">
        <w:rPr>
          <w:rFonts w:ascii="Times New Roman" w:hAnsi="Times New Roman" w:cs="Times New Roman"/>
          <w:sz w:val="20"/>
          <w:szCs w:val="20"/>
        </w:rPr>
        <w:t>().</w:t>
      </w:r>
      <w:r w:rsidRPr="009668D3">
        <w:rPr>
          <w:rFonts w:ascii="Times New Roman" w:hAnsi="Times New Roman" w:cs="Times New Roman"/>
          <w:sz w:val="20"/>
          <w:szCs w:val="20"/>
        </w:rPr>
        <w:t xml:space="preserve"> All strategies reduce defoliation below the threshold </w:t>
      </w:r>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oMath>
      <w:r w:rsidRPr="009668D3">
        <w:rPr>
          <w:rFonts w:ascii="Times New Roman" w:hAnsi="Times New Roman" w:cs="Times New Roman"/>
          <w:sz w:val="20"/>
          <w:szCs w:val="20"/>
        </w:rPr>
        <w:t xml:space="preserve"> in the first year, but Strategy C converges fastest, Strategy B is intermediate, and Strategy A stabilises most slowly, with the most severe damage. Carrying capacity recovery follows the same ranking. Suppressing damage early reduces total defoliation, lessens the foliage-memory penalty (Equation 8), and lowers future intervention needs. For O3, the cost ranking from Figure </w:t>
      </w:r>
      <w:r w:rsidR="00614391">
        <w:rPr>
          <w:rFonts w:ascii="Times New Roman" w:hAnsi="Times New Roman" w:cs="Times New Roman"/>
          <w:sz w:val="20"/>
          <w:szCs w:val="20"/>
        </w:rPr>
        <w:t>7</w:t>
      </w:r>
      <w:r w:rsidRPr="009668D3">
        <w:rPr>
          <w:rFonts w:ascii="Times New Roman" w:hAnsi="Times New Roman" w:cs="Times New Roman"/>
          <w:sz w:val="20"/>
          <w:szCs w:val="20"/>
        </w:rPr>
        <w:t xml:space="preserve"> matches the ecologica</w:t>
      </w:r>
      <w:r w:rsidR="00614391">
        <w:rPr>
          <w:rFonts w:ascii="Times New Roman" w:hAnsi="Times New Roman" w:cs="Times New Roman"/>
          <w:sz w:val="20"/>
          <w:szCs w:val="20"/>
        </w:rPr>
        <w:t xml:space="preserve">l </w:t>
      </w:r>
      <w:r w:rsidRPr="009668D3">
        <w:rPr>
          <w:rFonts w:ascii="Times New Roman" w:hAnsi="Times New Roman" w:cs="Times New Roman"/>
          <w:sz w:val="20"/>
          <w:szCs w:val="20"/>
        </w:rPr>
        <w:t>trajectory: the lowest-cost strategy achieves the fastest suppression and canopy recovery.</w:t>
      </w:r>
      <w:r w:rsidR="00FE6C2F" w:rsidRPr="009668D3">
        <w:rPr>
          <w:rFonts w:ascii="Times New Roman" w:hAnsi="Times New Roman" w:cs="Times New Roman"/>
          <w:sz w:val="20"/>
          <w:szCs w:val="20"/>
        </w:rPr>
        <w:t xml:space="preserve"> According to the lexicographic decision rule outlined in the methodology, only Strategy C achieves local asymptotic stability at the managed equilibrium (ρ* = 0.98 &lt; 1). Strategies A (ρ* = 1.19) and B (ρ* = 1.10) exceed the stability boundary, rendering them infeasible despite reducing damage below </w:t>
      </w:r>
      <w:r w:rsidR="00000000" w:rsidRPr="001E6700">
        <w:rPr>
          <w:rFonts w:ascii="Times New Roman" w:hAnsi="Times New Roman" w:cs="Times New Roman"/>
          <w:sz w:val="20"/>
          <w:szCs w:val="20"/>
        </w:rPr>
        <w:t>.</w:t>
      </w:r>
      <w:r w:rsidR="00FE6C2F" w:rsidRPr="009668D3">
        <w:rPr>
          <w:rFonts w:ascii="Times New Roman" w:hAnsi="Times New Roman" w:cs="Times New Roman"/>
          <w:sz w:val="20"/>
          <w:szCs w:val="20"/>
        </w:rPr>
        <w:t xml:space="preserve"> Strategy C is therefore the only feasible approach </w:t>
      </w:r>
      <w:r w:rsidR="008868E4" w:rsidRPr="009668D3">
        <w:rPr>
          <w:rFonts w:ascii="Times New Roman" w:hAnsi="Times New Roman" w:cs="Times New Roman"/>
          <w:sz w:val="20"/>
          <w:szCs w:val="20"/>
        </w:rPr>
        <w:t>and</w:t>
      </w:r>
      <w:r w:rsidR="00FE6C2F" w:rsidRPr="009668D3">
        <w:rPr>
          <w:rFonts w:ascii="Times New Roman" w:hAnsi="Times New Roman" w:cs="Times New Roman"/>
          <w:sz w:val="20"/>
          <w:szCs w:val="20"/>
        </w:rPr>
        <w:t xml:space="preserve"> </w:t>
      </w:r>
      <w:r w:rsidR="00000000" w:rsidRPr="001E6700">
        <w:rPr>
          <w:rFonts w:ascii="Times New Roman" w:hAnsi="Times New Roman" w:cs="Times New Roman"/>
          <w:sz w:val="20"/>
          <w:szCs w:val="20"/>
        </w:rPr>
        <w:t xml:space="preserve">also </w:t>
      </w:r>
      <w:r w:rsidR="00FE6C2F" w:rsidRPr="009668D3">
        <w:rPr>
          <w:rFonts w:ascii="Times New Roman" w:hAnsi="Times New Roman" w:cs="Times New Roman"/>
          <w:sz w:val="20"/>
          <w:szCs w:val="20"/>
        </w:rPr>
        <w:t>yields the minimum-cost outcome (J = 14.0, compared to 48.2 for A and 44.7 for B).</w:t>
      </w:r>
    </w:p>
    <w:p w14:paraId="5C0A4AC6" w14:textId="5AA3F402" w:rsidR="00452EB0" w:rsidRPr="009668D3" w:rsidRDefault="006B6E15" w:rsidP="002D21BC">
      <w:pPr>
        <w:pStyle w:val="ListParagraph"/>
        <w:numPr>
          <w:ilvl w:val="0"/>
          <w:numId w:val="7"/>
        </w:num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Discussion</w:t>
      </w:r>
    </w:p>
    <w:p w14:paraId="4BDB119D" w14:textId="77777777" w:rsidR="00217FAD" w:rsidRDefault="00217FAD" w:rsidP="002D21BC">
      <w:pPr>
        <w:spacing w:line="240" w:lineRule="auto"/>
        <w:jc w:val="both"/>
        <w:rPr>
          <w:rFonts w:ascii="Times New Roman" w:hAnsi="Times New Roman" w:cs="Times New Roman"/>
          <w:sz w:val="20"/>
          <w:szCs w:val="20"/>
        </w:rPr>
      </w:pPr>
      <w:r w:rsidRPr="00217FAD">
        <w:rPr>
          <w:rFonts w:ascii="Times New Roman" w:hAnsi="Times New Roman" w:cs="Times New Roman"/>
          <w:sz w:val="20"/>
          <w:szCs w:val="20"/>
        </w:rPr>
        <w:t xml:space="preserve">Climate-driven phenological variability alters both persistence and control within multitrophic systems (Renner &amp; Zohner, 2018; Thackeray et al., 2016; Both et al., 2009). Primary consumers typically advance their phenology faster than their natural enemies, generating trophic desynchrony that intensifies when multiple species shift simultaneously (Thackeray et al., 2016; Visser &amp; Both, 2005). The present study models the Black alder–leaf beetle–parasitoid–generalist bird ecoepidemic system using a process-based, theory-driven framework that couples within-season tri-trophic dynamics to interannual canopy feedback, in accordance with established hybrid host–parasitoid modeling practices (Chattopadhyay &amp; Arino, 1999; Hethcote et al., 2004; Kot, 2001). The objectives were threefold: (i) to identify the most probable stable equilibria across all phenological scenarios; (ii) to quantify the likelihood of the system shifting from its current coexistence equilibrium to an undesirable state; and (iii) to determine the minimal effort required for three pest-control strategies targeting the leaf beetle to prevent regime shifts across parameter space. The analysis utilised well-documented phenologies of the focal species (Dolch &amp; Tscharntke, 2000; Sivrikaya et al., 2020; Stireman et al., 2006) and applied optimal control theory to evaluate intervention effort (Lenhart &amp; Workman, 2007). Results demonstrate that the system does not consistently favour the most desirable coexistence equilibrium, aligning with classical host–parasitoid theory, which posits that stable coexistence occupies only a narrow parameter window (Nicholson &amp; Bailey, 1935; Hassell et al., 1976; Singh, 2023). Across the nine phenological scenarios, desirable coexistence (characterised by parasitoid persistence, low defoliation, and a maintained canopy) occurred only within a limited region of parameter space. The probability of regime shifts increased substantially when phenological parameters varied simultaneously, consistent with empirical evidence that asynchronous shifts across trophic levels produce non-additive demographic consequences (Visser &amp; Both, 2005; Both et al., 2009; Thackeray et al., 2016; Tougeron et al., 2019; Belitz et al., 2025). Only the fully integrated management strategy proved feasible across both seasonal and interannual scales. Model calibration was conducted within parameter ranges derived from literature on these phenologies across habitats containing the focal system (Annex 1; European Commission, 1992; Valour et al., 2020). Consequently, the results do not constitute stand-level forecasts for any specific alluvial forest but instead provide a general understanding of the system's stability properties, including resilience and resistance dynamics, </w:t>
      </w:r>
      <w:r w:rsidRPr="00217FAD">
        <w:rPr>
          <w:rFonts w:ascii="Times New Roman" w:hAnsi="Times New Roman" w:cs="Times New Roman"/>
          <w:sz w:val="20"/>
          <w:szCs w:val="20"/>
        </w:rPr>
        <w:lastRenderedPageBreak/>
        <w:t>from an eco-epidemic perspective (Holling, 1973; Donohue et al., 2016; Van Meerbeek et al., 2021). These stability properties may be observed in part or in full across European habitats containing the focal system.</w:t>
      </w:r>
    </w:p>
    <w:p w14:paraId="18177761" w14:textId="77777777" w:rsidR="00D5735E" w:rsidRDefault="00217FAD" w:rsidP="002D21BC">
      <w:pPr>
        <w:spacing w:line="240" w:lineRule="auto"/>
        <w:jc w:val="both"/>
        <w:rPr>
          <w:rFonts w:ascii="Times New Roman" w:hAnsi="Times New Roman" w:cs="Times New Roman"/>
          <w:sz w:val="20"/>
          <w:szCs w:val="20"/>
        </w:rPr>
      </w:pPr>
      <w:r w:rsidRPr="00217FAD">
        <w:rPr>
          <w:rFonts w:ascii="Times New Roman" w:hAnsi="Times New Roman" w:cs="Times New Roman"/>
          <w:sz w:val="20"/>
          <w:szCs w:val="20"/>
        </w:rPr>
        <w:t>The primary ecological implication of Objective 1 is that designating parasitoids as the principal natural control for phyllophagous leaf beetle populations may undermine the stability of coexistence under phenological variability. Across the parameter space defined by phenological variability, stable equilibria are more frequently observed in parasitoid-free and canopy-only states than in coexistence. Coexistence is maintained only when the parasitoid attack rate on beetles is elevated, both host and parasitoid populations demonstrate adequate overwintering survival, and generalist birds impose moderate predation pressure. These findings align with established host–parasitoid models, which demonstrate that coexistence within Nicholson–Bailey frameworks is restricted to a narrow parameter range (Singh, 2023). This outcome further corroborates evidence that phenological mismatch can destabilise tritrophic systems, even when pairwise interactions remain stable (Belitz et al., 2025). The increased prevalence of parasitoid-free and canopy-only stable equilibria under phenological variability offers valuable insight for differentiating between the desirability of coexistence in complex systems and the likelihood of convergence to a simpler, yet stable, community structure. In this system, parasitoids contribute to reducing the risk of future beetle outbreaks, while generalist birds utilise alternative, more abundant prey. These results are consistent with management strategies that prioritise augmentation of natural enemies, although the success of such interventions is contingent upon system-specific ecological conditions and necessitates empirical validation.</w:t>
      </w:r>
    </w:p>
    <w:p w14:paraId="40D6186C" w14:textId="77777777" w:rsidR="00334BE9" w:rsidRPr="00334BE9" w:rsidRDefault="00334BE9" w:rsidP="00334BE9">
      <w:pPr>
        <w:spacing w:line="240" w:lineRule="auto"/>
        <w:jc w:val="both"/>
        <w:rPr>
          <w:rFonts w:ascii="Times New Roman" w:hAnsi="Times New Roman" w:cs="Times New Roman"/>
          <w:sz w:val="20"/>
          <w:szCs w:val="20"/>
          <w:lang w:val="en-AT"/>
        </w:rPr>
      </w:pPr>
      <w:r w:rsidRPr="00334BE9">
        <w:rPr>
          <w:rFonts w:ascii="Times New Roman" w:hAnsi="Times New Roman" w:cs="Times New Roman"/>
          <w:sz w:val="20"/>
          <w:szCs w:val="20"/>
          <w:lang w:val="en-AT"/>
        </w:rPr>
        <w:t>The ecological theory of intraguild predation offers a comprehensive framework for validating management decisions, particularly when direct empirical evidence is unavailable. Analogies with current findings can inform such validation. According to this theory, a higher-order predator suppresses an intermediate natural enemy while still reducing the shared prey (Rosenheim, 1998; Polis &amp; Holt, 1992). In the focal system, the specific direction and magnitude of bird predation on parasitised beetle larvae have not yet been quantified. Parasitised beetle larvae continue to feed until death is induced by the parasitoid (Stireman et al., 2006), remaining vulnerable to bird predation during this interval. Within the model, bird predation decreases the total larval pool and thereby reduces defoliation. However, it also removes parasitised larvae before the koinobiont parasitoid completes development and emerges, resulting in lost recruitment opportunities for the endoparasitoid. Targeting parasite release at beetle foraging aggregations may increase the parasitoid's attack rate, as this is a cue used to locate host beetle larvae (Stireman et al., 2006). The model indicates that increasing both the abundance and functional effectiveness of natural enemies could enhance system stability, pending empirical validation. In this context, coexistence loss is more accurately characterised as a failure of parasitoid attack rather than a simple deficiency in parasite numbers.</w:t>
      </w:r>
    </w:p>
    <w:p w14:paraId="0E5BB793" w14:textId="33EBAF6B" w:rsidR="00772441" w:rsidRPr="009668D3" w:rsidRDefault="009976A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Objective 2 extends Objective 1 by examining how phenological variation changes the probability of leaving coexistence. It quantifies the probabilities of each phenological variation that can cause a regime shift across any stable equilibrium. Therefore, while the prediction of Objective 1 is limited to the initial state where the parasitoid is present, Objective 2 covers cases where the parasitoid is initially absent. A key observational difference is that a single parameter can affect two equilibria through different mechanisms. For example, season length does not visibly affect coexistence equilibria within the range studied, except by drastically increasing defoliation damage. </w:t>
      </w:r>
      <w:r w:rsidR="00982EEA" w:rsidRPr="00982EEA">
        <w:rPr>
          <w:rFonts w:ascii="Times New Roman" w:hAnsi="Times New Roman" w:cs="Times New Roman"/>
          <w:sz w:val="20"/>
          <w:szCs w:val="20"/>
        </w:rPr>
        <w:t>However, from a parasitoid-free initial state, season length can destabilise coexistence (Emerick &amp; Singh, 2016; Singh, 2023). Increased defoliation reduces the following year's carrying capacity through a memory effect driven by the accumulation of phytochemical defence (Dolch &amp; Tscharntke, 2000; Tscharntke et al., 2001; Schott et al., 2023), and the same defoliation also modifies canopy condition as a direct feedback (Ferretti et al., 2021). Bird predation reduces defoliation damage once predator pressure exceeds a critical level (Böhm et al., 2011; Monteagudo et al., 2023). From the coexistence equilibrium, however, its net effect is moderated by opposing intraguild predation pathways, because generalist birds simultaneously suppress the beetle and remove the parasitoid developing inside parasitised larvae (Polis &amp; Holt, 1992; Rosenheim, 1998; Holt &amp; Polis, 1997; Holt &amp; Huxel, 2007). From a parasitoid-free equilibrium, by contrast, bird predation does not directly alter parasitoid invasion risk, because invasion success at that boundary depends on resident host density rather than on the identity of the process suppressing it (Hochberg &amp; Holt, 2002). Phytochemical defence therefore provides within-season resistance and accumulates as plant immunological memory (Conrath et al., 2015; Song et al., 2018), feeding back into the following year's carrying capacity for both the beetle and its parasitoid (Karban et al., 2018; Schott et al., 2023). Nevertheless, this feedback exerts little influence on invasion thresholds or equilibrium class in our analysis. The observation warrants further study, because the inter-annual accumulation rate and its quantitative effect on canopy regrowth remain poorly resolved under field conditions (Tscharntke et al., 2001; Karban et al., 2018; Schott et al., 2023).</w:t>
      </w:r>
      <w:r w:rsidR="00A31506" w:rsidRPr="001E6700">
        <w:rPr>
          <w:rFonts w:ascii="Times New Roman" w:hAnsi="Times New Roman" w:cs="Times New Roman"/>
          <w:sz w:val="20"/>
          <w:szCs w:val="20"/>
        </w:rPr>
        <w:t>These</w:t>
      </w:r>
      <w:r w:rsidRPr="009668D3">
        <w:rPr>
          <w:rFonts w:ascii="Times New Roman" w:hAnsi="Times New Roman" w:cs="Times New Roman"/>
          <w:sz w:val="20"/>
          <w:szCs w:val="20"/>
        </w:rPr>
        <w:t xml:space="preserve"> results </w:t>
      </w:r>
      <w:r w:rsidR="00A31506" w:rsidRPr="001E6700">
        <w:rPr>
          <w:rFonts w:ascii="Times New Roman" w:hAnsi="Times New Roman" w:cs="Times New Roman"/>
          <w:sz w:val="20"/>
          <w:szCs w:val="20"/>
        </w:rPr>
        <w:t>indicate</w:t>
      </w:r>
      <w:r w:rsidRPr="009668D3">
        <w:rPr>
          <w:rFonts w:ascii="Times New Roman" w:hAnsi="Times New Roman" w:cs="Times New Roman"/>
          <w:sz w:val="20"/>
          <w:szCs w:val="20"/>
        </w:rPr>
        <w:t xml:space="preserve"> that </w:t>
      </w:r>
      <w:r w:rsidR="00A31506" w:rsidRPr="001E6700">
        <w:rPr>
          <w:rFonts w:ascii="Times New Roman" w:hAnsi="Times New Roman" w:cs="Times New Roman"/>
          <w:sz w:val="20"/>
          <w:szCs w:val="20"/>
        </w:rPr>
        <w:t>system dynamics operate</w:t>
      </w:r>
      <w:r w:rsidRPr="009668D3">
        <w:rPr>
          <w:rFonts w:ascii="Times New Roman" w:hAnsi="Times New Roman" w:cs="Times New Roman"/>
          <w:sz w:val="20"/>
          <w:szCs w:val="20"/>
        </w:rPr>
        <w:t xml:space="preserve"> on two </w:t>
      </w:r>
      <w:r w:rsidR="00A31506" w:rsidRPr="001E6700">
        <w:rPr>
          <w:rFonts w:ascii="Times New Roman" w:hAnsi="Times New Roman" w:cs="Times New Roman"/>
          <w:sz w:val="20"/>
          <w:szCs w:val="20"/>
        </w:rPr>
        <w:t>distinct</w:t>
      </w:r>
      <w:r w:rsidRPr="009668D3">
        <w:rPr>
          <w:rFonts w:ascii="Times New Roman" w:hAnsi="Times New Roman" w:cs="Times New Roman"/>
          <w:sz w:val="20"/>
          <w:szCs w:val="20"/>
        </w:rPr>
        <w:t xml:space="preserve"> time scales, it establishes that resistance and resilience at each time scale shape stability differently in this system. Within-season trophic interactions determine parasitoid invasion risk. </w:t>
      </w:r>
      <w:r w:rsidR="00A31506" w:rsidRPr="001E6700">
        <w:rPr>
          <w:rFonts w:ascii="Times New Roman" w:hAnsi="Times New Roman" w:cs="Times New Roman"/>
          <w:sz w:val="20"/>
          <w:szCs w:val="20"/>
        </w:rPr>
        <w:t>Interannual</w:t>
      </w:r>
      <w:r w:rsidRPr="009668D3">
        <w:rPr>
          <w:rFonts w:ascii="Times New Roman" w:hAnsi="Times New Roman" w:cs="Times New Roman"/>
          <w:sz w:val="20"/>
          <w:szCs w:val="20"/>
        </w:rPr>
        <w:t xml:space="preserve"> canopy </w:t>
      </w:r>
      <w:r w:rsidR="00A31506" w:rsidRPr="001E6700">
        <w:rPr>
          <w:rFonts w:ascii="Times New Roman" w:hAnsi="Times New Roman" w:cs="Times New Roman"/>
          <w:sz w:val="20"/>
          <w:szCs w:val="20"/>
        </w:rPr>
        <w:t xml:space="preserve">feedback driven by accumulated </w:t>
      </w:r>
      <w:r w:rsidRPr="009668D3">
        <w:rPr>
          <w:rFonts w:ascii="Times New Roman" w:hAnsi="Times New Roman" w:cs="Times New Roman"/>
          <w:sz w:val="20"/>
          <w:szCs w:val="20"/>
        </w:rPr>
        <w:t>defoliation determines the quality and persistence of long-term equilibrium. This supports a multi-metric stability framework</w:t>
      </w:r>
      <w:r w:rsidR="00D357BB" w:rsidRPr="009668D3">
        <w:rPr>
          <w:rFonts w:ascii="Times New Roman" w:hAnsi="Times New Roman" w:cs="Times New Roman"/>
          <w:sz w:val="20"/>
          <w:szCs w:val="20"/>
        </w:rPr>
        <w:t xml:space="preserve"> (Van Meerbeek et al., 2021; Donohue et al., 2016)</w:t>
      </w:r>
      <w:r w:rsidRPr="009668D3">
        <w:rPr>
          <w:rFonts w:ascii="Times New Roman" w:hAnsi="Times New Roman" w:cs="Times New Roman"/>
          <w:sz w:val="20"/>
          <w:szCs w:val="20"/>
        </w:rPr>
        <w:t xml:space="preserve">. Invasion, resistance, and resilience </w:t>
      </w:r>
      <w:r w:rsidRPr="009668D3">
        <w:rPr>
          <w:rFonts w:ascii="Times New Roman" w:hAnsi="Times New Roman" w:cs="Times New Roman"/>
          <w:sz w:val="20"/>
          <w:szCs w:val="20"/>
        </w:rPr>
        <w:lastRenderedPageBreak/>
        <w:t>capture different but complementary aspects of regime-shift risk.</w:t>
      </w:r>
      <w:r w:rsidR="00486251" w:rsidRPr="009668D3">
        <w:rPr>
          <w:rFonts w:ascii="Times New Roman" w:hAnsi="Times New Roman" w:cs="Times New Roman"/>
          <w:sz w:val="20"/>
          <w:szCs w:val="20"/>
        </w:rPr>
        <w:t xml:space="preserve"> </w:t>
      </w:r>
      <w:r w:rsidR="006F02A1" w:rsidRPr="001E6700">
        <w:rPr>
          <w:rFonts w:ascii="Times New Roman" w:hAnsi="Times New Roman" w:cs="Times New Roman"/>
          <w:sz w:val="20"/>
          <w:szCs w:val="20"/>
        </w:rPr>
        <w:t>Treating</w:t>
      </w:r>
      <w:r w:rsidR="00486251" w:rsidRPr="009668D3">
        <w:rPr>
          <w:rFonts w:ascii="Times New Roman" w:hAnsi="Times New Roman" w:cs="Times New Roman"/>
          <w:sz w:val="20"/>
          <w:szCs w:val="20"/>
        </w:rPr>
        <w:t xml:space="preserve"> resistance and resilience as </w:t>
      </w:r>
      <w:r w:rsidR="006F02A1" w:rsidRPr="001E6700">
        <w:rPr>
          <w:rFonts w:ascii="Times New Roman" w:hAnsi="Times New Roman" w:cs="Times New Roman"/>
          <w:sz w:val="20"/>
          <w:szCs w:val="20"/>
        </w:rPr>
        <w:t>distinct</w:t>
      </w:r>
      <w:r w:rsidR="00486251" w:rsidRPr="009668D3">
        <w:rPr>
          <w:rFonts w:ascii="Times New Roman" w:hAnsi="Times New Roman" w:cs="Times New Roman"/>
          <w:sz w:val="20"/>
          <w:szCs w:val="20"/>
        </w:rPr>
        <w:t xml:space="preserve"> stability metrics </w:t>
      </w:r>
      <w:r w:rsidR="006F02A1" w:rsidRPr="001E6700">
        <w:rPr>
          <w:rFonts w:ascii="Times New Roman" w:hAnsi="Times New Roman" w:cs="Times New Roman"/>
          <w:sz w:val="20"/>
          <w:szCs w:val="20"/>
        </w:rPr>
        <w:t>within</w:t>
      </w:r>
      <w:r w:rsidR="00486251" w:rsidRPr="009668D3">
        <w:rPr>
          <w:rFonts w:ascii="Times New Roman" w:hAnsi="Times New Roman" w:cs="Times New Roman"/>
          <w:sz w:val="20"/>
          <w:szCs w:val="20"/>
        </w:rPr>
        <w:t xml:space="preserve"> the adaptive stability </w:t>
      </w:r>
      <w:r w:rsidR="006F02A1" w:rsidRPr="001E6700">
        <w:rPr>
          <w:rFonts w:ascii="Times New Roman" w:hAnsi="Times New Roman" w:cs="Times New Roman"/>
          <w:sz w:val="20"/>
          <w:szCs w:val="20"/>
        </w:rPr>
        <w:t>framework improves interpretation of system</w:t>
      </w:r>
      <w:r w:rsidR="00486251" w:rsidRPr="009668D3">
        <w:rPr>
          <w:rFonts w:ascii="Times New Roman" w:hAnsi="Times New Roman" w:cs="Times New Roman"/>
          <w:sz w:val="20"/>
          <w:szCs w:val="20"/>
        </w:rPr>
        <w:t xml:space="preserve"> behaviour</w:t>
      </w:r>
      <w:r w:rsidR="006F02A1" w:rsidRPr="001E6700">
        <w:rPr>
          <w:rFonts w:ascii="Times New Roman" w:hAnsi="Times New Roman" w:cs="Times New Roman"/>
          <w:sz w:val="20"/>
          <w:szCs w:val="20"/>
        </w:rPr>
        <w:t xml:space="preserve">. </w:t>
      </w:r>
      <w:r w:rsidR="00486251" w:rsidRPr="009668D3">
        <w:rPr>
          <w:rFonts w:ascii="Times New Roman" w:hAnsi="Times New Roman" w:cs="Times New Roman"/>
          <w:sz w:val="20"/>
          <w:szCs w:val="20"/>
        </w:rPr>
        <w:t xml:space="preserve">High </w:t>
      </w:r>
      <w:r w:rsidR="006F02A1" w:rsidRPr="001E6700">
        <w:rPr>
          <w:rFonts w:ascii="Times New Roman" w:hAnsi="Times New Roman" w:cs="Times New Roman"/>
          <w:sz w:val="20"/>
          <w:szCs w:val="20"/>
        </w:rPr>
        <w:t>r</w:t>
      </w:r>
      <w:r w:rsidR="00486251" w:rsidRPr="009668D3">
        <w:rPr>
          <w:rFonts w:ascii="Times New Roman" w:hAnsi="Times New Roman" w:cs="Times New Roman"/>
          <w:sz w:val="20"/>
          <w:szCs w:val="20"/>
        </w:rPr>
        <w:t xml:space="preserve">esistance across much of the coexistence regime implies that outbreak damage can </w:t>
      </w:r>
      <w:r w:rsidR="006F02A1" w:rsidRPr="001E6700">
        <w:rPr>
          <w:rFonts w:ascii="Times New Roman" w:hAnsi="Times New Roman" w:cs="Times New Roman"/>
          <w:sz w:val="20"/>
          <w:szCs w:val="20"/>
        </w:rPr>
        <w:t>remain</w:t>
      </w:r>
      <w:r w:rsidR="00486251" w:rsidRPr="009668D3">
        <w:rPr>
          <w:rFonts w:ascii="Times New Roman" w:hAnsi="Times New Roman" w:cs="Times New Roman"/>
          <w:sz w:val="20"/>
          <w:szCs w:val="20"/>
        </w:rPr>
        <w:t xml:space="preserve"> low</w:t>
      </w:r>
      <w:r w:rsidR="006F02A1" w:rsidRPr="001E6700">
        <w:rPr>
          <w:rFonts w:ascii="Times New Roman" w:hAnsi="Times New Roman" w:cs="Times New Roman"/>
          <w:sz w:val="20"/>
          <w:szCs w:val="20"/>
        </w:rPr>
        <w:t>. However,</w:t>
      </w:r>
      <w:r w:rsidR="00486251" w:rsidRPr="009668D3">
        <w:rPr>
          <w:rFonts w:ascii="Times New Roman" w:hAnsi="Times New Roman" w:cs="Times New Roman"/>
          <w:sz w:val="20"/>
          <w:szCs w:val="20"/>
        </w:rPr>
        <w:t xml:space="preserve"> resilience varies more strongly</w:t>
      </w:r>
      <w:r w:rsidR="006F02A1" w:rsidRPr="001E6700">
        <w:rPr>
          <w:rFonts w:ascii="Times New Roman" w:hAnsi="Times New Roman" w:cs="Times New Roman"/>
          <w:sz w:val="20"/>
          <w:szCs w:val="20"/>
        </w:rPr>
        <w:t>,</w:t>
      </w:r>
      <w:r w:rsidR="00486251" w:rsidRPr="009668D3">
        <w:rPr>
          <w:rFonts w:ascii="Times New Roman" w:hAnsi="Times New Roman" w:cs="Times New Roman"/>
          <w:sz w:val="20"/>
          <w:szCs w:val="20"/>
        </w:rPr>
        <w:t xml:space="preserve"> as recovery capacity can erode under phenological change. The system can therefore look stable in the short term, yet become dynamically fragile in the long term, as per our findings. Together</w:t>
      </w:r>
      <w:r w:rsidR="002F6DC6" w:rsidRPr="009668D3">
        <w:rPr>
          <w:rFonts w:ascii="Times New Roman" w:hAnsi="Times New Roman" w:cs="Times New Roman"/>
          <w:sz w:val="20"/>
          <w:szCs w:val="20"/>
        </w:rPr>
        <w:t>, all the results of objective 2 show</w:t>
      </w:r>
      <w:r w:rsidR="00486251" w:rsidRPr="009668D3">
        <w:rPr>
          <w:rFonts w:ascii="Times New Roman" w:hAnsi="Times New Roman" w:cs="Times New Roman"/>
          <w:sz w:val="20"/>
          <w:szCs w:val="20"/>
        </w:rPr>
        <w:t xml:space="preserve"> that stability failure can occur through multiple distinct routes. Management should therefore not infer security from low damage alone, but evaluate invasion potential, recovery rate, and attractor-switch risk simultaneously.</w:t>
      </w:r>
      <w:r w:rsidR="00772441" w:rsidRPr="009668D3">
        <w:rPr>
          <w:rFonts w:ascii="Times New Roman" w:hAnsi="Times New Roman" w:cs="Times New Roman"/>
          <w:sz w:val="20"/>
          <w:szCs w:val="20"/>
        </w:rPr>
        <w:t xml:space="preserve"> </w:t>
      </w:r>
    </w:p>
    <w:p w14:paraId="48CD5569"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In this study, we used eigenvalue-based and trajectory-based metrics to represent mechanistically distinct aspects of stability (Holling, 1973; Arnoldi et al., 2016; Donohue et al., 2016). Within the Latin Hypercube sample, their correlation is positive but not perfect, consistent with prior evidence that resilience, resistance, and variability metrics are not mutually substitutable across ecosystems (De Keersmaecker et al., 2014; Donohue et al., 2016). Certain parameter sets demonstrate that the eigenvalue indicates rapid return, while trajectory-based resilience remains low due to finite perturbations nearing the basin boundary, and the reverse can also occur (Menck et al., 2013; Dakos et al., 2015). This decoupling is expected, because local eigenvalue analysis holds with certainty only for infinitesimal perturbations and carries no information about the distance to a basin boundary (Arnoldi et al., 2016). From an ecological perspective, eigenvalue-based resilience characterises recovery from routine interannual fluctuations, whereas trajectory-based resilience characterises recovery from discrete, large-amplitude disturbances — mapping, respectively, onto engineering and ecological resilience in the sense of Holling (1973) (see also Arnoldi et al., 2016; Dakos et al., 2015). This distinction similarly separates the equilibrium damage margin from the transient resistance index. Reporting both metrics is therefore essential for distinguishing chronic degradation risk from acute perturbation risk, which is directly relevant for selecting between sustained and emergency management strategies (Lindegren et al., 2012; Donohue et al., 2016).</w:t>
      </w:r>
    </w:p>
    <w:p w14:paraId="0852678D"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In addition to the probability of regime shift under this adaptive-stability framework, Objective 2 aims to identify potential early warning signals using three joint criteria. First, the parameter must contribute substantially to regime-shift probability. Second, it must show a partial rank correlation with the dominant eigenvalue indicating a destabilising influence, following the standard LHS–PRCC sensitivity framework (Blower &amp; Dowlatabadi, 1994; Marino et al., 2008; Saltelli et al., 2008). Third, the associated phenological process must be empirically observable during a simulation experiment searching for system destabilisation. The candidate phenologies and their association with other phenologies, identified under Objective 2, are therefore proposed as ranked monitoring priorities rather than validated early warning signals capable of reliably indicating impending regime shifts, because our parameters come from multiple habitats and broader validation remains an open challenge in multi-trophic systems (Scheffer et al., 2009; Lindegren et al., 2012; Dakos et al., 2015).</w:t>
      </w:r>
    </w:p>
    <w:p w14:paraId="5C5B4DDC"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The three conditions we set for early warning signal identification are not interchangeable during system analyses (Scheffer et al., 2009; Dakos et al., 2015). For example, a parameter may drive the dominant eigenvalue ρ* toward the stability boundary without greatly increasing regime-shift probability. Alternatively, a parameter may contribute to regime shifts but not be observable in practice. Among the identified candidates, season length is the most tractable: it can be measured with growing degree days, a validated tool for predicting insect phenology in integrated pest management (Young, 2012), or with satellite-derived season-length products now available operationally at 10 m resolution across Europe (Copernicus Land Monitoring Service, n.d.). By contrast, directly estimating the parasitoid attack rate or adult overwintering density requires intensive field sampling (van Driesche et al., 2022); this has not yet been demonstrated at management-relevant scales in many systems (Nimalrathna et al., 2022). These variables therefore provide a foundation for targeted monitoring designs and future studies on early warning signals in this system through phenologies. Collectively, these stability metrics capture distinct dimensions and should not be interpreted as interchangeable indicators of system robustness (Arnoldi et al., 2016; Donohue et al., 2016; De Keersmaecker et al., 2014).</w:t>
      </w:r>
    </w:p>
    <w:p w14:paraId="49FCD40B" w14:textId="05F9606A" w:rsidR="00502646" w:rsidRPr="00502646" w:rsidRDefault="00502646" w:rsidP="00502646">
      <w:pPr>
        <w:spacing w:line="240" w:lineRule="auto"/>
        <w:jc w:val="both"/>
        <w:rPr>
          <w:rFonts w:ascii="Times New Roman" w:hAnsi="Times New Roman" w:cs="Times New Roman"/>
          <w:sz w:val="20"/>
          <w:szCs w:val="20"/>
        </w:rPr>
      </w:pPr>
      <w:r w:rsidRPr="00502646">
        <w:rPr>
          <w:rFonts w:ascii="Times New Roman" w:hAnsi="Times New Roman" w:cs="Times New Roman"/>
          <w:sz w:val="20"/>
          <w:szCs w:val="20"/>
        </w:rPr>
        <w:t>The management implication of this study follows from the optimal-control result in Objective 3. The result indicates that it is not simply that one strategy reduced beetle damage faster than the others. Under the study's lexicographic decision rule, a strategy is compared on cost only after it first proves ecologically feasible (Lenhart &amp; Workman, 2007). In practical terms, the strategy must keep seasonal canopy loss below the critical damage level (Ferretti et al., 2021) and prevent the alder stand from slipping into a persistently degraded low-canopy condition (Scheffer et al., 2001; Valor et al., 2020). It must also maintain a long-term managed state in which parasitoids remain present and control continues after small disturbances (Rosenheim, 1998; Stireman et al., 2006). All three strategies reduced canopy damage below the critical level within the first year. However, only the fully integrated strategy</w:t>
      </w:r>
      <w:r w:rsidR="00C01831">
        <w:rPr>
          <w:rFonts w:ascii="Times New Roman" w:hAnsi="Times New Roman" w:cs="Times New Roman"/>
          <w:sz w:val="20"/>
          <w:szCs w:val="20"/>
        </w:rPr>
        <w:t xml:space="preserve"> (</w:t>
      </w:r>
      <w:r w:rsidRPr="00502646">
        <w:rPr>
          <w:rFonts w:ascii="Times New Roman" w:hAnsi="Times New Roman" w:cs="Times New Roman"/>
          <w:sz w:val="20"/>
          <w:szCs w:val="20"/>
        </w:rPr>
        <w:t>combining targeted larval removal, parasitoid release, and bird-habitat enhancement</w:t>
      </w:r>
      <w:r w:rsidR="00C01831">
        <w:rPr>
          <w:rFonts w:ascii="Times New Roman" w:hAnsi="Times New Roman" w:cs="Times New Roman"/>
          <w:sz w:val="20"/>
          <w:szCs w:val="20"/>
        </w:rPr>
        <w:t xml:space="preserve">) </w:t>
      </w:r>
      <w:r w:rsidRPr="00502646">
        <w:rPr>
          <w:rFonts w:ascii="Times New Roman" w:hAnsi="Times New Roman" w:cs="Times New Roman"/>
          <w:sz w:val="20"/>
          <w:szCs w:val="20"/>
        </w:rPr>
        <w:t xml:space="preserve">met these broader conditions, consistent with the principles of integrated pest management, which combine multiple complementary tactics rather than rely on a single agent (Barzman et al., 2015). The parasitoid-only </w:t>
      </w:r>
      <w:r w:rsidRPr="00502646">
        <w:rPr>
          <w:rFonts w:ascii="Times New Roman" w:hAnsi="Times New Roman" w:cs="Times New Roman"/>
          <w:sz w:val="20"/>
          <w:szCs w:val="20"/>
        </w:rPr>
        <w:lastRenderedPageBreak/>
        <w:t>strategy and the parasitoid-plus-bird strategy both improved short-term suppression but did not produce a self-maintaining low-damage state in the long run, a pattern matching meta-analytical evidence that single-agent biological control rarely achieves durable pest regulation (Stiling &amp; Cornelissen, 2005). This distinction separates temporary outbreak suppression from durable restoration. The key result is that, under the model assumptions and feasibility constraints, the integrated strategy achieves both ecological stability and the lowest cost, although real-world implementation may be constrained by logistical, economic, and ecological factors not explicitly represented in the model. The superior performance of the integrated strategy is partly a structural consequence of the optimisation framework, because systems with more control variables generally achieve lower cost than subsets of controls (Pontryagin et al., 1962; Lenhart &amp; Workman, 2007). Beyond this structural effect, the ecological interpretation is that combined interventions enable simultaneous regulation of host density, support of natural enemies, and stabilisation across temporal scales (Polis &amp; Holt, 1992; Letourneau et al., 2009). Cost ranking therefore becomes meaningful only after the feasibility filter is passed. The ecological meanings used here follow the annex definitions of cumulative canopy damage, canopy availability, targeted larval removal, parasitoid release, and bird-habitat enhancement.</w:t>
      </w:r>
    </w:p>
    <w:p w14:paraId="76D02339" w14:textId="23BA23DA" w:rsidR="00C95B5D" w:rsidRPr="009668D3" w:rsidRDefault="00502646" w:rsidP="002D21BC">
      <w:pPr>
        <w:spacing w:line="240" w:lineRule="auto"/>
        <w:jc w:val="both"/>
        <w:rPr>
          <w:rFonts w:ascii="Times New Roman" w:hAnsi="Times New Roman" w:cs="Times New Roman"/>
          <w:sz w:val="20"/>
          <w:szCs w:val="20"/>
        </w:rPr>
      </w:pPr>
      <w:r w:rsidRPr="00502646">
        <w:rPr>
          <w:rFonts w:ascii="Times New Roman" w:hAnsi="Times New Roman" w:cs="Times New Roman"/>
          <w:sz w:val="20"/>
          <w:szCs w:val="20"/>
        </w:rPr>
        <w:t>Our results from Objective 3 also suggest that intervention timing shapes the total effort required. Early action prevents current-season beetle damage from being carried over into the next year as a structural canopy penalty (Dolch &amp; Tscharntke, 2000; Ferretti et al., 2021). In this ecoepidemic system, reducing larval density early in the outbreak lowers the total defoliation accumulated over the season and thereby weakens the foliage-memory feedback (Tscharntke et al., 2001; Karban et al., 2018; Schott et al., 2023). Without such suppression, heavy canopy loss reduces the forest's effective canopy support in the following year (Ferretti et al., 2021; Valor et al., 2020), and the stand enters the next season in better condition when early control is applied. All three management strategies therefore concentrate most of their effort at the beginning of the intervention period and decline thereafter as the system approaches a lower-damage managed state—an allocation pattern consistent with general results from Pontryagin-type optimal control in biological systems, where the costate dynamics favour front-loaded effort when running state costs compound over time (Pontryagin et al., 1962; Lenhart &amp; Workman, 2007). Ecologically, this means the system responds best when control is applied before repeated feeding damage has accumulated enough to degrade future canopy recovery, consistent with broader evidence that early suppression minimises long-run cost and outbreak-management failure in forest insect systems (Liebhold &amp; Tobin, 2008). The exact schedule may differ under alternative recovery assumptions, climate forcing, or cost structures, but the general advantage of early, front-loaded action appears robust in this framework.</w:t>
      </w:r>
      <w:r w:rsidR="0039300E" w:rsidRPr="0039300E">
        <w:rPr>
          <w:rFonts w:ascii="Times New Roman" w:hAnsi="Times New Roman" w:cs="Times New Roman"/>
          <w:sz w:val="20"/>
          <w:szCs w:val="20"/>
        </w:rPr>
        <w:t xml:space="preserve">Our study integrates processes often studied separately, such as seasonal beetle feeding, delayed parasitoid development, bird predation on both healthy and parasitised larvae, interannual canopy damage, and diverse pest management. Structural robustness analyses confirm that the three qualitative conclusions of this study—the parasitoid-free equilibrium as the most probable regime, the regime-shift probability exceeding 80%, and the integrated strategy (Strategy C) as the only feasible option—are preserved when the Beverton–Holt recruitment function in Equation (5) is replaced by the Ricker form S(0) = A exp(r(1 − A/K)). Under Ricker recruitment, additional period-2 oscillations appear near bifurcation boundaries owing to overcompensatory decline in recruitment at high density (Kot, 2001; Elaydi, 2005), but these oscillations do not alter which equilibrium class dominates or the feasibility ranking of management strategies. The main contribution is a comprehensive systems-ecology framework that fills a literature gap on the structure-dependent multiple metrics defining adaptive stability properties in this system (Donohue et al., 2016; Van Meerbeek et al., 2021). From a modelling perspective, our study contributes by integrating an eco-epidemiological system that spans multiple trophic levels and exhibits intraguild predation (Polis &amp; Holt, 1992; Rosenheim, 1998), and by embedding optimal control theory through habitat-management strategies as intervention measures (Lenhart &amp; Workman, 2007). Most host–parasitoid models have focused on insect roles alone and have excluded plant feedback or higher-order predators since the past century (Nicholson &amp; Bailey, 1935; Hassell et al., 1976; Ji et al., 2025). Many plant-defence models examine how herbivory carries over across years (Hakes &amp; Cronin, 2012), but they rarely assess management strategies. In addition to bridging these modelling gaps, our study connects seasonal and annual phenology within a single hybrid framework (Kot, 2001; Elaydi, 2005). This unification enables analysis of immediate damage control, long-term recovery, regime shifts, and the most effective management options under optimal control theory. However, as described in our methods, annex, and early-warning-signal discussion, varied parameter sources limit our results to a general outline. This restricts direct implementation for a specific habitat without empirical data from that habitat (Nimalrathna et al., 2022; van Driesche et al., 2022). With long-term field data on beetle outbreaks, parasitoid abundance, bird predation, and other life-cycle stages from a single habitat, our model could pinpoint regime-shift probability, coexistence equilibrium, and disease-free equilibrium more precisely. Such data would also test the early-warning signals and associations we identified. As stated above, our analysis exploits systems structure using well-studied phenologies and their variability across space and time to map adaptive stability, and is supported by theories of adaptive stability and intraguild predation (Polis &amp; Holt, 1992; Van Meerbeek et al., 2021). Empirical, habitat-specific data can determine (1) how habitat-specific parameter values narrow stability </w:t>
      </w:r>
      <w:r w:rsidR="0039300E" w:rsidRPr="0039300E">
        <w:rPr>
          <w:rFonts w:ascii="Times New Roman" w:hAnsi="Times New Roman" w:cs="Times New Roman"/>
          <w:sz w:val="20"/>
          <w:szCs w:val="20"/>
        </w:rPr>
        <w:lastRenderedPageBreak/>
        <w:t>ranges for this system, and (2) how habitats distribute across the stability plane, informing the prioritisation of sites at risk of regime shift. This study</w:t>
      </w:r>
      <w:r w:rsidR="00BD76A4">
        <w:rPr>
          <w:rFonts w:ascii="Times New Roman" w:hAnsi="Times New Roman" w:cs="Times New Roman"/>
          <w:sz w:val="20"/>
          <w:szCs w:val="20"/>
        </w:rPr>
        <w:t>, therefore,</w:t>
      </w:r>
      <w:r w:rsidR="0039300E" w:rsidRPr="0039300E">
        <w:rPr>
          <w:rFonts w:ascii="Times New Roman" w:hAnsi="Times New Roman" w:cs="Times New Roman"/>
          <w:sz w:val="20"/>
          <w:szCs w:val="20"/>
        </w:rPr>
        <w:t xml:space="preserve"> connects existing knowledge of black-alder phenology differences across habitats with future research on spatial variability in adaptive stability across black-alder-rich forests. The results should be interpreted as structural insights derived from a simplified model, rather than as direct predictions for specific forest systems. Uncertainty in parameter values, variability across habitats, and unmodelled processes</w:t>
      </w:r>
      <w:r w:rsidR="00B70AB3">
        <w:rPr>
          <w:rFonts w:ascii="Times New Roman" w:hAnsi="Times New Roman" w:cs="Times New Roman"/>
          <w:sz w:val="20"/>
          <w:szCs w:val="20"/>
        </w:rPr>
        <w:t xml:space="preserve">, </w:t>
      </w:r>
      <w:r w:rsidR="0039300E" w:rsidRPr="0039300E">
        <w:rPr>
          <w:rFonts w:ascii="Times New Roman" w:hAnsi="Times New Roman" w:cs="Times New Roman"/>
          <w:sz w:val="20"/>
          <w:szCs w:val="20"/>
        </w:rPr>
        <w:t>such as explicit spatial structure (Hassell, 2000), hyper</w:t>
      </w:r>
      <w:r w:rsidR="004F245F">
        <w:rPr>
          <w:rFonts w:ascii="Times New Roman" w:hAnsi="Times New Roman" w:cs="Times New Roman"/>
          <w:sz w:val="20"/>
          <w:szCs w:val="20"/>
        </w:rPr>
        <w:t>parasitoidism</w:t>
      </w:r>
      <w:r w:rsidR="0039300E" w:rsidRPr="0039300E">
        <w:rPr>
          <w:rFonts w:ascii="Times New Roman" w:hAnsi="Times New Roman" w:cs="Times New Roman"/>
          <w:sz w:val="20"/>
          <w:szCs w:val="20"/>
        </w:rPr>
        <w:t xml:space="preserve"> (Sullivan &amp; Völkl, 1999), and species-specific trait-mediated behavioural responses (Schmitz, 2008)</w:t>
      </w:r>
      <w:r w:rsidR="00B70AB3">
        <w:rPr>
          <w:rFonts w:ascii="Times New Roman" w:hAnsi="Times New Roman" w:cs="Times New Roman"/>
          <w:sz w:val="20"/>
          <w:szCs w:val="20"/>
        </w:rPr>
        <w:t xml:space="preserve">, </w:t>
      </w:r>
      <w:r w:rsidR="0039300E" w:rsidRPr="0039300E">
        <w:rPr>
          <w:rFonts w:ascii="Times New Roman" w:hAnsi="Times New Roman" w:cs="Times New Roman"/>
          <w:sz w:val="20"/>
          <w:szCs w:val="20"/>
        </w:rPr>
        <w:t>may influence real-world dynamics.</w:t>
      </w:r>
      <w:r w:rsidR="00C95B5D" w:rsidRPr="009668D3">
        <w:rPr>
          <w:rFonts w:ascii="Times New Roman" w:hAnsi="Times New Roman" w:cs="Times New Roman"/>
          <w:b/>
          <w:sz w:val="20"/>
          <w:szCs w:val="20"/>
        </w:rPr>
        <w:t>Author Contributions</w:t>
      </w:r>
    </w:p>
    <w:p w14:paraId="54E76AD0" w14:textId="33B10BE4" w:rsidR="00C95B5D"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SG: Conceptualisation, Data curation, Formal analysis,  Investigation, Methodology, Resources, Software, Supervision, Validation, Visualisation, Writing – original draft, Writing – review &amp; editing. SS: Investigation, Validation, Writing – review &amp; editing. All authors contributed to manuscript revision, read and approved the submitted version.</w:t>
      </w:r>
    </w:p>
    <w:p w14:paraId="414BFC25"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Conflict of Interest</w:t>
      </w:r>
    </w:p>
    <w:p w14:paraId="1B14DE8D"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authors declare that the research was conducted in the absence of any commercial or financial relationships that could be construed as a potential conflict of interest.</w:t>
      </w:r>
    </w:p>
    <w:p w14:paraId="1E7518CD"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Funding</w:t>
      </w:r>
    </w:p>
    <w:p w14:paraId="0D452826" w14:textId="04CAACFC"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authors declare that no financial support was received for the research, authorship, and/or publication of this article.</w:t>
      </w:r>
    </w:p>
    <w:p w14:paraId="1D7B2D21" w14:textId="77777777" w:rsidR="001E6FAC" w:rsidRPr="009668D3" w:rsidRDefault="001E6FAC"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Acknowledgments</w:t>
      </w:r>
    </w:p>
    <w:p w14:paraId="58BBB6CA" w14:textId="119BD159" w:rsidR="0073020E" w:rsidRPr="009668D3" w:rsidRDefault="001E6FA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authors used </w:t>
      </w:r>
      <w:commentRangeStart w:id="0"/>
      <w:r w:rsidRPr="009668D3">
        <w:rPr>
          <w:rFonts w:ascii="Times New Roman" w:hAnsi="Times New Roman" w:cs="Times New Roman"/>
          <w:sz w:val="20"/>
          <w:szCs w:val="20"/>
        </w:rPr>
        <w:t xml:space="preserve">Opus 4.6 </w:t>
      </w:r>
      <w:commentRangeEnd w:id="0"/>
      <w:r w:rsidR="00DB5D0E" w:rsidRPr="009668D3">
        <w:rPr>
          <w:rStyle w:val="CommentReference"/>
          <w:rFonts w:ascii="Times New Roman" w:hAnsi="Times New Roman" w:cs="Times New Roman"/>
          <w:sz w:val="20"/>
          <w:szCs w:val="20"/>
        </w:rPr>
        <w:commentReference w:id="0"/>
      </w:r>
      <w:r w:rsidRPr="009668D3">
        <w:rPr>
          <w:rFonts w:ascii="Times New Roman" w:hAnsi="Times New Roman" w:cs="Times New Roman"/>
          <w:sz w:val="20"/>
          <w:szCs w:val="20"/>
        </w:rPr>
        <w:t xml:space="preserve">and Grammarly Pro as a language editing tool during manuscript preparation, including assistance with </w:t>
      </w:r>
      <w:r w:rsidR="00305FAE" w:rsidRPr="009668D3">
        <w:rPr>
          <w:rFonts w:ascii="Times New Roman" w:hAnsi="Times New Roman" w:cs="Times New Roman"/>
          <w:sz w:val="20"/>
          <w:szCs w:val="20"/>
        </w:rPr>
        <w:t>rephrasing and plagiarism checking</w:t>
      </w:r>
      <w:r w:rsidRPr="009668D3">
        <w:rPr>
          <w:rFonts w:ascii="Times New Roman" w:hAnsi="Times New Roman" w:cs="Times New Roman"/>
          <w:sz w:val="20"/>
          <w:szCs w:val="20"/>
        </w:rPr>
        <w:t>.</w:t>
      </w:r>
      <w:r w:rsidR="00305FAE" w:rsidRPr="009668D3">
        <w:rPr>
          <w:rFonts w:ascii="Times New Roman" w:hAnsi="Times New Roman" w:cs="Times New Roman"/>
          <w:sz w:val="20"/>
          <w:szCs w:val="20"/>
        </w:rPr>
        <w:t xml:space="preserve"> The analytical solutions and calculations were derived by MathLM Version: 11.3, IIASA (Mathematica B 0 2</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MathKernel</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B 0 2</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Sub Mathematica B 0 16</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Sub MathKernel B 0 16)</w:t>
      </w:r>
    </w:p>
    <w:p w14:paraId="3962CE9B" w14:textId="77777777" w:rsidR="00B94072" w:rsidRPr="009668D3" w:rsidRDefault="00B94072" w:rsidP="00B94072">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Data Availability Statement</w:t>
      </w:r>
    </w:p>
    <w:p w14:paraId="25B11C83" w14:textId="77777777" w:rsidR="00BD76A4" w:rsidRPr="00BD76A4" w:rsidRDefault="00B94072" w:rsidP="00BD76A4">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No experimental datasets were generated or analysed in this study. All model parameters are derived from published sources cited in the text and listed in the Supplementary Material (Table S1). The numerical results presented are fully reproducible from the model equations, parameter values, and analysis procedures described in the article and Supplementary Material. The simulation code is available from the corresponding author upon reasonable request.</w:t>
      </w:r>
      <w:r w:rsidR="00BD76A4">
        <w:rPr>
          <w:rFonts w:ascii="Times New Roman" w:hAnsi="Times New Roman" w:cs="Times New Roman"/>
          <w:sz w:val="20"/>
          <w:szCs w:val="20"/>
        </w:rPr>
        <w:t xml:space="preserve"> </w:t>
      </w:r>
      <w:r w:rsidR="00BD76A4" w:rsidRPr="001E6700">
        <w:rPr>
          <w:rFonts w:ascii="Times New Roman" w:hAnsi="Times New Roman" w:cs="Times New Roman"/>
          <w:sz w:val="20"/>
          <w:szCs w:val="20"/>
        </w:rPr>
        <w:t xml:space="preserve">To complement the analytical results and enhance transparency, reproducibility, and accessibility of the modelling framework, we developed an interactive web-based interface, </w:t>
      </w:r>
      <w:r w:rsidR="00BD76A4" w:rsidRPr="001E6700">
        <w:rPr>
          <w:rStyle w:val="Strong"/>
          <w:rFonts w:ascii="Times New Roman" w:hAnsi="Times New Roman" w:cs="Times New Roman"/>
          <w:sz w:val="20"/>
          <w:szCs w:val="20"/>
        </w:rPr>
        <w:t>AlderGuard (</w:t>
      </w:r>
      <w:hyperlink r:id="rId20" w:history="1">
        <w:r w:rsidR="00BD76A4" w:rsidRPr="001E6700">
          <w:rPr>
            <w:rStyle w:val="Hyperlink"/>
            <w:rFonts w:ascii="Times New Roman" w:hAnsi="Times New Roman" w:cs="Times New Roman"/>
            <w:sz w:val="20"/>
            <w:szCs w:val="20"/>
            <w:u w:val="none"/>
          </w:rPr>
          <w:t>https://gsinchanpostdoc.github.io/alderguard/</w:t>
        </w:r>
      </w:hyperlink>
      <w:r w:rsidR="00BD76A4" w:rsidRPr="001E6700">
        <w:rPr>
          <w:rStyle w:val="Strong"/>
          <w:rFonts w:ascii="Times New Roman" w:hAnsi="Times New Roman" w:cs="Times New Roman"/>
          <w:sz w:val="20"/>
          <w:szCs w:val="20"/>
        </w:rPr>
        <w:t>)</w:t>
      </w:r>
      <w:r w:rsidR="00BD76A4" w:rsidRPr="001E6700">
        <w:rPr>
          <w:rFonts w:ascii="Times New Roman" w:hAnsi="Times New Roman" w:cs="Times New Roman"/>
          <w:sz w:val="20"/>
          <w:szCs w:val="20"/>
        </w:rPr>
        <w:t xml:space="preserve"> which enables users to explore the ecoepidemic dynamics and control strategies presented in this study. The platform allows real-time manipulation of key phenological and management parameters, providing immediate visualisation of system trajectories, stability regimes, and control outcomes under different scenarios. By translating a structurally complex seasonal-annual model into an accessible decision-support environment, the interface serves as a bridge between theoretical analysis and applied exploration. While not intended as a predictive management tool, it offers a flexible framework for examining how resistance, resilience, and intervention strategies interact across parameter space.</w:t>
      </w:r>
    </w:p>
    <w:p w14:paraId="50BCC638" w14:textId="169F9AD8" w:rsidR="00B94072" w:rsidRPr="009668D3" w:rsidRDefault="00B94072" w:rsidP="002D21BC">
      <w:pPr>
        <w:spacing w:line="240" w:lineRule="auto"/>
        <w:jc w:val="both"/>
        <w:rPr>
          <w:rFonts w:ascii="Times New Roman" w:hAnsi="Times New Roman" w:cs="Times New Roman"/>
          <w:sz w:val="20"/>
          <w:szCs w:val="20"/>
        </w:rPr>
      </w:pPr>
    </w:p>
    <w:p w14:paraId="362A36C5" w14:textId="77777777" w:rsidR="00B26BAB" w:rsidRPr="009668D3" w:rsidRDefault="00B26BAB"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References</w:t>
      </w:r>
    </w:p>
    <w:p w14:paraId="0C83FB9C" w14:textId="77777777" w:rsidR="00B26BAB" w:rsidRPr="009668D3" w:rsidRDefault="00B26BAB" w:rsidP="002D21BC">
      <w:pPr>
        <w:spacing w:line="240" w:lineRule="auto"/>
        <w:jc w:val="both"/>
        <w:rPr>
          <w:rFonts w:ascii="Times New Roman" w:hAnsi="Times New Roman" w:cs="Times New Roman"/>
          <w:sz w:val="20"/>
          <w:szCs w:val="20"/>
          <w:lang w:val="de-DE"/>
        </w:rPr>
      </w:pPr>
      <w:r w:rsidRPr="009668D3">
        <w:rPr>
          <w:rFonts w:ascii="Times New Roman" w:hAnsi="Times New Roman" w:cs="Times New Roman"/>
          <w:sz w:val="20"/>
          <w:szCs w:val="20"/>
        </w:rPr>
        <w:t xml:space="preserve">Allgower, E. L., &amp; Georg, K. (2003). </w:t>
      </w:r>
      <w:r w:rsidRPr="009668D3">
        <w:rPr>
          <w:rFonts w:ascii="Times New Roman" w:hAnsi="Times New Roman" w:cs="Times New Roman"/>
          <w:i/>
          <w:sz w:val="20"/>
          <w:szCs w:val="20"/>
        </w:rPr>
        <w:t>Introduction to numerical continuation methods</w:t>
      </w:r>
      <w:r w:rsidRPr="009668D3">
        <w:rPr>
          <w:rFonts w:ascii="Times New Roman" w:hAnsi="Times New Roman" w:cs="Times New Roman"/>
          <w:sz w:val="20"/>
          <w:szCs w:val="20"/>
        </w:rPr>
        <w:t xml:space="preserve">. </w:t>
      </w:r>
      <w:r w:rsidRPr="009668D3">
        <w:rPr>
          <w:rFonts w:ascii="Times New Roman" w:hAnsi="Times New Roman" w:cs="Times New Roman"/>
          <w:sz w:val="20"/>
          <w:szCs w:val="20"/>
          <w:lang w:val="de-DE"/>
        </w:rPr>
        <w:t>SIAM. https://doi.org/10.1137/1.9780898719154</w:t>
      </w:r>
    </w:p>
    <w:p w14:paraId="3E58538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Arnoldi, J.-F., Loreau, M., &amp; Haegeman, B. (2016). </w:t>
      </w:r>
      <w:r w:rsidRPr="009668D3">
        <w:rPr>
          <w:rFonts w:ascii="Times New Roman" w:hAnsi="Times New Roman" w:cs="Times New Roman"/>
          <w:sz w:val="20"/>
          <w:szCs w:val="20"/>
        </w:rPr>
        <w:t xml:space="preserve">Resilience, reactivity and variability: A mathematical comparison of ecological stability measures. </w:t>
      </w:r>
      <w:r w:rsidRPr="009668D3">
        <w:rPr>
          <w:rFonts w:ascii="Times New Roman" w:hAnsi="Times New Roman" w:cs="Times New Roman"/>
          <w:i/>
          <w:sz w:val="20"/>
          <w:szCs w:val="20"/>
        </w:rPr>
        <w:t>Journal of Theoretical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389</w:t>
      </w:r>
      <w:r w:rsidRPr="009668D3">
        <w:rPr>
          <w:rFonts w:ascii="Times New Roman" w:hAnsi="Times New Roman" w:cs="Times New Roman"/>
          <w:sz w:val="20"/>
          <w:szCs w:val="20"/>
        </w:rPr>
        <w:t>, 101–112. https://doi.org/10.1016/j.jtbi.2016.02.017</w:t>
      </w:r>
    </w:p>
    <w:p w14:paraId="5D8A5E2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Belitz, M. W., Barve, V., Guralnick, R. P., Zipkin, E. F., &amp; Allen, J. M. (2025). Potential for bird–insect phenological mismatch in a tri-trophic system.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https://doi.org/10.1111/1365-2656.14250</w:t>
      </w:r>
    </w:p>
    <w:p w14:paraId="204AE9C4"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Beverton, R. J. H., &amp; Holt, S. J. (1957). </w:t>
      </w:r>
      <w:r w:rsidRPr="009668D3">
        <w:rPr>
          <w:rFonts w:ascii="Times New Roman" w:hAnsi="Times New Roman" w:cs="Times New Roman"/>
          <w:i/>
          <w:sz w:val="20"/>
          <w:szCs w:val="20"/>
        </w:rPr>
        <w:t>On the dynamics of exploited fish populations</w:t>
      </w:r>
      <w:r w:rsidRPr="009668D3">
        <w:rPr>
          <w:rFonts w:ascii="Times New Roman" w:hAnsi="Times New Roman" w:cs="Times New Roman"/>
          <w:sz w:val="20"/>
          <w:szCs w:val="20"/>
        </w:rPr>
        <w:t>. HMSO.</w:t>
      </w:r>
    </w:p>
    <w:p w14:paraId="74F6D7BF" w14:textId="15CBD253" w:rsidR="00B26BAB"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Blanchini, F. (1999). Set invariance in control. </w:t>
      </w:r>
      <w:r w:rsidRPr="009668D3">
        <w:rPr>
          <w:rFonts w:ascii="Times New Roman" w:hAnsi="Times New Roman" w:cs="Times New Roman"/>
          <w:i/>
          <w:sz w:val="20"/>
          <w:szCs w:val="20"/>
        </w:rPr>
        <w:t>Automatica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35</w:t>
      </w:r>
      <w:r w:rsidRPr="009668D3">
        <w:rPr>
          <w:rFonts w:ascii="Times New Roman" w:hAnsi="Times New Roman" w:cs="Times New Roman"/>
          <w:sz w:val="20"/>
          <w:szCs w:val="20"/>
        </w:rPr>
        <w:t xml:space="preserve">(11), 1747–1767. </w:t>
      </w:r>
      <w:hyperlink r:id="rId21" w:history="1">
        <w:r w:rsidR="006B3BD3" w:rsidRPr="00F0129E">
          <w:rPr>
            <w:rStyle w:val="Hyperlink"/>
            <w:rFonts w:ascii="Times New Roman" w:hAnsi="Times New Roman" w:cs="Times New Roman"/>
            <w:sz w:val="20"/>
            <w:szCs w:val="20"/>
          </w:rPr>
          <w:t>https://doi.org/10.1016/S0005-1098(99)00113-2</w:t>
        </w:r>
      </w:hyperlink>
    </w:p>
    <w:p w14:paraId="324B176D" w14:textId="39BA7A0C"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Both, C., Van Asch, M., Bijlsma, R. G., Van Den Burg, A. B., &amp; Visser, M. E. (2009). Climate change and unequal phenological changes across four trophic levels: constraints or adaptations? </w:t>
      </w:r>
      <w:r w:rsidRPr="006B3BD3">
        <w:rPr>
          <w:rFonts w:ascii="Times New Roman" w:hAnsi="Times New Roman" w:cs="Times New Roman"/>
          <w:i/>
          <w:iCs/>
          <w:sz w:val="20"/>
          <w:szCs w:val="20"/>
        </w:rPr>
        <w:t>Journal of Animal Ecology</w:t>
      </w:r>
      <w:r w:rsidRPr="006B3BD3">
        <w:rPr>
          <w:rFonts w:ascii="Times New Roman" w:hAnsi="Times New Roman" w:cs="Times New Roman"/>
          <w:sz w:val="20"/>
          <w:szCs w:val="20"/>
        </w:rPr>
        <w:t xml:space="preserve">, 78(1), 73–83. </w:t>
      </w:r>
      <w:hyperlink r:id="rId22" w:history="1">
        <w:r w:rsidRPr="006B3BD3">
          <w:rPr>
            <w:rStyle w:val="Hyperlink"/>
            <w:rFonts w:ascii="Times New Roman" w:hAnsi="Times New Roman" w:cs="Times New Roman"/>
            <w:sz w:val="20"/>
            <w:szCs w:val="20"/>
          </w:rPr>
          <w:t>https://doi.org/10.1111/j.1365-2656.2008.01458.x</w:t>
        </w:r>
      </w:hyperlink>
      <w:r w:rsidRPr="006B3BD3">
        <w:rPr>
          <w:rFonts w:ascii="Times New Roman" w:hAnsi="Times New Roman" w:cs="Times New Roman"/>
          <w:sz w:val="20"/>
          <w:szCs w:val="20"/>
        </w:rPr>
        <w:t xml:space="preserve"> </w:t>
      </w:r>
    </w:p>
    <w:p w14:paraId="05CE7529" w14:textId="68BAE3F1"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Thackeray, S. J., Henrys, P. A., Hemming, D., Bell, J. R., Botham, M. S., Burthe, S., … Wanless, S. (2016). Phenological sensitivity to climate across taxa and trophic levels. </w:t>
      </w:r>
      <w:r w:rsidRPr="006B3BD3">
        <w:rPr>
          <w:rFonts w:ascii="Times New Roman" w:hAnsi="Times New Roman" w:cs="Times New Roman"/>
          <w:i/>
          <w:iCs/>
          <w:sz w:val="20"/>
          <w:szCs w:val="20"/>
        </w:rPr>
        <w:t>Nature</w:t>
      </w:r>
      <w:r w:rsidRPr="006B3BD3">
        <w:rPr>
          <w:rFonts w:ascii="Times New Roman" w:hAnsi="Times New Roman" w:cs="Times New Roman"/>
          <w:sz w:val="20"/>
          <w:szCs w:val="20"/>
        </w:rPr>
        <w:t xml:space="preserve">, 535(7611), 241–245. </w:t>
      </w:r>
      <w:hyperlink r:id="rId23" w:history="1">
        <w:r w:rsidRPr="006B3BD3">
          <w:rPr>
            <w:rStyle w:val="Hyperlink"/>
            <w:rFonts w:ascii="Times New Roman" w:hAnsi="Times New Roman" w:cs="Times New Roman"/>
            <w:sz w:val="20"/>
            <w:szCs w:val="20"/>
          </w:rPr>
          <w:t>https://doi.org/10.1038/nature18608</w:t>
        </w:r>
      </w:hyperlink>
      <w:r w:rsidRPr="006B3BD3">
        <w:rPr>
          <w:rFonts w:ascii="Times New Roman" w:hAnsi="Times New Roman" w:cs="Times New Roman"/>
          <w:sz w:val="20"/>
          <w:szCs w:val="20"/>
        </w:rPr>
        <w:t xml:space="preserve"> </w:t>
      </w:r>
    </w:p>
    <w:p w14:paraId="5C716116" w14:textId="3471216E"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Tougeron, K., Brodeur, J., Le Lann, C., &amp; van Baaren, J. (2019). How climate change affects the seasonal ecology of insect parasitoids. </w:t>
      </w:r>
      <w:r w:rsidRPr="006B3BD3">
        <w:rPr>
          <w:rFonts w:ascii="Times New Roman" w:hAnsi="Times New Roman" w:cs="Times New Roman"/>
          <w:i/>
          <w:iCs/>
          <w:sz w:val="20"/>
          <w:szCs w:val="20"/>
        </w:rPr>
        <w:t>Ecological Entomology</w:t>
      </w:r>
      <w:r w:rsidRPr="006B3BD3">
        <w:rPr>
          <w:rFonts w:ascii="Times New Roman" w:hAnsi="Times New Roman" w:cs="Times New Roman"/>
          <w:sz w:val="20"/>
          <w:szCs w:val="20"/>
        </w:rPr>
        <w:t xml:space="preserve">, 45(2), 167–181. </w:t>
      </w:r>
      <w:hyperlink r:id="rId24" w:history="1">
        <w:r w:rsidRPr="006B3BD3">
          <w:rPr>
            <w:rStyle w:val="Hyperlink"/>
            <w:rFonts w:ascii="Times New Roman" w:hAnsi="Times New Roman" w:cs="Times New Roman"/>
            <w:sz w:val="20"/>
            <w:szCs w:val="20"/>
          </w:rPr>
          <w:t>https://doi.org/10.1111/een.12792</w:t>
        </w:r>
      </w:hyperlink>
      <w:r w:rsidRPr="006B3BD3">
        <w:rPr>
          <w:rFonts w:ascii="Times New Roman" w:hAnsi="Times New Roman" w:cs="Times New Roman"/>
          <w:sz w:val="20"/>
          <w:szCs w:val="20"/>
        </w:rPr>
        <w:t xml:space="preserve"> </w:t>
      </w:r>
    </w:p>
    <w:p w14:paraId="412EBCA9" w14:textId="373FBE64" w:rsidR="006B3BD3" w:rsidRPr="009668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Visser, M. E., &amp; Both, C. (2005). Shifts in phenology due to global climate change: the need for a yardstick. </w:t>
      </w:r>
      <w:r w:rsidRPr="006B3BD3">
        <w:rPr>
          <w:rFonts w:ascii="Times New Roman" w:hAnsi="Times New Roman" w:cs="Times New Roman"/>
          <w:i/>
          <w:iCs/>
          <w:sz w:val="20"/>
          <w:szCs w:val="20"/>
        </w:rPr>
        <w:t>Proceedings of the Royal Society B</w:t>
      </w:r>
      <w:r w:rsidRPr="006B3BD3">
        <w:rPr>
          <w:rFonts w:ascii="Times New Roman" w:hAnsi="Times New Roman" w:cs="Times New Roman"/>
          <w:sz w:val="20"/>
          <w:szCs w:val="20"/>
        </w:rPr>
        <w:t xml:space="preserve">, 272(1581), 2561–2569. </w:t>
      </w:r>
      <w:hyperlink r:id="rId25" w:history="1">
        <w:r w:rsidRPr="006B3BD3">
          <w:rPr>
            <w:rStyle w:val="Hyperlink"/>
            <w:rFonts w:ascii="Times New Roman" w:hAnsi="Times New Roman" w:cs="Times New Roman"/>
            <w:sz w:val="20"/>
            <w:szCs w:val="20"/>
          </w:rPr>
          <w:t>https://doi.org/10.1098/rspb.2005.3356</w:t>
        </w:r>
      </w:hyperlink>
    </w:p>
    <w:p w14:paraId="3CBFA88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Cameron, T. C., Wearing, H. J., Rohani, P., &amp; Sait, S. M. (2005). Two-species asymmetric competition: Effects of age structure on intra- and interspecific interactions.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74</w:t>
      </w:r>
      <w:r w:rsidRPr="009668D3">
        <w:rPr>
          <w:rFonts w:ascii="Times New Roman" w:hAnsi="Times New Roman" w:cs="Times New Roman"/>
          <w:sz w:val="20"/>
          <w:szCs w:val="20"/>
        </w:rPr>
        <w:t>(5), 901–909. https://doi.org/10.1111/j.1365-2656.2005.00985.x</w:t>
      </w:r>
    </w:p>
    <w:p w14:paraId="1FB143D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Chattopadhyay, J., &amp; Arino, O. (1999). A predator–prey model with disease in the prey. </w:t>
      </w:r>
      <w:r w:rsidRPr="009668D3">
        <w:rPr>
          <w:rFonts w:ascii="Times New Roman" w:hAnsi="Times New Roman" w:cs="Times New Roman"/>
          <w:i/>
          <w:sz w:val="20"/>
          <w:szCs w:val="20"/>
        </w:rPr>
        <w:t>Nonlinear Analysis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36</w:t>
      </w:r>
      <w:r w:rsidRPr="009668D3">
        <w:rPr>
          <w:rFonts w:ascii="Times New Roman" w:hAnsi="Times New Roman" w:cs="Times New Roman"/>
          <w:sz w:val="20"/>
          <w:szCs w:val="20"/>
        </w:rPr>
        <w:t>(6), 747–766. https://doi.org/10.1016/S0362-546X(98)00126-6</w:t>
      </w:r>
    </w:p>
    <w:p w14:paraId="6E849885"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Cornell, H. V., &amp; Hawkins, B. A. (1995). Survival patterns and mortality sources of herbivorous insects: Some demographic trends. </w:t>
      </w:r>
      <w:r w:rsidRPr="009668D3">
        <w:rPr>
          <w:rFonts w:ascii="Times New Roman" w:hAnsi="Times New Roman" w:cs="Times New Roman"/>
          <w:i/>
          <w:sz w:val="20"/>
          <w:szCs w:val="20"/>
        </w:rPr>
        <w:t>The American Naturalist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145</w:t>
      </w:r>
      <w:r w:rsidRPr="009668D3">
        <w:rPr>
          <w:rFonts w:ascii="Times New Roman" w:hAnsi="Times New Roman" w:cs="Times New Roman"/>
          <w:sz w:val="20"/>
          <w:szCs w:val="20"/>
        </w:rPr>
        <w:t>(4), 563–593. https://doi.org/10.1086/285756</w:t>
      </w:r>
    </w:p>
    <w:p w14:paraId="6FDC2B7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Dolch, R., &amp; Tscharntke, T. (2000). Defoliation of alders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affects herbivory by leaf beetles on undamaged neighbours. </w:t>
      </w:r>
      <w:r w:rsidRPr="009668D3">
        <w:rPr>
          <w:rFonts w:ascii="Times New Roman" w:hAnsi="Times New Roman" w:cs="Times New Roman"/>
          <w:i/>
          <w:sz w:val="20"/>
          <w:szCs w:val="20"/>
        </w:rPr>
        <w:t>Oecologia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125</w:t>
      </w:r>
      <w:r w:rsidRPr="009668D3">
        <w:rPr>
          <w:rFonts w:ascii="Times New Roman" w:hAnsi="Times New Roman" w:cs="Times New Roman"/>
          <w:sz w:val="20"/>
          <w:szCs w:val="20"/>
        </w:rPr>
        <w:t>(4), 504–511. https://doi.org/10.1007/s004420000482</w:t>
      </w:r>
    </w:p>
    <w:p w14:paraId="6C7C458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Donohue, I., Hillebrand, H., Montoya, J. M., Petchey, O. L., Pimm, S. L., Fowler, M. S., Healy, K., Jackson, A. L., Lurgi, M., McClean, D., O'Connor, N. E., O'Gorman, E. J., &amp; Yang, Q. (2016). Navigating the complexity of ecological stability. </w:t>
      </w:r>
      <w:r w:rsidRPr="009668D3">
        <w:rPr>
          <w:rFonts w:ascii="Times New Roman" w:hAnsi="Times New Roman" w:cs="Times New Roman"/>
          <w:i/>
          <w:sz w:val="20"/>
          <w:szCs w:val="20"/>
        </w:rPr>
        <w:t>Ecology Letters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19</w:t>
      </w:r>
      <w:r w:rsidRPr="009668D3">
        <w:rPr>
          <w:rFonts w:ascii="Times New Roman" w:hAnsi="Times New Roman" w:cs="Times New Roman"/>
          <w:sz w:val="20"/>
          <w:szCs w:val="20"/>
        </w:rPr>
        <w:t>(9), 1172–1185. https://doi.org/10.1111/ele.12648</w:t>
      </w:r>
    </w:p>
    <w:p w14:paraId="7684290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Elaydi, S. N. (2005). </w:t>
      </w:r>
      <w:r w:rsidRPr="009668D3">
        <w:rPr>
          <w:rFonts w:ascii="Times New Roman" w:hAnsi="Times New Roman" w:cs="Times New Roman"/>
          <w:i/>
          <w:sz w:val="20"/>
          <w:szCs w:val="20"/>
        </w:rPr>
        <w:t>An introduction to difference equations</w:t>
      </w:r>
      <w:r w:rsidRPr="009668D3">
        <w:rPr>
          <w:rFonts w:ascii="Times New Roman" w:hAnsi="Times New Roman" w:cs="Times New Roman"/>
          <w:sz w:val="20"/>
          <w:szCs w:val="20"/>
        </w:rPr>
        <w:t xml:space="preserve"> (3rd ed.). Springer. https://doi.org/10.1007/0-387-27602-5</w:t>
      </w:r>
    </w:p>
    <w:p w14:paraId="4726DB6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European Commission. (1992). Council Directive 92/43/EEC of 21 May 1992 on the conservation of natural habitats and of wild fauna and flora. </w:t>
      </w:r>
      <w:r w:rsidRPr="009668D3">
        <w:rPr>
          <w:rFonts w:ascii="Times New Roman" w:hAnsi="Times New Roman" w:cs="Times New Roman"/>
          <w:i/>
          <w:sz w:val="20"/>
          <w:szCs w:val="20"/>
        </w:rPr>
        <w:t>Official Journal of the European Communities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L 206</w:t>
      </w:r>
      <w:r w:rsidRPr="009668D3">
        <w:rPr>
          <w:rFonts w:ascii="Times New Roman" w:hAnsi="Times New Roman" w:cs="Times New Roman"/>
          <w:sz w:val="20"/>
          <w:szCs w:val="20"/>
        </w:rPr>
        <w:t>, 7–50.</w:t>
      </w:r>
    </w:p>
    <w:p w14:paraId="2358A6EA" w14:textId="5CF7DB1B" w:rsidR="000221B3" w:rsidRPr="009668D3" w:rsidRDefault="000221B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Fakhry, N. H., Naji, R. K., R., S., &amp; Haque, M. (2022). Prey fear of a specialist predator in a tri-trophic food web can eliminate the superpredator. </w:t>
      </w:r>
      <w:r w:rsidRPr="009668D3">
        <w:rPr>
          <w:rFonts w:ascii="Times New Roman" w:hAnsi="Times New Roman" w:cs="Times New Roman"/>
          <w:i/>
          <w:sz w:val="20"/>
          <w:szCs w:val="20"/>
        </w:rPr>
        <w:t>Frontiers in Applied Mathematics and Statistics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8</w:t>
      </w:r>
      <w:r w:rsidRPr="009668D3">
        <w:rPr>
          <w:rFonts w:ascii="Times New Roman" w:hAnsi="Times New Roman" w:cs="Times New Roman"/>
          <w:sz w:val="20"/>
          <w:szCs w:val="20"/>
        </w:rPr>
        <w:t>, 963991. https://doi.org/10.3389/fams.2022.963991</w:t>
      </w:r>
    </w:p>
    <w:p w14:paraId="38BC64AC"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Ferretti, M., Fischer, R., Mues, V., Granke, O., &amp; Lorenz, M. (2021). </w:t>
      </w:r>
      <w:r w:rsidRPr="009668D3">
        <w:rPr>
          <w:rFonts w:ascii="Times New Roman" w:hAnsi="Times New Roman" w:cs="Times New Roman"/>
          <w:sz w:val="20"/>
          <w:szCs w:val="20"/>
        </w:rPr>
        <w:t xml:space="preserve">Tree canopy defoliation can reveal growth decline in European forests. </w:t>
      </w:r>
      <w:r w:rsidRPr="009668D3">
        <w:rPr>
          <w:rFonts w:ascii="Times New Roman" w:hAnsi="Times New Roman" w:cs="Times New Roman"/>
          <w:i/>
          <w:sz w:val="20"/>
          <w:szCs w:val="20"/>
        </w:rPr>
        <w:t>Science of the Total Environment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770</w:t>
      </w:r>
      <w:r w:rsidRPr="009668D3">
        <w:rPr>
          <w:rFonts w:ascii="Times New Roman" w:hAnsi="Times New Roman" w:cs="Times New Roman"/>
          <w:sz w:val="20"/>
          <w:szCs w:val="20"/>
        </w:rPr>
        <w:t>, 145370. https://doi.org/10.1016/j.scitotenv.2021.145370</w:t>
      </w:r>
    </w:p>
    <w:p w14:paraId="2E6EFB4B" w14:textId="77777777" w:rsidR="00B26BAB" w:rsidRPr="009668D3" w:rsidRDefault="00B26BAB" w:rsidP="002D21BC">
      <w:pPr>
        <w:spacing w:line="240" w:lineRule="auto"/>
        <w:jc w:val="both"/>
        <w:rPr>
          <w:rFonts w:ascii="Times New Roman" w:hAnsi="Times New Roman" w:cs="Times New Roman"/>
          <w:sz w:val="20"/>
          <w:szCs w:val="20"/>
          <w:lang w:val="de-DE"/>
        </w:rPr>
      </w:pPr>
      <w:r w:rsidRPr="009668D3">
        <w:rPr>
          <w:rFonts w:ascii="Times New Roman" w:hAnsi="Times New Roman" w:cs="Times New Roman"/>
          <w:sz w:val="20"/>
          <w:szCs w:val="20"/>
        </w:rPr>
        <w:t xml:space="preserve">Fleming, W. H., &amp; Rishel, R. W. (1975). </w:t>
      </w:r>
      <w:r w:rsidRPr="009668D3">
        <w:rPr>
          <w:rFonts w:ascii="Times New Roman" w:hAnsi="Times New Roman" w:cs="Times New Roman"/>
          <w:i/>
          <w:sz w:val="20"/>
          <w:szCs w:val="20"/>
        </w:rPr>
        <w:t>Deterministic and stochastic optimal control</w:t>
      </w:r>
      <w:r w:rsidRPr="009668D3">
        <w:rPr>
          <w:rFonts w:ascii="Times New Roman" w:hAnsi="Times New Roman" w:cs="Times New Roman"/>
          <w:sz w:val="20"/>
          <w:szCs w:val="20"/>
        </w:rPr>
        <w:t xml:space="preserve">. </w:t>
      </w:r>
      <w:r w:rsidRPr="009668D3">
        <w:rPr>
          <w:rFonts w:ascii="Times New Roman" w:hAnsi="Times New Roman" w:cs="Times New Roman"/>
          <w:sz w:val="20"/>
          <w:szCs w:val="20"/>
          <w:lang w:val="de-DE"/>
        </w:rPr>
        <w:t>Springer. https://doi.org/10.1007/978-1-4612-6380-7</w:t>
      </w:r>
    </w:p>
    <w:p w14:paraId="72AB39C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Folke, C., Hahn, T., Olsson, P., &amp; Norberg, J. (2005). </w:t>
      </w:r>
      <w:r w:rsidRPr="009668D3">
        <w:rPr>
          <w:rFonts w:ascii="Times New Roman" w:hAnsi="Times New Roman" w:cs="Times New Roman"/>
          <w:sz w:val="20"/>
          <w:szCs w:val="20"/>
        </w:rPr>
        <w:t xml:space="preserve">Adaptive governance of social-ecological systems. </w:t>
      </w:r>
      <w:r w:rsidRPr="009668D3">
        <w:rPr>
          <w:rFonts w:ascii="Times New Roman" w:hAnsi="Times New Roman" w:cs="Times New Roman"/>
          <w:i/>
          <w:sz w:val="20"/>
          <w:szCs w:val="20"/>
        </w:rPr>
        <w:t>Annual Review of Environment and Resources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30</w:t>
      </w:r>
      <w:r w:rsidRPr="009668D3">
        <w:rPr>
          <w:rFonts w:ascii="Times New Roman" w:hAnsi="Times New Roman" w:cs="Times New Roman"/>
          <w:sz w:val="20"/>
          <w:szCs w:val="20"/>
        </w:rPr>
        <w:t>, 441–473. https://doi.org/10.1146/annurev.energy.30.050504.144511</w:t>
      </w:r>
    </w:p>
    <w:p w14:paraId="2DD520E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Gregory, R. D., Voříšek, P., Noble, D. G., Van Strien, A., Klvaňová, A., Eaton, M., Gmelig Meyling, A. W., Joys, A., Foppen, R. P. B., &amp; Burfield, I. J. (2007). The generation and use of bird population indicators in Europe. </w:t>
      </w:r>
      <w:r w:rsidRPr="009668D3">
        <w:rPr>
          <w:rFonts w:ascii="Times New Roman" w:hAnsi="Times New Roman" w:cs="Times New Roman"/>
          <w:i/>
          <w:sz w:val="20"/>
          <w:szCs w:val="20"/>
        </w:rPr>
        <w:t>Bird Conservation International</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17</w:t>
      </w:r>
      <w:r w:rsidRPr="009668D3">
        <w:rPr>
          <w:rFonts w:ascii="Times New Roman" w:hAnsi="Times New Roman" w:cs="Times New Roman"/>
          <w:sz w:val="20"/>
          <w:szCs w:val="20"/>
        </w:rPr>
        <w:t>(4), 305–321. https://doi.org/10.1017/S0959270907000915</w:t>
      </w:r>
    </w:p>
    <w:p w14:paraId="645AFC3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Hartman, P. (1964). </w:t>
      </w:r>
      <w:r w:rsidRPr="009668D3">
        <w:rPr>
          <w:rFonts w:ascii="Times New Roman" w:hAnsi="Times New Roman" w:cs="Times New Roman"/>
          <w:i/>
          <w:sz w:val="20"/>
          <w:szCs w:val="20"/>
        </w:rPr>
        <w:t>Ordinary differential equations</w:t>
      </w:r>
      <w:r w:rsidRPr="009668D3">
        <w:rPr>
          <w:rFonts w:ascii="Times New Roman" w:hAnsi="Times New Roman" w:cs="Times New Roman"/>
          <w:sz w:val="20"/>
          <w:szCs w:val="20"/>
        </w:rPr>
        <w:t>. Wiley.</w:t>
      </w:r>
    </w:p>
    <w:p w14:paraId="118B2885"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Hassell, M. P., Lawton, J. H., &amp; May, R. M. (1976). Patterns of dynamical behaviour in single-species populations.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45</w:t>
      </w:r>
      <w:r w:rsidRPr="009668D3">
        <w:rPr>
          <w:rFonts w:ascii="Times New Roman" w:hAnsi="Times New Roman" w:cs="Times New Roman"/>
          <w:sz w:val="20"/>
          <w:szCs w:val="20"/>
        </w:rPr>
        <w:t>(2), 471–486. https://doi.org/10.2307/3886</w:t>
      </w:r>
    </w:p>
    <w:p w14:paraId="229E3BE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Hawkins, B. A. (1994). Pattern and process in host–parasitoid interactions. </w:t>
      </w:r>
      <w:r w:rsidRPr="009668D3">
        <w:rPr>
          <w:rFonts w:ascii="Times New Roman" w:hAnsi="Times New Roman" w:cs="Times New Roman"/>
          <w:i/>
          <w:sz w:val="20"/>
          <w:szCs w:val="20"/>
        </w:rPr>
        <w:t>Ecological Monographs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64</w:t>
      </w:r>
      <w:r w:rsidRPr="009668D3">
        <w:rPr>
          <w:rFonts w:ascii="Times New Roman" w:hAnsi="Times New Roman" w:cs="Times New Roman"/>
          <w:sz w:val="20"/>
          <w:szCs w:val="20"/>
        </w:rPr>
        <w:t>(3), 297–323. https://doi.org/10.2307/2937109</w:t>
      </w:r>
    </w:p>
    <w:p w14:paraId="2B6DC31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Hethcote, H. W., Wang, W., Han, L., &amp; Ma, Z. (2004). A predator–prey model with infected prey. </w:t>
      </w:r>
      <w:r w:rsidRPr="009668D3">
        <w:rPr>
          <w:rFonts w:ascii="Times New Roman" w:hAnsi="Times New Roman" w:cs="Times New Roman"/>
          <w:i/>
          <w:sz w:val="20"/>
          <w:szCs w:val="20"/>
        </w:rPr>
        <w:t>Theoretical Population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66</w:t>
      </w:r>
      <w:r w:rsidRPr="009668D3">
        <w:rPr>
          <w:rFonts w:ascii="Times New Roman" w:hAnsi="Times New Roman" w:cs="Times New Roman"/>
          <w:sz w:val="20"/>
          <w:szCs w:val="20"/>
        </w:rPr>
        <w:t>(3), 259–268. https://doi.org/10.1016/j.tpb.2004.06.010</w:t>
      </w:r>
    </w:p>
    <w:p w14:paraId="2CE355C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Hillebrand, H., Blasius, B., Borer, E. T., Chase, J. M., Downing, J. A., Eriksson, B. K., Filstrup, C. T., Harpole, W. S., Hodapp, D., Larsen, S., Lewandowska, A. M., Seabloom, E. W., Van de Waal, D. B., &amp; Ryabov, A. B. (2018). Biodiversity change is uncoupled from species richness trends: Consequences for conservation and monitoring. </w:t>
      </w:r>
      <w:r w:rsidRPr="009668D3">
        <w:rPr>
          <w:rFonts w:ascii="Times New Roman" w:hAnsi="Times New Roman" w:cs="Times New Roman"/>
          <w:i/>
          <w:sz w:val="20"/>
          <w:szCs w:val="20"/>
        </w:rPr>
        <w:t>Journal of Applied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55</w:t>
      </w:r>
      <w:r w:rsidRPr="009668D3">
        <w:rPr>
          <w:rFonts w:ascii="Times New Roman" w:hAnsi="Times New Roman" w:cs="Times New Roman"/>
          <w:sz w:val="20"/>
          <w:szCs w:val="20"/>
        </w:rPr>
        <w:t>(1), 169–184. https://doi.org/10.1111/1365-2664.12959</w:t>
      </w:r>
    </w:p>
    <w:p w14:paraId="285F75A3" w14:textId="2A21ED0A"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Holling, C. S. (1973). Resilience and stability of ecological systems. </w:t>
      </w:r>
      <w:r w:rsidRPr="009668D3">
        <w:rPr>
          <w:rFonts w:ascii="Times New Roman" w:hAnsi="Times New Roman" w:cs="Times New Roman"/>
          <w:i/>
          <w:sz w:val="20"/>
          <w:szCs w:val="20"/>
        </w:rPr>
        <w:t>Annual Review of Ecology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w:t>
      </w:r>
      <w:r w:rsidRPr="009668D3">
        <w:rPr>
          <w:rFonts w:ascii="Times New Roman" w:hAnsi="Times New Roman" w:cs="Times New Roman"/>
          <w:sz w:val="20"/>
          <w:szCs w:val="20"/>
        </w:rPr>
        <w:t xml:space="preserve">, 1–23. </w:t>
      </w:r>
      <w:hyperlink r:id="rId26" w:history="1">
        <w:r w:rsidR="00070AFD" w:rsidRPr="001E6700">
          <w:rPr>
            <w:rStyle w:val="Hyperlink"/>
            <w:rFonts w:ascii="Times New Roman" w:hAnsi="Times New Roman" w:cs="Times New Roman"/>
            <w:sz w:val="20"/>
            <w:szCs w:val="20"/>
          </w:rPr>
          <w:t>https://doi.org/10.1146/annurev.es.04.110173.000245</w:t>
        </w:r>
      </w:hyperlink>
    </w:p>
    <w:p w14:paraId="3FB26A3D" w14:textId="728F6FD9" w:rsidR="00070AFD" w:rsidRPr="009668D3" w:rsidRDefault="00070AF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pt-PT"/>
        </w:rPr>
        <w:t xml:space="preserve">Ji, H., Vasilyeva, M., Mbroh, N. A., &amp; Sadovski, A. (2025). </w:t>
      </w:r>
      <w:r w:rsidRPr="009668D3">
        <w:rPr>
          <w:rFonts w:ascii="Times New Roman" w:hAnsi="Times New Roman" w:cs="Times New Roman"/>
          <w:sz w:val="20"/>
          <w:szCs w:val="20"/>
        </w:rPr>
        <w:t>Epidemic dynamics in the spatio</w:t>
      </w:r>
      <w:r w:rsidRPr="009668D3">
        <w:rPr>
          <w:rFonts w:ascii="Times New Roman" w:hAnsi="Times New Roman" w:cs="Times New Roman"/>
          <w:sz w:val="20"/>
          <w:szCs w:val="20"/>
        </w:rPr>
        <w:noBreakHyphen/>
        <w:t>temporal predator</w:t>
      </w:r>
      <w:r w:rsidRPr="009668D3">
        <w:rPr>
          <w:rFonts w:ascii="Times New Roman" w:hAnsi="Times New Roman" w:cs="Times New Roman"/>
          <w:sz w:val="20"/>
          <w:szCs w:val="20"/>
        </w:rPr>
        <w:noBreakHyphen/>
        <w:t>prey model. </w:t>
      </w:r>
      <w:r w:rsidRPr="009668D3">
        <w:rPr>
          <w:rFonts w:ascii="Times New Roman" w:hAnsi="Times New Roman" w:cs="Times New Roman"/>
          <w:i/>
          <w:sz w:val="20"/>
          <w:szCs w:val="20"/>
        </w:rPr>
        <w:t>Frontiers in Applied Mathematics and Statistics, 11</w:t>
      </w:r>
      <w:r w:rsidRPr="009668D3">
        <w:rPr>
          <w:rFonts w:ascii="Times New Roman" w:hAnsi="Times New Roman" w:cs="Times New Roman"/>
          <w:sz w:val="20"/>
          <w:szCs w:val="20"/>
        </w:rPr>
        <w:t>, 1642676. </w:t>
      </w:r>
      <w:hyperlink r:id="rId27" w:tgtFrame="_blank" w:history="1">
        <w:r w:rsidRPr="001E6700">
          <w:rPr>
            <w:rStyle w:val="Hyperlink"/>
            <w:rFonts w:ascii="Times New Roman" w:hAnsi="Times New Roman" w:cs="Times New Roman"/>
            <w:sz w:val="20"/>
            <w:szCs w:val="20"/>
          </w:rPr>
          <w:t>https://doi.org/10.3389/fams.2025.1642676</w:t>
        </w:r>
      </w:hyperlink>
    </w:p>
    <w:p w14:paraId="7130B1B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Khalil, H. K. (2002). </w:t>
      </w:r>
      <w:r w:rsidRPr="009668D3">
        <w:rPr>
          <w:rFonts w:ascii="Times New Roman" w:hAnsi="Times New Roman" w:cs="Times New Roman"/>
          <w:i/>
          <w:sz w:val="20"/>
          <w:szCs w:val="20"/>
        </w:rPr>
        <w:t>Nonlinear systems</w:t>
      </w:r>
      <w:r w:rsidRPr="009668D3">
        <w:rPr>
          <w:rFonts w:ascii="Times New Roman" w:hAnsi="Times New Roman" w:cs="Times New Roman"/>
          <w:sz w:val="20"/>
          <w:szCs w:val="20"/>
        </w:rPr>
        <w:t xml:space="preserve"> (3rd ed.). Prentice Hall.</w:t>
      </w:r>
    </w:p>
    <w:p w14:paraId="741EF94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Kot, M. (2001). </w:t>
      </w:r>
      <w:r w:rsidRPr="009668D3">
        <w:rPr>
          <w:rFonts w:ascii="Times New Roman" w:hAnsi="Times New Roman" w:cs="Times New Roman"/>
          <w:i/>
          <w:sz w:val="20"/>
          <w:szCs w:val="20"/>
        </w:rPr>
        <w:t>Elements of mathematical ecology</w:t>
      </w:r>
      <w:r w:rsidRPr="009668D3">
        <w:rPr>
          <w:rFonts w:ascii="Times New Roman" w:hAnsi="Times New Roman" w:cs="Times New Roman"/>
          <w:sz w:val="20"/>
          <w:szCs w:val="20"/>
        </w:rPr>
        <w:t>. Cambridge University Press. https://doi.org/10.1017/CBO9780511608520</w:t>
      </w:r>
    </w:p>
    <w:p w14:paraId="634EB272"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Kuznetsov, Y. A. (2004). </w:t>
      </w:r>
      <w:r w:rsidRPr="009668D3">
        <w:rPr>
          <w:rFonts w:ascii="Times New Roman" w:hAnsi="Times New Roman" w:cs="Times New Roman"/>
          <w:i/>
          <w:sz w:val="20"/>
          <w:szCs w:val="20"/>
        </w:rPr>
        <w:t>Elements of applied bifurcation theory</w:t>
      </w:r>
      <w:r w:rsidRPr="009668D3">
        <w:rPr>
          <w:rFonts w:ascii="Times New Roman" w:hAnsi="Times New Roman" w:cs="Times New Roman"/>
          <w:sz w:val="20"/>
          <w:szCs w:val="20"/>
        </w:rPr>
        <w:t xml:space="preserve"> (3rd ed.). Springer. https://doi.org/10.1007/978-1-4757-3978-7</w:t>
      </w:r>
    </w:p>
    <w:p w14:paraId="5D20B78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Lenhart, S., &amp; Workman, J. T. (2007). </w:t>
      </w:r>
      <w:r w:rsidRPr="009668D3">
        <w:rPr>
          <w:rFonts w:ascii="Times New Roman" w:hAnsi="Times New Roman" w:cs="Times New Roman"/>
          <w:i/>
          <w:sz w:val="20"/>
          <w:szCs w:val="20"/>
        </w:rPr>
        <w:t>Optimal control applied to biological models</w:t>
      </w:r>
      <w:r w:rsidRPr="009668D3">
        <w:rPr>
          <w:rFonts w:ascii="Times New Roman" w:hAnsi="Times New Roman" w:cs="Times New Roman"/>
          <w:sz w:val="20"/>
          <w:szCs w:val="20"/>
        </w:rPr>
        <w:t>. Chapman &amp; Hall/CRC. https://doi.org/10.1201/9781420011418</w:t>
      </w:r>
    </w:p>
    <w:p w14:paraId="4B2D700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Marino, S., Hogue, I. B., Ray, C. J., &amp; Kirschner, D. E. (2008). A methodology for performing global uncertainty and sensitivity analysis in systems biology. </w:t>
      </w:r>
      <w:r w:rsidRPr="009668D3">
        <w:rPr>
          <w:rFonts w:ascii="Times New Roman" w:hAnsi="Times New Roman" w:cs="Times New Roman"/>
          <w:i/>
          <w:sz w:val="20"/>
          <w:szCs w:val="20"/>
        </w:rPr>
        <w:t>Journal of Theoretical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254</w:t>
      </w:r>
      <w:r w:rsidRPr="009668D3">
        <w:rPr>
          <w:rFonts w:ascii="Times New Roman" w:hAnsi="Times New Roman" w:cs="Times New Roman"/>
          <w:sz w:val="20"/>
          <w:szCs w:val="20"/>
        </w:rPr>
        <w:t>(1), 178–196. https://doi.org/10.1016/j.jtbi.2008.04.011</w:t>
      </w:r>
    </w:p>
    <w:p w14:paraId="292FF9B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Medeiros, L. P., Song, C., &amp; Saavedra, S. (2021). Merging dynamical and structural indicators to measure resilience in multispecies systems.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90</w:t>
      </w:r>
      <w:r w:rsidRPr="009668D3">
        <w:rPr>
          <w:rFonts w:ascii="Times New Roman" w:hAnsi="Times New Roman" w:cs="Times New Roman"/>
          <w:sz w:val="20"/>
          <w:szCs w:val="20"/>
        </w:rPr>
        <w:t>(10), 2384–2397. https://doi.org/10.1111/1365-2656.13561</w:t>
      </w:r>
    </w:p>
    <w:p w14:paraId="308C93C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Menck, P. J., Heitzig, J., Marwan, N., &amp; Kurths, J. (2013). How basin stability complements the linear-stability paradigm. </w:t>
      </w:r>
      <w:r w:rsidRPr="009668D3">
        <w:rPr>
          <w:rFonts w:ascii="Times New Roman" w:hAnsi="Times New Roman" w:cs="Times New Roman"/>
          <w:i/>
          <w:sz w:val="20"/>
          <w:szCs w:val="20"/>
        </w:rPr>
        <w:t>Nature Physics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w:t>
      </w:r>
      <w:r w:rsidRPr="009668D3">
        <w:rPr>
          <w:rFonts w:ascii="Times New Roman" w:hAnsi="Times New Roman" w:cs="Times New Roman"/>
          <w:sz w:val="20"/>
          <w:szCs w:val="20"/>
        </w:rPr>
        <w:t>(2), 89–92. https://doi.org/10.1038/nphys2516</w:t>
      </w:r>
    </w:p>
    <w:p w14:paraId="1C0E74D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Monteagudo, N., Benayas, J. M. R., Andivia, E., &amp; Rebollo, S. (2023). Avian regulation of crop and forest pests: A meta-analysis. </w:t>
      </w:r>
      <w:r w:rsidRPr="009668D3">
        <w:rPr>
          <w:rFonts w:ascii="Times New Roman" w:hAnsi="Times New Roman" w:cs="Times New Roman"/>
          <w:i/>
          <w:sz w:val="20"/>
          <w:szCs w:val="20"/>
        </w:rPr>
        <w:t>Pest Management Science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79</w:t>
      </w:r>
      <w:r w:rsidRPr="009668D3">
        <w:rPr>
          <w:rFonts w:ascii="Times New Roman" w:hAnsi="Times New Roman" w:cs="Times New Roman"/>
          <w:sz w:val="20"/>
          <w:szCs w:val="20"/>
        </w:rPr>
        <w:t>(11), 4690–4699. https://doi.org/10.1002/ps.7421</w:t>
      </w:r>
    </w:p>
    <w:p w14:paraId="71A5286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Nicholson, A. J., &amp; Bailey, V. A. (1935). The balance of animal populations. Part I. </w:t>
      </w:r>
      <w:r w:rsidRPr="009668D3">
        <w:rPr>
          <w:rFonts w:ascii="Times New Roman" w:hAnsi="Times New Roman" w:cs="Times New Roman"/>
          <w:i/>
          <w:sz w:val="20"/>
          <w:szCs w:val="20"/>
        </w:rPr>
        <w:t>Proceedings of the Zoological Society of London</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105</w:t>
      </w:r>
      <w:r w:rsidRPr="009668D3">
        <w:rPr>
          <w:rFonts w:ascii="Times New Roman" w:hAnsi="Times New Roman" w:cs="Times New Roman"/>
          <w:sz w:val="20"/>
          <w:szCs w:val="20"/>
        </w:rPr>
        <w:t>(3), 551–598. https://doi.org/10.1111/j.1096-3642.1935.tb01680.x</w:t>
      </w:r>
    </w:p>
    <w:p w14:paraId="680B0DFE" w14:textId="169AE192"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Nimalrathna, T. S., Capellini, I., &amp; Sheratt, T. N. (2022). Measuring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in ecological studies: A suite of metrics and their applications. </w:t>
      </w:r>
      <w:r w:rsidRPr="009668D3">
        <w:rPr>
          <w:rFonts w:ascii="Times New Roman" w:hAnsi="Times New Roman" w:cs="Times New Roman"/>
          <w:i/>
          <w:sz w:val="20"/>
          <w:szCs w:val="20"/>
        </w:rPr>
        <w:t>Ecological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47</w:t>
      </w:r>
      <w:r w:rsidRPr="009668D3">
        <w:rPr>
          <w:rFonts w:ascii="Times New Roman" w:hAnsi="Times New Roman" w:cs="Times New Roman"/>
          <w:sz w:val="20"/>
          <w:szCs w:val="20"/>
        </w:rPr>
        <w:t>(5), 755–768. https://doi.org/10.1111/een.13167</w:t>
      </w:r>
    </w:p>
    <w:p w14:paraId="0B24B3C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Pasteels, J. M., Daloze, D., &amp; Rowell-Rahier, M. (1995). Chemical defence in Chrysomelina leaf beetles: Secreting and volatile compounds. </w:t>
      </w:r>
      <w:r w:rsidRPr="009668D3">
        <w:rPr>
          <w:rFonts w:ascii="Times New Roman" w:hAnsi="Times New Roman" w:cs="Times New Roman"/>
          <w:i/>
          <w:sz w:val="20"/>
          <w:szCs w:val="20"/>
        </w:rPr>
        <w:t>Archives of Insect Biochemistry and Physiology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29</w:t>
      </w:r>
      <w:r w:rsidRPr="009668D3">
        <w:rPr>
          <w:rFonts w:ascii="Times New Roman" w:hAnsi="Times New Roman" w:cs="Times New Roman"/>
          <w:sz w:val="20"/>
          <w:szCs w:val="20"/>
        </w:rPr>
        <w:t>(1), 85–94. https://doi.org/10.1002/arch.940290109</w:t>
      </w:r>
    </w:p>
    <w:p w14:paraId="1A10848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Pimm, S. L. (1984). The complexity and stability of ecosystems. </w:t>
      </w:r>
      <w:r w:rsidRPr="009668D3">
        <w:rPr>
          <w:rFonts w:ascii="Times New Roman" w:hAnsi="Times New Roman" w:cs="Times New Roman"/>
          <w:i/>
          <w:sz w:val="20"/>
          <w:szCs w:val="20"/>
        </w:rPr>
        <w:t>Nature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307</w:t>
      </w:r>
      <w:r w:rsidRPr="009668D3">
        <w:rPr>
          <w:rFonts w:ascii="Times New Roman" w:hAnsi="Times New Roman" w:cs="Times New Roman"/>
          <w:sz w:val="20"/>
          <w:szCs w:val="20"/>
        </w:rPr>
        <w:t>(5949), 321–326. https://doi.org/10.1038/307321a0</w:t>
      </w:r>
    </w:p>
    <w:p w14:paraId="06B7DB6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Polis, G. A., &amp; Holt, R. D. (1992). Intraguild predation: The dynamics of complex trophic interactions. </w:t>
      </w:r>
      <w:r w:rsidRPr="009668D3">
        <w:rPr>
          <w:rFonts w:ascii="Times New Roman" w:hAnsi="Times New Roman" w:cs="Times New Roman"/>
          <w:i/>
          <w:sz w:val="20"/>
          <w:szCs w:val="20"/>
        </w:rPr>
        <w:t>Trends in Ecology &amp; Evolution</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w:t>
      </w:r>
      <w:r w:rsidRPr="009668D3">
        <w:rPr>
          <w:rFonts w:ascii="Times New Roman" w:hAnsi="Times New Roman" w:cs="Times New Roman"/>
          <w:sz w:val="20"/>
          <w:szCs w:val="20"/>
        </w:rPr>
        <w:t>(5), 151–154. https://doi.org/10.1016/0169-5347(92)90208-S</w:t>
      </w:r>
    </w:p>
    <w:p w14:paraId="5667A02E"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Polis, G. A., Myers, C. A., &amp; Holt, R. D. (1989). The ecology and evolution of intraguild predation. </w:t>
      </w:r>
      <w:r w:rsidRPr="009668D3">
        <w:rPr>
          <w:rFonts w:ascii="Times New Roman" w:hAnsi="Times New Roman" w:cs="Times New Roman"/>
          <w:i/>
          <w:sz w:val="20"/>
          <w:szCs w:val="20"/>
        </w:rPr>
        <w:t>Annual Review of Ecology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20</w:t>
      </w:r>
      <w:r w:rsidRPr="009668D3">
        <w:rPr>
          <w:rFonts w:ascii="Times New Roman" w:hAnsi="Times New Roman" w:cs="Times New Roman"/>
          <w:sz w:val="20"/>
          <w:szCs w:val="20"/>
        </w:rPr>
        <w:t>, 297–330. https://doi.org/10.1146/annurev.es.20.110189.001501</w:t>
      </w:r>
    </w:p>
    <w:p w14:paraId="6078E84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Pontryagin, L. S., Boltyanskii, V. G., Gamkrelidze, R. V., &amp; Mishchenko, E. F. (1962). </w:t>
      </w:r>
      <w:r w:rsidRPr="009668D3">
        <w:rPr>
          <w:rFonts w:ascii="Times New Roman" w:hAnsi="Times New Roman" w:cs="Times New Roman"/>
          <w:i/>
          <w:sz w:val="20"/>
          <w:szCs w:val="20"/>
        </w:rPr>
        <w:t>The mathematical theory of optimal processes</w:t>
      </w:r>
      <w:r w:rsidRPr="009668D3">
        <w:rPr>
          <w:rFonts w:ascii="Times New Roman" w:hAnsi="Times New Roman" w:cs="Times New Roman"/>
          <w:sz w:val="20"/>
          <w:szCs w:val="20"/>
        </w:rPr>
        <w:t>. Wiley.</w:t>
      </w:r>
    </w:p>
    <w:p w14:paraId="1974481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Remmel, T., Davison, J., &amp; Tammaru, T. (2011). Quantifying predation on folivorous insect larvae: The perspective of life-history evolution. </w:t>
      </w:r>
      <w:r w:rsidRPr="009668D3">
        <w:rPr>
          <w:rFonts w:ascii="Times New Roman" w:hAnsi="Times New Roman" w:cs="Times New Roman"/>
          <w:i/>
          <w:sz w:val="20"/>
          <w:szCs w:val="20"/>
        </w:rPr>
        <w:t>Biological Journal of the Linnean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104</w:t>
      </w:r>
      <w:r w:rsidRPr="009668D3">
        <w:rPr>
          <w:rFonts w:ascii="Times New Roman" w:hAnsi="Times New Roman" w:cs="Times New Roman"/>
          <w:sz w:val="20"/>
          <w:szCs w:val="20"/>
        </w:rPr>
        <w:t>(1), 1–18. https://doi.org/10.1111/j.1095-8312.2011.01721.x</w:t>
      </w:r>
    </w:p>
    <w:p w14:paraId="1CFE285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lastRenderedPageBreak/>
        <w:t xml:space="preserve">Renner, S. S., &amp; Zohner, C. M. (2018). </w:t>
      </w:r>
      <w:r w:rsidRPr="009668D3">
        <w:rPr>
          <w:rFonts w:ascii="Times New Roman" w:hAnsi="Times New Roman" w:cs="Times New Roman"/>
          <w:sz w:val="20"/>
          <w:szCs w:val="20"/>
        </w:rPr>
        <w:t xml:space="preserve">Climate change and phenological mismatch in trophic interactions among plants, insects, and vertebrates. </w:t>
      </w:r>
      <w:r w:rsidRPr="009668D3">
        <w:rPr>
          <w:rFonts w:ascii="Times New Roman" w:hAnsi="Times New Roman" w:cs="Times New Roman"/>
          <w:i/>
          <w:sz w:val="20"/>
          <w:szCs w:val="20"/>
        </w:rPr>
        <w:t>Annual Review of Ecology, Evolution,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49</w:t>
      </w:r>
      <w:r w:rsidRPr="009668D3">
        <w:rPr>
          <w:rFonts w:ascii="Times New Roman" w:hAnsi="Times New Roman" w:cs="Times New Roman"/>
          <w:sz w:val="20"/>
          <w:szCs w:val="20"/>
        </w:rPr>
        <w:t>, 165–182. https://doi.org/10.1146/annurev-ecolsys-110617-062535</w:t>
      </w:r>
    </w:p>
    <w:p w14:paraId="5D5F76B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Rosenheim, J. A. (1998). Higher-order predators and the regulation of insect herbivore populations.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43</w:t>
      </w:r>
      <w:r w:rsidRPr="009668D3">
        <w:rPr>
          <w:rFonts w:ascii="Times New Roman" w:hAnsi="Times New Roman" w:cs="Times New Roman"/>
          <w:sz w:val="20"/>
          <w:szCs w:val="20"/>
        </w:rPr>
        <w:t>, 421–447. https://doi.org/10.1146/annurev.ento.43.1.421</w:t>
      </w:r>
    </w:p>
    <w:p w14:paraId="325A18C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Saltelli, A., Ratto, M., Andres, T., Campolongo, F., Cariboni, J., Gatelli, D., Saisana, M., &amp; Tarantola, S. (2008). </w:t>
      </w:r>
      <w:r w:rsidRPr="009668D3">
        <w:rPr>
          <w:rFonts w:ascii="Times New Roman" w:hAnsi="Times New Roman" w:cs="Times New Roman"/>
          <w:i/>
          <w:sz w:val="20"/>
          <w:szCs w:val="20"/>
        </w:rPr>
        <w:t>Global sensitivity analysis: The primer</w:t>
      </w:r>
      <w:r w:rsidRPr="009668D3">
        <w:rPr>
          <w:rFonts w:ascii="Times New Roman" w:hAnsi="Times New Roman" w:cs="Times New Roman"/>
          <w:sz w:val="20"/>
          <w:szCs w:val="20"/>
        </w:rPr>
        <w:t>. Wiley. https://doi.org/10.1002/9780470725184</w:t>
      </w:r>
    </w:p>
    <w:p w14:paraId="4575836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Scheffer, M., Carpenter, S., Foley, J. A., Folke, C., &amp; Walker, B. (2001). Catastrophic shifts in ecosystems. </w:t>
      </w:r>
      <w:r w:rsidRPr="009668D3">
        <w:rPr>
          <w:rFonts w:ascii="Times New Roman" w:hAnsi="Times New Roman" w:cs="Times New Roman"/>
          <w:i/>
          <w:sz w:val="20"/>
          <w:szCs w:val="20"/>
        </w:rPr>
        <w:t>Nature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413</w:t>
      </w:r>
      <w:r w:rsidRPr="009668D3">
        <w:rPr>
          <w:rFonts w:ascii="Times New Roman" w:hAnsi="Times New Roman" w:cs="Times New Roman"/>
          <w:sz w:val="20"/>
          <w:szCs w:val="20"/>
        </w:rPr>
        <w:t>(6856), 591–596. https://doi.org/10.1038/35098000</w:t>
      </w:r>
    </w:p>
    <w:p w14:paraId="483DE81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Segoli, M., Abram, P. K., &amp; Bhatt, S. (2024). Predation on parasitised hosts: A review of the fitness consequences for predators and parasitoids. </w:t>
      </w:r>
      <w:r w:rsidRPr="009668D3">
        <w:rPr>
          <w:rFonts w:ascii="Times New Roman" w:hAnsi="Times New Roman" w:cs="Times New Roman"/>
          <w:i/>
          <w:sz w:val="20"/>
          <w:szCs w:val="20"/>
        </w:rPr>
        <w:t>Ecological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49</w:t>
      </w:r>
      <w:r w:rsidRPr="009668D3">
        <w:rPr>
          <w:rFonts w:ascii="Times New Roman" w:hAnsi="Times New Roman" w:cs="Times New Roman"/>
          <w:sz w:val="20"/>
          <w:szCs w:val="20"/>
        </w:rPr>
        <w:t>(2), 145–159. https://doi.org/10.1111/een.13303</w:t>
      </w:r>
    </w:p>
    <w:p w14:paraId="09FDC1FB" w14:textId="102C1D72" w:rsidR="00B26BAB" w:rsidRPr="009668D3" w:rsidRDefault="00B26BAB" w:rsidP="002D21BC">
      <w:pPr>
        <w:spacing w:line="240" w:lineRule="auto"/>
        <w:jc w:val="both"/>
        <w:rPr>
          <w:rFonts w:ascii="Times New Roman" w:hAnsi="Times New Roman" w:cs="Times New Roman"/>
          <w:sz w:val="20"/>
          <w:szCs w:val="20"/>
          <w:lang w:val="pt-PT"/>
        </w:rPr>
      </w:pPr>
      <w:r w:rsidRPr="009668D3">
        <w:rPr>
          <w:rFonts w:ascii="Times New Roman" w:hAnsi="Times New Roman" w:cs="Times New Roman"/>
          <w:sz w:val="20"/>
          <w:szCs w:val="20"/>
        </w:rPr>
        <w:t xml:space="preserve">Singh, A. (2023). Nicholson–Bailey models with aggregated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Analysis and implications. </w:t>
      </w:r>
      <w:r w:rsidRPr="009668D3">
        <w:rPr>
          <w:rFonts w:ascii="Times New Roman" w:hAnsi="Times New Roman" w:cs="Times New Roman"/>
          <w:i/>
          <w:sz w:val="20"/>
          <w:szCs w:val="20"/>
          <w:lang w:val="pt-PT"/>
        </w:rPr>
        <w:t>PLoS ONE</w:t>
      </w:r>
      <w:r w:rsidRPr="009668D3">
        <w:rPr>
          <w:rFonts w:ascii="Times New Roman" w:hAnsi="Times New Roman" w:cs="Times New Roman"/>
          <w:sz w:val="20"/>
          <w:szCs w:val="20"/>
          <w:lang w:val="pt-PT"/>
        </w:rPr>
        <w:t xml:space="preserve">, </w:t>
      </w:r>
      <w:r w:rsidRPr="009668D3">
        <w:rPr>
          <w:rFonts w:ascii="Times New Roman" w:hAnsi="Times New Roman" w:cs="Times New Roman"/>
          <w:i/>
          <w:sz w:val="20"/>
          <w:szCs w:val="20"/>
          <w:lang w:val="pt-PT"/>
        </w:rPr>
        <w:t>18</w:t>
      </w:r>
      <w:r w:rsidRPr="009668D3">
        <w:rPr>
          <w:rFonts w:ascii="Times New Roman" w:hAnsi="Times New Roman" w:cs="Times New Roman"/>
          <w:sz w:val="20"/>
          <w:szCs w:val="20"/>
          <w:lang w:val="pt-PT"/>
        </w:rPr>
        <w:t>(4), e0283874. https://doi.org/10.1371/journal.pone.0283874</w:t>
      </w:r>
    </w:p>
    <w:p w14:paraId="670764D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pt-PT"/>
        </w:rPr>
        <w:t xml:space="preserve">Sivrikaya, R., Altun, N., &amp; Faiz, Ö. (2020). </w:t>
      </w:r>
      <w:r w:rsidRPr="009668D3">
        <w:rPr>
          <w:rFonts w:ascii="Times New Roman" w:hAnsi="Times New Roman" w:cs="Times New Roman"/>
          <w:sz w:val="20"/>
          <w:szCs w:val="20"/>
        </w:rPr>
        <w:t xml:space="preserve">Diet-mediated modulation on the development and phenoloxidase activity in the alder leaf beetle larvae, </w:t>
      </w:r>
      <w:r w:rsidRPr="009668D3">
        <w:rPr>
          <w:rFonts w:ascii="Times New Roman" w:hAnsi="Times New Roman" w:cs="Times New Roman"/>
          <w:i/>
          <w:sz w:val="20"/>
          <w:szCs w:val="20"/>
        </w:rPr>
        <w:t>Agelastica alni</w:t>
      </w:r>
      <w:r w:rsidRPr="009668D3">
        <w:rPr>
          <w:rFonts w:ascii="Times New Roman" w:hAnsi="Times New Roman" w:cs="Times New Roman"/>
          <w:sz w:val="20"/>
          <w:szCs w:val="20"/>
        </w:rPr>
        <w:t xml:space="preserve"> (L., 1758) (Coleoptera: Chrysomelidae). </w:t>
      </w:r>
      <w:r w:rsidRPr="009668D3">
        <w:rPr>
          <w:rFonts w:ascii="Times New Roman" w:hAnsi="Times New Roman" w:cs="Times New Roman"/>
          <w:i/>
          <w:sz w:val="20"/>
          <w:szCs w:val="20"/>
        </w:rPr>
        <w:t>Turkish Journal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44</w:t>
      </w:r>
      <w:r w:rsidRPr="009668D3">
        <w:rPr>
          <w:rFonts w:ascii="Times New Roman" w:hAnsi="Times New Roman" w:cs="Times New Roman"/>
          <w:sz w:val="20"/>
          <w:szCs w:val="20"/>
        </w:rPr>
        <w:t>(2), 193–202. https://doi.org/10.16970/entoted.600893</w:t>
      </w:r>
    </w:p>
    <w:p w14:paraId="21B38D54"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Stephens, D. W., &amp; Krebs, J. R. (1986). </w:t>
      </w:r>
      <w:r w:rsidRPr="009668D3">
        <w:rPr>
          <w:rFonts w:ascii="Times New Roman" w:hAnsi="Times New Roman" w:cs="Times New Roman"/>
          <w:i/>
          <w:sz w:val="20"/>
          <w:szCs w:val="20"/>
        </w:rPr>
        <w:t>Foraging theory</w:t>
      </w:r>
      <w:r w:rsidRPr="009668D3">
        <w:rPr>
          <w:rFonts w:ascii="Times New Roman" w:hAnsi="Times New Roman" w:cs="Times New Roman"/>
          <w:sz w:val="20"/>
          <w:szCs w:val="20"/>
        </w:rPr>
        <w:t>. Princeton University Press.</w:t>
      </w:r>
    </w:p>
    <w:p w14:paraId="00419C7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Stireman, J. O., III, O'Hara, J. E., &amp; Wood, D. M. (2006). Tachinidae: Evolution, behavior, and ecology.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51</w:t>
      </w:r>
      <w:r w:rsidRPr="009668D3">
        <w:rPr>
          <w:rFonts w:ascii="Times New Roman" w:hAnsi="Times New Roman" w:cs="Times New Roman"/>
          <w:sz w:val="20"/>
          <w:szCs w:val="20"/>
        </w:rPr>
        <w:t>, 525–555. https://doi.org/10.1146/annurev.ento.51.110104.151133</w:t>
      </w:r>
    </w:p>
    <w:p w14:paraId="701C6FF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Tscharntke, T., Thiessen, S., Dolch, R., &amp; Boland, W. (2001). Herbivory, induced resistance, and interplant signal transfer in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Biochemical Systematics and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29</w:t>
      </w:r>
      <w:r w:rsidRPr="009668D3">
        <w:rPr>
          <w:rFonts w:ascii="Times New Roman" w:hAnsi="Times New Roman" w:cs="Times New Roman"/>
          <w:sz w:val="20"/>
          <w:szCs w:val="20"/>
        </w:rPr>
        <w:t>(10), 1025–1047. https://doi.org/10.1016/S0305-1978(01)00048-5</w:t>
      </w:r>
    </w:p>
    <w:p w14:paraId="0E008F22" w14:textId="03C2C229"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Valor, T., Camprodon, J., Buscarini, S., &amp; Casals, P. (2020). Drought-induced dieback of riparian black alder as revealed by tree rings and oxygen isotopes. </w:t>
      </w:r>
      <w:r w:rsidRPr="009668D3">
        <w:rPr>
          <w:rFonts w:ascii="Times New Roman" w:hAnsi="Times New Roman" w:cs="Times New Roman"/>
          <w:i/>
          <w:sz w:val="20"/>
          <w:szCs w:val="20"/>
        </w:rPr>
        <w:t>Forest Ecology and Management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478</w:t>
      </w:r>
      <w:r w:rsidRPr="009668D3">
        <w:rPr>
          <w:rFonts w:ascii="Times New Roman" w:hAnsi="Times New Roman" w:cs="Times New Roman"/>
          <w:sz w:val="20"/>
          <w:szCs w:val="20"/>
        </w:rPr>
        <w:t xml:space="preserve">, 118500. </w:t>
      </w:r>
      <w:hyperlink r:id="rId28" w:history="1">
        <w:r w:rsidR="006B6AB5" w:rsidRPr="001E6700">
          <w:rPr>
            <w:rStyle w:val="Hyperlink"/>
            <w:rFonts w:ascii="Times New Roman" w:hAnsi="Times New Roman" w:cs="Times New Roman"/>
            <w:sz w:val="20"/>
            <w:szCs w:val="20"/>
          </w:rPr>
          <w:t>https://doi.org/10.1016/j.foreco.2020.118500</w:t>
        </w:r>
      </w:hyperlink>
    </w:p>
    <w:p w14:paraId="489B3DD1"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Barker Plotkin, A., Blumstein, M., Laflower, D., Pasquarella, V. J., Chandler, J. L., Elkinton, J. S., &amp; Thompson, J. R. (2021). Defoliated trees die below a critical threshold of stored carbon. </w:t>
      </w:r>
      <w:r w:rsidRPr="001E6700">
        <w:rPr>
          <w:rFonts w:ascii="Times New Roman" w:hAnsi="Times New Roman" w:cs="Times New Roman"/>
          <w:i/>
          <w:iCs/>
          <w:sz w:val="20"/>
          <w:szCs w:val="20"/>
        </w:rPr>
        <w:t>Functional Ecology</w:t>
      </w:r>
      <w:r w:rsidRPr="001E6700">
        <w:rPr>
          <w:rFonts w:ascii="Times New Roman" w:hAnsi="Times New Roman" w:cs="Times New Roman"/>
          <w:sz w:val="20"/>
          <w:szCs w:val="20"/>
        </w:rPr>
        <w:t>, </w:t>
      </w:r>
      <w:r w:rsidRPr="001E6700">
        <w:rPr>
          <w:rFonts w:ascii="Times New Roman" w:hAnsi="Times New Roman" w:cs="Times New Roman"/>
          <w:i/>
          <w:iCs/>
          <w:sz w:val="20"/>
          <w:szCs w:val="20"/>
        </w:rPr>
        <w:t>35</w:t>
      </w:r>
      <w:r w:rsidRPr="001E6700">
        <w:rPr>
          <w:rFonts w:ascii="Times New Roman" w:hAnsi="Times New Roman" w:cs="Times New Roman"/>
          <w:sz w:val="20"/>
          <w:szCs w:val="20"/>
        </w:rPr>
        <w:t>(10), 2156–2167. https://doi.org/10.1111/1365-2435.13891</w:t>
      </w:r>
    </w:p>
    <w:p w14:paraId="069F4B41"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Hart, A. T., Landhäusser, S. M., &amp; Wiley, E. (2024). Tracing carbon and nitrogen reserve remobilization during spring leaf flush and growth following defoliation. </w:t>
      </w:r>
      <w:r w:rsidRPr="001E6700">
        <w:rPr>
          <w:rFonts w:ascii="Times New Roman" w:hAnsi="Times New Roman" w:cs="Times New Roman"/>
          <w:i/>
          <w:iCs/>
          <w:sz w:val="20"/>
          <w:szCs w:val="20"/>
        </w:rPr>
        <w:t>Tree Physiology</w:t>
      </w:r>
      <w:r w:rsidRPr="001E6700">
        <w:rPr>
          <w:rFonts w:ascii="Times New Roman" w:hAnsi="Times New Roman" w:cs="Times New Roman"/>
          <w:sz w:val="20"/>
          <w:szCs w:val="20"/>
        </w:rPr>
        <w:t>, </w:t>
      </w:r>
      <w:r w:rsidRPr="001E6700">
        <w:rPr>
          <w:rFonts w:ascii="Times New Roman" w:hAnsi="Times New Roman" w:cs="Times New Roman"/>
          <w:i/>
          <w:iCs/>
          <w:sz w:val="20"/>
          <w:szCs w:val="20"/>
        </w:rPr>
        <w:t>44</w:t>
      </w:r>
      <w:r w:rsidRPr="001E6700">
        <w:rPr>
          <w:rFonts w:ascii="Times New Roman" w:hAnsi="Times New Roman" w:cs="Times New Roman"/>
          <w:sz w:val="20"/>
          <w:szCs w:val="20"/>
        </w:rPr>
        <w:t>(6), tpae015. https://doi.org/10.1093/treephys/tpae015</w:t>
      </w:r>
    </w:p>
    <w:p w14:paraId="2816A54D" w14:textId="77777777" w:rsidR="006B6AB5" w:rsidRPr="001E6700" w:rsidRDefault="006B6AB5" w:rsidP="006B6AB5">
      <w:pPr>
        <w:spacing w:line="240" w:lineRule="auto"/>
        <w:jc w:val="both"/>
        <w:rPr>
          <w:rFonts w:ascii="Times New Roman" w:hAnsi="Times New Roman" w:cs="Times New Roman"/>
          <w:sz w:val="20"/>
          <w:szCs w:val="20"/>
          <w:lang w:val="pt-PT"/>
        </w:rPr>
      </w:pPr>
      <w:r w:rsidRPr="001E6700">
        <w:rPr>
          <w:rFonts w:ascii="Times New Roman" w:hAnsi="Times New Roman" w:cs="Times New Roman"/>
          <w:sz w:val="20"/>
          <w:szCs w:val="20"/>
        </w:rPr>
        <w:t>Klein, T., Vitasse, Y., &amp; Hoch, G. (2016). Coordination between growth, phenology and carbon storage in three coexisting deciduous tree species in a temperate forest. </w:t>
      </w:r>
      <w:r w:rsidRPr="001E6700">
        <w:rPr>
          <w:rFonts w:ascii="Times New Roman" w:hAnsi="Times New Roman" w:cs="Times New Roman"/>
          <w:i/>
          <w:iCs/>
          <w:sz w:val="20"/>
          <w:szCs w:val="20"/>
          <w:lang w:val="pt-PT"/>
        </w:rPr>
        <w:t>Tree Physiology</w:t>
      </w:r>
      <w:r w:rsidRPr="001E6700">
        <w:rPr>
          <w:rFonts w:ascii="Times New Roman" w:hAnsi="Times New Roman" w:cs="Times New Roman"/>
          <w:sz w:val="20"/>
          <w:szCs w:val="20"/>
          <w:lang w:val="pt-PT"/>
        </w:rPr>
        <w:t>, </w:t>
      </w:r>
      <w:r w:rsidRPr="001E6700">
        <w:rPr>
          <w:rFonts w:ascii="Times New Roman" w:hAnsi="Times New Roman" w:cs="Times New Roman"/>
          <w:i/>
          <w:iCs/>
          <w:sz w:val="20"/>
          <w:szCs w:val="20"/>
          <w:lang w:val="pt-PT"/>
        </w:rPr>
        <w:t>36</w:t>
      </w:r>
      <w:r w:rsidRPr="001E6700">
        <w:rPr>
          <w:rFonts w:ascii="Times New Roman" w:hAnsi="Times New Roman" w:cs="Times New Roman"/>
          <w:sz w:val="20"/>
          <w:szCs w:val="20"/>
          <w:lang w:val="pt-PT"/>
        </w:rPr>
        <w:t>(7), 847–855. https://doi.org/10.1093/treephys/tpw030</w:t>
      </w:r>
    </w:p>
    <w:p w14:paraId="07D046A7"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lang w:val="pt-PT"/>
        </w:rPr>
        <w:t xml:space="preserve">Miranda, J. C., Rodríguez-Calcerrada, J., et al. </w:t>
      </w:r>
      <w:r w:rsidRPr="001E6700">
        <w:rPr>
          <w:rFonts w:ascii="Times New Roman" w:hAnsi="Times New Roman" w:cs="Times New Roman"/>
          <w:sz w:val="20"/>
          <w:szCs w:val="20"/>
        </w:rPr>
        <w:t>(2020). Carbohydrate dynamics in a resprouting species after severe aboveground perturbations. </w:t>
      </w:r>
      <w:r w:rsidRPr="001E6700">
        <w:rPr>
          <w:rFonts w:ascii="Times New Roman" w:hAnsi="Times New Roman" w:cs="Times New Roman"/>
          <w:i/>
          <w:iCs/>
          <w:sz w:val="20"/>
          <w:szCs w:val="20"/>
        </w:rPr>
        <w:t>European Journal of Forest Research</w:t>
      </w:r>
      <w:r w:rsidRPr="001E6700">
        <w:rPr>
          <w:rFonts w:ascii="Times New Roman" w:hAnsi="Times New Roman" w:cs="Times New Roman"/>
          <w:sz w:val="20"/>
          <w:szCs w:val="20"/>
        </w:rPr>
        <w:t>, </w:t>
      </w:r>
      <w:r w:rsidRPr="001E6700">
        <w:rPr>
          <w:rFonts w:ascii="Times New Roman" w:hAnsi="Times New Roman" w:cs="Times New Roman"/>
          <w:i/>
          <w:iCs/>
          <w:sz w:val="20"/>
          <w:szCs w:val="20"/>
        </w:rPr>
        <w:t>139</w:t>
      </w:r>
      <w:r w:rsidRPr="001E6700">
        <w:rPr>
          <w:rFonts w:ascii="Times New Roman" w:hAnsi="Times New Roman" w:cs="Times New Roman"/>
          <w:sz w:val="20"/>
          <w:szCs w:val="20"/>
        </w:rPr>
        <w:t>(5), 841–852. https://doi.org/10.1007/s10342-020-01288-2</w:t>
      </w:r>
    </w:p>
    <w:p w14:paraId="5C3339AD"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Parker, J., &amp; Houston, D. R. (1971). Effects of repeated defoliation on root and root collar extractives of sugar maple trees. </w:t>
      </w:r>
      <w:r w:rsidRPr="001E6700">
        <w:rPr>
          <w:rFonts w:ascii="Times New Roman" w:hAnsi="Times New Roman" w:cs="Times New Roman"/>
          <w:i/>
          <w:iCs/>
          <w:sz w:val="20"/>
          <w:szCs w:val="20"/>
        </w:rPr>
        <w:t>Forest Science</w:t>
      </w:r>
      <w:r w:rsidRPr="001E6700">
        <w:rPr>
          <w:rFonts w:ascii="Times New Roman" w:hAnsi="Times New Roman" w:cs="Times New Roman"/>
          <w:sz w:val="20"/>
          <w:szCs w:val="20"/>
        </w:rPr>
        <w:t>, </w:t>
      </w:r>
      <w:r w:rsidRPr="001E6700">
        <w:rPr>
          <w:rFonts w:ascii="Times New Roman" w:hAnsi="Times New Roman" w:cs="Times New Roman"/>
          <w:i/>
          <w:iCs/>
          <w:sz w:val="20"/>
          <w:szCs w:val="20"/>
        </w:rPr>
        <w:t>17</w:t>
      </w:r>
      <w:r w:rsidRPr="001E6700">
        <w:rPr>
          <w:rFonts w:ascii="Times New Roman" w:hAnsi="Times New Roman" w:cs="Times New Roman"/>
          <w:sz w:val="20"/>
          <w:szCs w:val="20"/>
        </w:rPr>
        <w:t>(1), 91–95. https://doi.org/10.1093/forestscience/17.1.91</w:t>
      </w:r>
    </w:p>
    <w:p w14:paraId="343886DA"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Wargo, P.</w:t>
      </w:r>
      <w:r w:rsidRPr="009668D3">
        <w:rPr>
          <w:rFonts w:ascii="Times New Roman" w:hAnsi="Times New Roman" w:cs="Times New Roman"/>
          <w:sz w:val="20"/>
          <w:szCs w:val="20"/>
        </w:rPr>
        <w:t xml:space="preserve"> M. </w:t>
      </w:r>
      <w:r w:rsidRPr="001E6700">
        <w:rPr>
          <w:rFonts w:ascii="Times New Roman" w:hAnsi="Times New Roman" w:cs="Times New Roman"/>
          <w:sz w:val="20"/>
          <w:szCs w:val="20"/>
        </w:rPr>
        <w:t>(1981). Physiological effects of defoliation on sugar maple and some impacts on syrup production. In C. C. Doane &amp; M. L. McManus (Eds.), </w:t>
      </w:r>
      <w:r w:rsidRPr="001E6700">
        <w:rPr>
          <w:rFonts w:ascii="Times New Roman" w:hAnsi="Times New Roman" w:cs="Times New Roman"/>
          <w:i/>
          <w:iCs/>
          <w:sz w:val="20"/>
          <w:szCs w:val="20"/>
        </w:rPr>
        <w:t>The gypsy moth: Research toward integrated pest management</w:t>
      </w:r>
      <w:r w:rsidRPr="001E6700">
        <w:rPr>
          <w:rFonts w:ascii="Times New Roman" w:hAnsi="Times New Roman" w:cs="Times New Roman"/>
          <w:sz w:val="20"/>
          <w:szCs w:val="20"/>
        </w:rPr>
        <w:t> (USDA Forest Service Technical Bulletin 1584, pp. 241–248). U.S. Department of Agriculture, Forest Service.</w:t>
      </w:r>
    </w:p>
    <w:p w14:paraId="39DD8026" w14:textId="77777777" w:rsidR="006B6AB5" w:rsidRPr="001E6700" w:rsidRDefault="006B6AB5" w:rsidP="002D21BC">
      <w:pPr>
        <w:spacing w:line="240" w:lineRule="auto"/>
        <w:jc w:val="both"/>
        <w:rPr>
          <w:rFonts w:ascii="Times New Roman" w:hAnsi="Times New Roman" w:cs="Times New Roman"/>
          <w:sz w:val="20"/>
          <w:szCs w:val="20"/>
        </w:rPr>
      </w:pPr>
    </w:p>
    <w:p w14:paraId="467FCDF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van den Driessche, P., &amp; Watmough, J. (2002). Reproduction numbers and sub-threshold endemic equilibria for compartmental models of disease transmission. </w:t>
      </w:r>
      <w:r w:rsidRPr="009668D3">
        <w:rPr>
          <w:rFonts w:ascii="Times New Roman" w:hAnsi="Times New Roman" w:cs="Times New Roman"/>
          <w:i/>
          <w:sz w:val="20"/>
          <w:szCs w:val="20"/>
        </w:rPr>
        <w:t>Mathematical Biosciences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180</w:t>
      </w:r>
      <w:r w:rsidRPr="009668D3">
        <w:rPr>
          <w:rFonts w:ascii="Times New Roman" w:hAnsi="Times New Roman" w:cs="Times New Roman"/>
          <w:sz w:val="20"/>
          <w:szCs w:val="20"/>
        </w:rPr>
        <w:t>(1–2), 29–48. https://doi.org/10.1016/S0025-5564(02)00108-6</w:t>
      </w:r>
    </w:p>
    <w:p w14:paraId="300D429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Van Meerbeek, K., Jucker, T., &amp; Svenning, J.-C. (2021). Unifying the concepts of stability and resilience in ecology. </w:t>
      </w:r>
      <w:r w:rsidRPr="009668D3">
        <w:rPr>
          <w:rFonts w:ascii="Times New Roman" w:hAnsi="Times New Roman" w:cs="Times New Roman"/>
          <w:i/>
          <w:sz w:val="20"/>
          <w:szCs w:val="20"/>
        </w:rPr>
        <w:t>Journal of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109</w:t>
      </w:r>
      <w:r w:rsidRPr="009668D3">
        <w:rPr>
          <w:rFonts w:ascii="Times New Roman" w:hAnsi="Times New Roman" w:cs="Times New Roman"/>
          <w:sz w:val="20"/>
          <w:szCs w:val="20"/>
        </w:rPr>
        <w:t>(9), 3114–3132. https://doi.org/10.1111/1365-2745.13651</w:t>
      </w:r>
    </w:p>
    <w:p w14:paraId="07BF733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Walker, B., Holling, C. S., Carpenter, S. R., &amp; Kinzig, A. (2004). Resilience, adaptability and transformability in social-ecological systems. </w:t>
      </w:r>
      <w:r w:rsidRPr="009668D3">
        <w:rPr>
          <w:rFonts w:ascii="Times New Roman" w:hAnsi="Times New Roman" w:cs="Times New Roman"/>
          <w:i/>
          <w:sz w:val="20"/>
          <w:szCs w:val="20"/>
        </w:rPr>
        <w:t>Ecology and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w:t>
      </w:r>
      <w:r w:rsidRPr="009668D3">
        <w:rPr>
          <w:rFonts w:ascii="Times New Roman" w:hAnsi="Times New Roman" w:cs="Times New Roman"/>
          <w:sz w:val="20"/>
          <w:szCs w:val="20"/>
        </w:rPr>
        <w:t>(2), 5. https://www.ecologyandsociety.org/vol9/iss2/art5/</w:t>
      </w:r>
    </w:p>
    <w:p w14:paraId="56B4DEB3"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Westman, W. E. (1978). Measuring the inertia and resilience of ecosystems. </w:t>
      </w:r>
      <w:r w:rsidRPr="009668D3">
        <w:rPr>
          <w:rFonts w:ascii="Times New Roman" w:hAnsi="Times New Roman" w:cs="Times New Roman"/>
          <w:i/>
          <w:sz w:val="20"/>
          <w:szCs w:val="20"/>
        </w:rPr>
        <w:t>BioScience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28</w:t>
      </w:r>
      <w:r w:rsidRPr="009668D3">
        <w:rPr>
          <w:rFonts w:ascii="Times New Roman" w:hAnsi="Times New Roman" w:cs="Times New Roman"/>
          <w:sz w:val="20"/>
          <w:szCs w:val="20"/>
        </w:rPr>
        <w:t>(11), 705–710. https://doi.org/10.2307/1307560</w:t>
      </w:r>
    </w:p>
    <w:p w14:paraId="73D0564F" w14:textId="61B36A96" w:rsidR="00B26BAB"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Wiggins, S. (2003). </w:t>
      </w:r>
      <w:r w:rsidRPr="009668D3">
        <w:rPr>
          <w:rFonts w:ascii="Times New Roman" w:hAnsi="Times New Roman" w:cs="Times New Roman"/>
          <w:i/>
          <w:sz w:val="20"/>
          <w:szCs w:val="20"/>
        </w:rPr>
        <w:t>Introduction to applied nonlinear dynamical systems and chaos</w:t>
      </w:r>
      <w:r w:rsidRPr="009668D3">
        <w:rPr>
          <w:rFonts w:ascii="Times New Roman" w:hAnsi="Times New Roman" w:cs="Times New Roman"/>
          <w:sz w:val="20"/>
          <w:szCs w:val="20"/>
        </w:rPr>
        <w:t xml:space="preserve"> (2nd ed.). Springer. </w:t>
      </w:r>
      <w:hyperlink r:id="rId29" w:history="1">
        <w:r w:rsidR="00982EEA" w:rsidRPr="00F0129E">
          <w:rPr>
            <w:rStyle w:val="Hyperlink"/>
            <w:rFonts w:ascii="Times New Roman" w:hAnsi="Times New Roman" w:cs="Times New Roman"/>
            <w:sz w:val="20"/>
            <w:szCs w:val="20"/>
          </w:rPr>
          <w:t>https://doi.org/10.1007/b97481</w:t>
        </w:r>
      </w:hyperlink>
    </w:p>
    <w:p w14:paraId="0D158D48" w14:textId="532ACD46"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Böhm, S. M., Wells, K., &amp; Kalko, E. K. V. (2011). Top-down control of herbivory by birds and bats in the canopy of temperate broadleaved oaks (</w:t>
      </w:r>
      <w:r w:rsidRPr="00982EEA">
        <w:rPr>
          <w:rFonts w:ascii="Times New Roman" w:hAnsi="Times New Roman" w:cs="Times New Roman"/>
          <w:i/>
          <w:iCs/>
          <w:sz w:val="20"/>
          <w:szCs w:val="20"/>
        </w:rPr>
        <w:t>Quercus robur</w:t>
      </w:r>
      <w:r w:rsidRPr="00982EEA">
        <w:rPr>
          <w:rFonts w:ascii="Times New Roman" w:hAnsi="Times New Roman" w:cs="Times New Roman"/>
          <w:sz w:val="20"/>
          <w:szCs w:val="20"/>
        </w:rPr>
        <w:t xml:space="preserve">). </w:t>
      </w:r>
      <w:r w:rsidRPr="00982EEA">
        <w:rPr>
          <w:rFonts w:ascii="Times New Roman" w:hAnsi="Times New Roman" w:cs="Times New Roman"/>
          <w:i/>
          <w:iCs/>
          <w:sz w:val="20"/>
          <w:szCs w:val="20"/>
        </w:rPr>
        <w:t>PLoS ONE</w:t>
      </w:r>
      <w:r w:rsidRPr="00982EEA">
        <w:rPr>
          <w:rFonts w:ascii="Times New Roman" w:hAnsi="Times New Roman" w:cs="Times New Roman"/>
          <w:sz w:val="20"/>
          <w:szCs w:val="20"/>
        </w:rPr>
        <w:t xml:space="preserve">, 6(4), e17857. </w:t>
      </w:r>
      <w:hyperlink r:id="rId30" w:history="1">
        <w:r w:rsidRPr="00982EEA">
          <w:rPr>
            <w:rStyle w:val="Hyperlink"/>
            <w:rFonts w:ascii="Times New Roman" w:hAnsi="Times New Roman" w:cs="Times New Roman"/>
            <w:sz w:val="20"/>
            <w:szCs w:val="20"/>
          </w:rPr>
          <w:t>https://doi.org/10.1371/journal.pone.0017857</w:t>
        </w:r>
      </w:hyperlink>
      <w:r w:rsidRPr="00982EEA">
        <w:rPr>
          <w:rFonts w:ascii="Times New Roman" w:hAnsi="Times New Roman" w:cs="Times New Roman"/>
          <w:sz w:val="20"/>
          <w:szCs w:val="20"/>
        </w:rPr>
        <w:t xml:space="preserve"> </w:t>
      </w:r>
    </w:p>
    <w:p w14:paraId="0ED9B357" w14:textId="1A503343"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Conrath, U., Beckers, G. J. M., Langenbach, C. J. G., &amp; Jaskiewicz, M. R. (2015). Priming for enhanced defense. </w:t>
      </w:r>
      <w:r w:rsidRPr="00982EEA">
        <w:rPr>
          <w:rFonts w:ascii="Times New Roman" w:hAnsi="Times New Roman" w:cs="Times New Roman"/>
          <w:i/>
          <w:iCs/>
          <w:sz w:val="20"/>
          <w:szCs w:val="20"/>
        </w:rPr>
        <w:t>Annual Review of Phytopathology</w:t>
      </w:r>
      <w:r w:rsidRPr="00982EEA">
        <w:rPr>
          <w:rFonts w:ascii="Times New Roman" w:hAnsi="Times New Roman" w:cs="Times New Roman"/>
          <w:sz w:val="20"/>
          <w:szCs w:val="20"/>
        </w:rPr>
        <w:t xml:space="preserve">, 53, 97–119. </w:t>
      </w:r>
      <w:hyperlink r:id="rId31" w:history="1">
        <w:r w:rsidRPr="00982EEA">
          <w:rPr>
            <w:rStyle w:val="Hyperlink"/>
            <w:rFonts w:ascii="Times New Roman" w:hAnsi="Times New Roman" w:cs="Times New Roman"/>
            <w:sz w:val="20"/>
            <w:szCs w:val="20"/>
          </w:rPr>
          <w:t>https://doi.org/10.1146/annurev-phyto-080614-120132</w:t>
        </w:r>
      </w:hyperlink>
      <w:r w:rsidRPr="00982EEA">
        <w:rPr>
          <w:rFonts w:ascii="Times New Roman" w:hAnsi="Times New Roman" w:cs="Times New Roman"/>
          <w:sz w:val="20"/>
          <w:szCs w:val="20"/>
        </w:rPr>
        <w:t xml:space="preserve"> </w:t>
      </w:r>
    </w:p>
    <w:p w14:paraId="50C1BC37" w14:textId="28E59BC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Emerick, B. K., &amp; Singh, A. (2016). The effects of host-feeding on stability of discrete-time host–parasitoid population dynamic models. </w:t>
      </w:r>
      <w:r w:rsidRPr="00982EEA">
        <w:rPr>
          <w:rFonts w:ascii="Times New Roman" w:hAnsi="Times New Roman" w:cs="Times New Roman"/>
          <w:i/>
          <w:iCs/>
          <w:sz w:val="20"/>
          <w:szCs w:val="20"/>
        </w:rPr>
        <w:t>Mathematical Biosciences</w:t>
      </w:r>
      <w:r w:rsidRPr="00982EEA">
        <w:rPr>
          <w:rFonts w:ascii="Times New Roman" w:hAnsi="Times New Roman" w:cs="Times New Roman"/>
          <w:sz w:val="20"/>
          <w:szCs w:val="20"/>
        </w:rPr>
        <w:t xml:space="preserve">, 272, 54–63. </w:t>
      </w:r>
      <w:hyperlink r:id="rId32" w:history="1">
        <w:r w:rsidRPr="00982EEA">
          <w:rPr>
            <w:rStyle w:val="Hyperlink"/>
            <w:rFonts w:ascii="Times New Roman" w:hAnsi="Times New Roman" w:cs="Times New Roman"/>
            <w:sz w:val="20"/>
            <w:szCs w:val="20"/>
          </w:rPr>
          <w:t>https://doi.org/10.1016/j.mbs.2015.11.011</w:t>
        </w:r>
      </w:hyperlink>
      <w:r w:rsidRPr="00982EEA">
        <w:rPr>
          <w:rFonts w:ascii="Times New Roman" w:hAnsi="Times New Roman" w:cs="Times New Roman"/>
          <w:sz w:val="20"/>
          <w:szCs w:val="20"/>
        </w:rPr>
        <w:t xml:space="preserve"> </w:t>
      </w:r>
    </w:p>
    <w:p w14:paraId="335E58E2" w14:textId="56272694"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Hochberg, M. E., &amp; Holt, R. D. (2002). Biogeographical perspectives on arms races. In U. Dieckmann, J. A. J. Metz, M. W. Sabelis, &amp; K. Sigmund (Eds.), </w:t>
      </w:r>
      <w:r w:rsidRPr="00982EEA">
        <w:rPr>
          <w:rFonts w:ascii="Times New Roman" w:hAnsi="Times New Roman" w:cs="Times New Roman"/>
          <w:i/>
          <w:iCs/>
          <w:sz w:val="20"/>
          <w:szCs w:val="20"/>
        </w:rPr>
        <w:t>Adaptive dynamics of infectious diseases: In pursuit of virulence management</w:t>
      </w:r>
      <w:r w:rsidRPr="00982EEA">
        <w:rPr>
          <w:rFonts w:ascii="Times New Roman" w:hAnsi="Times New Roman" w:cs="Times New Roman"/>
          <w:sz w:val="20"/>
          <w:szCs w:val="20"/>
        </w:rPr>
        <w:t xml:space="preserve"> (pp. 197–209). Cambridge University Press. </w:t>
      </w:r>
    </w:p>
    <w:p w14:paraId="458493D8" w14:textId="3E579E5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Holt, R. D., &amp; Huxel, G. R. (2007). Alternative prey and the dynamics of intraguild predation: theoretical perspectives. </w:t>
      </w:r>
      <w:r w:rsidRPr="00982EEA">
        <w:rPr>
          <w:rFonts w:ascii="Times New Roman" w:hAnsi="Times New Roman" w:cs="Times New Roman"/>
          <w:i/>
          <w:iCs/>
          <w:sz w:val="20"/>
          <w:szCs w:val="20"/>
        </w:rPr>
        <w:t>Ecology</w:t>
      </w:r>
      <w:r w:rsidRPr="00982EEA">
        <w:rPr>
          <w:rFonts w:ascii="Times New Roman" w:hAnsi="Times New Roman" w:cs="Times New Roman"/>
          <w:sz w:val="20"/>
          <w:szCs w:val="20"/>
        </w:rPr>
        <w:t xml:space="preserve">, 88(11), 2706–2712. </w:t>
      </w:r>
      <w:hyperlink r:id="rId33" w:history="1">
        <w:r w:rsidRPr="00982EEA">
          <w:rPr>
            <w:rStyle w:val="Hyperlink"/>
            <w:rFonts w:ascii="Times New Roman" w:hAnsi="Times New Roman" w:cs="Times New Roman"/>
            <w:sz w:val="20"/>
            <w:szCs w:val="20"/>
          </w:rPr>
          <w:t>https://doi.org/10.1890/06-1525.1</w:t>
        </w:r>
      </w:hyperlink>
      <w:r w:rsidRPr="00982EEA">
        <w:rPr>
          <w:rFonts w:ascii="Times New Roman" w:hAnsi="Times New Roman" w:cs="Times New Roman"/>
          <w:sz w:val="20"/>
          <w:szCs w:val="20"/>
        </w:rPr>
        <w:t xml:space="preserve"> </w:t>
      </w:r>
    </w:p>
    <w:p w14:paraId="0A2892B9" w14:textId="7937BBE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Holt, R. D., &amp; Polis, G. A. (1997). A theoretical framework for intraguild predation. </w:t>
      </w:r>
      <w:r w:rsidRPr="00982EEA">
        <w:rPr>
          <w:rFonts w:ascii="Times New Roman" w:hAnsi="Times New Roman" w:cs="Times New Roman"/>
          <w:i/>
          <w:iCs/>
          <w:sz w:val="20"/>
          <w:szCs w:val="20"/>
        </w:rPr>
        <w:t>The American Naturalist</w:t>
      </w:r>
      <w:r w:rsidRPr="00982EEA">
        <w:rPr>
          <w:rFonts w:ascii="Times New Roman" w:hAnsi="Times New Roman" w:cs="Times New Roman"/>
          <w:sz w:val="20"/>
          <w:szCs w:val="20"/>
        </w:rPr>
        <w:t xml:space="preserve">, 149(4), 745–764. </w:t>
      </w:r>
      <w:hyperlink r:id="rId34" w:history="1">
        <w:r w:rsidRPr="00982EEA">
          <w:rPr>
            <w:rStyle w:val="Hyperlink"/>
            <w:rFonts w:ascii="Times New Roman" w:hAnsi="Times New Roman" w:cs="Times New Roman"/>
            <w:sz w:val="20"/>
            <w:szCs w:val="20"/>
          </w:rPr>
          <w:t>https://doi.org/10.1086/286018</w:t>
        </w:r>
      </w:hyperlink>
      <w:r w:rsidRPr="00982EEA">
        <w:rPr>
          <w:rFonts w:ascii="Times New Roman" w:hAnsi="Times New Roman" w:cs="Times New Roman"/>
          <w:sz w:val="20"/>
          <w:szCs w:val="20"/>
        </w:rPr>
        <w:t xml:space="preserve"> </w:t>
      </w:r>
    </w:p>
    <w:p w14:paraId="51918119" w14:textId="35575A94"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Karban, R., Wetzel, W. C., Shiojiri, K., Pezzola, E., &amp; Blande, J. D. (2018). Long-term demographic consequences of eavesdropping for sagebrush. </w:t>
      </w:r>
      <w:r w:rsidRPr="00982EEA">
        <w:rPr>
          <w:rFonts w:ascii="Times New Roman" w:hAnsi="Times New Roman" w:cs="Times New Roman"/>
          <w:i/>
          <w:iCs/>
          <w:sz w:val="20"/>
          <w:szCs w:val="20"/>
        </w:rPr>
        <w:t>Journal of Ecology</w:t>
      </w:r>
      <w:r w:rsidRPr="00982EEA">
        <w:rPr>
          <w:rFonts w:ascii="Times New Roman" w:hAnsi="Times New Roman" w:cs="Times New Roman"/>
          <w:sz w:val="20"/>
          <w:szCs w:val="20"/>
        </w:rPr>
        <w:t xml:space="preserve">, 106(1), 381–388. </w:t>
      </w:r>
      <w:hyperlink r:id="rId35" w:history="1">
        <w:r w:rsidRPr="00982EEA">
          <w:rPr>
            <w:rStyle w:val="Hyperlink"/>
            <w:rFonts w:ascii="Times New Roman" w:hAnsi="Times New Roman" w:cs="Times New Roman"/>
            <w:sz w:val="20"/>
            <w:szCs w:val="20"/>
          </w:rPr>
          <w:t>https://doi.org/10.1111/1365-2745.12810</w:t>
        </w:r>
      </w:hyperlink>
      <w:r w:rsidRPr="00982EEA">
        <w:rPr>
          <w:rFonts w:ascii="Times New Roman" w:hAnsi="Times New Roman" w:cs="Times New Roman"/>
          <w:sz w:val="20"/>
          <w:szCs w:val="20"/>
        </w:rPr>
        <w:t xml:space="preserve"> </w:t>
      </w:r>
    </w:p>
    <w:p w14:paraId="56127745" w14:textId="4A6FEC18"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Schott, J., Jantzen, F., &amp; Hilker, M. (2023). Elm tree defences against a specialist herbivore are inducible in neighbouring trees. </w:t>
      </w:r>
      <w:r w:rsidRPr="00982EEA">
        <w:rPr>
          <w:rFonts w:ascii="Times New Roman" w:hAnsi="Times New Roman" w:cs="Times New Roman"/>
          <w:i/>
          <w:iCs/>
          <w:sz w:val="20"/>
          <w:szCs w:val="20"/>
        </w:rPr>
        <w:t>Tree Physiology</w:t>
      </w:r>
      <w:r w:rsidRPr="00982EEA">
        <w:rPr>
          <w:rFonts w:ascii="Times New Roman" w:hAnsi="Times New Roman" w:cs="Times New Roman"/>
          <w:sz w:val="20"/>
          <w:szCs w:val="20"/>
        </w:rPr>
        <w:t xml:space="preserve">, 43(7), 1216–1232. </w:t>
      </w:r>
      <w:hyperlink r:id="rId36" w:history="1">
        <w:r w:rsidRPr="00982EEA">
          <w:rPr>
            <w:rStyle w:val="Hyperlink"/>
            <w:rFonts w:ascii="Times New Roman" w:hAnsi="Times New Roman" w:cs="Times New Roman"/>
            <w:sz w:val="20"/>
            <w:szCs w:val="20"/>
          </w:rPr>
          <w:t>https://doi.org/10.1093/treephys/tpad040</w:t>
        </w:r>
      </w:hyperlink>
      <w:r w:rsidRPr="00982EEA">
        <w:rPr>
          <w:rFonts w:ascii="Times New Roman" w:hAnsi="Times New Roman" w:cs="Times New Roman"/>
          <w:sz w:val="20"/>
          <w:szCs w:val="20"/>
        </w:rPr>
        <w:t xml:space="preserve"> </w:t>
      </w:r>
    </w:p>
    <w:p w14:paraId="65B24B34" w14:textId="6A70BE50" w:rsidR="00982EEA" w:rsidRPr="009668D3"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Song, G. C., Choi, H. K., Kim, Y. S., Choi, J. S., &amp; Ryu, C.-M. (2018). Seed defense biopriming with bacterial cyclodipeptides triggers immunity in cucumber and pepper. </w:t>
      </w:r>
      <w:r w:rsidRPr="00982EEA">
        <w:rPr>
          <w:rFonts w:ascii="Times New Roman" w:hAnsi="Times New Roman" w:cs="Times New Roman"/>
          <w:i/>
          <w:iCs/>
          <w:sz w:val="20"/>
          <w:szCs w:val="20"/>
        </w:rPr>
        <w:t>Scientific Reports</w:t>
      </w:r>
      <w:r w:rsidRPr="00982EEA">
        <w:rPr>
          <w:rFonts w:ascii="Times New Roman" w:hAnsi="Times New Roman" w:cs="Times New Roman"/>
          <w:sz w:val="20"/>
          <w:szCs w:val="20"/>
        </w:rPr>
        <w:t xml:space="preserve">, 8, 11493. </w:t>
      </w:r>
      <w:hyperlink r:id="rId37" w:history="1">
        <w:r w:rsidRPr="00982EEA">
          <w:rPr>
            <w:rStyle w:val="Hyperlink"/>
            <w:rFonts w:ascii="Times New Roman" w:hAnsi="Times New Roman" w:cs="Times New Roman"/>
            <w:sz w:val="20"/>
            <w:szCs w:val="20"/>
          </w:rPr>
          <w:t>https://doi.org/10.1038/s41598-017-14155-9</w:t>
        </w:r>
      </w:hyperlink>
    </w:p>
    <w:p w14:paraId="4444DAF8" w14:textId="77777777" w:rsidR="00011F0D" w:rsidRPr="009668D3" w:rsidRDefault="00011F0D" w:rsidP="002D21BC">
      <w:pPr>
        <w:spacing w:line="240" w:lineRule="auto"/>
        <w:jc w:val="both"/>
        <w:rPr>
          <w:rFonts w:ascii="Times New Roman" w:hAnsi="Times New Roman" w:cs="Times New Roman"/>
          <w:sz w:val="20"/>
          <w:szCs w:val="20"/>
        </w:rPr>
      </w:pPr>
    </w:p>
    <w:p w14:paraId="4CE0C6BB" w14:textId="359DE44D" w:rsidR="004E79BA" w:rsidRPr="009668D3" w:rsidRDefault="001212EC" w:rsidP="002D21BC">
      <w:pPr>
        <w:pStyle w:val="Caption"/>
        <w:jc w:val="both"/>
        <w:rPr>
          <w:rFonts w:ascii="Times New Roman" w:hAnsi="Times New Roman" w:cs="Times New Roman"/>
          <w:b/>
          <w:sz w:val="20"/>
          <w:szCs w:val="20"/>
        </w:rPr>
      </w:pPr>
      <w:r w:rsidRPr="009668D3">
        <w:rPr>
          <w:rFonts w:ascii="Times New Roman" w:hAnsi="Times New Roman" w:cs="Times New Roman"/>
          <w:b/>
          <w:sz w:val="20"/>
          <w:szCs w:val="20"/>
        </w:rPr>
        <w:t>Annex 1</w:t>
      </w:r>
      <w:r w:rsidR="004E79BA" w:rsidRPr="009668D3">
        <w:rPr>
          <w:rFonts w:ascii="Times New Roman" w:hAnsi="Times New Roman" w:cs="Times New Roman"/>
          <w:b/>
          <w:sz w:val="20"/>
          <w:szCs w:val="20"/>
        </w:rPr>
        <w:t>:</w:t>
      </w:r>
    </w:p>
    <w:p w14:paraId="21DAC3F3" w14:textId="36B7E8BD" w:rsidR="004B68F8" w:rsidRPr="009668D3" w:rsidRDefault="004B68F8" w:rsidP="002D21BC">
      <w:pPr>
        <w:pStyle w:val="Caption"/>
        <w:keepNext/>
        <w:jc w:val="both"/>
        <w:rPr>
          <w:rFonts w:ascii="Times New Roman" w:hAnsi="Times New Roman" w:cs="Times New Roman"/>
          <w:sz w:val="20"/>
          <w:szCs w:val="20"/>
        </w:rPr>
      </w:pPr>
      <w:r w:rsidRPr="009668D3">
        <w:rPr>
          <w:rFonts w:ascii="Times New Roman" w:hAnsi="Times New Roman" w:cs="Times New Roman"/>
          <w:sz w:val="20"/>
          <w:szCs w:val="20"/>
        </w:rPr>
        <w:t xml:space="preserve">Table S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Table_S \* ARABIC </w:instrText>
      </w:r>
      <w:r w:rsidRPr="009668D3">
        <w:rPr>
          <w:rFonts w:ascii="Times New Roman" w:hAnsi="Times New Roman" w:cs="Times New Roman"/>
          <w:sz w:val="20"/>
          <w:szCs w:val="20"/>
        </w:rPr>
        <w:fldChar w:fldCharType="separate"/>
      </w:r>
      <w:r w:rsidRPr="009668D3">
        <w:rPr>
          <w:rFonts w:ascii="Times New Roman" w:hAnsi="Times New Roman" w:cs="Times New Roman"/>
          <w:sz w:val="20"/>
          <w:szCs w:val="20"/>
        </w:rPr>
        <w:t>1</w:t>
      </w:r>
      <w:r w:rsidRPr="009668D3">
        <w:rPr>
          <w:rFonts w:ascii="Times New Roman" w:hAnsi="Times New Roman" w:cs="Times New Roman"/>
          <w:sz w:val="20"/>
          <w:szCs w:val="20"/>
        </w:rPr>
        <w:fldChar w:fldCharType="end"/>
      </w:r>
      <w:r w:rsidRPr="009668D3">
        <w:rPr>
          <w:rFonts w:ascii="Times New Roman" w:hAnsi="Times New Roman" w:cs="Times New Roman"/>
          <w:sz w:val="20"/>
          <w:szCs w:val="20"/>
        </w:rPr>
        <w:t>: Model parameters and their r</w:t>
      </w:r>
      <w:r w:rsidR="002524CC" w:rsidRPr="001E6700">
        <w:rPr>
          <w:rFonts w:ascii="Times New Roman" w:hAnsi="Times New Roman" w:cs="Times New Roman"/>
          <w:sz w:val="20"/>
          <w:szCs w:val="20"/>
        </w:rPr>
        <w:t>e</w:t>
      </w:r>
      <w:r w:rsidRPr="009668D3">
        <w:rPr>
          <w:rFonts w:ascii="Times New Roman" w:hAnsi="Times New Roman" w:cs="Times New Roman"/>
          <w:sz w:val="20"/>
          <w:szCs w:val="20"/>
        </w:rPr>
        <w:t>presentative phenologies</w:t>
      </w:r>
      <w:r w:rsidR="00C92F6D" w:rsidRPr="009668D3">
        <w:rPr>
          <w:rFonts w:ascii="Times New Roman" w:hAnsi="Times New Roman" w:cs="Times New Roman"/>
          <w:sz w:val="20"/>
          <w:szCs w:val="20"/>
        </w:rPr>
        <w:t xml:space="preserve">. A parameter that </w:t>
      </w:r>
      <w:r w:rsidR="002524CC" w:rsidRPr="001E6700">
        <w:rPr>
          <w:rFonts w:ascii="Times New Roman" w:hAnsi="Times New Roman" w:cs="Times New Roman"/>
          <w:sz w:val="20"/>
          <w:szCs w:val="20"/>
        </w:rPr>
        <w:t xml:space="preserve">is </w:t>
      </w:r>
      <w:r w:rsidR="00C92F6D" w:rsidRPr="009668D3">
        <w:rPr>
          <w:rFonts w:ascii="Times New Roman" w:hAnsi="Times New Roman" w:cs="Times New Roman"/>
          <w:sz w:val="20"/>
          <w:szCs w:val="20"/>
        </w:rPr>
        <w:t xml:space="preserve"> flagged with # shows a phenology that </w:t>
      </w:r>
      <w:r w:rsidR="00077094" w:rsidRPr="009668D3">
        <w:rPr>
          <w:rFonts w:ascii="Times New Roman" w:hAnsi="Times New Roman" w:cs="Times New Roman"/>
          <w:sz w:val="20"/>
          <w:szCs w:val="20"/>
        </w:rPr>
        <w:t>varies and</w:t>
      </w:r>
      <w:r w:rsidR="00C92F6D" w:rsidRPr="009668D3">
        <w:rPr>
          <w:rFonts w:ascii="Times New Roman" w:hAnsi="Times New Roman" w:cs="Times New Roman"/>
          <w:sz w:val="20"/>
          <w:szCs w:val="20"/>
        </w:rPr>
        <w:t xml:space="preserve"> has been considered for parameter space definition during Latin hypercube search.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3404"/>
        <w:gridCol w:w="1745"/>
        <w:gridCol w:w="2764"/>
      </w:tblGrid>
      <w:tr w:rsidR="007E63AA" w:rsidRPr="001E6700" w14:paraId="72FBC0F5"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7309760"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E2C37C8" w14:textId="6AD699D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 xml:space="preserve"> Phenology 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164E1CE"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Value / Range</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6374FC2"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Reference</w:t>
            </w:r>
          </w:p>
        </w:tc>
      </w:tr>
      <w:tr w:rsidR="004B68F8" w:rsidRPr="001E6700" w14:paraId="3DF22974"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F265E08" w14:textId="59283FCE"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Module 1: Within-Season Eco-Epidemic Dynamics</w:t>
            </w:r>
          </w:p>
        </w:tc>
      </w:tr>
      <w:tr w:rsidR="007E63AA" w:rsidRPr="001E6700" w14:paraId="7F22CB80"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2D2B19" w14:textId="2F59D62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b/>
                <w:sz w:val="20"/>
                <w:szCs w:val="20"/>
              </w:rPr>
              <w:t>β</w:t>
            </w:r>
            <w:r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DB1D65" w14:textId="48686A7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attack rate on susceptible larvae</w:t>
            </w:r>
            <w:r w:rsidR="00281A71" w:rsidRPr="001E6700">
              <w:rPr>
                <w:rFonts w:ascii="Times New Roman" w:eastAsia="Arial" w:hAnsi="Times New Roman" w:cs="Times New Roman"/>
                <w:sz w:val="20"/>
                <w:szCs w:val="20"/>
              </w:rPr>
              <w:t xml:space="preserve"> </w:t>
            </w:r>
            <w:r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03982F" w14:textId="68C8F580"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0.001</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 xml:space="preserve">0.005 ha fly⁻¹ day⁻¹ </w:t>
            </w:r>
            <w:r w:rsidR="00000000" w:rsidRPr="001E6700">
              <w:rPr>
                <w:rFonts w:ascii="Times New Roman" w:eastAsia="Arial" w:hAnsi="Times New Roman" w:cs="Times New Roman"/>
                <w:sz w:val="20"/>
                <w:szCs w:val="20"/>
              </w:rPr>
              <w:t>(calibrated baseline)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F243E1" w14:textId="49D0319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to 1</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 xml:space="preserve">5%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prevalence</w:t>
            </w:r>
            <w:r w:rsidR="007E63AA" w:rsidRPr="001E6700">
              <w:rPr>
                <w:rFonts w:ascii="Times New Roman" w:eastAsia="Arial" w:hAnsi="Times New Roman" w:cs="Times New Roman"/>
                <w:sz w:val="20"/>
                <w:szCs w:val="20"/>
              </w:rPr>
              <w:t xml:space="preserve"> with initial guess from</w:t>
            </w:r>
            <w:r w:rsidRPr="009668D3">
              <w:rPr>
                <w:rFonts w:ascii="Times New Roman" w:hAnsi="Times New Roman" w:cs="Times New Roman"/>
                <w:sz w:val="20"/>
                <w:szCs w:val="20"/>
              </w:rPr>
              <w:t xml:space="preserve"> cross-system tachinid proxy (Hawkins, 1994; Stireman et al., 2006)</w:t>
            </w:r>
          </w:p>
        </w:tc>
      </w:tr>
      <w:tr w:rsidR="007E63AA" w:rsidRPr="001E6700" w14:paraId="15F3989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E5F99D" w14:textId="2F66AE2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h</w:t>
            </w:r>
            <w:r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A5EFA7" w14:textId="69E4B03E"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handling</w:t>
            </w:r>
            <w:r w:rsidR="007E63AA" w:rsidRPr="001E6700">
              <w:rPr>
                <w:rFonts w:ascii="Times New Roman" w:eastAsia="Arial" w:hAnsi="Times New Roman" w:cs="Times New Roman"/>
                <w:sz w:val="20"/>
                <w:szCs w:val="20"/>
              </w:rPr>
              <w:t xml:space="preserve"> rate</w:t>
            </w:r>
            <w:r w:rsidR="002524CC" w:rsidRPr="009668D3">
              <w:rPr>
                <w:rFonts w:ascii="Times New Roman" w:hAnsi="Times New Roman" w:cs="Times New Roman"/>
                <w:sz w:val="20"/>
                <w:szCs w:val="20"/>
              </w:rPr>
              <w:t xml:space="preserve"> </w:t>
            </w:r>
            <w:r w:rsidRPr="009668D3">
              <w:rPr>
                <w:rFonts w:ascii="Times New Roman" w:hAnsi="Times New Roman" w:cs="Times New Roman"/>
                <w:sz w:val="20"/>
                <w:szCs w:val="20"/>
              </w:rPr>
              <w:t>parameter</w:t>
            </w:r>
            <w:r w:rsidR="002524CC" w:rsidRPr="001E6700">
              <w:rPr>
                <w:rFonts w:ascii="Times New Roman" w:eastAsia="Arial" w:hAnsi="Times New Roman" w:cs="Times New Roman"/>
                <w:sz w:val="20"/>
                <w:szCs w:val="20"/>
              </w:rPr>
              <w:t>, inverse of larval density per oviposition</w:t>
            </w:r>
            <w:r w:rsidR="00281A71" w:rsidRPr="001E6700">
              <w:rPr>
                <w:rFonts w:ascii="Times New Roman" w:eastAsia="Arial"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E797A2" w14:textId="380B103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0.01 ha larva⁻¹ (baseline: 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B1040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Structural uncertainty parameter; scenario prior</w:t>
            </w:r>
          </w:p>
        </w:tc>
      </w:tr>
      <w:tr w:rsidR="007E63AA" w:rsidRPr="001E6700" w14:paraId="1A8FBDC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2C1B6" w14:textId="142B4714" w:rsidR="004B68F8" w:rsidRPr="009668D3" w:rsidRDefault="00000000" w:rsidP="002D21BC">
            <w:pPr>
              <w:spacing w:before="20" w:after="20" w:line="240" w:lineRule="auto"/>
              <w:jc w:val="both"/>
              <w:rPr>
                <w:rFonts w:ascii="Times New Roman" w:hAnsi="Times New Roman" w:cs="Times New Roman"/>
                <w:sz w:val="20"/>
                <w:szCs w:val="20"/>
              </w:rPr>
            </w:pPr>
            <m:oMath>
              <m:sSub>
                <m:sSubPr>
                  <m:ctrlPr>
                    <w:rPr>
                      <w:rFonts w:ascii="Cambria Math" w:eastAsia="Arial" w:hAnsi="Cambria Math" w:cs="Times New Roman"/>
                      <w:i/>
                      <w:sz w:val="20"/>
                      <w:szCs w:val="20"/>
                    </w:rPr>
                  </m:ctrlPr>
                </m:sSubPr>
                <m:e>
                  <m:r>
                    <w:rPr>
                      <w:rFonts w:ascii="Cambria Math" w:eastAsia="Arial" w:hAnsi="Cambria Math" w:cs="Times New Roman"/>
                      <w:sz w:val="20"/>
                      <w:szCs w:val="20"/>
                    </w:rPr>
                    <m:t>c</m:t>
                  </m:r>
                </m:e>
                <m:sub>
                  <m:r>
                    <w:rPr>
                      <w:rFonts w:ascii="Cambria Math" w:eastAsia="Arial" w:hAnsi="Cambria Math" w:cs="Times New Roman"/>
                      <w:sz w:val="20"/>
                      <w:szCs w:val="20"/>
                    </w:rPr>
                    <m:t>B</m:t>
                  </m:r>
                </m:sub>
              </m:sSub>
            </m:oMath>
            <w:r w:rsidR="004B68F8"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3E3490" w14:textId="25E55922"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Per-unit bird</w:t>
            </w:r>
            <w:r w:rsidR="00C92F6D" w:rsidRPr="009668D3">
              <w:rPr>
                <w:rFonts w:ascii="Times New Roman" w:hAnsi="Times New Roman" w:cs="Times New Roman"/>
                <w:sz w:val="20"/>
                <w:szCs w:val="20"/>
              </w:rPr>
              <w:t xml:space="preserve"> predation </w:t>
            </w:r>
            <w:r w:rsidRPr="009668D3">
              <w:rPr>
                <w:rFonts w:ascii="Times New Roman" w:hAnsi="Times New Roman" w:cs="Times New Roman"/>
                <w:sz w:val="20"/>
                <w:szCs w:val="20"/>
              </w:rPr>
              <w:t xml:space="preserve">pressure </w:t>
            </w:r>
            <w:r w:rsidR="00000000" w:rsidRPr="001E6700">
              <w:rPr>
                <w:rFonts w:ascii="Times New Roman" w:eastAsia="Arial" w:hAnsi="Times New Roman" w:cs="Times New Roman"/>
                <w:sz w:val="20"/>
                <w:szCs w:val="20"/>
              </w:rPr>
              <w:t xml:space="preserve">consumption rate </w:t>
            </w:r>
            <w:r w:rsidRPr="009668D3">
              <w:rPr>
                <w:rFonts w:ascii="Times New Roman" w:hAnsi="Times New Roman" w:cs="Times New Roman"/>
                <w:sz w:val="20"/>
                <w:szCs w:val="20"/>
              </w:rPr>
              <w:t>on larvae</w:t>
            </w:r>
            <w:r w:rsidR="00000000" w:rsidRPr="001E6700">
              <w:rPr>
                <w:rFonts w:ascii="Times New Roman" w:eastAsia="Arial" w:hAnsi="Times New Roman" w:cs="Times New Roman"/>
                <w:sz w:val="20"/>
                <w:szCs w:val="20"/>
              </w:rPr>
              <w:t xml:space="preserve">; </w:t>
            </w:r>
            <w:r w:rsidR="00000000"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736328" w14:textId="082742C2" w:rsidR="004B68F8" w:rsidRPr="009668D3" w:rsidRDefault="002524CC"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0.0031</w:t>
            </w:r>
            <w:r w:rsidRPr="009668D3">
              <w:rPr>
                <w:rFonts w:ascii="Times New Roman" w:hAnsi="Times New Roman" w:cs="Times New Roman"/>
                <w:sz w:val="20"/>
                <w:szCs w:val="20"/>
              </w:rPr>
              <w:t xml:space="preserve"> </w:t>
            </w:r>
            <w:r w:rsidR="004B68F8" w:rsidRPr="009668D3">
              <w:rPr>
                <w:rFonts w:ascii="Times New Roman" w:hAnsi="Times New Roman" w:cs="Times New Roman"/>
                <w:sz w:val="20"/>
                <w:szCs w:val="20"/>
              </w:rPr>
              <w:t>ha pair⁻¹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AFF67C"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to match 3.1% daily predation rate on insect larvae (Remmel et al., 2011)</w:t>
            </w:r>
          </w:p>
        </w:tc>
      </w:tr>
      <w:tr w:rsidR="007E63AA" w:rsidRPr="001E6700" w14:paraId="538C8C0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6F4C43" w14:textId="2A529E28"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rPr>
                      <m:t>a</m:t>
                    </m:r>
                    <m:ctrlPr>
                      <w:rPr>
                        <w:rFonts w:ascii="Cambria Math" w:hAnsi="Cambria Math" w:cs="Times New Roman"/>
                        <w:i/>
                        <w:sz w:val="20"/>
                        <w:szCs w:val="20"/>
                      </w:rPr>
                    </m:ctrlPr>
                  </m:e>
                  <m:sub>
                    <m:r>
                      <w:rPr>
                        <w:rFonts w:ascii="Cambria Math" w:hAnsi="Cambria Math" w:cs="Times New Roman"/>
                        <w:sz w:val="20"/>
                        <w:szCs w:val="20"/>
                      </w:rPr>
                      <m:t>B</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3CD7431" w14:textId="597CE55D"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Bird half-saturation </w:t>
            </w:r>
            <w:r w:rsidR="00C92F6D" w:rsidRPr="009668D3">
              <w:rPr>
                <w:rFonts w:ascii="Times New Roman" w:hAnsi="Times New Roman" w:cs="Times New Roman"/>
                <w:sz w:val="20"/>
                <w:szCs w:val="20"/>
              </w:rPr>
              <w:t>parameter</w:t>
            </w:r>
            <w:r w:rsidR="00C447AE"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 xml:space="preserve"> controls how predation saturates with total larval density (S+I</w:t>
            </w:r>
            <w:r w:rsidRPr="001E6700">
              <w:rPr>
                <w:rFonts w:ascii="Times New Roman" w:eastAsia="Arial" w:hAnsi="Times New Roman" w:cs="Times New Roman"/>
                <w:sz w:val="20"/>
                <w:szCs w:val="20"/>
              </w:rPr>
              <w:t>)</w:t>
            </w:r>
            <w:r w:rsidR="00C447AE"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BEF4B14" w14:textId="02879CEC"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w:t>
            </w:r>
            <w:r w:rsidR="0092195B" w:rsidRPr="001E6700">
              <w:rPr>
                <w:rFonts w:ascii="Times New Roman" w:eastAsia="Arial" w:hAnsi="Times New Roman" w:cs="Times New Roman"/>
                <w:sz w:val="20"/>
                <w:szCs w:val="20"/>
              </w:rPr>
              <w:t>-</w:t>
            </w:r>
            <w:r w:rsidRPr="009668D3">
              <w:rPr>
                <w:rFonts w:ascii="Times New Roman" w:hAnsi="Times New Roman" w:cs="Times New Roman"/>
                <w:sz w:val="20"/>
                <w:szCs w:val="20"/>
              </w:rPr>
              <w:t>0.01 ha larva⁻¹ (baseline: 0.0001)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1FF87C" w14:textId="279BC06F" w:rsidR="004B68F8" w:rsidRPr="009668D3" w:rsidRDefault="009331A3"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Calibrated</w:t>
            </w:r>
          </w:p>
        </w:tc>
      </w:tr>
      <w:tr w:rsidR="007E63AA" w:rsidRPr="001E6700" w14:paraId="3E6071A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E5DB36" w14:textId="28EADA93"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17968F" w14:textId="5C74EA90"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Background mortality of susceptible larvae from causes other than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and bird predation. </w:t>
            </w:r>
            <w:r w:rsidR="00000000" w:rsidRPr="001E6700">
              <w:rPr>
                <w:rFonts w:ascii="Times New Roman" w:eastAsia="Arial" w:hAnsi="Times New Roman" w:cs="Times New Roman"/>
                <w:sz w:val="20"/>
                <w:szCs w:val="20"/>
              </w:rPr>
              <w:t>Phenology #5: decreased susceptible larval mortality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F7D406" w14:textId="4CCFAB1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0.01</w:t>
            </w:r>
            <w:r w:rsidR="00C447AE" w:rsidRPr="001E6700">
              <w:rPr>
                <w:rFonts w:ascii="Times New Roman" w:eastAsia="Arial" w:hAnsi="Times New Roman" w:cs="Times New Roman"/>
                <w:sz w:val="20"/>
                <w:szCs w:val="20"/>
              </w:rPr>
              <w:t>-</w:t>
            </w:r>
            <w:r w:rsidRPr="009668D3">
              <w:rPr>
                <w:rFonts w:ascii="Times New Roman" w:hAnsi="Times New Roman" w:cs="Times New Roman"/>
                <w:sz w:val="20"/>
                <w:szCs w:val="20"/>
              </w:rPr>
              <w:t>0.10 day⁻¹ (baseline: 0.04)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8DCF8F" w14:textId="55E33339"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chrysomelid larval mortality ranges (Cornell &amp; Hawkins, 1995</w:t>
            </w:r>
            <w:r w:rsidR="00000000" w:rsidRPr="001E6700">
              <w:rPr>
                <w:rFonts w:ascii="Times New Roman" w:eastAsia="Arial" w:hAnsi="Times New Roman" w:cs="Times New Roman"/>
                <w:sz w:val="20"/>
                <w:szCs w:val="20"/>
              </w:rPr>
              <w:t>); fungal mortality included</w:t>
            </w:r>
          </w:p>
        </w:tc>
      </w:tr>
      <w:tr w:rsidR="007E63AA" w:rsidRPr="001E6700" w14:paraId="356A176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F4B8D6" w14:textId="41E55C1C"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63A0D1" w14:textId="4C0D22C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Time-dependent targeted removal of larva</w:t>
            </w:r>
            <w:r w:rsidR="0059446B" w:rsidRPr="009668D3">
              <w:rPr>
                <w:rFonts w:ascii="Times New Roman" w:hAnsi="Times New Roman" w:cs="Times New Roman"/>
                <w:sz w:val="20"/>
                <w:szCs w:val="20"/>
              </w:rPr>
              <w:t>e</w:t>
            </w:r>
            <w:r w:rsidR="00000000"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1D38D0" w14:textId="170B7FE2" w:rsidR="004B68F8" w:rsidRPr="009668D3" w:rsidRDefault="00000000"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C</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193098" w14:textId="2F35AF2F" w:rsidR="004B68F8" w:rsidRPr="009668D3" w:rsidRDefault="00AF0A0F"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Management control </w:t>
            </w:r>
            <w:r w:rsidR="0059446B" w:rsidRPr="001E6700">
              <w:rPr>
                <w:rFonts w:ascii="Times New Roman" w:eastAsia="Arial" w:hAnsi="Times New Roman" w:cs="Times New Roman"/>
                <w:sz w:val="20"/>
                <w:szCs w:val="20"/>
              </w:rPr>
              <w:t>V</w:t>
            </w:r>
            <w:r w:rsidR="0059446B" w:rsidRPr="009668D3">
              <w:rPr>
                <w:rFonts w:ascii="Times New Roman" w:hAnsi="Times New Roman" w:cs="Times New Roman"/>
                <w:sz w:val="20"/>
                <w:szCs w:val="20"/>
              </w:rPr>
              <w:t>ariable</w:t>
            </w:r>
          </w:p>
        </w:tc>
      </w:tr>
      <w:tr w:rsidR="00B42F62" w:rsidRPr="001E6700" w14:paraId="263AFAF1" w14:textId="77777777" w:rsidTr="00077094">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119321" w14:textId="0FD2D3E5"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462D5C" w14:textId="2617B4F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Background</w:t>
            </w:r>
            <w:r w:rsidR="00C92F6D" w:rsidRPr="009668D3">
              <w:rPr>
                <w:rFonts w:ascii="Times New Roman" w:hAnsi="Times New Roman" w:cs="Times New Roman"/>
                <w:sz w:val="20"/>
                <w:szCs w:val="20"/>
              </w:rPr>
              <w:t>/</w:t>
            </w:r>
            <w:r w:rsidR="00AF0A0F" w:rsidRPr="001E6700">
              <w:rPr>
                <w:rFonts w:ascii="Times New Roman" w:eastAsia="Arial" w:hAnsi="Times New Roman" w:cs="Times New Roman"/>
                <w:sz w:val="20"/>
                <w:szCs w:val="20"/>
              </w:rPr>
              <w:t>baseline</w:t>
            </w:r>
            <w:r w:rsidRPr="009668D3">
              <w:rPr>
                <w:rFonts w:ascii="Times New Roman" w:hAnsi="Times New Roman" w:cs="Times New Roman"/>
                <w:sz w:val="20"/>
                <w:szCs w:val="20"/>
              </w:rPr>
              <w:t xml:space="preserve"> mortality of parasitised </w:t>
            </w:r>
            <w:r w:rsidR="00AF0A0F" w:rsidRPr="009668D3">
              <w:rPr>
                <w:rFonts w:ascii="Times New Roman" w:hAnsi="Times New Roman" w:cs="Times New Roman"/>
                <w:sz w:val="20"/>
                <w:szCs w:val="20"/>
              </w:rPr>
              <w:t>larvae</w:t>
            </w:r>
            <w:r w:rsidR="00000000" w:rsidRPr="001E6700">
              <w:rPr>
                <w:rFonts w:ascii="Times New Roman" w:eastAsia="Arial" w:hAnsi="Times New Roman" w:cs="Times New Roman"/>
                <w:sz w:val="20"/>
                <w:szCs w:val="20"/>
              </w:rPr>
              <w:t>; assumed slightly &gt; μ_S due to parasitoid physiological burden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46EA22" w14:textId="768600C1"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0.02</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0.12 day⁻¹ (baseline: 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90C74F" w14:textId="77777777" w:rsidR="004B68F8" w:rsidRPr="009668D3" w:rsidRDefault="004B68F8" w:rsidP="002D21BC">
            <w:pPr>
              <w:spacing w:before="20" w:after="20" w:line="240" w:lineRule="auto"/>
              <w:jc w:val="both"/>
              <w:rPr>
                <w:rFonts w:ascii="Times New Roman" w:hAnsi="Times New Roman" w:cs="Times New Roman"/>
                <w:sz w:val="20"/>
                <w:szCs w:val="20"/>
                <w:lang w:val="pt-PT"/>
              </w:rPr>
            </w:pPr>
            <w:r w:rsidRPr="009668D3">
              <w:rPr>
                <w:rFonts w:ascii="Times New Roman" w:hAnsi="Times New Roman" w:cs="Times New Roman"/>
                <w:sz w:val="20"/>
                <w:szCs w:val="20"/>
                <w:lang w:val="pt-PT"/>
              </w:rPr>
              <w:t xml:space="preserve">Scenario prior; assumed &gt; </w:t>
            </w:r>
            <w:r w:rsidRPr="009668D3">
              <w:rPr>
                <w:rFonts w:ascii="Times New Roman" w:hAnsi="Times New Roman" w:cs="Times New Roman"/>
                <w:sz w:val="20"/>
                <w:szCs w:val="20"/>
              </w:rPr>
              <w:t>μ</w:t>
            </w:r>
            <w:r w:rsidRPr="009668D3">
              <w:rPr>
                <w:rFonts w:ascii="Times New Roman" w:hAnsi="Times New Roman" w:cs="Times New Roman"/>
                <w:sz w:val="20"/>
                <w:szCs w:val="20"/>
                <w:lang w:val="pt-PT"/>
              </w:rPr>
              <w:t>_S</w:t>
            </w:r>
          </w:p>
        </w:tc>
      </w:tr>
      <w:tr w:rsidR="007E63AA" w:rsidRPr="001E6700" w14:paraId="514A1483"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9AFD7" w14:textId="0DD7DF95" w:rsidR="004B68F8" w:rsidRPr="009668D3" w:rsidRDefault="00000000"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δ</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19B9F19" w14:textId="488473EE"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emergence rate</w:t>
            </w:r>
            <w:r w:rsidR="00AF0A0F"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inverse of mean development time from infection to host death</w:t>
            </w:r>
            <w:r w:rsidR="00AF0A0F"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3373AC" w14:textId="1C60489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0.04</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0.14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E9756A" w14:textId="34CE1F4D"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Tachinid development</w:t>
            </w:r>
            <w:r w:rsidR="00AF0A0F" w:rsidRPr="009668D3">
              <w:rPr>
                <w:rFonts w:ascii="Times New Roman" w:hAnsi="Times New Roman" w:cs="Times New Roman"/>
                <w:sz w:val="20"/>
                <w:szCs w:val="20"/>
              </w:rPr>
              <w:t xml:space="preserve"> </w:t>
            </w:r>
            <w:r w:rsidR="00AF0A0F" w:rsidRPr="001E6700">
              <w:rPr>
                <w:rFonts w:ascii="Times New Roman" w:eastAsia="Arial" w:hAnsi="Times New Roman" w:cs="Times New Roman"/>
                <w:sz w:val="20"/>
                <w:szCs w:val="20"/>
              </w:rPr>
              <w:t>time</w:t>
            </w:r>
            <w:r w:rsidR="00AF0A0F" w:rsidRPr="009668D3">
              <w:rPr>
                <w:rFonts w:ascii="Times New Roman" w:hAnsi="Times New Roman" w:cs="Times New Roman"/>
                <w:sz w:val="20"/>
                <w:szCs w:val="20"/>
              </w:rPr>
              <w:t xml:space="preserve"> </w:t>
            </w:r>
            <w:r w:rsidRPr="009668D3">
              <w:rPr>
                <w:rFonts w:ascii="Times New Roman" w:hAnsi="Times New Roman" w:cs="Times New Roman"/>
                <w:sz w:val="20"/>
                <w:szCs w:val="20"/>
              </w:rPr>
              <w:t>on hosts (Hawkins, 1994; Stireman et al., 2006)</w:t>
            </w:r>
          </w:p>
        </w:tc>
      </w:tr>
      <w:tr w:rsidR="007E63AA" w:rsidRPr="001E6700" w14:paraId="4271DAA3"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01B77E" w14:textId="549E94CE" w:rsidR="004B68F8" w:rsidRPr="009668D3" w:rsidRDefault="00000000"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η</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E91558" w14:textId="5536088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Parasitoids produced per killed hos</w:t>
            </w:r>
            <w:r w:rsidR="00AF0A0F" w:rsidRPr="009668D3">
              <w:rPr>
                <w:rFonts w:ascii="Times New Roman" w:hAnsi="Times New Roman" w:cs="Times New Roman"/>
                <w:sz w:val="20"/>
                <w:szCs w:val="20"/>
              </w:rPr>
              <w:t>t</w:t>
            </w:r>
            <w:r w:rsidR="00000000" w:rsidRPr="001E6700">
              <w:rPr>
                <w:rFonts w:ascii="Times New Roman" w:eastAsia="Arial" w:hAnsi="Times New Roman" w:cs="Times New Roman"/>
                <w:sz w:val="20"/>
                <w:szCs w:val="20"/>
              </w:rPr>
              <w:t>; solitary endoparasitoid biology of M. mutabilis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E4B021" w14:textId="62BF7A4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0.4</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1.0 dimensionless (baseline: 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45AFB1" w14:textId="66C2CEA8" w:rsidR="004B68F8" w:rsidRPr="009668D3" w:rsidRDefault="00000000"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Solitary biology: </w:t>
            </w:r>
            <w:r w:rsidR="004B68F8" w:rsidRPr="009668D3">
              <w:rPr>
                <w:rFonts w:ascii="Times New Roman" w:hAnsi="Times New Roman" w:cs="Times New Roman"/>
                <w:sz w:val="20"/>
                <w:szCs w:val="20"/>
              </w:rPr>
              <w:t>1 parasitoid per host</w:t>
            </w:r>
            <w:r w:rsidR="00AF0A0F" w:rsidRPr="001E6700">
              <w:rPr>
                <w:rFonts w:ascii="Times New Roman" w:eastAsia="Arial" w:hAnsi="Times New Roman" w:cs="Times New Roman"/>
                <w:sz w:val="20"/>
                <w:szCs w:val="20"/>
              </w:rPr>
              <w:t xml:space="preserve"> and</w:t>
            </w:r>
            <w:r w:rsidR="004B68F8" w:rsidRPr="009668D3">
              <w:rPr>
                <w:rFonts w:ascii="Times New Roman" w:hAnsi="Times New Roman" w:cs="Times New Roman"/>
                <w:sz w:val="20"/>
                <w:szCs w:val="20"/>
              </w:rPr>
              <w:t xml:space="preserve"> developmental losses (Stireman et al., 2006)</w:t>
            </w:r>
          </w:p>
        </w:tc>
      </w:tr>
      <w:tr w:rsidR="007E63AA" w:rsidRPr="001E6700" w14:paraId="7B4106EC"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DD880B" w14:textId="525ECC7D" w:rsidR="004B68F8" w:rsidRPr="009668D3" w:rsidRDefault="00000000" w:rsidP="002D21BC">
            <w:pPr>
              <w:spacing w:before="20" w:after="20" w:line="240" w:lineRule="auto"/>
              <w:jc w:val="both"/>
              <w:rPr>
                <w:rFonts w:ascii="Times New Roman" w:hAnsi="Times New Roman" w:cs="Times New Roman"/>
                <w:sz w:val="20"/>
                <w:szCs w:val="20"/>
              </w:rPr>
            </w:pPr>
            <m:oMath>
              <m:sSub>
                <m:sSubPr>
                  <m:ctrlPr>
                    <w:rPr>
                      <w:rFonts w:ascii="Cambria Math" w:eastAsia="Arial" w:hAnsi="Cambria Math" w:cs="Times New Roman"/>
                      <w:i/>
                      <w:sz w:val="20"/>
                      <w:szCs w:val="20"/>
                    </w:rPr>
                  </m:ctrlPr>
                </m:sSubPr>
                <m:e>
                  <m:r>
                    <w:rPr>
                      <w:rFonts w:ascii="Cambria Math" w:eastAsia="Arial" w:hAnsi="Cambria Math" w:cs="Times New Roman"/>
                      <w:sz w:val="20"/>
                      <w:szCs w:val="20"/>
                    </w:rPr>
                    <m:t>μ</m:t>
                  </m:r>
                </m:e>
                <m:sub>
                  <m:r>
                    <w:rPr>
                      <w:rFonts w:ascii="Cambria Math" w:eastAsia="Arial" w:hAnsi="Cambria Math" w:cs="Times New Roman"/>
                      <w:sz w:val="20"/>
                      <w:szCs w:val="20"/>
                    </w:rPr>
                    <m:t>F</m:t>
                  </m:r>
                </m:sub>
              </m:sSub>
            </m:oMath>
            <w:r w:rsidR="004B68F8"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B8C5E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Adult parasitoid fly natural mortality rate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8CA901" w14:textId="19D7C722"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0.05</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0.15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3C316E" w14:textId="05FF102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tachinid adult longevity</w:t>
            </w:r>
            <w:r w:rsidR="00AF0A0F" w:rsidRPr="001E6700">
              <w:rPr>
                <w:rFonts w:ascii="Times New Roman" w:eastAsia="Arial" w:hAnsi="Times New Roman" w:cs="Times New Roman"/>
                <w:sz w:val="20"/>
                <w:szCs w:val="20"/>
              </w:rPr>
              <w:t xml:space="preserve"> + Calibrated</w:t>
            </w:r>
          </w:p>
        </w:tc>
      </w:tr>
      <w:tr w:rsidR="007E63AA" w:rsidRPr="001E6700" w14:paraId="5492DFB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B39442" w14:textId="59326BB1" w:rsidR="004B68F8" w:rsidRPr="009668D3" w:rsidRDefault="00000000" w:rsidP="002D21BC">
            <w:pPr>
              <w:spacing w:before="20" w:after="20" w:line="240" w:lineRule="auto"/>
              <w:jc w:val="both"/>
              <w:rPr>
                <w:rFonts w:ascii="Times New Roman" w:hAnsi="Times New Roman" w:cs="Times New Roman"/>
                <w:i/>
                <w:sz w:val="20"/>
                <w:szCs w:val="20"/>
                <w:lang w:val="en-GB"/>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lang w:val="en-GB"/>
                  </w:rPr>
                  <m:t>(</m:t>
                </m:r>
                <m:r>
                  <w:rPr>
                    <w:rFonts w:ascii="Cambria Math" w:hAnsi="Cambria Math" w:cs="Times New Roman"/>
                    <w:sz w:val="20"/>
                    <w:szCs w:val="20"/>
                    <w:lang w:val="en-GB"/>
                  </w:rPr>
                  <m:t>τ</m:t>
                </m:r>
                <m:r>
                  <w:rPr>
                    <w:rFonts w:ascii="Cambria Math" w:hAnsi="Cambria Math" w:cs="Times New Roman"/>
                    <w:sz w:val="20"/>
                    <w:szCs w:val="20"/>
                    <w:lang w:val="en-GB"/>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4B59A7" w14:textId="2684584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Time-dependent parasitoid augmentation rate</w:t>
            </w:r>
            <w:r w:rsidR="00000000"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BB45EB" w14:textId="7E5A5DEF" w:rsidR="004B68F8" w:rsidRPr="009668D3" w:rsidRDefault="00000000"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P</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flies ha⁻¹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7611B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control variable</w:t>
            </w:r>
          </w:p>
        </w:tc>
      </w:tr>
      <w:tr w:rsidR="007E63AA" w:rsidRPr="001E6700" w14:paraId="23611DB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9E4754" w14:textId="6BD28498" w:rsidR="004B68F8" w:rsidRPr="009668D3" w:rsidRDefault="00000000"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κ</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0232A0C" w14:textId="0635B548" w:rsidR="004B68F8" w:rsidRPr="009668D3" w:rsidRDefault="00AF0A0F"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Foraging rate per larva</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10E19A" w14:textId="55783A9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Scaled (individuals</w:t>
            </w:r>
            <w:r w:rsidR="00AF0A0F"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2ABC99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D_t ≈ 0.5 at typical outbreak densities (Dolch &amp; Tscharntke, 2000)</w:t>
            </w:r>
          </w:p>
        </w:tc>
      </w:tr>
      <w:tr w:rsidR="007E63AA" w:rsidRPr="001E6700" w14:paraId="4AE40B3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BCCA7E" w14:textId="7795B4D3" w:rsidR="004B68F8" w:rsidRPr="009668D3" w:rsidRDefault="00C92F6D" w:rsidP="002D21BC">
            <w:pPr>
              <w:spacing w:before="20" w:after="20" w:line="240" w:lineRule="auto"/>
              <w:jc w:val="both"/>
              <w:rPr>
                <w:rFonts w:ascii="Times New Roman" w:hAnsi="Times New Roman" w:cs="Times New Roman"/>
                <w:sz w:val="20"/>
                <w:szCs w:val="20"/>
              </w:rPr>
            </w:pPr>
            <m:oMathPara>
              <m:oMath>
                <m:r>
                  <m:rPr>
                    <m:sty m:val="p"/>
                  </m:rPr>
                  <w:rPr>
                    <w:rFonts w:ascii="Cambria Math" w:hAnsi="Cambria Math" w:cs="Times New Roman"/>
                    <w:sz w:val="20"/>
                    <w:szCs w:val="20"/>
                  </w:rPr>
                  <m:t>Τ</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B130A4" w14:textId="006C658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Duration of larval vulnerability window. </w:t>
            </w:r>
            <w:r w:rsidR="00000000" w:rsidRPr="001E6700">
              <w:rPr>
                <w:rFonts w:ascii="Times New Roman" w:eastAsia="Arial" w:hAnsi="Times New Roman" w:cs="Times New Roman"/>
                <w:sz w:val="20"/>
                <w:szCs w:val="20"/>
              </w:rPr>
              <w:t>Phenology #1: extended/shortened season length under warming climate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A400D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45–65 days (baseline: 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C1C65F" w14:textId="4F435638"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Univoltine phenology of </w:t>
            </w:r>
            <w:r w:rsidR="00E52495" w:rsidRPr="001E6700">
              <w:rPr>
                <w:rFonts w:ascii="Times New Roman" w:eastAsia="Arial" w:hAnsi="Times New Roman" w:cs="Times New Roman"/>
                <w:sz w:val="20"/>
                <w:szCs w:val="20"/>
              </w:rPr>
              <w:t xml:space="preserve">the </w:t>
            </w:r>
            <w:r w:rsidR="00066319" w:rsidRPr="009668D3">
              <w:rPr>
                <w:rFonts w:ascii="Times New Roman" w:hAnsi="Times New Roman" w:cs="Times New Roman"/>
                <w:sz w:val="20"/>
                <w:szCs w:val="20"/>
              </w:rPr>
              <w:t>Beetle</w:t>
            </w:r>
            <w:r w:rsidR="00E52495" w:rsidRPr="001E6700">
              <w:rPr>
                <w:rFonts w:ascii="Times New Roman" w:eastAsia="Arial" w:hAnsi="Times New Roman" w:cs="Times New Roman"/>
                <w:sz w:val="20"/>
                <w:szCs w:val="20"/>
              </w:rPr>
              <w:t xml:space="preserve"> reported in forestry reports</w:t>
            </w:r>
          </w:p>
        </w:tc>
      </w:tr>
      <w:tr w:rsidR="004B68F8" w:rsidRPr="001E6700" w14:paraId="1C86777B"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903679"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Module 2: Annual Recurrence Map (Equations 5–8)</w:t>
            </w:r>
          </w:p>
        </w:tc>
      </w:tr>
      <w:tr w:rsidR="007E63AA" w:rsidRPr="001E6700" w14:paraId="5AE4DDC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A27403" w14:textId="77E219D0"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C497820" w14:textId="3BEE986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Annual basic reproduction </w:t>
            </w:r>
            <w:r w:rsidR="00C92F6D" w:rsidRPr="009668D3">
              <w:rPr>
                <w:rFonts w:ascii="Times New Roman" w:hAnsi="Times New Roman" w:cs="Times New Roman"/>
                <w:sz w:val="20"/>
                <w:szCs w:val="20"/>
              </w:rPr>
              <w:t>rate/</w:t>
            </w:r>
            <w:r w:rsidRPr="009668D3">
              <w:rPr>
                <w:rFonts w:ascii="Times New Roman" w:hAnsi="Times New Roman" w:cs="Times New Roman"/>
                <w:sz w:val="20"/>
                <w:szCs w:val="20"/>
              </w:rPr>
              <w:t>ratio of the beetle</w:t>
            </w:r>
            <w:r w:rsidR="00ED1C26"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net fecundity after egg-to-adult survival</w:t>
            </w:r>
            <w:r w:rsidR="00ED1C26"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r w:rsidR="00ED1C26"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921FC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1.5–20 dimensionless (baseline: 14)</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5DA831D" w14:textId="4C40EC4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Clutch size 20–70 eggs per female (Sivrikaya et al., 2020);</w:t>
            </w:r>
            <w:r w:rsidR="00000000" w:rsidRPr="001E6700">
              <w:rPr>
                <w:rFonts w:ascii="Times New Roman" w:eastAsia="Arial" w:hAnsi="Times New Roman" w:cs="Times New Roman"/>
                <w:sz w:val="20"/>
                <w:szCs w:val="20"/>
              </w:rPr>
              <w:t xml:space="preserve"> net rate depends on overwinter survival</w:t>
            </w:r>
          </w:p>
        </w:tc>
      </w:tr>
      <w:tr w:rsidR="007E63AA" w:rsidRPr="001E6700" w14:paraId="3994D0C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1C1673" w14:textId="60F5B716"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95EB61" w14:textId="4D7DA38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Larva-to-adult overwintering survival of the beetle. </w:t>
            </w:r>
            <w:r w:rsidR="00000000" w:rsidRPr="001E6700">
              <w:rPr>
                <w:rFonts w:ascii="Times New Roman" w:eastAsia="Arial" w:hAnsi="Times New Roman" w:cs="Times New Roman"/>
                <w:sz w:val="20"/>
                <w:szCs w:val="20"/>
              </w:rPr>
              <w:t>Phenology #2: reduced winter severity (beetle)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73CB8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0.3–0.8 dimensionless (baseline: 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537AA4" w14:textId="01920F10" w:rsidR="004B68F8" w:rsidRPr="009668D3" w:rsidRDefault="004B68F8"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 </w:t>
            </w:r>
            <w:r w:rsidR="00ED1C26" w:rsidRPr="001E6700">
              <w:rPr>
                <w:rFonts w:ascii="Times New Roman" w:eastAsia="Arial" w:hAnsi="Times New Roman" w:cs="Times New Roman"/>
                <w:sz w:val="20"/>
                <w:szCs w:val="20"/>
              </w:rPr>
              <w:t>Calibrated</w:t>
            </w:r>
            <w:r w:rsidR="00ED1C26" w:rsidRPr="009668D3">
              <w:rPr>
                <w:rFonts w:ascii="Times New Roman" w:hAnsi="Times New Roman" w:cs="Times New Roman"/>
                <w:sz w:val="20"/>
                <w:szCs w:val="20"/>
              </w:rPr>
              <w:t xml:space="preserve"> </w:t>
            </w:r>
            <w:r w:rsidRPr="009668D3">
              <w:rPr>
                <w:rFonts w:ascii="Times New Roman" w:hAnsi="Times New Roman" w:cs="Times New Roman"/>
                <w:sz w:val="20"/>
                <w:szCs w:val="20"/>
              </w:rPr>
              <w:t>(Sivrikaya et al., 2020)</w:t>
            </w:r>
          </w:p>
        </w:tc>
      </w:tr>
      <w:tr w:rsidR="007E63AA" w:rsidRPr="001E6700" w14:paraId="4B0A616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D1B1F8B" w14:textId="6958DE12"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495CD85" w14:textId="114C377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Parasitoid overwinter survival (tachinid puparia). </w:t>
            </w:r>
            <w:r w:rsidR="00000000" w:rsidRPr="001E6700">
              <w:rPr>
                <w:rFonts w:ascii="Times New Roman" w:eastAsia="Arial" w:hAnsi="Times New Roman" w:cs="Times New Roman"/>
                <w:sz w:val="20"/>
                <w:szCs w:val="20"/>
              </w:rPr>
              <w:t>Phenology #3: reduced winter severity (parasitoid)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FA3FB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0.1–0.4 dimensionless (baseline: 0.2)</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86BCFA9" w14:textId="71ECD899"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tachinid puparia survival</w:t>
            </w:r>
            <w:r w:rsidR="00ED1C26" w:rsidRPr="001E6700">
              <w:rPr>
                <w:rFonts w:ascii="Times New Roman" w:eastAsia="Arial" w:hAnsi="Times New Roman" w:cs="Times New Roman"/>
                <w:sz w:val="20"/>
                <w:szCs w:val="20"/>
              </w:rPr>
              <w:t xml:space="preserve"> calibrated</w:t>
            </w:r>
          </w:p>
        </w:tc>
      </w:tr>
      <w:tr w:rsidR="007E63AA" w:rsidRPr="001E6700" w14:paraId="1FCF4B0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48AD66" w14:textId="6F1ACE38" w:rsidR="004B68F8" w:rsidRPr="009668D3" w:rsidRDefault="00000000" w:rsidP="002D21BC">
            <w:pPr>
              <w:spacing w:before="20" w:after="20" w:line="240" w:lineRule="auto"/>
              <w:jc w:val="both"/>
              <w:rPr>
                <w:rFonts w:ascii="Times New Roman" w:hAnsi="Times New Roman" w:cs="Times New Roman"/>
                <w:sz w:val="20"/>
                <w:szCs w:val="20"/>
              </w:rPr>
            </w:pPr>
            <m:oMath>
              <m:sSubSup>
                <m:sSubSupPr>
                  <m:ctrlPr>
                    <w:rPr>
                      <w:rFonts w:ascii="Cambria Math" w:eastAsia="Arial" w:hAnsi="Cambria Math" w:cs="Times New Roman"/>
                      <w:b/>
                      <w:bCs/>
                      <w:i/>
                      <w:sz w:val="20"/>
                      <w:szCs w:val="20"/>
                    </w:rPr>
                  </m:ctrlPr>
                </m:sSubSupPr>
                <m:e>
                  <m:r>
                    <m:rPr>
                      <m:sty m:val="bi"/>
                    </m:rPr>
                    <w:rPr>
                      <w:rFonts w:ascii="Cambria Math" w:eastAsia="Arial" w:hAnsi="Cambria Math" w:cs="Times New Roman"/>
                      <w:sz w:val="20"/>
                      <w:szCs w:val="20"/>
                    </w:rPr>
                    <m:t>B</m:t>
                  </m:r>
                </m:e>
                <m:sub>
                  <m:r>
                    <m:rPr>
                      <m:sty m:val="bi"/>
                    </m:rPr>
                    <w:rPr>
                      <w:rFonts w:ascii="Cambria Math" w:eastAsia="Arial" w:hAnsi="Cambria Math" w:cs="Times New Roman"/>
                      <w:sz w:val="20"/>
                      <w:szCs w:val="20"/>
                      <w:vertAlign w:val="subscript"/>
                    </w:rPr>
                    <m:t>t</m:t>
                  </m:r>
                  <m:ctrlPr>
                    <w:rPr>
                      <w:rFonts w:ascii="Cambria Math" w:eastAsia="Arial" w:hAnsi="Cambria Math" w:cs="Times New Roman"/>
                      <w:b/>
                      <w:bCs/>
                      <w:i/>
                      <w:sz w:val="20"/>
                      <w:szCs w:val="20"/>
                      <w:vertAlign w:val="subscript"/>
                    </w:rPr>
                  </m:ctrlPr>
                </m:sub>
                <m:sup>
                  <m:r>
                    <w:rPr>
                      <w:rFonts w:ascii="Cambria Math" w:eastAsia="Arial" w:hAnsi="Cambria Math" w:cs="Times New Roman"/>
                      <w:sz w:val="20"/>
                      <w:szCs w:val="20"/>
                      <w:vertAlign w:val="superscript"/>
                    </w:rPr>
                    <m:t>index</m:t>
                  </m:r>
                  <m:ctrlPr>
                    <w:rPr>
                      <w:rFonts w:ascii="Cambria Math" w:eastAsia="Arial" w:hAnsi="Cambria Math" w:cs="Times New Roman"/>
                      <w:b/>
                      <w:bCs/>
                      <w:i/>
                      <w:sz w:val="20"/>
                      <w:szCs w:val="20"/>
                      <w:vertAlign w:val="subscript"/>
                    </w:rPr>
                  </m:ctrlPr>
                </m:sup>
              </m:sSubSup>
            </m:oMath>
            <w:r w:rsidR="000F6251" w:rsidRPr="001E6700">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31063C" w14:textId="72662D3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Baseline generalist passerine bird pressure index. </w:t>
            </w:r>
            <w:r w:rsidR="00000000" w:rsidRPr="001E6700">
              <w:rPr>
                <w:rFonts w:ascii="Times New Roman" w:eastAsia="Arial" w:hAnsi="Times New Roman" w:cs="Times New Roman"/>
                <w:sz w:val="20"/>
                <w:szCs w:val="20"/>
              </w:rPr>
              <w:t>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C9000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0.5–2.0 pairs ha⁻¹ (baseline: 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12799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PECBMS annual forest bird indices; great tit ~1.1–1.4 pairs ha⁻¹ in Central European floodplain (Gregory et al., 2007)</w:t>
            </w:r>
          </w:p>
        </w:tc>
      </w:tr>
      <w:tr w:rsidR="007E63AA" w:rsidRPr="001E6700" w14:paraId="7813478B"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F3093" w14:textId="54E135A0" w:rsidR="004B68F8" w:rsidRPr="009668D3" w:rsidRDefault="00000000" w:rsidP="002D21BC">
            <w:pPr>
              <w:spacing w:before="20" w:after="20" w:line="240" w:lineRule="auto"/>
              <w:jc w:val="both"/>
              <w:rPr>
                <w:rFonts w:ascii="Times New Roman" w:hAnsi="Times New Roman" w:cs="Times New Roman"/>
                <w:sz w:val="20"/>
                <w:szCs w:val="20"/>
              </w:rPr>
            </w:pPr>
            <m:oMathPara>
              <m:oMath>
                <m:r>
                  <m:rPr>
                    <m:sty m:val="b"/>
                  </m:rPr>
                  <w:rPr>
                    <w:rFonts w:ascii="Cambria Math" w:eastAsia="Arial" w:hAnsi="Cambria Math" w:cs="Times New Roman"/>
                    <w:sz w:val="20"/>
                    <w:szCs w:val="20"/>
                  </w:rPr>
                  <w:lastRenderedPageBreak/>
                  <m:t>ξ</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77651A" w14:textId="5EE64B0F" w:rsidR="004B68F8" w:rsidRPr="009668D3" w:rsidRDefault="00000000"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Scales </w:t>
            </w:r>
            <w:r w:rsidR="00FE0858">
              <w:rPr>
                <w:rFonts w:ascii="Times New Roman" w:eastAsia="Arial" w:hAnsi="Times New Roman" w:cs="Times New Roman"/>
                <w:sz w:val="20"/>
                <w:szCs w:val="20"/>
              </w:rPr>
              <w:t xml:space="preserve">the </w:t>
            </w:r>
            <w:r w:rsidR="004B68F8" w:rsidRPr="009668D3">
              <w:rPr>
                <w:rFonts w:ascii="Times New Roman" w:hAnsi="Times New Roman" w:cs="Times New Roman"/>
                <w:sz w:val="20"/>
                <w:szCs w:val="20"/>
              </w:rPr>
              <w:t xml:space="preserve">bird-habitat management effort </w:t>
            </w:r>
            <w:r w:rsidR="003629FE" w:rsidRPr="009668D3">
              <w:rPr>
                <w:rFonts w:ascii="Times New Roman" w:hAnsi="Times New Roman" w:cs="Times New Roman"/>
                <w:sz w:val="20"/>
                <w:szCs w:val="20"/>
              </w:rPr>
              <w:t xml:space="preserve">to </w:t>
            </w:r>
            <w:r w:rsidRPr="001E6700">
              <w:rPr>
                <w:rFonts w:ascii="Times New Roman" w:eastAsia="Arial" w:hAnsi="Times New Roman" w:cs="Times New Roman"/>
                <w:sz w:val="20"/>
                <w:szCs w:val="20"/>
              </w:rPr>
              <w:t>its effect on</w:t>
            </w:r>
            <w:r w:rsidR="004B68F8" w:rsidRPr="009668D3">
              <w:rPr>
                <w:rFonts w:ascii="Times New Roman" w:hAnsi="Times New Roman" w:cs="Times New Roman"/>
                <w:sz w:val="20"/>
                <w:szCs w:val="20"/>
              </w:rPr>
              <w:t xml:space="preserve"> local bird density</w:t>
            </w:r>
            <w:r w:rsidR="003629FE" w:rsidRPr="001E6700">
              <w:rPr>
                <w:rFonts w:ascii="Times New Roman" w:eastAsia="Arial" w:hAnsi="Times New Roman" w:cs="Times New Roman"/>
                <w:sz w:val="20"/>
                <w:szCs w:val="20"/>
              </w:rPr>
              <w:t xml:space="preserve"> change scaler</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F6E46E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Scenario-dependent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A3B994" w14:textId="64874600"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Nest-box provisioning effect (Mols &amp; Visser, 2002</w:t>
            </w:r>
            <w:r w:rsidR="00000000" w:rsidRPr="001E6700">
              <w:rPr>
                <w:rFonts w:ascii="Times New Roman" w:eastAsia="Arial" w:hAnsi="Times New Roman" w:cs="Times New Roman"/>
                <w:sz w:val="20"/>
                <w:szCs w:val="20"/>
              </w:rPr>
              <w:t>); exact value for FFH 91E0 not quantified</w:t>
            </w:r>
          </w:p>
        </w:tc>
      </w:tr>
      <w:tr w:rsidR="007E63AA" w:rsidRPr="001E6700" w14:paraId="7E5ECC94"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AC851A" w14:textId="1CB5FEB4"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r>
                  <w:rPr>
                    <w:rFonts w:ascii="Cambria Math" w:hAnsi="Cambria Math" w:cs="Times New Roman"/>
                    <w:sz w:val="20"/>
                    <w:szCs w:val="20"/>
                  </w:rPr>
                  <m:t>(</m:t>
                </m:r>
                <m:r>
                  <w:rPr>
                    <w:rFonts w:ascii="Cambria Math" w:hAnsi="Cambria Math" w:cs="Times New Roman"/>
                    <w:sz w:val="20"/>
                    <w:szCs w:val="20"/>
                  </w:rPr>
                  <m:t>t</m:t>
                </m:r>
                <m:r>
                  <w:rPr>
                    <w:rFonts w:ascii="Cambria Math" w:hAnsi="Cambria Math" w:cs="Times New Roman"/>
                    <w:sz w:val="20"/>
                    <w:szCs w:val="20"/>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7AF59B" w14:textId="16346B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Annual bird-habitat enhancement</w:t>
            </w:r>
            <w:r w:rsidR="00000000"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2D403B" w14:textId="0CF8F5A4" w:rsidR="004B68F8" w:rsidRPr="009668D3" w:rsidRDefault="00000000"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B</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05FA4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control variable</w:t>
            </w:r>
          </w:p>
        </w:tc>
      </w:tr>
      <w:tr w:rsidR="007E63AA" w:rsidRPr="001E6700" w14:paraId="7CD4DAE4"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DB4DB8" w14:textId="23C90171"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Κ</m:t>
                    </m:r>
                  </m:e>
                  <m:sub>
                    <m:r>
                      <w:rPr>
                        <w:rFonts w:ascii="Cambria Math" w:hAnsi="Cambria Math" w:cs="Times New Roman"/>
                        <w:sz w:val="20"/>
                        <w:szCs w:val="20"/>
                      </w:rPr>
                      <m:t>0</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413A60"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Undamaged baseline carrying capacity of beetle (fully recovered canopy)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6946FE"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Scenario-dependent scaled larvae ha⁻¹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D58179"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ICP Forests Level I network (Ferretti et al., 2021)</w:t>
            </w:r>
          </w:p>
        </w:tc>
      </w:tr>
      <w:tr w:rsidR="007E63AA" w:rsidRPr="001E6700" w14:paraId="560E6BA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DE582A" w14:textId="19DB8012" w:rsidR="004B68F8" w:rsidRPr="009668D3" w:rsidRDefault="00000000" w:rsidP="002D21BC">
            <w:pPr>
              <w:spacing w:before="20" w:after="20" w:line="240" w:lineRule="auto"/>
              <w:jc w:val="both"/>
              <w:rPr>
                <w:rFonts w:ascii="Times New Roman" w:hAnsi="Times New Roman" w:cs="Times New Roman"/>
                <w:sz w:val="20"/>
                <w:szCs w:val="20"/>
              </w:rPr>
            </w:pPr>
            <m:oMathPara>
              <m:oMath>
                <m:r>
                  <m:rPr>
                    <m:sty m:val="b"/>
                  </m:rPr>
                  <w:rPr>
                    <w:rFonts w:ascii="Cambria Math" w:eastAsia="Arial" w:hAnsi="Cambria Math" w:cs="Times New Roman"/>
                    <w:sz w:val="20"/>
                    <w:szCs w:val="20"/>
                  </w:rPr>
                  <m:t>φ</m:t>
                </m:r>
                <m:r>
                  <m:rPr>
                    <m:sty m:val="p"/>
                  </m:rPr>
                  <w:rPr>
                    <w:rFonts w:ascii="Cambria Math" w:eastAsia="Arial" w:hAnsi="Cambria Math" w:cs="Times New Roman"/>
                    <w:sz w:val="20"/>
                    <w:szCs w:val="20"/>
                  </w:rPr>
                  <m:t xml:space="preserve"> </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E8F622" w14:textId="139579A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Damage-to-capacity penalty</w:t>
            </w:r>
            <w:r w:rsidRPr="001E6700">
              <w:rPr>
                <w:rFonts w:ascii="Times New Roman" w:eastAsia="Arial" w:hAnsi="Times New Roman" w:cs="Times New Roman"/>
                <w:sz w:val="20"/>
                <w:szCs w:val="20"/>
              </w:rPr>
              <w:t xml:space="preserve"> </w:t>
            </w:r>
            <w:r w:rsidR="003629FE" w:rsidRPr="001E6700">
              <w:rPr>
                <w:rFonts w:ascii="Times New Roman" w:eastAsia="Arial" w:hAnsi="Times New Roman" w:cs="Times New Roman"/>
                <w:sz w:val="20"/>
                <w:szCs w:val="20"/>
              </w:rPr>
              <w:t>(</w:t>
            </w:r>
            <w:r w:rsidRPr="009668D3">
              <w:rPr>
                <w:rFonts w:ascii="Times New Roman" w:hAnsi="Times New Roman" w:cs="Times New Roman"/>
                <w:sz w:val="20"/>
                <w:szCs w:val="20"/>
              </w:rPr>
              <w:t>accumulated phytochemical defence feedback</w:t>
            </w:r>
            <w:r w:rsidR="003629FE"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375D0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0.001–0.05 dimensionless (baseline: 0.01)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F7C35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0.9% growth loss per 1% defoliation (Ferretti et al., 2021); induced resistance ~133 days (Dolch &amp; Tscharntke, 2000)</w:t>
            </w:r>
          </w:p>
        </w:tc>
      </w:tr>
      <w:tr w:rsidR="004B68F8" w:rsidRPr="001E6700" w14:paraId="1ED059CD"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44A73C"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Objective Function and Control Bounds (Equation 9)</w:t>
            </w:r>
          </w:p>
        </w:tc>
      </w:tr>
      <w:tr w:rsidR="007E63AA" w:rsidRPr="001E6700" w14:paraId="04EE582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A11DF5F" w14:textId="09FB98DF"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B31E72"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Weight on within-season running defoliation damage D(τ)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3DA9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05071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4508B047"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B86C44" w14:textId="5116CB15"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1E4AF7"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Weight on susceptible larval density S(τ)</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2EAC8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9DF690"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1F9CC9C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5F75F2" w14:textId="437B940B"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3CC32B" w14:textId="3B3DEFA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Weight on terminal (end-of-season) damage </w:t>
            </w:r>
            <m:oMath>
              <m:sSub>
                <m:sSubPr>
                  <m:ctrlPr>
                    <w:rPr>
                      <w:rFonts w:ascii="Cambria Math" w:eastAsia="Arial" w:hAnsi="Cambria Math" w:cs="Times New Roman"/>
                      <w:i/>
                      <w:sz w:val="20"/>
                      <w:szCs w:val="20"/>
                    </w:rPr>
                  </m:ctrlPr>
                </m:sSubPr>
                <m:e>
                  <m:r>
                    <w:rPr>
                      <w:rFonts w:ascii="Cambria Math" w:eastAsia="Arial" w:hAnsi="Cambria Math" w:cs="Times New Roman"/>
                      <w:sz w:val="20"/>
                      <w:szCs w:val="20"/>
                    </w:rPr>
                    <m:t>D</m:t>
                  </m:r>
                </m:e>
                <m:sub>
                  <m:r>
                    <w:rPr>
                      <w:rFonts w:ascii="Cambria Math" w:eastAsia="Arial" w:hAnsi="Cambria Math" w:cs="Times New Roman"/>
                      <w:sz w:val="20"/>
                      <w:szCs w:val="20"/>
                    </w:rPr>
                    <m:t>t</m:t>
                  </m:r>
                </m:sub>
              </m:sSub>
            </m:oMath>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182502"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50962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73A26DE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F6BECC" w14:textId="34960A9A"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02859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Unit cost of parasitoid augmentation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CB671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3DCB0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7E63AA" w:rsidRPr="001E6700" w14:paraId="65FE425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6051FA" w14:textId="52E074D1"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35A9E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Unit cost of targeted larval removal</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C2F03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86086E"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7E63AA" w:rsidRPr="001E6700" w14:paraId="4DD1C01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50B41" w14:textId="601FF9B7"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r>
                      <w:rPr>
                        <w:rFonts w:ascii="Cambria Math" w:hAnsi="Cambria Math" w:cs="Times New Roman"/>
                        <w:sz w:val="20"/>
                        <w:szCs w:val="20"/>
                      </w:rPr>
                      <m:t>,</m:t>
                    </m:r>
                    <m:r>
                      <w:rPr>
                        <w:rFonts w:ascii="Cambria Math" w:hAnsi="Cambria Math" w:cs="Times New Roman"/>
                        <w:sz w:val="20"/>
                        <w:szCs w:val="20"/>
                      </w:rPr>
                      <m:t>cost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CDA72A" w14:textId="1D61B8A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Unit cost of bird-habitat conservation. </w:t>
            </w:r>
            <w:r w:rsidR="00000000" w:rsidRPr="001E6700">
              <w:rPr>
                <w:rFonts w:ascii="Times New Roman" w:eastAsia="Arial" w:hAnsi="Times New Roman" w:cs="Times New Roman"/>
                <w:sz w:val="20"/>
                <w:szCs w:val="20"/>
              </w:rPr>
              <w:t>Note: distinct from c_B (bird foraging rate in ODEs)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92B4F9"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358F9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4B68F8" w:rsidRPr="001E6700" w14:paraId="098AB2F8"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C2E2FD"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Stability Analysis Thresholds</w:t>
            </w:r>
          </w:p>
        </w:tc>
      </w:tr>
      <w:tr w:rsidR="007E63AA" w:rsidRPr="001E6700" w14:paraId="5C1075AC"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008A45" w14:textId="4DE00C88"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D</m:t>
                    </m:r>
                    <m:ctrlPr>
                      <w:rPr>
                        <w:rFonts w:ascii="Cambria Math" w:hAnsi="Cambria Math" w:cs="Times New Roman"/>
                        <w:i/>
                        <w:sz w:val="20"/>
                        <w:szCs w:val="20"/>
                      </w:rPr>
                    </m:ctrlPr>
                  </m:e>
                  <m:sub>
                    <m:r>
                      <m:rPr>
                        <m:sty m:val="p"/>
                      </m:rPr>
                      <w:rPr>
                        <w:rFonts w:ascii="Cambria Math" w:hAnsi="Cambria Math" w:cs="Times New Roman"/>
                        <w:sz w:val="20"/>
                        <w:szCs w:val="20"/>
                      </w:rPr>
                      <m:t>crit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C5500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Functional damage threshold for canopy viability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9CC8E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0.50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D3C3EF"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50% seasonal defoliation threshold (Ferretti et al., 2021)</w:t>
            </w:r>
          </w:p>
        </w:tc>
      </w:tr>
      <w:tr w:rsidR="007E63AA" w:rsidRPr="001E6700" w14:paraId="31C8501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7F3D1E" w14:textId="6500F0F5" w:rsidR="004B68F8" w:rsidRPr="009668D3" w:rsidRDefault="00000000"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Κ</m:t>
                    </m:r>
                    <m:ctrlPr>
                      <w:rPr>
                        <w:rFonts w:ascii="Cambria Math" w:hAnsi="Cambria Math" w:cs="Times New Roman"/>
                        <w:sz w:val="20"/>
                        <w:szCs w:val="20"/>
                      </w:rPr>
                    </m:ctrlPr>
                  </m:e>
                  <m:sub>
                    <m:r>
                      <w:rPr>
                        <w:rFonts w:ascii="Cambria Math" w:hAnsi="Cambria Math" w:cs="Times New Roman"/>
                        <w:sz w:val="20"/>
                        <w:szCs w:val="20"/>
                      </w:rPr>
                      <m:t>min</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58AED7"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Minimum acceptable carrying capacity for persistent canopy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38738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 K₀ scaled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B5D565" w14:textId="77777777" w:rsidR="004B68F8" w:rsidRPr="009668D3" w:rsidRDefault="004B68F8" w:rsidP="002D21BC">
            <w:pPr>
              <w:keepNext/>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threshold for persistent canopy degradation</w:t>
            </w:r>
          </w:p>
        </w:tc>
      </w:tr>
    </w:tbl>
    <w:p w14:paraId="498C1D00" w14:textId="77777777" w:rsidR="004B68F8" w:rsidRPr="009668D3" w:rsidRDefault="004B68F8" w:rsidP="002D21BC">
      <w:pPr>
        <w:spacing w:line="240" w:lineRule="auto"/>
        <w:jc w:val="both"/>
        <w:rPr>
          <w:rFonts w:ascii="Times New Roman" w:hAnsi="Times New Roman" w:cs="Times New Roman"/>
          <w:sz w:val="20"/>
          <w:szCs w:val="20"/>
        </w:rPr>
      </w:pPr>
    </w:p>
    <w:p w14:paraId="3FB8996A" w14:textId="39F85602"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References</w:t>
      </w:r>
    </w:p>
    <w:p w14:paraId="3B0B8CE2" w14:textId="7028C4BD"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Cornell, H. V., &amp; Hawkins, B. A. (1995). Survival patterns and mortality sources of herbivorous insects: Some demographic trends. </w:t>
      </w:r>
      <w:r w:rsidRPr="009668D3">
        <w:rPr>
          <w:rFonts w:ascii="Times New Roman" w:hAnsi="Times New Roman" w:cs="Times New Roman"/>
          <w:i/>
          <w:sz w:val="20"/>
          <w:szCs w:val="20"/>
        </w:rPr>
        <w:t>The American Naturalist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145</w:t>
      </w:r>
      <w:r w:rsidRPr="009668D3">
        <w:rPr>
          <w:rFonts w:ascii="Times New Roman" w:hAnsi="Times New Roman" w:cs="Times New Roman"/>
          <w:sz w:val="20"/>
          <w:szCs w:val="20"/>
        </w:rPr>
        <w:t xml:space="preserve">(4), 563–593. </w:t>
      </w:r>
      <w:hyperlink r:id="rId38" w:history="1">
        <w:r w:rsidRPr="001E6700">
          <w:rPr>
            <w:rStyle w:val="Hyperlink"/>
            <w:rFonts w:ascii="Times New Roman" w:hAnsi="Times New Roman" w:cs="Times New Roman"/>
            <w:sz w:val="20"/>
            <w:szCs w:val="20"/>
          </w:rPr>
          <w:t>https://doi.org/10.1086/285756</w:t>
        </w:r>
      </w:hyperlink>
    </w:p>
    <w:p w14:paraId="45287C30" w14:textId="6710696A"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Dolch, R., &amp; Tscharntke, T. (2000). Defoliation of alders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affects herbivory by leaf beetles on undamaged neighbours. </w:t>
      </w:r>
      <w:r w:rsidRPr="009668D3">
        <w:rPr>
          <w:rFonts w:ascii="Times New Roman" w:hAnsi="Times New Roman" w:cs="Times New Roman"/>
          <w:i/>
          <w:sz w:val="20"/>
          <w:szCs w:val="20"/>
        </w:rPr>
        <w:t>Oecologia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125</w:t>
      </w:r>
      <w:r w:rsidRPr="009668D3">
        <w:rPr>
          <w:rFonts w:ascii="Times New Roman" w:hAnsi="Times New Roman" w:cs="Times New Roman"/>
          <w:sz w:val="20"/>
          <w:szCs w:val="20"/>
        </w:rPr>
        <w:t xml:space="preserve">(4), 504–511. </w:t>
      </w:r>
      <w:hyperlink r:id="rId39" w:history="1">
        <w:r w:rsidRPr="001E6700">
          <w:rPr>
            <w:rStyle w:val="Hyperlink"/>
            <w:rFonts w:ascii="Times New Roman" w:hAnsi="Times New Roman" w:cs="Times New Roman"/>
            <w:sz w:val="20"/>
            <w:szCs w:val="20"/>
          </w:rPr>
          <w:t>https://doi.org/10.1007/s004420000482</w:t>
        </w:r>
      </w:hyperlink>
    </w:p>
    <w:p w14:paraId="3D311F38" w14:textId="7BA8F0E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Ferretti, M., et al. (2021). Tree canopy defoliation can reveal growth decline in European forests. </w:t>
      </w:r>
      <w:r w:rsidRPr="009668D3">
        <w:rPr>
          <w:rFonts w:ascii="Times New Roman" w:hAnsi="Times New Roman" w:cs="Times New Roman"/>
          <w:i/>
          <w:sz w:val="20"/>
          <w:szCs w:val="20"/>
        </w:rPr>
        <w:t>Science of the Total Environment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770</w:t>
      </w:r>
      <w:r w:rsidRPr="009668D3">
        <w:rPr>
          <w:rFonts w:ascii="Times New Roman" w:hAnsi="Times New Roman" w:cs="Times New Roman"/>
          <w:sz w:val="20"/>
          <w:szCs w:val="20"/>
        </w:rPr>
        <w:t xml:space="preserve">, 145370. </w:t>
      </w:r>
      <w:hyperlink r:id="rId40" w:history="1">
        <w:r w:rsidRPr="001E6700">
          <w:rPr>
            <w:rStyle w:val="Hyperlink"/>
            <w:rFonts w:ascii="Times New Roman" w:hAnsi="Times New Roman" w:cs="Times New Roman"/>
            <w:sz w:val="20"/>
            <w:szCs w:val="20"/>
          </w:rPr>
          <w:t>https://doi.org/10.1016/j.scitotenv.2021.145370</w:t>
        </w:r>
      </w:hyperlink>
    </w:p>
    <w:p w14:paraId="208782C2" w14:textId="1B2FCA1B"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Gregory, R. D., et al. (2007). The generation and use of bird population indicators in Europe. </w:t>
      </w:r>
      <w:r w:rsidRPr="009668D3">
        <w:rPr>
          <w:rFonts w:ascii="Times New Roman" w:hAnsi="Times New Roman" w:cs="Times New Roman"/>
          <w:i/>
          <w:sz w:val="20"/>
          <w:szCs w:val="20"/>
        </w:rPr>
        <w:t>Bird Conservation International</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17</w:t>
      </w:r>
      <w:r w:rsidRPr="009668D3">
        <w:rPr>
          <w:rFonts w:ascii="Times New Roman" w:hAnsi="Times New Roman" w:cs="Times New Roman"/>
          <w:sz w:val="20"/>
          <w:szCs w:val="20"/>
        </w:rPr>
        <w:t xml:space="preserve">(4), 305–321. </w:t>
      </w:r>
      <w:hyperlink r:id="rId41" w:history="1">
        <w:r w:rsidRPr="001E6700">
          <w:rPr>
            <w:rStyle w:val="Hyperlink"/>
            <w:rFonts w:ascii="Times New Roman" w:hAnsi="Times New Roman" w:cs="Times New Roman"/>
            <w:sz w:val="20"/>
            <w:szCs w:val="20"/>
          </w:rPr>
          <w:t>https://doi.org/10.1017/S0959270907000915</w:t>
        </w:r>
      </w:hyperlink>
    </w:p>
    <w:p w14:paraId="09B01709" w14:textId="13693A2A"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Hawkins, B. A. (1994). Pattern and process in host–parasitoid interactions. </w:t>
      </w:r>
      <w:r w:rsidRPr="009668D3">
        <w:rPr>
          <w:rFonts w:ascii="Times New Roman" w:hAnsi="Times New Roman" w:cs="Times New Roman"/>
          <w:i/>
          <w:sz w:val="20"/>
          <w:szCs w:val="20"/>
        </w:rPr>
        <w:t>Ecological Monographs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64</w:t>
      </w:r>
      <w:r w:rsidRPr="009668D3">
        <w:rPr>
          <w:rFonts w:ascii="Times New Roman" w:hAnsi="Times New Roman" w:cs="Times New Roman"/>
          <w:sz w:val="20"/>
          <w:szCs w:val="20"/>
        </w:rPr>
        <w:t xml:space="preserve">(3), 297–323. </w:t>
      </w:r>
      <w:hyperlink r:id="rId42" w:history="1">
        <w:r w:rsidRPr="001E6700">
          <w:rPr>
            <w:rStyle w:val="Hyperlink"/>
            <w:rFonts w:ascii="Times New Roman" w:hAnsi="Times New Roman" w:cs="Times New Roman"/>
            <w:sz w:val="20"/>
            <w:szCs w:val="20"/>
          </w:rPr>
          <w:t>https://doi.org/10.2307/2937109</w:t>
        </w:r>
      </w:hyperlink>
    </w:p>
    <w:p w14:paraId="43705D7B" w14:textId="46E91441"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Mols, C. M. M., &amp; Visser, M. E. (2002). Great tits can reduce caterpillar damage in apple orchards. </w:t>
      </w:r>
      <w:r w:rsidRPr="009668D3">
        <w:rPr>
          <w:rFonts w:ascii="Times New Roman" w:hAnsi="Times New Roman" w:cs="Times New Roman"/>
          <w:i/>
          <w:sz w:val="20"/>
          <w:szCs w:val="20"/>
        </w:rPr>
        <w:t>Journal of Applied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39</w:t>
      </w:r>
      <w:r w:rsidRPr="009668D3">
        <w:rPr>
          <w:rFonts w:ascii="Times New Roman" w:hAnsi="Times New Roman" w:cs="Times New Roman"/>
          <w:sz w:val="20"/>
          <w:szCs w:val="20"/>
        </w:rPr>
        <w:t xml:space="preserve">(6), 888–899. </w:t>
      </w:r>
      <w:hyperlink r:id="rId43" w:history="1">
        <w:r w:rsidRPr="001E6700">
          <w:rPr>
            <w:rStyle w:val="Hyperlink"/>
            <w:rFonts w:ascii="Times New Roman" w:hAnsi="Times New Roman" w:cs="Times New Roman"/>
            <w:sz w:val="20"/>
            <w:szCs w:val="20"/>
          </w:rPr>
          <w:t>https://doi.org/10.1046/j.1365-2664.2002.00761.x</w:t>
        </w:r>
      </w:hyperlink>
    </w:p>
    <w:p w14:paraId="48BF0DC7" w14:textId="76BAE7E3"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Remmel, T., Davison, J., &amp; Tammaru, T. (2011). Quantifying predation on folivorous insect larvae: The perspective of life-history evolution. </w:t>
      </w:r>
      <w:r w:rsidRPr="009668D3">
        <w:rPr>
          <w:rFonts w:ascii="Times New Roman" w:hAnsi="Times New Roman" w:cs="Times New Roman"/>
          <w:i/>
          <w:sz w:val="20"/>
          <w:szCs w:val="20"/>
        </w:rPr>
        <w:t>Biological Journal of the Linnean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104</w:t>
      </w:r>
      <w:r w:rsidRPr="009668D3">
        <w:rPr>
          <w:rFonts w:ascii="Times New Roman" w:hAnsi="Times New Roman" w:cs="Times New Roman"/>
          <w:sz w:val="20"/>
          <w:szCs w:val="20"/>
        </w:rPr>
        <w:t xml:space="preserve">(1), 1–18. </w:t>
      </w:r>
      <w:hyperlink r:id="rId44" w:history="1">
        <w:r w:rsidRPr="001E6700">
          <w:rPr>
            <w:rStyle w:val="Hyperlink"/>
            <w:rFonts w:ascii="Times New Roman" w:hAnsi="Times New Roman" w:cs="Times New Roman"/>
            <w:sz w:val="20"/>
            <w:szCs w:val="20"/>
          </w:rPr>
          <w:t>https://doi.org/10.1111/j.1095-8312.2011.01721.x</w:t>
        </w:r>
      </w:hyperlink>
    </w:p>
    <w:p w14:paraId="648059D1" w14:textId="7B5EED5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Sivrikaya, R., Altun, N., &amp; Faiz, Ö. (2020). </w:t>
      </w:r>
      <w:r w:rsidRPr="009668D3">
        <w:rPr>
          <w:rFonts w:ascii="Times New Roman" w:hAnsi="Times New Roman" w:cs="Times New Roman"/>
          <w:sz w:val="20"/>
          <w:szCs w:val="20"/>
        </w:rPr>
        <w:t xml:space="preserve">Diet-mediated modulation on the development and phenoloxidase activity in the alder leaf beetle larvae, </w:t>
      </w:r>
      <w:r w:rsidRPr="009668D3">
        <w:rPr>
          <w:rFonts w:ascii="Times New Roman" w:hAnsi="Times New Roman" w:cs="Times New Roman"/>
          <w:i/>
          <w:sz w:val="20"/>
          <w:szCs w:val="20"/>
        </w:rPr>
        <w:t>Agelastica alni</w:t>
      </w:r>
      <w:r w:rsidRPr="009668D3">
        <w:rPr>
          <w:rFonts w:ascii="Times New Roman" w:hAnsi="Times New Roman" w:cs="Times New Roman"/>
          <w:sz w:val="20"/>
          <w:szCs w:val="20"/>
        </w:rPr>
        <w:t xml:space="preserve"> (L., 1758). </w:t>
      </w:r>
      <w:r w:rsidRPr="009668D3">
        <w:rPr>
          <w:rFonts w:ascii="Times New Roman" w:hAnsi="Times New Roman" w:cs="Times New Roman"/>
          <w:i/>
          <w:sz w:val="20"/>
          <w:szCs w:val="20"/>
        </w:rPr>
        <w:t>Turkish Journal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44</w:t>
      </w:r>
      <w:r w:rsidRPr="009668D3">
        <w:rPr>
          <w:rFonts w:ascii="Times New Roman" w:hAnsi="Times New Roman" w:cs="Times New Roman"/>
          <w:sz w:val="20"/>
          <w:szCs w:val="20"/>
        </w:rPr>
        <w:t xml:space="preserve">(2), 193–202. </w:t>
      </w:r>
      <w:hyperlink r:id="rId45" w:history="1">
        <w:r w:rsidRPr="001E6700">
          <w:rPr>
            <w:rStyle w:val="Hyperlink"/>
            <w:rFonts w:ascii="Times New Roman" w:hAnsi="Times New Roman" w:cs="Times New Roman"/>
            <w:sz w:val="20"/>
            <w:szCs w:val="20"/>
          </w:rPr>
          <w:t>https://doi.org/10.16970/entoted.600893</w:t>
        </w:r>
      </w:hyperlink>
    </w:p>
    <w:p w14:paraId="2B028E8E" w14:textId="03C428C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Stireman, J. O., III, O'Hara, J. E., &amp; Wood, D. M. (2006). Tachinidae: Evolution, behavior, and ecology.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51</w:t>
      </w:r>
      <w:r w:rsidRPr="009668D3">
        <w:rPr>
          <w:rFonts w:ascii="Times New Roman" w:hAnsi="Times New Roman" w:cs="Times New Roman"/>
          <w:sz w:val="20"/>
          <w:szCs w:val="20"/>
        </w:rPr>
        <w:t xml:space="preserve">, 525–555. </w:t>
      </w:r>
      <w:hyperlink r:id="rId46" w:history="1">
        <w:r w:rsidRPr="001E6700">
          <w:rPr>
            <w:rStyle w:val="Hyperlink"/>
            <w:rFonts w:ascii="Times New Roman" w:hAnsi="Times New Roman" w:cs="Times New Roman"/>
            <w:sz w:val="20"/>
            <w:szCs w:val="20"/>
          </w:rPr>
          <w:t>https://doi.org/10.1146/annurev.ento.51.110104.151133</w:t>
        </w:r>
      </w:hyperlink>
    </w:p>
    <w:p w14:paraId="78700F49" w14:textId="77777777" w:rsidR="004B68F8" w:rsidRPr="009668D3" w:rsidRDefault="004B68F8" w:rsidP="002D21BC">
      <w:pPr>
        <w:spacing w:line="240" w:lineRule="auto"/>
        <w:jc w:val="both"/>
        <w:rPr>
          <w:rFonts w:ascii="Times New Roman" w:hAnsi="Times New Roman" w:cs="Times New Roman"/>
          <w:sz w:val="20"/>
          <w:szCs w:val="20"/>
        </w:rPr>
      </w:pPr>
    </w:p>
    <w:p w14:paraId="3F86FDF8" w14:textId="77777777" w:rsidR="001212E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Annex 2: Stability Analyses</w:t>
      </w:r>
    </w:p>
    <w:p w14:paraId="50359467" w14:textId="222F3338" w:rsidR="000875CC" w:rsidRPr="009668D3" w:rsidRDefault="003517E3"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This annex </w:t>
      </w:r>
      <w:r w:rsidRPr="001E6700">
        <w:rPr>
          <w:rFonts w:ascii="Times New Roman" w:eastAsia="Times New Roman" w:hAnsi="Times New Roman" w:cs="Times New Roman"/>
          <w:sz w:val="20"/>
          <w:szCs w:val="20"/>
        </w:rPr>
        <w:t>provides</w:t>
      </w:r>
      <w:r w:rsidRPr="009668D3">
        <w:rPr>
          <w:rFonts w:ascii="Times New Roman" w:hAnsi="Times New Roman" w:cs="Times New Roman"/>
          <w:sz w:val="20"/>
          <w:szCs w:val="20"/>
        </w:rPr>
        <w:t xml:space="preserve"> the mathematical framework for stability analysis of the hybrid seasonal–annual eco-epidemic model </w:t>
      </w:r>
      <w:r w:rsidRPr="001E6700">
        <w:rPr>
          <w:rFonts w:ascii="Times New Roman" w:eastAsia="Times New Roman" w:hAnsi="Times New Roman" w:cs="Times New Roman"/>
          <w:sz w:val="20"/>
          <w:szCs w:val="20"/>
        </w:rPr>
        <w:t>from</w:t>
      </w:r>
      <w:r w:rsidRPr="009668D3">
        <w:rPr>
          <w:rFonts w:ascii="Times New Roman" w:hAnsi="Times New Roman" w:cs="Times New Roman"/>
          <w:sz w:val="20"/>
          <w:szCs w:val="20"/>
        </w:rPr>
        <w:t xml:space="preserve"> the main text (Equations 1-8). The </w:t>
      </w:r>
      <w:r w:rsidRPr="001E6700">
        <w:rPr>
          <w:rFonts w:ascii="Times New Roman" w:eastAsia="Times New Roman" w:hAnsi="Times New Roman" w:cs="Times New Roman"/>
          <w:sz w:val="20"/>
          <w:szCs w:val="20"/>
        </w:rPr>
        <w:t xml:space="preserve">system's </w:t>
      </w:r>
      <w:r w:rsidRPr="009668D3">
        <w:rPr>
          <w:rFonts w:ascii="Times New Roman" w:hAnsi="Times New Roman" w:cs="Times New Roman"/>
          <w:sz w:val="20"/>
          <w:szCs w:val="20"/>
        </w:rPr>
        <w:t xml:space="preserve">long-term stability </w:t>
      </w:r>
      <w:r w:rsidRPr="001E6700">
        <w:rPr>
          <w:rFonts w:ascii="Times New Roman" w:eastAsia="Times New Roman" w:hAnsi="Times New Roman" w:cs="Times New Roman"/>
          <w:sz w:val="20"/>
          <w:szCs w:val="20"/>
        </w:rPr>
        <w:t>depends on</w:t>
      </w:r>
      <w:r w:rsidRPr="009668D3">
        <w:rPr>
          <w:rFonts w:ascii="Times New Roman" w:hAnsi="Times New Roman" w:cs="Times New Roman"/>
          <w:sz w:val="20"/>
          <w:szCs w:val="20"/>
        </w:rPr>
        <w:t xml:space="preserve"> the annual recurrence map rather than the within-season </w:t>
      </w:r>
      <w:r w:rsidRPr="001E6700">
        <w:rPr>
          <w:rFonts w:ascii="Times New Roman" w:eastAsia="Times New Roman" w:hAnsi="Times New Roman" w:cs="Times New Roman"/>
          <w:sz w:val="20"/>
          <w:szCs w:val="20"/>
        </w:rPr>
        <w:t>ODEs alone.</w:t>
      </w:r>
      <w:r w:rsidRPr="009668D3">
        <w:rPr>
          <w:rFonts w:ascii="Times New Roman" w:hAnsi="Times New Roman" w:cs="Times New Roman"/>
          <w:sz w:val="20"/>
          <w:szCs w:val="20"/>
        </w:rPr>
        <w:t xml:space="preserve"> The within-season ODE (Equations 1-4) </w:t>
      </w:r>
      <w:r w:rsidRPr="001E6700">
        <w:rPr>
          <w:rFonts w:ascii="Times New Roman" w:eastAsia="Times New Roman" w:hAnsi="Times New Roman" w:cs="Times New Roman"/>
          <w:sz w:val="20"/>
          <w:szCs w:val="20"/>
        </w:rPr>
        <w:t xml:space="preserve">models </w:t>
      </w:r>
      <w:r w:rsidRPr="009668D3">
        <w:rPr>
          <w:rFonts w:ascii="Times New Roman" w:hAnsi="Times New Roman" w:cs="Times New Roman"/>
          <w:sz w:val="20"/>
          <w:szCs w:val="20"/>
        </w:rPr>
        <w:t xml:space="preserve">processes over a finite interval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w:t>
      </w:r>
      <w:r w:rsidRPr="001E6700">
        <w:rPr>
          <w:rFonts w:ascii="Times New Roman" w:eastAsia="Times New Roman" w:hAnsi="Times New Roman" w:cs="Times New Roman"/>
          <w:sz w:val="20"/>
          <w:szCs w:val="20"/>
        </w:rPr>
        <w:t>], producing</w:t>
      </w:r>
      <w:r w:rsidRPr="009668D3">
        <w:rPr>
          <w:rFonts w:ascii="Times New Roman" w:hAnsi="Times New Roman" w:cs="Times New Roman"/>
          <w:sz w:val="20"/>
          <w:szCs w:val="20"/>
        </w:rPr>
        <w:t xml:space="preserve"> pseudo-equilibria</w:t>
      </w:r>
      <w:r w:rsidRPr="001E6700">
        <w:rPr>
          <w:rFonts w:ascii="Times New Roman" w:eastAsia="Times New Roman" w:hAnsi="Times New Roman" w:cs="Times New Roman"/>
          <w:sz w:val="20"/>
          <w:szCs w:val="20"/>
        </w:rPr>
        <w:t xml:space="preserve"> that are</w:t>
      </w:r>
      <w:r w:rsidRPr="009668D3">
        <w:rPr>
          <w:rFonts w:ascii="Times New Roman" w:hAnsi="Times New Roman" w:cs="Times New Roman"/>
          <w:sz w:val="20"/>
          <w:szCs w:val="20"/>
        </w:rPr>
        <w:t xml:space="preserve"> not ecologically relevant since the system </w:t>
      </w:r>
      <w:r w:rsidRPr="001E6700">
        <w:rPr>
          <w:rFonts w:ascii="Times New Roman" w:eastAsia="Times New Roman" w:hAnsi="Times New Roman" w:cs="Times New Roman"/>
          <w:sz w:val="20"/>
          <w:szCs w:val="20"/>
        </w:rPr>
        <w:t>resets</w:t>
      </w:r>
      <w:r w:rsidRPr="009668D3">
        <w:rPr>
          <w:rFonts w:ascii="Times New Roman" w:hAnsi="Times New Roman" w:cs="Times New Roman"/>
          <w:sz w:val="20"/>
          <w:szCs w:val="20"/>
        </w:rPr>
        <w:t xml:space="preserve"> annually through recruitment, overwinter survival, and foliage recovery (Equations 5-8). Multi-year dynamic</w:t>
      </w:r>
      <w:r w:rsidRPr="001E6700">
        <w:rPr>
          <w:rFonts w:ascii="Times New Roman" w:eastAsia="Times New Roman" w:hAnsi="Times New Roman" w:cs="Times New Roman"/>
          <w:sz w:val="20"/>
          <w:szCs w:val="20"/>
        </w:rPr>
        <w:t xml:space="preserve">s, </w:t>
      </w:r>
      <w:r w:rsidRPr="009668D3">
        <w:rPr>
          <w:rFonts w:ascii="Times New Roman" w:hAnsi="Times New Roman" w:cs="Times New Roman"/>
          <w:sz w:val="20"/>
          <w:szCs w:val="20"/>
        </w:rPr>
        <w:t xml:space="preserve">including </w:t>
      </w:r>
      <w:r w:rsidRPr="001E6700">
        <w:rPr>
          <w:rFonts w:ascii="Times New Roman" w:eastAsia="Times New Roman" w:hAnsi="Times New Roman" w:cs="Times New Roman"/>
          <w:sz w:val="20"/>
          <w:szCs w:val="20"/>
        </w:rPr>
        <w:t>outbreaks</w:t>
      </w:r>
      <w:r w:rsidRPr="009668D3">
        <w:rPr>
          <w:rFonts w:ascii="Times New Roman" w:hAnsi="Times New Roman" w:cs="Times New Roman"/>
          <w:sz w:val="20"/>
          <w:szCs w:val="20"/>
        </w:rPr>
        <w:t>, parasitoid persistence, and tipping risk,</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are governed by the annual map.</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The Jacobian </w:t>
      </w:r>
      <w:r w:rsidRPr="001E6700">
        <w:rPr>
          <w:rFonts w:ascii="Times New Roman" w:eastAsia="Times New Roman" w:hAnsi="Times New Roman" w:cs="Times New Roman"/>
          <w:sz w:val="20"/>
          <w:szCs w:val="20"/>
        </w:rPr>
        <w:t>of this map,</w:t>
      </w:r>
      <w:r w:rsidRPr="009668D3">
        <w:rPr>
          <w:rFonts w:ascii="Times New Roman" w:hAnsi="Times New Roman" w:cs="Times New Roman"/>
          <w:sz w:val="20"/>
          <w:szCs w:val="20"/>
        </w:rPr>
        <w:t xml:space="preserve"> parasitoid invasion threshold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P</m:t>
            </m:r>
          </m:sub>
        </m:sSub>
      </m:oMath>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 as an eigenvalue of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J</m:t>
            </m:r>
          </m:e>
          <m:sub>
            <m:r>
              <w:rPr>
                <w:rFonts w:ascii="Cambria Math" w:eastAsia="Times New Roman" w:hAnsi="Cambria Math" w:cs="Times New Roman"/>
                <w:sz w:val="20"/>
                <w:szCs w:val="20"/>
              </w:rPr>
              <m:t>G</m:t>
            </m:r>
          </m:sub>
        </m:sSub>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stability criteria (spectral radius </w:t>
      </w:r>
      <w:r w:rsidRPr="001E6700">
        <w:rPr>
          <w:rFonts w:ascii="Times New Roman" w:eastAsia="Times New Roman" w:hAnsi="Times New Roman" w:cs="Times New Roman"/>
          <w:sz w:val="20"/>
          <w:szCs w:val="20"/>
        </w:rPr>
        <w:t>&lt;1</w:t>
      </w:r>
      <w:r w:rsidRPr="009668D3">
        <w:rPr>
          <w:rFonts w:ascii="Times New Roman" w:hAnsi="Times New Roman" w:cs="Times New Roman"/>
          <w:sz w:val="20"/>
          <w:szCs w:val="20"/>
        </w:rPr>
        <w:t xml:space="preserve">), and bifurcation conditions (eigenvalue crossing the unit circle) are derived analytically. </w:t>
      </w:r>
      <w:r w:rsidRPr="001E6700">
        <w:rPr>
          <w:rFonts w:ascii="Times New Roman" w:eastAsia="Times New Roman" w:hAnsi="Times New Roman" w:cs="Times New Roman"/>
          <w:sz w:val="20"/>
          <w:szCs w:val="20"/>
        </w:rPr>
        <w:t>The</w:t>
      </w:r>
      <w:r w:rsidRPr="009668D3">
        <w:rPr>
          <w:rFonts w:ascii="Times New Roman" w:hAnsi="Times New Roman" w:cs="Times New Roman"/>
          <w:sz w:val="20"/>
          <w:szCs w:val="20"/>
        </w:rPr>
        <w:t xml:space="preserve"> seasonal flow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Φ</m:t>
            </m:r>
          </m:e>
          <m:sub>
            <m:r>
              <w:rPr>
                <w:rFonts w:ascii="Cambria Math" w:eastAsia="Times New Roman" w:hAnsi="Cambria Math" w:cs="Times New Roman"/>
                <w:sz w:val="20"/>
                <w:szCs w:val="20"/>
              </w:rPr>
              <m:t>T</m:t>
            </m:r>
          </m:sub>
        </m:sSub>
      </m:oMath>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 and derivatives</w:t>
      </w:r>
      <w:r w:rsidRPr="001E6700">
        <w:rPr>
          <w:rFonts w:ascii="Times New Roman" w:eastAsia="Times New Roman" w:hAnsi="Times New Roman" w:cs="Times New Roman"/>
          <w:sz w:val="20"/>
          <w:szCs w:val="20"/>
        </w:rPr>
        <w:t>, due to nonlinear Holling Type II responses,</w:t>
      </w:r>
      <w:r w:rsidRPr="009668D3">
        <w:rPr>
          <w:rFonts w:ascii="Times New Roman" w:hAnsi="Times New Roman" w:cs="Times New Roman"/>
          <w:sz w:val="20"/>
          <w:szCs w:val="20"/>
        </w:rPr>
        <w:t xml:space="preserve"> are evaluated numerically, combining analytic</w:t>
      </w:r>
      <w:r w:rsidRPr="001E6700">
        <w:rPr>
          <w:rFonts w:ascii="Times New Roman" w:eastAsia="Times New Roman" w:hAnsi="Times New Roman" w:cs="Times New Roman"/>
          <w:sz w:val="20"/>
          <w:szCs w:val="20"/>
        </w:rPr>
        <w:t>al</w:t>
      </w:r>
      <w:r w:rsidRPr="009668D3">
        <w:rPr>
          <w:rFonts w:ascii="Times New Roman" w:hAnsi="Times New Roman" w:cs="Times New Roman"/>
          <w:sz w:val="20"/>
          <w:szCs w:val="20"/>
        </w:rPr>
        <w:t xml:space="preserve"> stability conditions with numerical </w:t>
      </w:r>
      <w:r w:rsidRPr="001E6700">
        <w:rPr>
          <w:rFonts w:ascii="Times New Roman" w:eastAsia="Times New Roman" w:hAnsi="Times New Roman" w:cs="Times New Roman"/>
          <w:sz w:val="20"/>
          <w:szCs w:val="20"/>
        </w:rPr>
        <w:t xml:space="preserve">methods, </w:t>
      </w:r>
      <w:r w:rsidRPr="009668D3">
        <w:rPr>
          <w:rFonts w:ascii="Times New Roman" w:hAnsi="Times New Roman" w:cs="Times New Roman"/>
          <w:sz w:val="20"/>
          <w:szCs w:val="20"/>
        </w:rPr>
        <w:t xml:space="preserve"> standard for hybrid eco-epidemic models (Kot, 2001; Kuznetsov, 2004).</w:t>
      </w:r>
      <w:r w:rsidRPr="001E6700">
        <w:rPr>
          <w:rFonts w:ascii="Times New Roman" w:eastAsia="Times New Roman" w:hAnsi="Times New Roman" w:cs="Times New Roman"/>
          <w:sz w:val="20"/>
          <w:szCs w:val="20"/>
        </w:rPr>
        <w:t xml:space="preserve"> The analysis follows a ten-step framework linked to specific mathematical principles.</w:t>
      </w:r>
      <w:r w:rsidR="000875CC" w:rsidRPr="001E6700">
        <w:rPr>
          <w:rFonts w:ascii="Times New Roman" w:eastAsia="Times New Roman" w:hAnsi="Times New Roman" w:cs="Times New Roman"/>
          <w:sz w:val="20"/>
          <w:szCs w:val="20"/>
        </w:rPr>
        <w:t>models (Kot, 2001; Kuznetsov, 2004</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The</w:t>
      </w:r>
      <w:r w:rsidR="000875CC" w:rsidRPr="009668D3">
        <w:rPr>
          <w:rFonts w:ascii="Times New Roman" w:hAnsi="Times New Roman" w:cs="Times New Roman"/>
          <w:sz w:val="20"/>
          <w:szCs w:val="20"/>
        </w:rPr>
        <w:t xml:space="preserve"> analysis proceeds through a ten-step framework, each anchored to the specific theorem, criterion, or mathematical principle that it employs.</w:t>
      </w:r>
    </w:p>
    <w:p w14:paraId="2122137E"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1: Definition of the annual state and the seasonal flow operator</w:t>
      </w:r>
      <w:r w:rsidR="00977094" w:rsidRPr="009668D3">
        <w:rPr>
          <w:rFonts w:ascii="Times New Roman" w:hAnsi="Times New Roman" w:cs="Times New Roman"/>
          <w:sz w:val="20"/>
          <w:szCs w:val="20"/>
        </w:rPr>
        <w:t>:</w:t>
      </w:r>
    </w:p>
    <w:p w14:paraId="2C5F6BD8" w14:textId="7B47E9E6"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annual state vector is defined as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vertAlign w:val="subscript"/>
              </w:rPr>
              <m:t>t</m:t>
            </m:r>
          </m:sub>
        </m:sSub>
        <m:r>
          <m:rPr>
            <m:scr m:val="double-struck"/>
          </m:rPr>
          <w:rPr>
            <w:rFonts w:ascii="Cambria Math" w:hAnsi="Cambria Math" w:cs="Times New Roman"/>
            <w:sz w:val="20"/>
            <w:szCs w:val="20"/>
          </w:rPr>
          <m:t>) ∈ R³₊</m:t>
        </m:r>
      </m:oMath>
      <w:r w:rsidRPr="009668D3">
        <w:rPr>
          <w:rFonts w:ascii="Times New Roman" w:hAnsi="Times New Roman" w:cs="Times New Roman"/>
          <w:sz w:val="20"/>
          <w:szCs w:val="20"/>
        </w:rPr>
        <w:t>, representing, respectively, the recruiting beetle cohort (individuals ha⁻¹), the overwintering parasitoid population (individuals ha⁻¹), and the implicit alder carrying capacity (individuals ha⁻¹) at the start of year t.</w:t>
      </w:r>
    </w:p>
    <w:p w14:paraId="63B8FDC1" w14:textId="07CCBE11"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within-season ordinary differential equation system (Equations 1</w:t>
      </w:r>
      <w:r w:rsidR="00740A54" w:rsidRPr="009668D3">
        <w:rPr>
          <w:rFonts w:ascii="Times New Roman" w:hAnsi="Times New Roman" w:cs="Times New Roman"/>
          <w:sz w:val="20"/>
          <w:szCs w:val="20"/>
        </w:rPr>
        <w:t>-</w:t>
      </w:r>
      <w:r w:rsidRPr="009668D3">
        <w:rPr>
          <w:rFonts w:ascii="Times New Roman" w:hAnsi="Times New Roman" w:cs="Times New Roman"/>
          <w:sz w:val="20"/>
          <w:szCs w:val="20"/>
        </w:rPr>
        <w:t xml:space="preserve">4 of the main text) defines a continuous-time dynamical system over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where T is the duration of the larval vulnerability window. This system operates on the within-season state vector </w:t>
      </w:r>
      <m:oMath>
        <m:r>
          <w:rPr>
            <w:rFonts w:ascii="Cambria Math" w:hAnsi="Cambria Math" w:cs="Times New Roman"/>
            <w:sz w:val="20"/>
            <w:szCs w:val="20"/>
          </w:rPr>
          <m:t>y(τ) = (S(τ), I(τ), F(τ), D(τ))ᵀ</m:t>
        </m:r>
      </m:oMath>
      <w:r w:rsidRPr="009668D3">
        <w:rPr>
          <w:rFonts w:ascii="Times New Roman" w:hAnsi="Times New Roman" w:cs="Times New Roman"/>
          <w:sz w:val="20"/>
          <w:szCs w:val="20"/>
        </w:rPr>
        <w:t xml:space="preserve">, where S is susceptible larval density, </w:t>
      </w:r>
      <m:oMath>
        <m:r>
          <w:rPr>
            <w:rFonts w:ascii="Cambria Math" w:eastAsia="Times New Roman" w:hAnsi="Cambria Math" w:cs="Times New Roman"/>
            <w:sz w:val="20"/>
            <w:szCs w:val="20"/>
          </w:rPr>
          <m:t>I(τ)</m:t>
        </m:r>
      </m:oMath>
      <w:r w:rsidRPr="009668D3">
        <w:rPr>
          <w:rFonts w:ascii="Times New Roman" w:hAnsi="Times New Roman" w:cs="Times New Roman"/>
          <w:sz w:val="20"/>
          <w:szCs w:val="20"/>
        </w:rPr>
        <w:t xml:space="preserve"> is parasitised larval density, F is adult parasitoid density, and D is cumulative defoliation damage.</w:t>
      </w:r>
    </w:p>
    <w:p w14:paraId="4AEBCF7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seasonal flow operator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maps initial conditions and parameters to terminal states:</w:t>
      </w:r>
    </w:p>
    <w:p w14:paraId="5383202F" w14:textId="35EAF5FF" w:rsidR="000875CC" w:rsidRPr="009668D3" w:rsidRDefault="00740A54"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(S(T), I(T), F(T), D(T)) = Φₜ(S(0), I(0), F(0), D(0); Bₜ, θ, u(·))</m:t>
        </m:r>
      </m:oMath>
      <w:r w:rsidR="000875CC" w:rsidRPr="009668D3">
        <w:rPr>
          <w:rFonts w:ascii="Times New Roman" w:hAnsi="Times New Roman" w:cs="Times New Roman"/>
          <w:sz w:val="20"/>
          <w:szCs w:val="20"/>
        </w:rPr>
        <w:tab/>
        <w:t>(12)</w:t>
      </w:r>
    </w:p>
    <w:p w14:paraId="687692FF" w14:textId="0DBC316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θ represents the vector of biological parameters and </w:t>
      </w:r>
      <m:oMath>
        <m:r>
          <w:rPr>
            <w:rFonts w:ascii="Cambria Math" w:eastAsia="Times New Roman" w:hAnsi="Cambria Math" w:cs="Times New Roman"/>
            <w:sz w:val="20"/>
            <w:szCs w:val="20"/>
          </w:rPr>
          <m:t>u(·) = (u</m:t>
        </m:r>
        <m:r>
          <w:rPr>
            <w:rFonts w:ascii="Cambria Math" w:eastAsia="Cambria Math" w:hAnsi="Cambria Math" w:cs="Times New Roman"/>
            <w:sz w:val="20"/>
            <w:szCs w:val="20"/>
            <w:vertAlign w:val="subscript"/>
          </w:rPr>
          <m:t>P</m:t>
        </m:r>
        <m:r>
          <w:rPr>
            <w:rFonts w:ascii="Cambria Math" w:eastAsia="Times New Roman" w:hAnsi="Cambria Math" w:cs="Times New Roman"/>
            <w:sz w:val="20"/>
            <w:szCs w:val="20"/>
          </w:rPr>
          <m:t>(τ), u</m:t>
        </m:r>
        <m:r>
          <w:rPr>
            <w:rFonts w:ascii="Cambria Math" w:eastAsia="Cambria Math" w:hAnsi="Cambria Math" w:cs="Times New Roman"/>
            <w:sz w:val="20"/>
            <w:szCs w:val="20"/>
            <w:vertAlign w:val="subscript"/>
          </w:rPr>
          <m:t>C</m:t>
        </m:r>
        <m:r>
          <w:rPr>
            <w:rFonts w:ascii="Cambria Math" w:eastAsia="Times New Roman" w:hAnsi="Cambria Math" w:cs="Times New Roman"/>
            <w:sz w:val="20"/>
            <w:szCs w:val="20"/>
          </w:rPr>
          <m:t>(τ))</m:t>
        </m:r>
      </m:oMath>
      <w:r w:rsidRPr="009668D3">
        <w:rPr>
          <w:rFonts w:ascii="Times New Roman" w:hAnsi="Times New Roman" w:cs="Times New Roman"/>
          <w:sz w:val="20"/>
          <w:szCs w:val="20"/>
        </w:rPr>
        <w:t xml:space="preserve"> specifies the within-season control profiles. The initial conditions are determined by the annual state via Equation (5):</w:t>
      </w:r>
    </w:p>
    <w:p w14:paraId="27F23E5E" w14:textId="64D7F300" w:rsidR="000875CC" w:rsidRPr="009668D3" w:rsidRDefault="00740A54" w:rsidP="002D21BC">
      <w:pPr>
        <w:spacing w:before="160" w:line="240" w:lineRule="auto"/>
        <w:jc w:val="both"/>
        <w:rPr>
          <w:rFonts w:ascii="Times New Roman" w:hAnsi="Times New Roman" w:cs="Times New Roman"/>
          <w:sz w:val="20"/>
          <w:szCs w:val="20"/>
        </w:rPr>
      </w:pPr>
      <m:oMathPara>
        <m:oMath>
          <m:r>
            <w:rPr>
              <w:rFonts w:ascii="Cambria Math" w:hAnsi="Cambria Math" w:cs="Times New Roman"/>
              <w:sz w:val="20"/>
              <w:szCs w:val="20"/>
            </w:rPr>
            <m:t xml:space="preserve">S(0)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(R</m:t>
              </m:r>
            </m:e>
            <m:sub>
              <m:r>
                <w:rPr>
                  <w:rFonts w:ascii="Cambria Math" w:eastAsia="Cambria Math" w:hAnsi="Cambria Math" w:cs="Times New Roman"/>
                  <w:sz w:val="20"/>
                  <w:szCs w:val="20"/>
                </w:rPr>
                <m:t>B</m:t>
              </m:r>
            </m:sub>
          </m:sSub>
          <m:r>
            <w:rPr>
              <w:rFonts w:ascii="Cambria Math" w:hAnsi="Cambria Math" w:cs="Times New Roman"/>
              <w:sz w:val="20"/>
              <w:szCs w:val="20"/>
            </w:rPr>
            <m:t xml:space="preserve"> A</m:t>
          </m:r>
          <m:r>
            <w:rPr>
              <w:rFonts w:ascii="Cambria Math" w:eastAsia="Cambria Math" w:hAnsi="Cambria Math" w:cs="Times New Roman"/>
              <w:sz w:val="20"/>
              <w:szCs w:val="20"/>
            </w:rPr>
            <m:t>ₜ)/(</m:t>
          </m:r>
          <m:r>
            <w:rPr>
              <w:rFonts w:ascii="Cambria Math" w:hAnsi="Cambria Math" w:cs="Times New Roman"/>
              <w:sz w:val="20"/>
              <w:szCs w:val="20"/>
            </w:rPr>
            <m:t xml:space="preserve">1 </m:t>
          </m:r>
          <m:r>
            <w:rPr>
              <w:rFonts w:ascii="Cambria Math" w:eastAsia="Cambria Math" w:hAnsi="Cambria Math" w:cs="Times New Roman"/>
              <w:sz w:val="20"/>
              <w:szCs w:val="20"/>
            </w:rPr>
            <m:t>+(</m:t>
          </m:r>
          <m:r>
            <w:rPr>
              <w:rFonts w:ascii="Cambria Math" w:hAnsi="Cambria Math" w:cs="Times New Roman"/>
              <w:sz w:val="20"/>
              <w:szCs w:val="20"/>
            </w:rPr>
            <m:t>Aₜ/K</m:t>
          </m:r>
          <m:r>
            <w:rPr>
              <w:rFonts w:ascii="Cambria Math" w:eastAsia="Cambria Math" w:hAnsi="Cambria Math" w:cs="Times New Roman"/>
              <w:sz w:val="20"/>
              <w:szCs w:val="20"/>
            </w:rPr>
            <m:t>ₜ )) ,</m:t>
          </m:r>
          <m:r>
            <w:rPr>
              <w:rFonts w:ascii="Cambria Math" w:hAnsi="Cambria Math" w:cs="Times New Roman"/>
              <w:sz w:val="20"/>
              <w:szCs w:val="20"/>
            </w:rPr>
            <m:t xml:space="preserve">   I(0) = 0,   F(0) = Fₜ,   D(0) = 0</m:t>
          </m:r>
        </m:oMath>
      </m:oMathPara>
    </w:p>
    <w:p w14:paraId="134F6E0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forward-invariant domain on which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operates is:</w:t>
      </w:r>
    </w:p>
    <w:p w14:paraId="693D8A4A" w14:textId="776E79F5" w:rsidR="000875CC" w:rsidRPr="009668D3" w:rsidRDefault="00740A54" w:rsidP="002D21BC">
      <w:pPr>
        <w:spacing w:before="160" w:line="240" w:lineRule="auto"/>
        <w:jc w:val="both"/>
        <w:rPr>
          <w:rFonts w:ascii="Times New Roman" w:hAnsi="Times New Roman" w:cs="Times New Roman"/>
          <w:sz w:val="20"/>
          <w:szCs w:val="20"/>
        </w:rPr>
      </w:pPr>
      <m:oMathPara>
        <m:oMath>
          <m:r>
            <w:rPr>
              <w:rFonts w:ascii="Cambria Math" w:hAnsi="Cambria Math" w:cs="Times New Roman"/>
              <w:sz w:val="20"/>
              <w:szCs w:val="20"/>
            </w:rPr>
            <m:t>Ω = {(S, I, F, D</m:t>
          </m:r>
          <m:r>
            <m:rPr>
              <m:scr m:val="double-struck"/>
            </m:rPr>
            <w:rPr>
              <w:rFonts w:ascii="Cambria Math" w:hAnsi="Cambria Math" w:cs="Times New Roman"/>
              <w:sz w:val="20"/>
              <w:szCs w:val="20"/>
            </w:rPr>
            <m:t xml:space="preserve">) ∈ R⁴ : </m:t>
          </m:r>
          <m:r>
            <w:rPr>
              <w:rFonts w:ascii="Cambria Math" w:hAnsi="Cambria Math" w:cs="Times New Roman"/>
              <w:sz w:val="20"/>
              <w:szCs w:val="20"/>
            </w:rPr>
            <m:t>S ≥ 0, I ≥ 0, F ≥ 0, D ≥ 0}</m:t>
          </m:r>
        </m:oMath>
      </m:oMathPara>
    </w:p>
    <w:p w14:paraId="78EF211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Theorem used: Picard–Lindelöf (Cauchy–Lipschitz) existence and uniqueness theorem.</w:t>
      </w:r>
    </w:p>
    <w:p w14:paraId="08D5FC0D" w14:textId="28D0E58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Statement</w:t>
      </w:r>
      <w:r w:rsidRPr="009668D3">
        <w:rPr>
          <w:rFonts w:ascii="Times New Roman" w:hAnsi="Times New Roman" w:cs="Times New Roman"/>
          <w:sz w:val="20"/>
          <w:szCs w:val="20"/>
        </w:rPr>
        <w:t xml:space="preserve"> (Hartman, 1964, Theorem II.1.1; Coddington and Levinson, 1955, Theorem 2.2): If f(y) is locally Lipschitz continuous in y on an open set </w:t>
      </w:r>
      <m:oMath>
        <m:r>
          <w:rPr>
            <w:rFonts w:ascii="Cambria Math" w:eastAsia="Times New Roman" w:hAnsi="Cambria Math" w:cs="Times New Roman"/>
            <w:sz w:val="20"/>
            <w:szCs w:val="20"/>
          </w:rPr>
          <m:t>U</m:t>
        </m:r>
        <m:r>
          <m:rPr>
            <m:scr m:val="double-struck"/>
          </m:rPr>
          <w:rPr>
            <w:rFonts w:ascii="Cambria Math" w:eastAsia="Times New Roman" w:hAnsi="Cambria Math" w:cs="Times New Roman"/>
            <w:sz w:val="20"/>
            <w:szCs w:val="20"/>
          </w:rPr>
          <m:t xml:space="preserve"> ⊆ Rⁿ</m:t>
        </m:r>
      </m:oMath>
      <w:r w:rsidRPr="009668D3">
        <w:rPr>
          <w:rFonts w:ascii="Times New Roman" w:hAnsi="Times New Roman" w:cs="Times New Roman"/>
          <w:sz w:val="20"/>
          <w:szCs w:val="20"/>
        </w:rPr>
        <w:t xml:space="preserve">, then for each </w:t>
      </w:r>
      <w:r w:rsidR="00710C88" w:rsidRPr="009668D3">
        <w:rPr>
          <w:rFonts w:ascii="Times New Roman" w:hAnsi="Times New Roman" w:cs="Times New Roman"/>
          <w:sz w:val="20"/>
          <w:szCs w:val="20"/>
        </w:rPr>
        <w:t xml:space="preserve">y₀ </w:t>
      </w:r>
      <w:r w:rsidR="00710C88" w:rsidRPr="009668D3">
        <w:rPr>
          <w:rFonts w:ascii="Cambria Math" w:hAnsi="Cambria Math" w:cs="Cambria Math"/>
          <w:sz w:val="20"/>
          <w:szCs w:val="20"/>
        </w:rPr>
        <w:t>∈</w:t>
      </w:r>
      <w:r w:rsidR="00710C88" w:rsidRPr="009668D3">
        <w:rPr>
          <w:rFonts w:ascii="Times New Roman" w:hAnsi="Times New Roman" w:cs="Times New Roman"/>
          <w:sz w:val="20"/>
          <w:szCs w:val="20"/>
        </w:rPr>
        <w:t xml:space="preserve"> U</w:t>
      </w:r>
      <w:r w:rsidRPr="009668D3">
        <w:rPr>
          <w:rFonts w:ascii="Times New Roman" w:hAnsi="Times New Roman" w:cs="Times New Roman"/>
          <w:sz w:val="20"/>
          <w:szCs w:val="20"/>
        </w:rPr>
        <w:t xml:space="preserve"> the initial value problem y′ = f(y), y(0) = y₀ has a unique local solution.</w:t>
      </w:r>
    </w:p>
    <w:p w14:paraId="1433404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Application.</w:t>
      </w:r>
    </w:p>
    <w:p w14:paraId="0D3607E4" w14:textId="15338EC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The right-hand side </w:t>
      </w:r>
      <m:oMath>
        <m:r>
          <w:rPr>
            <w:rFonts w:ascii="Cambria Math" w:eastAsia="Times New Roman" w:hAnsi="Cambria Math" w:cs="Times New Roman"/>
            <w:sz w:val="20"/>
            <w:szCs w:val="20"/>
          </w:rPr>
          <m:t xml:space="preserve">f(y; θ,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Cambria Math" w:hAnsi="Cambria Math" w:cs="Times New Roman"/>
                <w:sz w:val="20"/>
                <w:szCs w:val="20"/>
                <w:vertAlign w:val="subscript"/>
              </w:rPr>
              <m:t>t</m:t>
            </m:r>
          </m:sub>
        </m:sSub>
        <m:r>
          <w:rPr>
            <w:rFonts w:ascii="Cambria Math" w:eastAsia="Times New Roman" w:hAnsi="Cambria Math" w:cs="Times New Roman"/>
            <w:sz w:val="20"/>
            <w:szCs w:val="20"/>
          </w:rPr>
          <m:t>)</m:t>
        </m:r>
      </m:oMath>
      <w:r w:rsidRPr="009668D3">
        <w:rPr>
          <w:rFonts w:ascii="Times New Roman" w:hAnsi="Times New Roman" w:cs="Times New Roman"/>
          <w:sz w:val="20"/>
          <w:szCs w:val="20"/>
        </w:rPr>
        <w:t xml:space="preserve"> of Equations (1)–(4) contains two rational terms with denominators </w:t>
      </w:r>
      <m:oMath>
        <m:r>
          <w:rPr>
            <w:rFonts w:ascii="Cambria Math" w:eastAsia="Times New Roman" w:hAnsi="Cambria Math" w:cs="Times New Roman"/>
            <w:sz w:val="20"/>
            <w:szCs w:val="20"/>
          </w:rPr>
          <m:t xml:space="preserve">(1 + </m:t>
        </m:r>
        <m:r>
          <w:rPr>
            <w:rFonts w:ascii="Cambria Math" w:eastAsia="Times New Roman" w:hAnsi="Cambria Math" w:cs="Times New Roman"/>
            <w:sz w:val="20"/>
            <w:szCs w:val="20"/>
          </w:rPr>
          <m:t>h×S)</m:t>
        </m:r>
      </m:oMath>
      <w:r w:rsidRPr="009668D3">
        <w:rPr>
          <w:rFonts w:ascii="Times New Roman" w:hAnsi="Times New Roman" w:cs="Times New Roman"/>
          <w:sz w:val="20"/>
          <w:szCs w:val="20"/>
        </w:rPr>
        <w:t xml:space="preserve"> and </w:t>
      </w:r>
      <m:oMath>
        <m:r>
          <w:rPr>
            <w:rFonts w:ascii="Cambria Math" w:eastAsia="Times New Roman" w:hAnsi="Cambria Math" w:cs="Times New Roman"/>
            <w:sz w:val="20"/>
            <w:szCs w:val="20"/>
          </w:rPr>
          <m:t xml:space="preserve">(1 +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(S(τ) + I(τ))).</m:t>
        </m:r>
      </m:oMath>
      <w:r w:rsidRPr="009668D3">
        <w:rPr>
          <w:rFonts w:ascii="Times New Roman" w:hAnsi="Times New Roman" w:cs="Times New Roman"/>
          <w:sz w:val="20"/>
          <w:szCs w:val="20"/>
        </w:rPr>
        <w:t xml:space="preserve"> For S ≥ 0 and I ≥ 0, both denominators are strictly positive (bounded below by 1), so the rational terms are smooth (in fact C∞) functions of the state variables on Ω. All remaining terms are polynomial in the state variables. Therefore, f is locally Lipschitz on any bounded subset of Ω. Since the seasonal interval [0, T] is finite and the state variables remain bounded on this interval (the ODE is dissipative: </w:t>
      </w:r>
      <m:oMath>
        <m:r>
          <w:rPr>
            <w:rFonts w:ascii="Cambria Math" w:eastAsia="Times New Roman" w:hAnsi="Cambria Math" w:cs="Times New Roman"/>
            <w:sz w:val="20"/>
            <w:szCs w:val="20"/>
          </w:rPr>
          <m:t>dS(τ)/dτ ≤ 0</m:t>
        </m:r>
      </m:oMath>
      <w:r w:rsidRPr="001E6700">
        <w:rPr>
          <w:rFonts w:ascii="Times New Roman" w:eastAsia="Times New Roman" w:hAnsi="Times New Roman" w:cs="Times New Roman"/>
          <w:sz w:val="20"/>
          <w:szCs w:val="20"/>
        </w:rPr>
        <w:t xml:space="preserve">, </w:t>
      </w:r>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dI</m:t>
            </m:r>
          </m:num>
          <m:den>
            <m:r>
              <w:rPr>
                <w:rFonts w:ascii="Cambria Math" w:eastAsia="Times New Roman" w:hAnsi="Cambria Math" w:cs="Times New Roman"/>
                <w:sz w:val="20"/>
                <w:szCs w:val="20"/>
              </w:rPr>
              <m:t>dτ</m:t>
            </m:r>
          </m:den>
        </m:f>
      </m:oMath>
      <w:r w:rsidRPr="009668D3">
        <w:rPr>
          <w:rFonts w:ascii="Times New Roman" w:hAnsi="Times New Roman" w:cs="Times New Roman"/>
          <w:sz w:val="20"/>
          <w:szCs w:val="20"/>
        </w:rPr>
        <w:t xml:space="preserve"> is bounded by inflow from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and D grows at most linearly), the Picard–Lindelöf theorem guarantees that a unique solution y(τ) exists for all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for each initial condition in Ω.</w:t>
      </w:r>
    </w:p>
    <w:p w14:paraId="6CD9615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Positivity invariance.</w:t>
      </w:r>
    </w:p>
    <w:p w14:paraId="6A78F4B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Positivity invariance of Ω is established by verifying that each compartment boundary is non-repelling under the vector field (Nagumo, 1942; Blanchini, 1999). Specifically:</w:t>
      </w:r>
    </w:p>
    <w:p w14:paraId="3D50F8B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At S = 0: dS/dτ = 0 (all terms in Equation 1 contain S as a factor), so the S = 0 face is invariant.</w:t>
      </w:r>
    </w:p>
    <w:p w14:paraId="666204A1" w14:textId="6AD988D3"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w:t>
      </w:r>
      <m:oMath>
        <m:r>
          <w:rPr>
            <w:rFonts w:ascii="Cambria Math" w:hAnsi="Cambria Math" w:cs="Times New Roman"/>
            <w:sz w:val="20"/>
            <w:szCs w:val="20"/>
          </w:rPr>
          <m:t>I = 0:</m:t>
        </m:r>
        <m:f>
          <m:fPr>
            <m:ctrlPr>
              <w:rPr>
                <w:rFonts w:ascii="Cambria Math" w:hAnsi="Cambria Math" w:cs="Times New Roman"/>
                <w:i/>
                <w:sz w:val="20"/>
                <w:szCs w:val="20"/>
              </w:rPr>
            </m:ctrlPr>
          </m:fPr>
          <m:num>
            <m:r>
              <w:rPr>
                <w:rFonts w:ascii="Cambria Math" w:hAnsi="Cambria Math" w:cs="Times New Roman"/>
                <w:sz w:val="20"/>
                <w:szCs w:val="20"/>
              </w:rPr>
              <m:t>dI</m:t>
            </m:r>
          </m:num>
          <m:den>
            <m:r>
              <w:rPr>
                <w:rFonts w:ascii="Cambria Math" w:hAnsi="Cambria Math" w:cs="Times New Roman"/>
                <w:sz w:val="20"/>
                <w:szCs w:val="20"/>
              </w:rPr>
              <m:t>dτ</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βFS</m:t>
            </m:r>
          </m:num>
          <m:den>
            <m:r>
              <w:rPr>
                <w:rFonts w:ascii="Cambria Math" w:hAnsi="Cambria Math" w:cs="Times New Roman"/>
                <w:sz w:val="20"/>
                <w:szCs w:val="20"/>
              </w:rPr>
              <m:t xml:space="preserve">1 + </m:t>
            </m:r>
            <m:r>
              <w:rPr>
                <w:rFonts w:ascii="Cambria Math" w:hAnsi="Cambria Math" w:cs="Times New Roman"/>
                <w:sz w:val="20"/>
                <w:szCs w:val="20"/>
              </w:rPr>
              <m:t>hS</m:t>
            </m:r>
          </m:den>
        </m:f>
        <m:r>
          <w:rPr>
            <w:rFonts w:ascii="Cambria Math" w:hAnsi="Cambria Math" w:cs="Times New Roman"/>
            <w:sz w:val="20"/>
            <w:szCs w:val="20"/>
          </w:rPr>
          <m:t xml:space="preserve"> ≥ 0</m:t>
        </m:r>
      </m:oMath>
      <w:r w:rsidRPr="009668D3">
        <w:rPr>
          <w:rFonts w:ascii="Times New Roman" w:hAnsi="Times New Roman" w:cs="Times New Roman"/>
          <w:sz w:val="20"/>
          <w:szCs w:val="20"/>
        </w:rPr>
        <w:t xml:space="preserve"> for S ≥ 0, F ≥ 0, so trajectories cannot exit through the I = 0 face into I &lt; 0.</w:t>
      </w:r>
    </w:p>
    <w:p w14:paraId="59587C43" w14:textId="23AFA774"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w:t>
      </w:r>
      <m:oMath>
        <m:r>
          <w:rPr>
            <w:rFonts w:ascii="Cambria Math" w:hAnsi="Cambria Math" w:cs="Times New Roman"/>
            <w:sz w:val="20"/>
            <w:szCs w:val="20"/>
          </w:rPr>
          <m:t>F = 0:</m:t>
        </m:r>
        <m:f>
          <m:fPr>
            <m:ctrlPr>
              <w:rPr>
                <w:rFonts w:ascii="Cambria Math" w:hAnsi="Cambria Math" w:cs="Times New Roman"/>
                <w:i/>
                <w:sz w:val="20"/>
                <w:szCs w:val="20"/>
              </w:rPr>
            </m:ctrlPr>
          </m:fPr>
          <m:num>
            <m:r>
              <w:rPr>
                <w:rFonts w:ascii="Cambria Math" w:hAnsi="Cambria Math" w:cs="Times New Roman"/>
                <w:sz w:val="20"/>
                <w:szCs w:val="20"/>
              </w:rPr>
              <m:t>dF</m:t>
            </m:r>
          </m:num>
          <m:den>
            <m:r>
              <w:rPr>
                <w:rFonts w:ascii="Cambria Math" w:hAnsi="Cambria Math" w:cs="Times New Roman"/>
                <w:sz w:val="20"/>
                <w:szCs w:val="20"/>
              </w:rPr>
              <m:t>dτ</m:t>
            </m:r>
          </m:den>
        </m:f>
        <m:r>
          <w:rPr>
            <w:rFonts w:ascii="Cambria Math" w:hAnsi="Cambria Math" w:cs="Times New Roman"/>
            <w:sz w:val="20"/>
            <w:szCs w:val="20"/>
          </w:rPr>
          <m:t xml:space="preserve"> = ηδI + u</m:t>
        </m:r>
        <m:r>
          <w:rPr>
            <w:rFonts w:ascii="Cambria Math" w:hAnsi="Cambria Math" w:cs="Times New Roman"/>
            <w:sz w:val="20"/>
            <w:szCs w:val="20"/>
            <w:vertAlign w:val="subscript"/>
          </w:rPr>
          <m:t>P</m:t>
        </m:r>
        <m:r>
          <w:rPr>
            <w:rFonts w:ascii="Cambria Math" w:hAnsi="Cambria Math" w:cs="Times New Roman"/>
            <w:sz w:val="20"/>
            <w:szCs w:val="20"/>
          </w:rPr>
          <m:t>(τ) ≥ 0</m:t>
        </m:r>
      </m:oMath>
      <w:r w:rsidRPr="009668D3">
        <w:rPr>
          <w:rFonts w:ascii="Times New Roman" w:hAnsi="Times New Roman" w:cs="Times New Roman"/>
          <w:sz w:val="20"/>
          <w:szCs w:val="20"/>
        </w:rPr>
        <w:t xml:space="preserve"> for I ≥ 0 and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0, so trajectories cannot exit through the F = 0 face.</w:t>
      </w:r>
    </w:p>
    <w:p w14:paraId="32A40622" w14:textId="331D9595"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w:t>
      </w:r>
      <m:oMath>
        <m:r>
          <w:rPr>
            <w:rFonts w:ascii="Cambria Math" w:hAnsi="Cambria Math" w:cs="Times New Roman"/>
            <w:sz w:val="20"/>
            <w:szCs w:val="20"/>
          </w:rPr>
          <m:t>D = 0:</m:t>
        </m:r>
        <m:f>
          <m:fPr>
            <m:ctrlPr>
              <w:rPr>
                <w:rFonts w:ascii="Cambria Math" w:hAnsi="Cambria Math" w:cs="Times New Roman"/>
                <w:i/>
                <w:sz w:val="20"/>
                <w:szCs w:val="20"/>
              </w:rPr>
            </m:ctrlPr>
          </m:fPr>
          <m:num>
            <m:r>
              <w:rPr>
                <w:rFonts w:ascii="Cambria Math" w:hAnsi="Cambria Math" w:cs="Times New Roman"/>
                <w:sz w:val="20"/>
                <w:szCs w:val="20"/>
              </w:rPr>
              <m:t>dD</m:t>
            </m:r>
          </m:num>
          <m:den>
            <m:r>
              <w:rPr>
                <w:rFonts w:ascii="Cambria Math" w:hAnsi="Cambria Math" w:cs="Times New Roman"/>
                <w:sz w:val="20"/>
                <w:szCs w:val="20"/>
              </w:rPr>
              <m:t>dτ</m:t>
            </m:r>
          </m:den>
        </m:f>
        <m:r>
          <w:rPr>
            <w:rFonts w:ascii="Cambria Math" w:hAnsi="Cambria Math" w:cs="Times New Roman"/>
            <w:sz w:val="20"/>
            <w:szCs w:val="20"/>
          </w:rPr>
          <m:t xml:space="preserve"> = κ(S + I) ≥ 0</m:t>
        </m:r>
      </m:oMath>
      <w:r w:rsidRPr="009668D3">
        <w:rPr>
          <w:rFonts w:ascii="Times New Roman" w:hAnsi="Times New Roman" w:cs="Times New Roman"/>
          <w:sz w:val="20"/>
          <w:szCs w:val="20"/>
        </w:rPr>
        <w:t xml:space="preserve"> for S ≥ 0, I ≥ 0, so D remains non-negative.</w:t>
      </w:r>
    </w:p>
    <w:p w14:paraId="598C207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Therefore, Ω is forward-invariant under the flow, and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is well-defined on Ω for each year given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and controls.</w:t>
      </w:r>
    </w:p>
    <w:p w14:paraId="2D9E8ABF"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2: Construction of the annual recurrence map</w:t>
      </w:r>
    </w:p>
    <w:p w14:paraId="0DE733E3" w14:textId="3DEC5952"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From Equations (5)–(8) of the main text and the seasonal flow operator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defined in Step 1, the annual map </w:t>
      </w:r>
      <m:oMath>
        <m:r>
          <w:rPr>
            <w:rFonts w:ascii="Cambria Math" w:hAnsi="Cambria Math" w:cs="Times New Roman"/>
            <w:sz w:val="20"/>
            <w:szCs w:val="20"/>
          </w:rPr>
          <m:t>G</m:t>
        </m:r>
        <m:r>
          <m:rPr>
            <m:scr m:val="double-struck"/>
          </m:rPr>
          <w:rPr>
            <w:rFonts w:ascii="Cambria Math" w:hAnsi="Cambria Math" w:cs="Times New Roman"/>
            <w:sz w:val="20"/>
            <w:szCs w:val="20"/>
          </w:rPr>
          <m:t>: R³₊ → R³</m:t>
        </m:r>
      </m:oMath>
      <w:r w:rsidRPr="009668D3">
        <w:rPr>
          <w:rFonts w:ascii="Times New Roman" w:hAnsi="Times New Roman" w:cs="Times New Roman"/>
          <w:sz w:val="20"/>
          <w:szCs w:val="20"/>
        </w:rPr>
        <w:t>₊ is constructed as:</w:t>
      </w:r>
    </w:p>
    <w:p w14:paraId="79BE4DEC" w14:textId="04C185E5" w:rsidR="000875CC" w:rsidRPr="009668D3" w:rsidRDefault="00740A54"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xₜ₊₁ = G(xₜ) = (σₐ S(T; xₜ),  σ_F F(T; xₜ),  K₀ exp(-ϕ D(T; xₜ)))</m:t>
        </m:r>
      </m:oMath>
      <w:r w:rsidR="000875CC" w:rsidRPr="009668D3">
        <w:rPr>
          <w:rFonts w:ascii="Times New Roman" w:hAnsi="Times New Roman" w:cs="Times New Roman"/>
          <w:sz w:val="20"/>
          <w:szCs w:val="20"/>
        </w:rPr>
        <w:tab/>
        <w:t>(13)</w:t>
      </w:r>
    </w:p>
    <w:p w14:paraId="14C05B5C" w14:textId="236C9F1F"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where </w:t>
      </w:r>
      <m:oMath>
        <m:r>
          <w:rPr>
            <w:rFonts w:ascii="Cambria Math" w:hAnsi="Cambria Math" w:cs="Times New Roman"/>
            <w:sz w:val="20"/>
            <w:szCs w:val="20"/>
          </w:rPr>
          <m:t xml:space="preserve">S(T;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F(T;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and </w:t>
      </w:r>
      <m:oMath>
        <m:r>
          <w:rPr>
            <w:rFonts w:ascii="Cambria Math" w:hAnsi="Cambria Math" w:cs="Times New Roman"/>
            <w:sz w:val="20"/>
            <w:szCs w:val="20"/>
          </w:rPr>
          <m:t xml:space="preserve">D(T;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denote the terminal values S(T), F(T), D(T) obtained by evaluating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at the initial conditions </w:t>
      </w:r>
      <m:oMath>
        <m:r>
          <w:rPr>
            <w:rFonts w:ascii="Cambria Math" w:hAnsi="Cambria Math" w:cs="Times New Roman"/>
            <w:sz w:val="20"/>
            <w:szCs w:val="20"/>
          </w:rPr>
          <m:t xml:space="preserve">S(0) = </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vertAlign w:val="subscript"/>
              </w:rPr>
              <m:t>B</m:t>
            </m:r>
          </m:sub>
        </m:sSub>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/(1 + </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vertAlign w:val="subscript"/>
              </w:rPr>
              <m:t>t</m:t>
            </m:r>
          </m:sub>
        </m:sSub>
        <m:r>
          <w:rPr>
            <w:rFonts w:ascii="Cambria Math" w:hAnsi="Cambria Math" w:cs="Times New Roman"/>
            <w:sz w:val="20"/>
            <w:szCs w:val="20"/>
          </w:rPr>
          <m:t>), I(0) = 0, F(0) = F</m:t>
        </m:r>
        <m:r>
          <w:rPr>
            <w:rFonts w:ascii="Cambria Math" w:hAnsi="Cambria Math" w:cs="Times New Roman"/>
            <w:sz w:val="20"/>
            <w:szCs w:val="20"/>
            <w:vertAlign w:val="subscript"/>
          </w:rPr>
          <m:t>t</m:t>
        </m:r>
        <m:r>
          <w:rPr>
            <w:rFonts w:ascii="Cambria Math" w:hAnsi="Cambria Math" w:cs="Times New Roman"/>
            <w:sz w:val="20"/>
            <w:szCs w:val="20"/>
          </w:rPr>
          <m:t>, D(0) = 0.</m:t>
        </m:r>
      </m:oMath>
    </w:p>
    <w:p w14:paraId="327D9F61"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Mathematical basis.</w:t>
      </w:r>
    </w:p>
    <w:p w14:paraId="1858269B" w14:textId="6B29F4D6"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This construction is the Poincaré (stroboscopic) return map of the periodically forced system (Wiggins, 2003, §1.2; Kot, 2001, Chapter 13). The Poincaré map converts a continuous-time system with periodic forcing into a discrete-time dynamical system by sampling the state at the end of each period. For seasonally structured ecological models, this approach is standard (Elaydi, 2005; Kuznetsov, 2004) and reduces the infinite-dimensional problem of analysing continuous trajectories to the finite-dimensional problem of analysing the iteration </w:t>
      </w:r>
      <m:oMath>
        <m:sSub>
          <m:sSubPr>
            <m:ctrlPr>
              <w:rPr>
                <w:rFonts w:ascii="Cambria Math" w:hAnsi="Cambria Math" w:cs="Times New Roman"/>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r>
              <w:rPr>
                <w:rFonts w:ascii="Cambria Math" w:hAnsi="Cambria Math" w:cs="Times New Roman"/>
                <w:sz w:val="20"/>
                <w:szCs w:val="20"/>
              </w:rPr>
              <m:t>+</m:t>
            </m:r>
            <m:r>
              <m:rPr>
                <m:sty m:val="bi"/>
              </m:rPr>
              <w:rPr>
                <w:rFonts w:ascii="Cambria Math" w:hAnsi="Cambria Math" w:cs="Times New Roman"/>
                <w:sz w:val="20"/>
                <w:szCs w:val="20"/>
              </w:rPr>
              <m:t>1</m:t>
            </m:r>
          </m:sub>
        </m:sSub>
        <m:r>
          <w:rPr>
            <w:rFonts w:ascii="Cambria Math" w:hAnsi="Cambria Math" w:cs="Times New Roman"/>
            <w:sz w:val="20"/>
            <w:szCs w:val="20"/>
          </w:rPr>
          <m:t>=G</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w:rPr>
            <w:rFonts w:ascii="Cambria Math" w:hAnsi="Cambria Math" w:cs="Times New Roman"/>
            <w:sz w:val="20"/>
            <w:szCs w:val="20"/>
          </w:rPr>
          <m:t>.</m:t>
        </m:r>
      </m:oMath>
    </w:p>
    <w:p w14:paraId="6F2030B6"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3: Identification of fixed points (annual equilibria) of the map</w:t>
      </w:r>
    </w:p>
    <w:p w14:paraId="1351B9DE" w14:textId="55F7EC6C"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Fixed points </w:t>
      </w:r>
      <m:oMath>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 G</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e>
        </m:d>
      </m:oMath>
      <w:r w:rsidRPr="009668D3">
        <w:rPr>
          <w:rFonts w:ascii="Times New Roman" w:hAnsi="Times New Roman" w:cs="Times New Roman"/>
          <w:sz w:val="20"/>
          <w:szCs w:val="20"/>
        </w:rPr>
        <w:t xml:space="preserve">are obtained by solving the nonlinear system </w:t>
      </w:r>
      <m:oMath>
        <m:r>
          <w:rPr>
            <w:rFonts w:ascii="Cambria Math" w:hAnsi="Cambria Math" w:cs="Times New Roman"/>
            <w:sz w:val="20"/>
            <w:szCs w:val="20"/>
          </w:rPr>
          <m:t>H(x) = G(x) - x = 0</m:t>
        </m:r>
      </m:oMath>
      <w:r w:rsidRPr="009668D3">
        <w:rPr>
          <w:rFonts w:ascii="Times New Roman" w:hAnsi="Times New Roman" w:cs="Times New Roman"/>
          <w:sz w:val="20"/>
          <w:szCs w:val="20"/>
        </w:rPr>
        <w:t xml:space="preserve"> numerically via Newton iteration or continuation methods (Allgower and Georg, 2003). The following ecologically distinct fixed points are sought.</w:t>
      </w:r>
    </w:p>
    <w:p w14:paraId="41544148" w14:textId="14792C9C"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 Trivial (extinction) fixed point: </w:t>
      </w:r>
      <w:r w:rsidR="00E82C6D" w:rsidRPr="009668D3">
        <w:rPr>
          <w:rFonts w:ascii="Times New Roman" w:hAnsi="Times New Roman" w:cs="Times New Roman"/>
          <w:sz w:val="20"/>
          <w:szCs w:val="20"/>
        </w:rPr>
        <w:t>Trivial (extinction) fixed point x₀* = (0, 0, K₀): A* = 0, F* = 0, K* = K₀</w:t>
      </w:r>
      <w:r w:rsidRPr="009668D3">
        <w:rPr>
          <w:rFonts w:ascii="Times New Roman" w:hAnsi="Times New Roman" w:cs="Times New Roman"/>
          <w:sz w:val="20"/>
          <w:szCs w:val="20"/>
        </w:rPr>
        <w:t xml:space="preserve"> This corresponds to the beetle-free state. When A = 0, no larvae are present, so </w:t>
      </w: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0, F</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m:rPr>
            <m:lit/>
          </m:rPr>
          <w:rPr>
            <w:rFonts w:ascii="Cambria Math" w:hAnsi="Cambria Math" w:cs="Times New Roman"/>
            <w:sz w:val="20"/>
            <w:szCs w:val="20"/>
          </w:rPr>
          <m:t>,</m:t>
        </m:r>
        <m:r>
          <w:rPr>
            <w:rFonts w:ascii="Cambria Math" w:hAnsi="Cambria Math" w:cs="Times New Roman"/>
            <w:sz w:val="20"/>
            <w:szCs w:val="20"/>
          </w:rPr>
          <m:t xml:space="preserve">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m:t>
                    </m:r>
                  </m:sub>
                </m:sSub>
                <m:r>
                  <w:rPr>
                    <w:rFonts w:ascii="Cambria Math" w:eastAsia="Times New Roman" w:hAnsi="Cambria Math" w:cs="Times New Roman"/>
                    <w:sz w:val="20"/>
                    <w:szCs w:val="20"/>
                  </w:rPr>
                  <m:t>T</m:t>
                </m:r>
              </m:e>
            </m:d>
          </m:sup>
        </m:sSup>
      </m:oMath>
      <w:r w:rsidRPr="009668D3">
        <w:rPr>
          <w:rFonts w:ascii="Times New Roman" w:hAnsi="Times New Roman" w:cs="Times New Roman"/>
          <w:sz w:val="20"/>
          <w:szCs w:val="20"/>
        </w:rPr>
        <w:t xml:space="preserve">(parasitoid decays without hosts), and D(T) = 0. Hence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r>
          <w:rPr>
            <w:rFonts w:ascii="Cambria Math" w:hAnsi="Cambria Math" w:cs="Times New Roman"/>
            <w:sz w:val="20"/>
            <w:szCs w:val="20"/>
          </w:rPr>
          <m:t>=0,</m:t>
        </m:r>
        <m:r>
          <m:rPr>
            <m:sty m:val="p"/>
          </m:rP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F</m:t>
            </m:r>
            <m:ctrlPr>
              <w:rPr>
                <w:rFonts w:ascii="Cambria Math" w:hAnsi="Cambria Math" w:cs="Times New Roman"/>
                <w:sz w:val="20"/>
                <w:szCs w:val="20"/>
              </w:rPr>
            </m:ctrlP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w:rPr>
            <w:rFonts w:ascii="Cambria Math" w:hAnsi="Cambria Math" w:cs="Times New Roman"/>
            <w:sz w:val="20"/>
            <w:szCs w:val="20"/>
          </w:rPr>
          <m:t> </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m:t>
                </m:r>
              </m:sub>
            </m:sSub>
            <m:r>
              <w:rPr>
                <w:rFonts w:ascii="Cambria Math" w:hAnsi="Cambria Math" w:cs="Times New Roman"/>
                <w:sz w:val="20"/>
                <w:szCs w:val="20"/>
              </w:rPr>
              <m:t>T</m:t>
            </m:r>
          </m:sup>
        </m:sSup>
        <m:r>
          <m:rPr>
            <m:sty m:val="p"/>
          </m:rPr>
          <w:rPr>
            <w:rFonts w:ascii="Cambria Math" w:hAnsi="Cambria Math" w:cs="Times New Roman"/>
            <w:sz w:val="20"/>
            <w:szCs w:val="20"/>
          </w:rPr>
          <m:t>→</m:t>
        </m:r>
        <m:r>
          <w:rPr>
            <w:rFonts w:ascii="Cambria Math" w:hAnsi="Cambria Math" w:cs="Times New Roman"/>
            <w:sz w:val="20"/>
            <w:szCs w:val="20"/>
          </w:rPr>
          <m:t>0</m:t>
        </m:r>
        <m:r>
          <m:rPr>
            <m:nor/>
          </m:rPr>
          <w:rPr>
            <w:rFonts w:ascii="Times New Roman" w:hAnsi="Times New Roman" w:cs="Times New Roman"/>
            <w:sz w:val="20"/>
            <w:szCs w:val="20"/>
          </w:rPr>
          <m:t xml:space="preserve"> as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 </m:t>
        </m:r>
        <m:r>
          <m:rPr>
            <m:nor/>
          </m:rPr>
          <w:rPr>
            <w:rFonts w:ascii="Times New Roman" w:hAnsi="Times New Roman" w:cs="Times New Roman"/>
            <w:sz w:val="20"/>
            <w:szCs w:val="20"/>
          </w:rPr>
          <m:t>and</m:t>
        </m:r>
        <m:r>
          <m:rPr>
            <m:sty m:val="p"/>
          </m:rP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K</m:t>
            </m:r>
            <m:ctrlPr>
              <w:rPr>
                <w:rFonts w:ascii="Cambria Math" w:hAnsi="Cambria Math" w:cs="Times New Roman"/>
                <w:sz w:val="20"/>
                <w:szCs w:val="20"/>
              </w:rPr>
            </m:ctrlP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e>
            </m:d>
          </m:e>
        </m:func>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r>
          <w:rPr>
            <w:rFonts w:ascii="Cambria Math" w:hAnsi="Cambria Math" w:cs="Times New Roman"/>
            <w:sz w:val="20"/>
            <w:szCs w:val="20"/>
          </w:rPr>
          <m:t>..</m:t>
        </m:r>
      </m:oMath>
      <w:r w:rsidRPr="009668D3">
        <w:rPr>
          <w:rFonts w:ascii="Times New Roman" w:hAnsi="Times New Roman" w:cs="Times New Roman"/>
          <w:sz w:val="20"/>
          <w:szCs w:val="20"/>
        </w:rPr>
        <w:t>This fixed point is relevant only as a boundary reference.</w:t>
      </w:r>
    </w:p>
    <w:p w14:paraId="58593382" w14:textId="71EA37E1"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(ii) Parasitoid-free fixed point x₁* = (A*, 0, K*): </w:t>
      </w:r>
      <w:r w:rsidRPr="009668D3">
        <w:rPr>
          <w:rFonts w:ascii="Times New Roman" w:hAnsi="Times New Roman" w:cs="Times New Roman"/>
          <w:sz w:val="20"/>
          <w:szCs w:val="20"/>
        </w:rPr>
        <w:t xml:space="preserve">The beetle persists at a density regulated by bird predation, baseline mortality, and foliage feedback, but no parasitoid is present </w:t>
      </w:r>
      <m:oMath>
        <m:r>
          <w:rPr>
            <w:rFonts w:ascii="Cambria Math" w:eastAsia="Times New Roman" w:hAnsi="Cambria Math" w:cs="Times New Roman"/>
            <w:sz w:val="20"/>
            <w:szCs w:val="20"/>
          </w:rPr>
          <m:t>(F* = 0)</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When F = 0, the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term </w:t>
      </w:r>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βFS</m:t>
            </m:r>
          </m:num>
          <m:den>
            <m:r>
              <w:rPr>
                <w:rFonts w:ascii="Cambria Math" w:eastAsia="Times New Roman" w:hAnsi="Cambria Math" w:cs="Times New Roman"/>
                <w:sz w:val="20"/>
                <w:szCs w:val="20"/>
              </w:rPr>
              <m:t xml:space="preserve">1 + </m:t>
            </m:r>
            <m:r>
              <w:rPr>
                <w:rFonts w:ascii="Cambria Math" w:eastAsia="Times New Roman" w:hAnsi="Cambria Math" w:cs="Times New Roman"/>
                <w:sz w:val="20"/>
                <w:szCs w:val="20"/>
              </w:rPr>
              <m:t>hS</m:t>
            </m:r>
          </m:den>
        </m:f>
      </m:oMath>
      <w:r w:rsidRPr="009668D3">
        <w:rPr>
          <w:rFonts w:ascii="Times New Roman" w:hAnsi="Times New Roman" w:cs="Times New Roman"/>
          <w:sz w:val="20"/>
          <w:szCs w:val="20"/>
        </w:rPr>
        <w:t xml:space="preserve"> vanishes, so </w:t>
      </w:r>
      <m:oMath>
        <m:r>
          <w:rPr>
            <w:rFonts w:ascii="Cambria Math" w:eastAsia="Times New Roman" w:hAnsi="Cambria Math" w:cs="Times New Roman"/>
            <w:sz w:val="20"/>
            <w:szCs w:val="20"/>
          </w:rPr>
          <m:t>I(τ) ≡ 0</m:t>
        </m:r>
      </m:oMath>
      <w:r w:rsidRPr="009668D3">
        <w:rPr>
          <w:rFonts w:ascii="Times New Roman" w:hAnsi="Times New Roman" w:cs="Times New Roman"/>
          <w:sz w:val="20"/>
          <w:szCs w:val="20"/>
        </w:rPr>
        <w:t xml:space="preserve"> throughout the season. The susceptible larvae decay under natural mortality and bird predation only, </w:t>
      </w:r>
      <m:oMath>
        <m:r>
          <w:rPr>
            <w:rFonts w:ascii="Cambria Math" w:eastAsia="Times New Roman" w:hAnsi="Cambria Math" w:cs="Times New Roman"/>
            <w:sz w:val="20"/>
            <w:szCs w:val="20"/>
          </w:rPr>
          <m:t xml:space="preserve">and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t+1</m:t>
            </m:r>
          </m:sub>
        </m:sSub>
        <m:r>
          <w:rPr>
            <w:rFonts w:ascii="Cambria Math" w:eastAsia="Times New Roman" w:hAnsi="Cambria Math" w:cs="Times New Roman"/>
            <w:sz w:val="20"/>
            <w:szCs w:val="20"/>
          </w:rPr>
          <m:t xml:space="preserve"> = </m:t>
        </m:r>
        <m:sSub>
          <m:sSubPr>
            <m:ctrlPr>
              <w:rPr>
                <w:rFonts w:ascii="Cambria Math" w:eastAsia="Cambria Math" w:hAnsi="Cambria Math" w:cs="Times New Roman"/>
                <w:i/>
                <w:sz w:val="20"/>
                <w:szCs w:val="20"/>
                <w:vertAlign w:val="subscript"/>
              </w:rPr>
            </m:ctrlPr>
          </m:sSubPr>
          <m:e>
            <m:r>
              <w:rPr>
                <w:rFonts w:ascii="Cambria Math" w:eastAsia="Times New Roman" w:hAnsi="Cambria Math" w:cs="Times New Roman"/>
                <w:sz w:val="20"/>
                <w:szCs w:val="20"/>
              </w:rPr>
              <m:t>σ</m:t>
            </m:r>
            <m:ctrlPr>
              <w:rPr>
                <w:rFonts w:ascii="Cambria Math" w:eastAsia="Times New Roman" w:hAnsi="Cambria Math" w:cs="Times New Roman"/>
                <w:i/>
                <w:sz w:val="20"/>
                <w:szCs w:val="20"/>
              </w:rPr>
            </m:ctrlPr>
          </m:e>
          <m:sub>
            <m:r>
              <w:rPr>
                <w:rFonts w:ascii="Cambria Math" w:eastAsia="Cambria Math" w:hAnsi="Cambria Math" w:cs="Times New Roman"/>
                <w:sz w:val="20"/>
                <w:szCs w:val="20"/>
                <w:vertAlign w:val="subscript"/>
              </w:rPr>
              <m:t>A</m:t>
            </m:r>
          </m:sub>
        </m:sSub>
        <m:r>
          <w:rPr>
            <w:rFonts w:ascii="Cambria Math" w:eastAsia="Times New Roman" w:hAnsi="Cambria Math" w:cs="Times New Roman"/>
            <w:sz w:val="20"/>
            <w:szCs w:val="20"/>
          </w:rPr>
          <m:t>× S(T)</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The self-consistency condition </w:t>
      </w:r>
      <m:oMath>
        <m:r>
          <w:rPr>
            <w:rFonts w:ascii="Cambria Math" w:eastAsia="Times New Roman" w:hAnsi="Cambria Math" w:cs="Times New Roman"/>
            <w:sz w:val="20"/>
            <w:szCs w:val="20"/>
          </w:rPr>
          <m:t>A* = σ</m:t>
        </m:r>
        <m:r>
          <w:rPr>
            <w:rFonts w:ascii="Cambria Math" w:eastAsia="Cambria Math" w:hAnsi="Cambria Math" w:cs="Times New Roman"/>
            <w:sz w:val="20"/>
            <w:szCs w:val="20"/>
            <w:vertAlign w:val="subscript"/>
          </w:rPr>
          <m:t>A</m:t>
        </m:r>
        <m:r>
          <w:rPr>
            <w:rFonts w:ascii="Cambria Math" w:eastAsia="Times New Roman" w:hAnsi="Cambria Math" w:cs="Times New Roman"/>
            <w:sz w:val="20"/>
            <w:szCs w:val="20"/>
          </w:rPr>
          <m:t xml:space="preserve">× S(T;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A</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 xml:space="preserve">, 0,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m:t>
        </m:r>
      </m:oMath>
      <w:r w:rsidRPr="009668D3">
        <w:rPr>
          <w:rFonts w:ascii="Times New Roman" w:hAnsi="Times New Roman" w:cs="Times New Roman"/>
          <w:sz w:val="20"/>
          <w:szCs w:val="20"/>
        </w:rPr>
        <w:t xml:space="preserve"> uniquely determines A* for given K* and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because the Beverton–Holt function S(0) = R</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A/(1 + A/K) is monotonically increasing and concave in A (Beverton and Holt, 1957), and the subsequent within-season decay is monotonically decreasing. This is the state from which parasitoid invasion is assessed.</w:t>
      </w:r>
    </w:p>
    <w:p w14:paraId="7119DF96" w14:textId="4F3554E6"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lastRenderedPageBreak/>
        <w:t xml:space="preserve">(iii) Coexistence (endemic </w:t>
      </w:r>
      <w:r w:rsidR="004F245F">
        <w:rPr>
          <w:rFonts w:ascii="Times New Roman" w:hAnsi="Times New Roman" w:cs="Times New Roman"/>
          <w:b/>
          <w:sz w:val="20"/>
          <w:szCs w:val="20"/>
        </w:rPr>
        <w:t>parasitoidism</w:t>
      </w:r>
      <w:r w:rsidRPr="009668D3">
        <w:rPr>
          <w:rFonts w:ascii="Times New Roman" w:hAnsi="Times New Roman" w:cs="Times New Roman"/>
          <w:b/>
          <w:sz w:val="20"/>
          <w:szCs w:val="20"/>
        </w:rPr>
        <w:t xml:space="preserve">) fixed point x₂* = (A*, F*, K*) with F* &gt; 0: </w:t>
      </w:r>
      <w:r w:rsidRPr="009668D3">
        <w:rPr>
          <w:rFonts w:ascii="Times New Roman" w:hAnsi="Times New Roman" w:cs="Times New Roman"/>
          <w:sz w:val="20"/>
          <w:szCs w:val="20"/>
        </w:rPr>
        <w:t>Both the beetle and the parasitoid persist, and the parasitoid exerts ongoing biological control. This is the management target. At this fixed point, the parasitoid population is sustained by sufficient susceptible host density to overcome within-season mortality and overwinter attrition.</w:t>
      </w:r>
    </w:p>
    <w:p w14:paraId="08A363C6" w14:textId="2055C4A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Existence conditions for each fixed point are derived implicitly</w:t>
      </w:r>
      <w:r w:rsidR="009834C5" w:rsidRPr="009668D3">
        <w:rPr>
          <w:rFonts w:ascii="Times New Roman" w:hAnsi="Times New Roman" w:cs="Times New Roman"/>
          <w:sz w:val="20"/>
          <w:szCs w:val="20"/>
        </w:rPr>
        <w:t xml:space="preserve">,, </w:t>
      </w:r>
      <w:r w:rsidRPr="009668D3">
        <w:rPr>
          <w:rFonts w:ascii="Times New Roman" w:hAnsi="Times New Roman" w:cs="Times New Roman"/>
          <w:sz w:val="20"/>
          <w:szCs w:val="20"/>
        </w:rPr>
        <w:t>the terminal states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depend on x* through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so closed-form expressions are generally unavailable due to the nonlinearity of the Holling Type II terms. The existence and number of fixed points are determined by Newton iteration with warm-start initialisation (iterating the map forward ~100–200 years to approach the attractor, then refining with Newton’s method), and their dependence on parameters can be tracked via numerical continuation (Allgower and Georg, 2003).</w:t>
      </w:r>
    </w:p>
    <w:p w14:paraId="2669C3D0" w14:textId="430E64FD"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4: Local stability of annual fixed points via the Jacobian of the annual map</w:t>
      </w:r>
      <w:r w:rsidRPr="009668D3">
        <w:rPr>
          <w:rFonts w:ascii="Times New Roman" w:hAnsi="Times New Roman" w:cs="Times New Roman"/>
          <w:sz w:val="20"/>
          <w:szCs w:val="20"/>
        </w:rPr>
        <w:t>.</w:t>
      </w:r>
    </w:p>
    <w:p w14:paraId="4289C58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Criterion used: Spectral radius criterion for discrete-time maps.</w:t>
      </w:r>
    </w:p>
    <w:p w14:paraId="3A6C748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(Elaydi, 2005, Theorem 4.15): A fixed point x* of a discrete-time map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 G(x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is locally asymptotically stable if and only if all eigenvalues of the Jacobian matrix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 = ∂G/∂x|</w:t>
      </w:r>
      <w:r w:rsidRPr="009668D3">
        <w:rPr>
          <w:rFonts w:ascii="Times New Roman" w:hAnsi="Times New Roman" w:cs="Times New Roman"/>
          <w:sz w:val="20"/>
          <w:szCs w:val="20"/>
          <w:vertAlign w:val="subscript"/>
        </w:rPr>
        <w:t>x*</w:t>
      </w:r>
      <w:r w:rsidRPr="009668D3">
        <w:rPr>
          <w:rFonts w:ascii="Times New Roman" w:hAnsi="Times New Roman" w:cs="Times New Roman"/>
          <w:sz w:val="20"/>
          <w:szCs w:val="20"/>
        </w:rPr>
        <w:t xml:space="preserve"> lie strictly inside the unit circle in the complex plane, i.e., max</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&lt; 1, where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are the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p>
    <w:p w14:paraId="6DBF7C1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Justification: Discrete-time Hartman–Grobman linearisation theorem.</w:t>
      </w:r>
    </w:p>
    <w:p w14:paraId="660873C4" w14:textId="45E44F5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(Kuznetsov, 2004, Chapter 2; Palis and de Melo, 1982): Near a hyperbolic fixed point (no eigenvalues on the unit circle), the nonlinear map G and its linearisation x →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(x*)(x − x*) are topologically conjugate</w:t>
      </w:r>
      <w:r w:rsidR="00740A54" w:rsidRPr="009668D3">
        <w:rPr>
          <w:rFonts w:ascii="Times New Roman" w:hAnsi="Times New Roman" w:cs="Times New Roman"/>
          <w:sz w:val="20"/>
          <w:szCs w:val="20"/>
        </w:rPr>
        <w:t xml:space="preserve">, </w:t>
      </w:r>
      <w:r w:rsidRPr="009668D3">
        <w:rPr>
          <w:rFonts w:ascii="Times New Roman" w:hAnsi="Times New Roman" w:cs="Times New Roman"/>
          <w:sz w:val="20"/>
          <w:szCs w:val="20"/>
        </w:rPr>
        <w:t>i.e., there exists a homeomorphism that maps orbits of one to orbits of the other, preserving orientation. This guarantees that the local qualitative dynamics (stability, instability, saddle structure) of the nonlinear map are completely determined by the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p>
    <w:p w14:paraId="6D4E185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Important distinction: </w:t>
      </w:r>
      <w:r w:rsidRPr="009668D3">
        <w:rPr>
          <w:rFonts w:ascii="Times New Roman" w:hAnsi="Times New Roman" w:cs="Times New Roman"/>
          <w:sz w:val="20"/>
          <w:szCs w:val="20"/>
        </w:rPr>
        <w:t>This is the correct stability test for the annual recurrence. The Routh–Hurwitz criterion (Re(λ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&lt; 0) applies to continuous-time systems and would be appropriate only for the within-season ODE in isolation. For the discrete-time annual map, the unit circle (not the imaginary axis) is the stability boundary.</w:t>
      </w:r>
    </w:p>
    <w:p w14:paraId="6807CDC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Definition of the Jacobian.</w:t>
      </w:r>
    </w:p>
    <w:p w14:paraId="0E6DB93D" w14:textId="2CE8C190"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Jacobian of the annual map at a </w:t>
      </w:r>
      <w:r w:rsidR="008A7872" w:rsidRPr="009668D3">
        <w:rPr>
          <w:rFonts w:ascii="Times New Roman" w:hAnsi="Times New Roman" w:cs="Times New Roman"/>
          <w:sz w:val="20"/>
          <w:szCs w:val="20"/>
        </w:rPr>
        <w:t>fixed-point</w:t>
      </w:r>
      <w:r w:rsidRPr="009668D3">
        <w:rPr>
          <w:rFonts w:ascii="Times New Roman" w:hAnsi="Times New Roman" w:cs="Times New Roman"/>
          <w:sz w:val="20"/>
          <w:szCs w:val="20"/>
        </w:rPr>
        <w:t xml:space="preserve"> x* is the 3 × 3 matrix:</w:t>
      </w:r>
    </w:p>
    <w:p w14:paraId="22681541" w14:textId="77C9A6CB" w:rsidR="000875CC" w:rsidRPr="009668D3" w:rsidRDefault="00000000" w:rsidP="002D21BC">
      <w:pPr>
        <w:tabs>
          <w:tab w:val="right" w:pos="9026"/>
        </w:tabs>
        <w:spacing w:before="160" w:line="240" w:lineRule="auto"/>
        <w:jc w:val="both"/>
        <w:rPr>
          <w:rFonts w:ascii="Times New Roman" w:hAnsi="Times New Roman" w:cs="Times New Roman"/>
          <w:sz w:val="20"/>
          <w:szCs w:val="20"/>
        </w:rPr>
      </w:pPr>
      <m:oMath>
        <m:r>
          <w:rPr>
            <w:rFonts w:ascii="Cambria Math" w:eastAsia="Cambria Math" w:hAnsi="Cambria Math" w:cs="Times New Roman"/>
            <w:sz w:val="20"/>
            <w:szCs w:val="20"/>
          </w:rPr>
          <m:t>J</m:t>
        </m:r>
        <m:r>
          <w:rPr>
            <w:rFonts w:ascii="Cambria Math" w:eastAsia="Cambria Math" w:hAnsi="Cambria Math" w:cs="Times New Roman"/>
            <w:sz w:val="20"/>
            <w:szCs w:val="20"/>
          </w:rPr>
          <m:t>ₓ</m:t>
        </m:r>
        <m:r>
          <w:rPr>
            <w:rFonts w:ascii="Cambria Math" w:eastAsia="Cambria Math" w:hAnsi="Cambria Math" w:cs="Times New Roman"/>
            <w:sz w:val="20"/>
            <w:szCs w:val="20"/>
          </w:rPr>
          <m:t>(</m:t>
        </m:r>
        <m:sSup>
          <m:sSupPr>
            <m:ctrlPr>
              <w:rPr>
                <w:rFonts w:ascii="Cambria Math" w:eastAsia="Cambria Math" w:hAnsi="Cambria Math" w:cs="Times New Roman"/>
                <w:i/>
                <w:sz w:val="20"/>
                <w:szCs w:val="20"/>
              </w:rPr>
            </m:ctrlPr>
          </m:sSupPr>
          <m:e>
            <m:r>
              <w:rPr>
                <w:rFonts w:ascii="Cambria Math" w:eastAsia="Cambria Math" w:hAnsi="Cambria Math" w:cs="Times New Roman"/>
                <w:sz w:val="20"/>
                <w:szCs w:val="20"/>
              </w:rPr>
              <m:t>x</m:t>
            </m:r>
          </m:e>
          <m:sup>
            <m:r>
              <w:rPr>
                <w:rFonts w:ascii="Cambria Math" w:eastAsia="Cambria Math" w:hAnsi="Cambria Math" w:cs="Times New Roman"/>
                <w:sz w:val="20"/>
                <w:szCs w:val="20"/>
              </w:rPr>
              <m:t>*</m:t>
            </m:r>
          </m:sup>
        </m:sSup>
        <m:r>
          <w:rPr>
            <w:rFonts w:ascii="Cambria Math" w:eastAsia="Cambria Math" w:hAnsi="Cambria Math" w:cs="Times New Roman"/>
            <w:sz w:val="20"/>
            <w:szCs w:val="20"/>
          </w:rPr>
          <m:t xml:space="preserve">) = </m:t>
        </m:r>
        <m:r>
          <w:rPr>
            <w:rFonts w:ascii="Cambria Math" w:eastAsia="Cambria Math" w:hAnsi="Cambria Math" w:cs="Times New Roman"/>
            <w:sz w:val="20"/>
            <w:szCs w:val="20"/>
          </w:rPr>
          <m:t>∂G</m:t>
        </m:r>
        <m:r>
          <w:rPr>
            <w:rFonts w:ascii="Cambria Math" w:eastAsia="Cambria Math" w:hAnsi="Cambria Math" w:cs="Times New Roman"/>
            <w:sz w:val="20"/>
            <w:szCs w:val="20"/>
          </w:rPr>
          <m:t>/</m:t>
        </m:r>
        <m:r>
          <w:rPr>
            <w:rFonts w:ascii="Cambria Math" w:eastAsia="Cambria Math" w:hAnsi="Cambria Math" w:cs="Times New Roman"/>
            <w:sz w:val="20"/>
            <w:szCs w:val="20"/>
          </w:rPr>
          <m:t>∂x</m:t>
        </m:r>
        <m:r>
          <w:rPr>
            <w:rFonts w:ascii="Cambria Math" w:eastAsia="Cambria Math" w:hAnsi="Cambria Math" w:cs="Times New Roman"/>
            <w:sz w:val="20"/>
            <w:szCs w:val="20"/>
          </w:rPr>
          <m:t xml:space="preserve"> |ₓ*</m:t>
        </m:r>
      </m:oMath>
      <w:r w:rsidR="000875CC" w:rsidRPr="009668D3">
        <w:rPr>
          <w:rFonts w:ascii="Times New Roman" w:hAnsi="Times New Roman" w:cs="Times New Roman"/>
          <w:sz w:val="20"/>
          <w:szCs w:val="20"/>
        </w:rPr>
        <w:tab/>
        <w:t>(14)</w:t>
      </w:r>
    </w:p>
    <w:p w14:paraId="0E042C0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By the chain rule, the entries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decompose into two components: (a) analytic derivatives of the initial conditions with respect to the annual state, and (b) numerical derivatives of the seasonal terminal values with respect to the initial conditions.</w:t>
      </w:r>
    </w:p>
    <w:p w14:paraId="51196148"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Component (a): Initial-condition derivatives from Beverton–Holt recruitment.</w:t>
      </w:r>
    </w:p>
    <w:p w14:paraId="514205ED" w14:textId="6DF1C9B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From </w:t>
      </w:r>
      <m:oMath>
        <m:r>
          <w:rPr>
            <w:rFonts w:ascii="Cambria Math" w:eastAsia="Times New Roman" w:hAnsi="Cambria Math" w:cs="Times New Roman"/>
            <w:sz w:val="20"/>
            <w:szCs w:val="20"/>
          </w:rPr>
          <m:t>S</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0</m:t>
            </m:r>
          </m:e>
        </m:d>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Cambria Math" w:hAnsi="Cambria Math" w:cs="Times New Roman"/>
                    <w:sz w:val="20"/>
                    <w:szCs w:val="20"/>
                    <w:vertAlign w:val="subscript"/>
                  </w:rPr>
                  <m:t>B</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m:t>
                </m:r>
              </m:sub>
            </m:sSub>
          </m:num>
          <m:den>
            <m:r>
              <w:rPr>
                <w:rFonts w:ascii="Cambria Math" w:eastAsia="Times New Roman" w:hAnsi="Cambria Math" w:cs="Times New Roman"/>
                <w:sz w:val="20"/>
                <w:szCs w:val="20"/>
              </w:rPr>
              <m:t>1 +</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Cambria Math" w:hAnsi="Cambria Math" w:cs="Times New Roman"/>
                        <w:sz w:val="20"/>
                        <w:szCs w:val="20"/>
                        <w:vertAlign w:val="subscript"/>
                      </w:rPr>
                      <m:t>t</m:t>
                    </m:r>
                  </m:sub>
                </m:sSub>
              </m:den>
            </m:f>
          </m:den>
        </m:f>
        <m:r>
          <w:rPr>
            <w:rFonts w:ascii="Cambria Math" w:eastAsia="Times New Roman" w:hAnsi="Cambria Math" w:cs="Times New Roman"/>
            <w:sz w:val="20"/>
            <w:szCs w:val="20"/>
          </w:rPr>
          <m:t xml:space="preserve">, </m:t>
        </m:r>
      </m:oMath>
      <w:r w:rsidRPr="009668D3">
        <w:rPr>
          <w:rFonts w:ascii="Times New Roman" w:hAnsi="Times New Roman" w:cs="Times New Roman"/>
          <w:sz w:val="20"/>
          <w:szCs w:val="20"/>
        </w:rPr>
        <w:t>direct differentiation yields (Beverton and Holt, 1957):</w:t>
      </w:r>
      <m:oMath>
        <m:f>
          <m:fPr>
            <m:ctrlPr>
              <w:rPr>
                <w:rFonts w:ascii="Cambria Math" w:hAnsi="Cambria Math" w:cs="Times New Roman"/>
                <w:sz w:val="20"/>
                <w:szCs w:val="20"/>
              </w:rPr>
            </m:ctrlPr>
          </m:fPr>
          <m:num>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ctrlPr>
              <w:rPr>
                <w:rFonts w:ascii="Cambria Math" w:hAnsi="Cambria Math" w:cs="Times New Roman"/>
                <w:i/>
                <w:sz w:val="20"/>
                <w:szCs w:val="20"/>
              </w:rPr>
            </m:ctrlPr>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ctrlPr>
              <w:rPr>
                <w:rFonts w:ascii="Cambria Math" w:hAnsi="Cambria Math" w:cs="Times New Roman"/>
                <w:i/>
                <w:sz w:val="20"/>
                <w:szCs w:val="20"/>
              </w:rPr>
            </m:ctrlPr>
          </m:den>
        </m:f>
        <m:r>
          <w:rPr>
            <w:rFonts w:ascii="Cambria Math" w:hAnsi="Cambria Math" w:cs="Times New Roman"/>
            <w:sz w:val="20"/>
            <w:szCs w:val="20"/>
          </w:rPr>
          <m:t>=</m:t>
        </m:r>
        <m:f>
          <m:fPr>
            <m:ctrlPr>
              <w:rPr>
                <w:rFonts w:ascii="Cambria Math" w:eastAsia="Times New Roman" w:hAnsi="Cambria Math" w:cs="Times New Roman"/>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B</m:t>
                </m:r>
              </m:sub>
            </m:sSub>
            <m:ctrlPr>
              <w:rPr>
                <w:rFonts w:ascii="Cambria Math" w:eastAsia="Times New Roman" w:hAnsi="Cambria Math" w:cs="Times New Roman"/>
                <w:i/>
                <w:sz w:val="20"/>
                <w:szCs w:val="20"/>
              </w:rPr>
            </m:ctrlPr>
          </m:num>
          <m:den>
            <m:sSup>
              <m:sSupPr>
                <m:ctrlPr>
                  <w:rPr>
                    <w:rFonts w:ascii="Cambria Math" w:eastAsia="Times New Roman" w:hAnsi="Cambria Math" w:cs="Times New Roman"/>
                    <w:i/>
                    <w:sz w:val="20"/>
                    <w:szCs w:val="20"/>
                  </w:rPr>
                </m:ctrlPr>
              </m:sSupPr>
              <m:e>
                <m:d>
                  <m:dPr>
                    <m:ctrlPr>
                      <w:rPr>
                        <w:rFonts w:ascii="Cambria Math" w:eastAsia="Times New Roman" w:hAnsi="Cambria Math" w:cs="Times New Roman"/>
                        <w:sz w:val="20"/>
                        <w:szCs w:val="20"/>
                      </w:rPr>
                    </m:ctrlPr>
                  </m:dPr>
                  <m:e>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t</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t</m:t>
                        </m:r>
                      </m:sub>
                    </m:sSub>
                    <m:ctrlPr>
                      <w:rPr>
                        <w:rFonts w:ascii="Cambria Math" w:eastAsia="Times New Roman" w:hAnsi="Cambria Math" w:cs="Times New Roman"/>
                        <w:i/>
                        <w:sz w:val="20"/>
                        <w:szCs w:val="20"/>
                      </w:rPr>
                    </m:ctrlPr>
                  </m:e>
                </m:d>
              </m:e>
              <m:sup>
                <m:r>
                  <w:rPr>
                    <w:rFonts w:ascii="Cambria Math" w:eastAsia="Times New Roman" w:hAnsi="Cambria Math" w:cs="Times New Roman"/>
                    <w:sz w:val="20"/>
                    <w:szCs w:val="20"/>
                  </w:rPr>
                  <m:t>2</m:t>
                </m:r>
              </m:sup>
            </m:sSup>
            <m:ctrlPr>
              <w:rPr>
                <w:rFonts w:ascii="Cambria Math" w:eastAsia="Times New Roman" w:hAnsi="Cambria Math" w:cs="Times New Roman"/>
                <w:i/>
                <w:sz w:val="20"/>
                <w:szCs w:val="20"/>
              </w:rPr>
            </m:ctrlPr>
          </m:den>
        </m:f>
      </m:oMath>
      <w:r w:rsidR="009834C5" w:rsidRPr="009668D3">
        <w:rPr>
          <w:rFonts w:ascii="Times New Roman" w:hAnsi="Times New Roman" w:cs="Times New Roman"/>
          <w:sz w:val="20"/>
          <w:szCs w:val="20"/>
        </w:rPr>
        <w:t>(</w:t>
      </w:r>
      <w:r w:rsidRPr="009668D3">
        <w:rPr>
          <w:rFonts w:ascii="Times New Roman" w:hAnsi="Times New Roman" w:cs="Times New Roman"/>
          <w:sz w:val="20"/>
          <w:szCs w:val="20"/>
        </w:rPr>
        <w:t>15a)</w:t>
      </w:r>
      <w:r w:rsidR="00AA491A" w:rsidRPr="009668D3">
        <w:rPr>
          <w:rFonts w:ascii="Times New Roman" w:hAnsi="Times New Roman" w:cs="Times New Roman"/>
          <w:sz w:val="20"/>
          <w:szCs w:val="20"/>
        </w:rPr>
        <w:t xml:space="preserve">; </w:t>
      </w:r>
      <m:oMath>
        <m:f>
          <m:fPr>
            <m:ctrlPr>
              <w:rPr>
                <w:rFonts w:ascii="Cambria Math" w:hAnsi="Cambria Math" w:cs="Times New Roman"/>
                <w:sz w:val="20"/>
                <w:szCs w:val="20"/>
              </w:rPr>
            </m:ctrlPr>
          </m:fPr>
          <m:num>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ctrlPr>
              <w:rPr>
                <w:rFonts w:ascii="Cambria Math" w:hAnsi="Cambria Math" w:cs="Times New Roman"/>
                <w:i/>
                <w:sz w:val="20"/>
                <w:szCs w:val="20"/>
              </w:rPr>
            </m:ctrlPr>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ctrlPr>
              <w:rPr>
                <w:rFonts w:ascii="Cambria Math" w:hAnsi="Cambria Math" w:cs="Times New Roman"/>
                <w:i/>
                <w:sz w:val="20"/>
                <w:szCs w:val="20"/>
              </w:rPr>
            </m:ctrlPr>
          </m:den>
        </m:f>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r>
              <w:rPr>
                <w:rFonts w:ascii="Cambria Math" w:hAnsi="Cambria Math" w:cs="Times New Roman"/>
                <w:sz w:val="20"/>
                <w:szCs w:val="20"/>
              </w:rPr>
              <m:t> </m:t>
            </m:r>
            <m:sSubSup>
              <m:sSubSupPr>
                <m:ctrlPr>
                  <w:rPr>
                    <w:rFonts w:ascii="Cambria Math" w:hAnsi="Cambria Math" w:cs="Times New Roman"/>
                    <w:i/>
                    <w:sz w:val="20"/>
                    <w:szCs w:val="20"/>
                  </w:rPr>
                </m:ctrlPr>
              </m:sSubSupPr>
              <m:e>
                <m:r>
                  <w:rPr>
                    <w:rFonts w:ascii="Cambria Math" w:hAnsi="Cambria Math" w:cs="Times New Roman"/>
                    <w:sz w:val="20"/>
                    <w:szCs w:val="20"/>
                  </w:rPr>
                  <m:t>A</m:t>
                </m:r>
              </m:e>
              <m:sub>
                <m:r>
                  <w:rPr>
                    <w:rFonts w:ascii="Cambria Math" w:hAnsi="Cambria Math" w:cs="Times New Roman"/>
                    <w:sz w:val="20"/>
                    <w:szCs w:val="20"/>
                  </w:rPr>
                  <m:t>t</m:t>
                </m:r>
              </m:sub>
              <m:sup>
                <m:r>
                  <w:rPr>
                    <w:rFonts w:ascii="Cambria Math" w:hAnsi="Cambria Math" w:cs="Times New Roman"/>
                    <w:sz w:val="20"/>
                    <w:szCs w:val="20"/>
                  </w:rPr>
                  <m:t>2</m:t>
                </m:r>
              </m:sup>
            </m:sSubSup>
            <m:ctrlPr>
              <w:rPr>
                <w:rFonts w:ascii="Cambria Math" w:hAnsi="Cambria Math" w:cs="Times New Roman"/>
                <w:i/>
                <w:sz w:val="20"/>
                <w:szCs w:val="20"/>
              </w:rPr>
            </m:ctrlPr>
          </m:num>
          <m:den>
            <m:sSubSup>
              <m:sSubSupPr>
                <m:ctrlPr>
                  <w:rPr>
                    <w:rFonts w:ascii="Cambria Math" w:hAnsi="Cambria Math" w:cs="Times New Roman"/>
                    <w:i/>
                    <w:sz w:val="20"/>
                    <w:szCs w:val="20"/>
                  </w:rPr>
                </m:ctrlPr>
              </m:sSubSupPr>
              <m:e>
                <m:r>
                  <w:rPr>
                    <w:rFonts w:ascii="Cambria Math" w:hAnsi="Cambria Math" w:cs="Times New Roman"/>
                    <w:sz w:val="20"/>
                    <w:szCs w:val="20"/>
                  </w:rPr>
                  <m:t>K</m:t>
                </m:r>
              </m:e>
              <m:sub>
                <m:r>
                  <w:rPr>
                    <w:rFonts w:ascii="Cambria Math" w:hAnsi="Cambria Math" w:cs="Times New Roman"/>
                    <w:sz w:val="20"/>
                    <w:szCs w:val="20"/>
                  </w:rPr>
                  <m:t>t</m:t>
                </m:r>
              </m:sub>
              <m:sup>
                <m:r>
                  <w:rPr>
                    <w:rFonts w:ascii="Cambria Math" w:hAnsi="Cambria Math" w:cs="Times New Roman"/>
                    <w:sz w:val="20"/>
                    <w:szCs w:val="20"/>
                  </w:rPr>
                  <m:t>2</m:t>
                </m:r>
              </m:sup>
            </m:sSubSup>
            <m:sSup>
              <m:sSupPr>
                <m:ctrlPr>
                  <w:rPr>
                    <w:rFonts w:ascii="Cambria Math" w:hAnsi="Cambria Math" w:cs="Times New Roman"/>
                    <w:i/>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f>
                      <m:fPr>
                        <m:ctrlPr>
                          <w:rPr>
                            <w:rFonts w:ascii="Cambria Math" w:hAnsi="Cambria Math" w:cs="Times New Roman"/>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ctrlPr>
                          <w:rPr>
                            <w:rFonts w:ascii="Cambria Math" w:hAnsi="Cambria Math" w:cs="Times New Roman"/>
                            <w:i/>
                            <w:sz w:val="20"/>
                            <w:szCs w:val="20"/>
                          </w:rPr>
                        </m:ctrlPr>
                      </m:num>
                      <m:den>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ctrlPr>
                          <w:rPr>
                            <w:rFonts w:ascii="Cambria Math" w:hAnsi="Cambria Math" w:cs="Times New Roman"/>
                            <w:i/>
                            <w:sz w:val="20"/>
                            <w:szCs w:val="20"/>
                          </w:rPr>
                        </m:ctrlPr>
                      </m:den>
                    </m:f>
                    <m:ctrlPr>
                      <w:rPr>
                        <w:rFonts w:ascii="Cambria Math" w:hAnsi="Cambria Math" w:cs="Times New Roman"/>
                        <w:i/>
                        <w:sz w:val="20"/>
                        <w:szCs w:val="20"/>
                      </w:rPr>
                    </m:ctrlPr>
                  </m:e>
                </m:d>
              </m:e>
              <m:sup>
                <m:r>
                  <w:rPr>
                    <w:rFonts w:ascii="Cambria Math" w:hAnsi="Cambria Math" w:cs="Times New Roman"/>
                    <w:sz w:val="20"/>
                    <w:szCs w:val="20"/>
                  </w:rPr>
                  <m:t>2</m:t>
                </m:r>
              </m:sup>
            </m:sSup>
            <m:ctrlPr>
              <w:rPr>
                <w:rFonts w:ascii="Cambria Math" w:hAnsi="Cambria Math" w:cs="Times New Roman"/>
                <w:i/>
                <w:sz w:val="20"/>
                <w:szCs w:val="20"/>
              </w:rPr>
            </m:ctrlPr>
          </m:den>
        </m:f>
        <m:r>
          <m:rPr>
            <m:sty m:val="p"/>
          </m:rPr>
          <w:rPr>
            <w:rFonts w:ascii="Cambria Math" w:hAnsi="Cambria Math" w:cs="Times New Roman"/>
            <w:sz w:val="20"/>
            <w:szCs w:val="20"/>
          </w:rPr>
          <m:t> </m:t>
        </m:r>
        <m:r>
          <m:rPr>
            <m:nor/>
          </m:rPr>
          <w:rPr>
            <w:rFonts w:ascii="Times New Roman" w:hAnsi="Times New Roman" w:cs="Times New Roman"/>
            <w:sz w:val="20"/>
            <w:szCs w:val="20"/>
          </w:rPr>
          <m:t>(15b)</m:t>
        </m:r>
      </m:oMath>
      <w:r w:rsidR="00AA491A" w:rsidRPr="009668D3">
        <w:rPr>
          <w:rFonts w:ascii="Times New Roman" w:hAnsi="Times New Roman" w:cs="Times New Roman"/>
          <w:sz w:val="20"/>
          <w:szCs w:val="20"/>
        </w:rPr>
        <w:t xml:space="preserve"> </w:t>
      </w:r>
      <m:oMath>
        <m:f>
          <m:fPr>
            <m:ctrlPr>
              <w:rPr>
                <w:rFonts w:ascii="Cambria Math" w:eastAsia="Cambria Math" w:hAnsi="Cambria Math" w:cs="Times New Roman"/>
                <w:i/>
                <w:sz w:val="20"/>
                <w:szCs w:val="20"/>
              </w:rPr>
            </m:ctrlPr>
          </m:fPr>
          <m:num>
            <m:r>
              <w:rPr>
                <w:rFonts w:ascii="Cambria Math" w:eastAsia="Cambria Math" w:hAnsi="Cambria Math" w:cs="Times New Roman"/>
                <w:sz w:val="20"/>
                <w:szCs w:val="20"/>
              </w:rPr>
              <m:t>∂S</m:t>
            </m:r>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0</m:t>
                </m:r>
              </m:e>
            </m:d>
          </m:num>
          <m:den>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F</m:t>
                </m:r>
              </m:e>
              <m:sub>
                <m:r>
                  <w:rPr>
                    <w:rFonts w:ascii="Cambria Math" w:eastAsia="Cambria Math" w:hAnsi="Cambria Math" w:cs="Times New Roman"/>
                    <w:sz w:val="20"/>
                    <w:szCs w:val="20"/>
                  </w:rPr>
                  <m:t>t</m:t>
                </m:r>
              </m:sub>
            </m:sSub>
          </m:den>
        </m:f>
        <m:r>
          <w:rPr>
            <w:rFonts w:ascii="Cambria Math" w:eastAsia="Cambria Math" w:hAnsi="Cambria Math" w:cs="Times New Roman"/>
            <w:sz w:val="20"/>
            <w:szCs w:val="20"/>
          </w:rPr>
          <m:t>=</m:t>
        </m:r>
        <m:r>
          <w:rPr>
            <w:rFonts w:ascii="Cambria Math" w:hAnsi="Cambria Math" w:cs="Times New Roman"/>
            <w:sz w:val="20"/>
            <w:szCs w:val="20"/>
          </w:rPr>
          <m:t xml:space="preserve"> 0</m:t>
        </m:r>
      </m:oMath>
      <w:r w:rsidRPr="009668D3">
        <w:rPr>
          <w:rFonts w:ascii="Times New Roman" w:hAnsi="Times New Roman" w:cs="Times New Roman"/>
          <w:sz w:val="20"/>
          <w:szCs w:val="20"/>
        </w:rPr>
        <w:tab/>
        <w:t>(15c)</w:t>
      </w:r>
    </w:p>
    <w:p w14:paraId="6CEA31EE" w14:textId="0977C8A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Equation (15a): </w:t>
      </w:r>
      <m:oMath>
        <m:r>
          <w:rPr>
            <w:rFonts w:ascii="Cambria Math" w:eastAsia="Times New Roman" w:hAnsi="Cambria Math" w:cs="Times New Roman"/>
            <w:sz w:val="20"/>
            <w:szCs w:val="20"/>
          </w:rPr>
          <m:t>S(0)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A×K / (K + A)</m:t>
        </m:r>
      </m:oMath>
      <w:r w:rsidR="0034411E" w:rsidRPr="001E6700">
        <w:rPr>
          <w:rFonts w:ascii="Times New Roman" w:eastAsia="Times New Roman" w:hAnsi="Times New Roman" w:cs="Times New Roman"/>
          <w:sz w:val="20"/>
          <w:szCs w:val="20"/>
        </w:rPr>
        <w:t xml:space="preserve"> (</w:t>
      </w:r>
      <w:r w:rsidR="0034411E" w:rsidRPr="009668D3">
        <w:rPr>
          <w:rFonts w:ascii="Times New Roman" w:hAnsi="Times New Roman" w:cs="Times New Roman"/>
          <w:sz w:val="20"/>
          <w:szCs w:val="20"/>
        </w:rPr>
        <w:t xml:space="preserve">t </w:t>
      </w:r>
      <w:r w:rsidR="0034411E" w:rsidRPr="001E6700">
        <w:rPr>
          <w:rFonts w:ascii="Times New Roman" w:eastAsia="Times New Roman" w:hAnsi="Times New Roman" w:cs="Times New Roman"/>
          <w:sz w:val="20"/>
          <w:szCs w:val="20"/>
        </w:rPr>
        <w:t>omitted</w:t>
      </w:r>
      <w:r w:rsidR="0034411E" w:rsidRPr="009668D3">
        <w:rPr>
          <w:rFonts w:ascii="Times New Roman" w:hAnsi="Times New Roman" w:cs="Times New Roman"/>
          <w:sz w:val="20"/>
          <w:szCs w:val="20"/>
        </w:rPr>
        <w:t xml:space="preserve"> for clarity</w:t>
      </w:r>
      <w:r w:rsidR="0034411E" w:rsidRPr="001E6700">
        <w:rPr>
          <w:rFonts w:ascii="Times New Roman" w:eastAsia="Times New Roman" w:hAnsi="Times New Roman" w:cs="Times New Roman"/>
          <w:sz w:val="20"/>
          <w:szCs w:val="20"/>
        </w:rPr>
        <w:t>)</w:t>
      </w:r>
      <w:r w:rsidR="006B19FB" w:rsidRPr="001E6700">
        <w:rPr>
          <w:rFonts w:ascii="Times New Roman" w:eastAsia="Times New Roman" w:hAnsi="Times New Roman" w:cs="Times New Roman"/>
          <w:sz w:val="20"/>
          <w:szCs w:val="20"/>
        </w:rPr>
        <w:t>,</w:t>
      </w:r>
      <w:r w:rsidRPr="001E6700">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∂S(0)/∂A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K / (K + 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 ×K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K²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 (1 + A/K)².</m:t>
        </m:r>
      </m:oMath>
    </w:p>
    <w:p w14:paraId="6F8A79AF" w14:textId="1E6D339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Equation (15b): </w:t>
      </w:r>
      <m:oMath>
        <m:r>
          <w:rPr>
            <w:rFonts w:ascii="Cambria Math" w:eastAsia="Times New Roman" w:hAnsi="Cambria Math" w:cs="Times New Roman"/>
            <w:sz w:val="20"/>
            <w:szCs w:val="20"/>
          </w:rPr>
          <m:t>∂S(0)/∂K  = R_</m:t>
        </m:r>
        <m:r>
          <w:rPr>
            <w:rFonts w:ascii="Cambria Math" w:eastAsia="Cambria Math" w:hAnsi="Cambria Math" w:cs="Times New Roman"/>
            <w:sz w:val="20"/>
            <w:szCs w:val="20"/>
            <w:vertAlign w:val="subscript"/>
          </w:rPr>
          <m:t xml:space="preserve">B </m:t>
        </m:r>
        <m:r>
          <w:rPr>
            <w:rFonts w:ascii="Cambria Math" w:eastAsia="Times New Roman" w:hAnsi="Cambria Math" w:cs="Times New Roman"/>
            <w:sz w:val="20"/>
            <w:szCs w:val="20"/>
          </w:rPr>
          <m:t xml:space="preserve"> A (K + 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A_K)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A²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A² / [K²(1 + A/K)²]</m:t>
        </m:r>
      </m:oMath>
      <w:r w:rsidRPr="001E6700">
        <w:rPr>
          <w:rFonts w:ascii="Times New Roman" w:eastAsia="Times New Roman" w:hAnsi="Times New Roman" w:cs="Times New Roman"/>
          <w:sz w:val="20"/>
          <w:szCs w:val="20"/>
        </w:rPr>
        <w:t>.</w:t>
      </w:r>
    </w:p>
    <w:p w14:paraId="2E6B231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Additionally, from Equation (5): ∂F(0)/∂F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1, and ∂F(0)/∂A</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∂F(0)/∂K</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and ∂I(0)/∂x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∂D(0)/∂x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(since I(0) = 0 and D(0) = 0 are fixed constants each year).</w:t>
      </w:r>
    </w:p>
    <w:p w14:paraId="5F2DEE3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Component (b): Flow sensitivities.</w:t>
      </w:r>
    </w:p>
    <w:p w14:paraId="00188B0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derivatives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are obtained from the variational equations (Step 5). Note: only the sensitivities with respect to S(0) and F(0) are required, because I(0) = 0 and D(0) = 0 are not functions of the annual state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w:t>
      </w:r>
    </w:p>
    <w:p w14:paraId="489B27BF"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Assembly of the full Jacobian.</w:t>
      </w:r>
    </w:p>
    <w:p w14:paraId="0350A2C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Combining components (a) and (b) via the chain rule, the three rows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are:</w:t>
      </w:r>
    </w:p>
    <w:p w14:paraId="478286D6" w14:textId="17EFC480"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w:lastRenderedPageBreak/>
          <m:t>∂A</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σ</m:t>
        </m:r>
        <m:r>
          <w:rPr>
            <w:rFonts w:ascii="Cambria Math" w:hAnsi="Cambria Math" w:cs="Times New Roman"/>
            <w:sz w:val="20"/>
            <w:szCs w:val="20"/>
            <w:lang w:val="pt-PT"/>
          </w:rPr>
          <m:t>ₐ (</m:t>
        </m:r>
        <m:r>
          <w:rPr>
            <w:rFonts w:ascii="Cambria Math" w:hAnsi="Cambria Math" w:cs="Times New Roman"/>
            <w:sz w:val="20"/>
            <w:szCs w:val="20"/>
          </w:rPr>
          <m:t>∂S</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∂S</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(16a)</w:t>
      </w:r>
    </w:p>
    <w:p w14:paraId="757B9CF4" w14:textId="5CF657CE"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m:t>∂F</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 xml:space="preserve">ₜ = </m:t>
        </m:r>
        <m:sSub>
          <m:sSubPr>
            <m:ctrlPr>
              <w:rPr>
                <w:rFonts w:ascii="Cambria Math" w:eastAsia="Cambria Math" w:hAnsi="Cambria Math" w:cs="Times New Roman"/>
                <w:i/>
                <w:sz w:val="20"/>
                <w:szCs w:val="20"/>
                <w:lang w:val="pt-PT"/>
              </w:rPr>
            </m:ctrlPr>
          </m:sSubPr>
          <m:e>
            <m:r>
              <w:rPr>
                <w:rFonts w:ascii="Cambria Math" w:eastAsia="Cambria Math" w:hAnsi="Cambria Math" w:cs="Times New Roman"/>
                <w:sz w:val="20"/>
                <w:szCs w:val="20"/>
              </w:rPr>
              <m:t>σ</m:t>
            </m:r>
          </m:e>
          <m:sub>
            <m:r>
              <w:rPr>
                <w:rFonts w:ascii="Cambria Math" w:eastAsia="Cambria Math" w:hAnsi="Cambria Math" w:cs="Times New Roman"/>
                <w:sz w:val="20"/>
                <w:szCs w:val="20"/>
              </w:rPr>
              <m:t>F</m:t>
            </m:r>
          </m:sub>
        </m:sSub>
        <m:r>
          <w:rPr>
            <w:rFonts w:ascii="Cambria Math" w:hAnsi="Cambria Math" w:cs="Times New Roman"/>
            <w:sz w:val="20"/>
            <w:szCs w:val="20"/>
            <w:lang w:val="pt-PT"/>
          </w:rPr>
          <m:t xml:space="preserve"> (</m:t>
        </m:r>
        <m:r>
          <w:rPr>
            <w:rFonts w:ascii="Cambria Math" w:hAnsi="Cambria Math" w:cs="Times New Roman"/>
            <w:sz w:val="20"/>
            <w:szCs w:val="20"/>
          </w:rPr>
          <m:t>∂F</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∂F</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(16b)</w:t>
      </w:r>
    </w:p>
    <w:p w14:paraId="22412BFC" w14:textId="2ABC359C"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m:t>∂K</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ₜ = -</m:t>
        </m:r>
        <m:r>
          <w:rPr>
            <w:rFonts w:ascii="Cambria Math" w:hAnsi="Cambria Math" w:cs="Times New Roman"/>
            <w:sz w:val="20"/>
            <w:szCs w:val="20"/>
          </w:rPr>
          <m:t>ϕ</m:t>
        </m:r>
        <m:r>
          <w:rPr>
            <w:rFonts w:ascii="Cambria Math" w:hAnsi="Cambria Math" w:cs="Times New Roman"/>
            <w:sz w:val="20"/>
            <w:szCs w:val="20"/>
            <w:lang w:val="pt-PT"/>
          </w:rPr>
          <m:t xml:space="preserve"> </m:t>
        </m:r>
        <m:r>
          <w:rPr>
            <w:rFonts w:ascii="Cambria Math" w:hAnsi="Cambria Math" w:cs="Times New Roman"/>
            <w:sz w:val="20"/>
            <w:szCs w:val="20"/>
          </w:rPr>
          <m:t>K</m:t>
        </m:r>
        <m:r>
          <w:rPr>
            <w:rFonts w:ascii="Cambria Math" w:hAnsi="Cambria Math" w:cs="Times New Roman"/>
            <w:sz w:val="20"/>
            <w:szCs w:val="20"/>
            <w:lang w:val="pt-PT"/>
          </w:rPr>
          <m:t>ₜ₊₁ (</m:t>
        </m:r>
        <m:r>
          <w:rPr>
            <w:rFonts w:ascii="Cambria Math" w:hAnsi="Cambria Math" w:cs="Times New Roman"/>
            <w:sz w:val="20"/>
            <w:szCs w:val="20"/>
          </w:rPr>
          <m:t>∂D</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∂D</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(16c)</w:t>
      </w:r>
    </w:p>
    <w:p w14:paraId="3941396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lang w:val="pt-PT"/>
        </w:rPr>
        <w:t xml:space="preserve">Derivation of Equation (16c): </w:t>
      </w:r>
      <w:r w:rsidRPr="009668D3">
        <w:rPr>
          <w:rFonts w:ascii="Times New Roman" w:hAnsi="Times New Roman" w:cs="Times New Roman"/>
          <w:sz w:val="20"/>
          <w:szCs w:val="20"/>
          <w:lang w:val="pt-PT"/>
        </w:rPr>
        <w:t>From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 xml:space="preserve"> = K₀ exp(−</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differentiate: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 K₀ exp(−</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 (−</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 −</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 xml:space="preserve"> ·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w:t>
      </w:r>
      <w:r w:rsidRPr="009668D3">
        <w:rPr>
          <w:rFonts w:ascii="Times New Roman" w:hAnsi="Times New Roman" w:cs="Times New Roman"/>
          <w:sz w:val="20"/>
          <w:szCs w:val="20"/>
        </w:rPr>
        <w:t>The chain rule then expands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through the initial conditions.</w:t>
      </w:r>
    </w:p>
    <w:p w14:paraId="164378D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Jacobian is thus analytically defined but numerically evaluated—this is standard and mathematically rigorous for hybrid eco-epidemic models with nonlinear functional responses (Kot, 2001).</w:t>
      </w:r>
    </w:p>
    <w:p w14:paraId="357E81FB"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5: Derivatives of the seasonal flow via variational (sensitivity) equations</w:t>
      </w:r>
    </w:p>
    <w:p w14:paraId="514D396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1AA0C9C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Compute the partial derivatives of the seasonal terminal values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I</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with respect to the initial conditions (S(0), I(0), F(0), D(0)), which are required for assembling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in Step 4.</w:t>
      </w:r>
    </w:p>
    <w:p w14:paraId="25691C6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Mathematical framework: Tangent linear model (variational equations).</w:t>
      </w:r>
    </w:p>
    <w:p w14:paraId="7FF9A999" w14:textId="7193674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Principle</w:t>
      </w:r>
      <w:r w:rsidRPr="009668D3">
        <w:rPr>
          <w:rFonts w:ascii="Times New Roman" w:hAnsi="Times New Roman" w:cs="Times New Roman"/>
          <w:sz w:val="20"/>
          <w:szCs w:val="20"/>
        </w:rPr>
        <w:t xml:space="preserve"> (Hartman, 1964, Chapter V; Khalil, 2002, §3.1): Let y(τ) be a solution of y′ = f(y) with y(0) = y₀. If f is continuously differentiable, then the sensitivity of y(τ) to perturbations in y₀ is captured by the sensitivity (monodromy) matrix </w:t>
      </w:r>
      <m:oMath>
        <m:r>
          <w:rPr>
            <w:rFonts w:ascii="Cambria Math" w:eastAsia="Times New Roman" w:hAnsi="Cambria Math" w:cs="Times New Roman"/>
            <w:sz w:val="20"/>
            <w:szCs w:val="20"/>
          </w:rPr>
          <m:t>M(τ) = ∂y(τ)/∂y(0)</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which satisfies the 4 × 4 linear matrix ODE:</w:t>
      </w:r>
      <m:oMath>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d>
              <m:dPr>
                <m:begChr m:val="["/>
                <m:endChr m:val="]"/>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m:t>
                    </m:r>
                    <m:r>
                      <m:rPr>
                        <m:sty m:val="bi"/>
                      </m:rPr>
                      <w:rPr>
                        <w:rFonts w:ascii="Cambria Math" w:hAnsi="Cambria Math" w:cs="Times New Roman"/>
                        <w:sz w:val="20"/>
                        <w:szCs w:val="20"/>
                      </w:rPr>
                      <m:t>f</m:t>
                    </m:r>
                    <m:ctrlPr>
                      <w:rPr>
                        <w:rFonts w:ascii="Cambria Math" w:hAnsi="Cambria Math" w:cs="Times New Roman"/>
                        <w:i/>
                        <w:sz w:val="20"/>
                        <w:szCs w:val="20"/>
                      </w:rPr>
                    </m:ctrlPr>
                  </m:num>
                  <m:den>
                    <m:r>
                      <w:rPr>
                        <w:rFonts w:ascii="Cambria Math" w:hAnsi="Cambria Math" w:cs="Times New Roman"/>
                        <w:sz w:val="20"/>
                        <w:szCs w:val="20"/>
                      </w:rPr>
                      <m:t>∂</m:t>
                    </m:r>
                    <m:r>
                      <m:rPr>
                        <m:sty m:val="bi"/>
                      </m:rPr>
                      <w:rPr>
                        <w:rFonts w:ascii="Cambria Math" w:hAnsi="Cambria Math" w:cs="Times New Roman"/>
                        <w:sz w:val="20"/>
                        <w:szCs w:val="20"/>
                      </w:rPr>
                      <m:t>y</m:t>
                    </m:r>
                    <m:ctrlPr>
                      <w:rPr>
                        <w:rFonts w:ascii="Cambria Math" w:hAnsi="Cambria Math" w:cs="Times New Roman"/>
                        <w:i/>
                        <w:sz w:val="20"/>
                        <w:szCs w:val="20"/>
                      </w:rPr>
                    </m:ctrlPr>
                  </m:den>
                </m:f>
                <m:ctrlPr>
                  <w:rPr>
                    <w:rFonts w:ascii="Cambria Math" w:hAnsi="Cambria Math" w:cs="Times New Roman"/>
                    <w:i/>
                    <w:sz w:val="20"/>
                    <w:szCs w:val="20"/>
                  </w:rPr>
                </m:ctrlPr>
              </m:e>
            </m:d>
          </m:e>
          <m:sub>
            <m:r>
              <m:rPr>
                <m:sty m:val="bi"/>
              </m:rP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τ</m:t>
                </m:r>
              </m:e>
            </m:d>
          </m:sub>
        </m:sSub>
        <m:r>
          <m:rPr>
            <m:sty m:val="p"/>
          </m:rPr>
          <w:rPr>
            <w:rFonts w:ascii="Cambria Math" w:hAnsi="Cambria Math" w:cs="Times New Roman"/>
            <w:sz w:val="20"/>
            <w:szCs w:val="20"/>
          </w:rPr>
          <m:t>⋅</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r>
          <m:rPr>
            <m:sty m:val="p"/>
          </m:rPr>
          <w:rPr>
            <w:rFonts w:ascii="Cambria Math" w:hAnsi="Cambria Math" w:cs="Times New Roman"/>
            <w:sz w:val="20"/>
            <w:szCs w:val="20"/>
          </w:rPr>
          <m:t> </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4</m:t>
            </m:r>
          </m:sub>
        </m:sSub>
      </m:oMath>
      <w:r w:rsidRPr="009668D3">
        <w:rPr>
          <w:rFonts w:ascii="Times New Roman" w:hAnsi="Times New Roman" w:cs="Times New Roman"/>
          <w:sz w:val="20"/>
          <w:szCs w:val="20"/>
        </w:rPr>
        <w:tab/>
        <w:t>(17)</w:t>
      </w:r>
    </w:p>
    <w:p w14:paraId="27EC5EC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∂f/∂y is the Jacobian of the within-season ODE right-hand side evaluated along the trajectory y(τ), and I₄ is the 4 × 4 identity matrix. Equation (17) is a linear, non-autonomous ODE (the coefficient matrix varies with τ through the reference trajectory y(τ)), integrated numerically alongside the state equations from τ = 0 to τ = T.</w:t>
      </w:r>
    </w:p>
    <w:p w14:paraId="31FCA613"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Extraction of required sensitivities.</w:t>
      </w:r>
    </w:p>
    <w:p w14:paraId="447C001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terminal value M(T) provides all required sensitivities. Only the columns corresponding to initial conditions that depend on the annual state are needed. Since I(0) = 0 and D(0) = 0 are fixed constants (not functions of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only columns 1 (derivatives w.r.t. S(0)) and 3 (derivatives w.r.t. F(0)) of M(T) are required:</w:t>
      </w:r>
    </w:p>
    <w:p w14:paraId="641B6BDB" w14:textId="3EEF03A3" w:rsidR="000875CC" w:rsidRPr="009668D3" w:rsidRDefault="00000000" w:rsidP="009668D3">
      <w:pPr>
        <w:spacing w:before="80" w:after="80" w:line="240" w:lineRule="auto"/>
        <w:jc w:val="both"/>
        <w:rPr>
          <w:rFonts w:ascii="Times New Roman" w:hAnsi="Times New Roman" w:cs="Times New Roman"/>
          <w:sz w:val="20"/>
          <w:szCs w:val="20"/>
        </w:rPr>
      </w:pPr>
      <m:oMath>
        <m:r>
          <w:rPr>
            <w:rFonts w:ascii="Cambria Math" w:eastAsia="Cambria Math" w:hAnsi="Cambria Math" w:cs="Times New Roman"/>
            <w:sz w:val="20"/>
            <w:szCs w:val="20"/>
          </w:rPr>
          <m:t>∂S</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₁,₁(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∂S</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₁,₃(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AD21ED" w:rsidRPr="001E6700">
        <w:rPr>
          <w:rFonts w:ascii="Times New Roman" w:eastAsiaTheme="minorEastAsia" w:hAnsi="Times New Roman" w:cs="Times New Roman"/>
          <w:sz w:val="20"/>
          <w:szCs w:val="20"/>
        </w:rPr>
        <w:t xml:space="preserve"> </w:t>
      </w:r>
    </w:p>
    <w:p w14:paraId="0B05AF0B" w14:textId="1B1E1B1B" w:rsidR="000875CC" w:rsidRPr="009668D3" w:rsidRDefault="00000000" w:rsidP="002D21BC">
      <w:pPr>
        <w:tabs>
          <w:tab w:val="right" w:pos="9026"/>
        </w:tabs>
        <w:spacing w:before="80" w:after="80" w:line="240" w:lineRule="auto"/>
        <w:ind w:left="720"/>
        <w:jc w:val="both"/>
        <w:rPr>
          <w:rFonts w:ascii="Times New Roman" w:hAnsi="Times New Roman" w:cs="Times New Roman"/>
          <w:sz w:val="20"/>
          <w:szCs w:val="20"/>
        </w:rPr>
      </w:pPr>
      <m:oMath>
        <m:r>
          <w:rPr>
            <w:rFonts w:ascii="Cambria Math" w:eastAsia="Cambria Math" w:hAnsi="Cambria Math" w:cs="Times New Roman"/>
            <w:sz w:val="20"/>
            <w:szCs w:val="20"/>
          </w:rPr>
          <m:t>∂F</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₃,₁(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∂F</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₃,₃(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0875CC" w:rsidRPr="001E6700">
        <w:rPr>
          <w:rFonts w:ascii="Times New Roman" w:eastAsia="Times New Roman" w:hAnsi="Times New Roman" w:cs="Times New Roman"/>
          <w:sz w:val="20"/>
          <w:szCs w:val="20"/>
        </w:rPr>
        <w:tab/>
        <w:t>(18)</w:t>
      </w:r>
    </w:p>
    <w:p w14:paraId="7418DD7C" w14:textId="6D02A4C3" w:rsidR="000875CC" w:rsidRPr="009668D3" w:rsidRDefault="00000000" w:rsidP="002D21BC">
      <w:pPr>
        <w:spacing w:before="80" w:after="80" w:line="240" w:lineRule="auto"/>
        <w:ind w:left="720"/>
        <w:jc w:val="both"/>
        <w:rPr>
          <w:rFonts w:ascii="Times New Roman" w:hAnsi="Times New Roman" w:cs="Times New Roman"/>
          <w:sz w:val="20"/>
          <w:szCs w:val="20"/>
        </w:rPr>
      </w:pPr>
      <m:oMath>
        <m:r>
          <w:rPr>
            <w:rFonts w:ascii="Cambria Math" w:eastAsia="Cambria Math" w:hAnsi="Cambria Math" w:cs="Times New Roman"/>
            <w:sz w:val="20"/>
            <w:szCs w:val="20"/>
          </w:rPr>
          <m:t>∂D</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₄,₁(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∂D</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₄,₃(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AD21ED" w:rsidRPr="001E6700">
        <w:rPr>
          <w:rFonts w:ascii="Times New Roman" w:eastAsiaTheme="minorEastAsia" w:hAnsi="Times New Roman" w:cs="Times New Roman"/>
          <w:sz w:val="20"/>
          <w:szCs w:val="20"/>
        </w:rPr>
        <w:t xml:space="preserve"> </w:t>
      </w:r>
    </w:p>
    <w:p w14:paraId="78F5C97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These derivatives, combined with the analytic initial-condition derivatives (Equations 15a–c), fully determine the Jacobian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 via Equations (16a–c).</w:t>
      </w:r>
    </w:p>
    <w:p w14:paraId="083FD2E6"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Extension to parameter sensitivities.</w:t>
      </w:r>
    </w:p>
    <w:p w14:paraId="138A793B" w14:textId="1977B165"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same variational framework extends to parameter sensitivities </w:t>
      </w:r>
      <m:oMath>
        <m:r>
          <w:rPr>
            <w:rFonts w:ascii="Cambria Math" w:eastAsia="Times New Roman" w:hAnsi="Cambria Math" w:cs="Times New Roman"/>
            <w:sz w:val="20"/>
            <w:szCs w:val="20"/>
          </w:rPr>
          <m:t>∂y(T)/∂θ</m:t>
        </m:r>
      </m:oMath>
      <w:r w:rsidRPr="009668D3">
        <w:rPr>
          <w:rFonts w:ascii="Times New Roman" w:hAnsi="Times New Roman" w:cs="Times New Roman"/>
          <w:sz w:val="20"/>
          <w:szCs w:val="20"/>
        </w:rPr>
        <w:t xml:space="preserve"> by augmenting Equation (17) with the inhomogeneous term ∂f/∂θ:</w:t>
      </w:r>
    </w:p>
    <w:p w14:paraId="42597E56" w14:textId="1FDD408B" w:rsidR="000875CC" w:rsidRPr="009668D3" w:rsidRDefault="00000000" w:rsidP="002D21BC">
      <w:pPr>
        <w:spacing w:before="160" w:line="240" w:lineRule="auto"/>
        <w:jc w:val="both"/>
        <w:rPr>
          <w:rFonts w:ascii="Times New Roman" w:hAnsi="Times New Roman" w:cs="Times New Roman"/>
          <w:sz w:val="20"/>
          <w:szCs w:val="20"/>
        </w:rPr>
      </w:pPr>
      <m:oMathPara>
        <m:oMath>
          <m:r>
            <w:rPr>
              <w:rFonts w:ascii="Cambria Math" w:eastAsia="Cambria Math" w:hAnsi="Cambria Math" w:cs="Times New Roman"/>
              <w:sz w:val="20"/>
              <w:szCs w:val="20"/>
            </w:rPr>
            <m:t>d</m:t>
          </m:r>
          <m:r>
            <w:rPr>
              <w:rFonts w:ascii="Cambria Math" w:eastAsia="Cambria Math" w:hAnsi="Cambria Math" w:cs="Times New Roman"/>
              <w:sz w:val="20"/>
              <w:szCs w:val="20"/>
            </w:rPr>
            <m:t>/</m:t>
          </m:r>
          <m:r>
            <w:rPr>
              <w:rFonts w:ascii="Cambria Math" w:eastAsia="Cambria Math" w:hAnsi="Cambria Math" w:cs="Times New Roman"/>
              <w:sz w:val="20"/>
              <w:szCs w:val="20"/>
            </w:rPr>
            <m:t>dτ</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∂y</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 [</m:t>
          </m:r>
          <m:r>
            <w:rPr>
              <w:rFonts w:ascii="Cambria Math" w:eastAsia="Cambria Math" w:hAnsi="Cambria Math" w:cs="Times New Roman"/>
              <w:sz w:val="20"/>
              <w:szCs w:val="20"/>
            </w:rPr>
            <m:t>∂f</m:t>
          </m:r>
          <m:r>
            <w:rPr>
              <w:rFonts w:ascii="Cambria Math" w:eastAsia="Cambria Math" w:hAnsi="Cambria Math" w:cs="Times New Roman"/>
              <w:sz w:val="20"/>
              <w:szCs w:val="20"/>
            </w:rPr>
            <m:t>/</m:t>
          </m:r>
          <m:r>
            <w:rPr>
              <w:rFonts w:ascii="Cambria Math" w:eastAsia="Cambria Math" w:hAnsi="Cambria Math" w:cs="Times New Roman"/>
              <w:sz w:val="20"/>
              <w:szCs w:val="20"/>
            </w:rPr>
            <m:t>∂y</m:t>
          </m:r>
          <m:r>
            <w:rPr>
              <w:rFonts w:ascii="Cambria Math" w:eastAsia="Cambria Math" w:hAnsi="Cambria Math" w:cs="Times New Roman"/>
              <w:sz w:val="20"/>
              <w:szCs w:val="20"/>
            </w:rPr>
            <m:t>] · [</m:t>
          </m:r>
          <m:r>
            <w:rPr>
              <w:rFonts w:ascii="Cambria Math" w:eastAsia="Cambria Math" w:hAnsi="Cambria Math" w:cs="Times New Roman"/>
              <w:sz w:val="20"/>
              <w:szCs w:val="20"/>
            </w:rPr>
            <m:t>∂y</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 </m:t>
          </m:r>
          <m:r>
            <w:rPr>
              <w:rFonts w:ascii="Cambria Math" w:eastAsia="Cambria Math" w:hAnsi="Cambria Math" w:cs="Times New Roman"/>
              <w:sz w:val="20"/>
              <w:szCs w:val="20"/>
            </w:rPr>
            <m:t>∂f</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∂y</m:t>
          </m:r>
          <m:r>
            <w:rPr>
              <w:rFonts w:ascii="Cambria Math" w:eastAsia="Cambria Math" w:hAnsi="Cambria Math" w:cs="Times New Roman"/>
              <w:sz w:val="20"/>
              <w:szCs w:val="20"/>
            </w:rPr>
            <m:t>(0)/</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 0</m:t>
          </m:r>
        </m:oMath>
      </m:oMathPara>
    </w:p>
    <w:p w14:paraId="7E50820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This augmented system supports the global sensitivity analysis in Step 10.</w:t>
      </w:r>
    </w:p>
    <w:p w14:paraId="17FEC9DE"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6: Parasitoid invasion threshold from the annual map</w:t>
      </w:r>
    </w:p>
    <w:p w14:paraId="2D23DE8C" w14:textId="693100F6"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Definition.</w:t>
      </w:r>
    </w:p>
    <w:p w14:paraId="541D7CA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parasitoid invasion threshold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(Equation 11 of the main text) is defined as the linearised one-year growth factor of the parasitoid at the parasitoid-free fixed point x₁* = (A*, 0, K*):</w:t>
      </w:r>
    </w:p>
    <w:p w14:paraId="0A43B357" w14:textId="3A486DDB" w:rsidR="000875CC" w:rsidRPr="009668D3" w:rsidRDefault="00000000" w:rsidP="002D21BC">
      <w:pPr>
        <w:tabs>
          <w:tab w:val="right" w:pos="9026"/>
        </w:tabs>
        <w:spacing w:before="160"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d>
                  <m:dPr>
                    <m:begChr m:val="{"/>
                    <m:endChr m:val="}"/>
                    <m:ctrlPr>
                      <w:rPr>
                        <w:rFonts w:ascii="Cambria Math" w:hAnsi="Cambria Math" w:cs="Times New Roman"/>
                        <w:i/>
                        <w:sz w:val="20"/>
                        <w:szCs w:val="20"/>
                      </w:rPr>
                    </m:ctrlPr>
                  </m:dPr>
                  <m:e>
                    <m:r>
                      <w:rPr>
                        <w:rFonts w:ascii="Cambria Math" w:hAnsi="Cambria Math" w:cs="Times New Roman"/>
                        <w:sz w:val="20"/>
                        <w:szCs w:val="20"/>
                      </w:rPr>
                      <m:t>t</m:t>
                    </m:r>
                    <m:r>
                      <w:rPr>
                        <w:rFonts w:ascii="Cambria Math" w:hAnsi="Cambria Math" w:cs="Times New Roman"/>
                        <w:sz w:val="20"/>
                        <w:szCs w:val="20"/>
                      </w:rPr>
                      <m:t>+1</m:t>
                    </m:r>
                  </m:e>
                </m:d>
              </m:sub>
            </m:sSub>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den>
        </m:f>
        <m:r>
          <w:rPr>
            <w:rFonts w:ascii="Cambria Math" w:hAnsi="Cambria Math" w:cs="Times New Roman"/>
            <w:sz w:val="20"/>
            <w:szCs w:val="20"/>
          </w:rPr>
          <m:t>)|{</m:t>
        </m:r>
        <m:sSup>
          <m:sSupPr>
            <m:ctrlPr>
              <w:rPr>
                <w:rFonts w:ascii="Cambria Math" w:hAnsi="Cambria Math" w:cs="Times New Roman"/>
                <w:i/>
                <w:sz w:val="20"/>
                <w:szCs w:val="20"/>
              </w:rPr>
            </m:ctrlPr>
          </m:sSupPr>
          <m:e>
            <m:r>
              <m:rPr>
                <m:sty m:val="bi"/>
              </m:rPr>
              <w:rPr>
                <w:rFonts w:ascii="Cambria Math" w:hAnsi="Cambria Math" w:cs="Times New Roman"/>
                <w:sz w:val="20"/>
                <w:szCs w:val="20"/>
              </w:rPr>
              <m:t>x</m:t>
            </m:r>
          </m:e>
          <m:sup>
            <m:r>
              <w:rPr>
                <w:rFonts w:ascii="Cambria Math" w:hAnsi="Cambria Math" w:cs="Times New Roman"/>
                <w:sz w:val="20"/>
                <w:szCs w:val="20"/>
              </w:rPr>
              <m:t>1*</m:t>
            </m:r>
          </m:sup>
        </m:sSup>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0</m:t>
                    </m:r>
                  </m:e>
                </m:d>
              </m:den>
            </m:f>
          </m:e>
        </m:d>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 xml:space="preserve">(0)=Ŝ, </m:t>
        </m:r>
        <m:r>
          <w:rPr>
            <w:rFonts w:ascii="Cambria Math" w:hAnsi="Cambria Math" w:cs="Times New Roman"/>
            <w:sz w:val="20"/>
            <w:szCs w:val="20"/>
          </w:rPr>
          <m:t>I</m:t>
        </m:r>
        <m:r>
          <w:rPr>
            <w:rFonts w:ascii="Cambria Math" w:hAnsi="Cambria Math" w:cs="Times New Roman"/>
            <w:sz w:val="20"/>
            <w:szCs w:val="20"/>
          </w:rPr>
          <m:t xml:space="preserve">(0)=0, </m:t>
        </m:r>
        <m:r>
          <w:rPr>
            <w:rFonts w:ascii="Cambria Math" w:hAnsi="Cambria Math" w:cs="Times New Roman"/>
            <w:sz w:val="20"/>
            <w:szCs w:val="20"/>
          </w:rPr>
          <m:t>F</m:t>
        </m:r>
        <m:r>
          <w:rPr>
            <w:rFonts w:ascii="Cambria Math" w:hAnsi="Cambria Math" w:cs="Times New Roman"/>
            <w:sz w:val="20"/>
            <w:szCs w:val="20"/>
          </w:rPr>
          <m:t>(0)=0}</m:t>
        </m:r>
      </m:oMath>
      <w:r w:rsidR="000875CC" w:rsidRPr="009668D3">
        <w:rPr>
          <w:rFonts w:ascii="Times New Roman" w:hAnsi="Times New Roman" w:cs="Times New Roman"/>
          <w:sz w:val="20"/>
          <w:szCs w:val="20"/>
        </w:rPr>
        <w:tab/>
        <w:t>(11)</w:t>
      </w:r>
    </w:p>
    <w:p w14:paraId="6243CB9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∂F(T)/∂F(0) is the variational sensitivity obtained from the sensitivity matrix M(T) (Step 5), evaluated along the parasitoid-free seasonal trajectory.</w:t>
      </w:r>
    </w:p>
    <w:p w14:paraId="5DE59E5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lastRenderedPageBreak/>
        <w:t>Mathematical basis: Block-triangular structure of Jₓ at x₁*.</w:t>
      </w:r>
    </w:p>
    <w:p w14:paraId="4CF95F6E" w14:textId="39BE538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Proof that </w:t>
      </w: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P</m:t>
            </m:r>
          </m:sub>
        </m:sSub>
      </m:oMath>
      <w:r w:rsidRPr="009668D3">
        <w:rPr>
          <w:rFonts w:ascii="Times New Roman" w:hAnsi="Times New Roman" w:cs="Times New Roman"/>
          <w:b/>
          <w:sz w:val="20"/>
          <w:szCs w:val="20"/>
        </w:rPr>
        <w:t xml:space="preserve"> is an eigenvalue of Jₓ(x₁*).</w:t>
      </w:r>
      <w:r w:rsidRPr="009668D3">
        <w:rPr>
          <w:rFonts w:ascii="Times New Roman" w:hAnsi="Times New Roman" w:cs="Times New Roman"/>
          <w:sz w:val="20"/>
          <w:szCs w:val="20"/>
        </w:rPr>
        <w:t xml:space="preserve"> At the parasitoid-free </w:t>
      </w:r>
      <w:r w:rsidR="00F506BB" w:rsidRPr="009668D3">
        <w:rPr>
          <w:rFonts w:ascii="Times New Roman" w:hAnsi="Times New Roman" w:cs="Times New Roman"/>
          <w:sz w:val="20"/>
          <w:szCs w:val="20"/>
        </w:rPr>
        <w:t>fixed-point</w:t>
      </w:r>
      <w:r w:rsidRPr="009668D3">
        <w:rPr>
          <w:rFonts w:ascii="Times New Roman" w:hAnsi="Times New Roman" w:cs="Times New Roman"/>
          <w:sz w:val="20"/>
          <w:szCs w:val="20"/>
        </w:rPr>
        <w:t xml:space="preserve"> x₁* = (A*, 0, K*), the parasitoid is absent (F* = 0) and no larvae are parasitised (I* = 0 throughout the season). Under the parasitoid-free seasonal trajectory, F(τ) ≡ 0 and I(τ) ≡ 0 for all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Examining the within-season Jacobian ∂f/∂y along this trajectory:</w:t>
      </w:r>
    </w:p>
    <w:p w14:paraId="15CECC4A" w14:textId="533D54B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entry </w:t>
      </w:r>
      <m:oMath>
        <m:r>
          <w:rPr>
            <w:rFonts w:ascii="Cambria Math" w:hAnsi="Cambria Math" w:cs="Times New Roman"/>
            <w:sz w:val="20"/>
            <w:szCs w:val="20"/>
          </w:rPr>
          <m:t xml:space="preserve">∂(dI/dτ)/∂S = βF/(1 + </m:t>
        </m:r>
        <m:r>
          <w:rPr>
            <w:rFonts w:ascii="Cambria Math" w:hAnsi="Cambria Math" w:cs="Times New Roman"/>
            <w:sz w:val="20"/>
            <w:szCs w:val="20"/>
          </w:rPr>
          <m:t>hS)² = 0</m:t>
        </m:r>
      </m:oMath>
      <w:r w:rsidRPr="009668D3">
        <w:rPr>
          <w:rFonts w:ascii="Times New Roman" w:hAnsi="Times New Roman" w:cs="Times New Roman"/>
          <w:sz w:val="20"/>
          <w:szCs w:val="20"/>
        </w:rPr>
        <w:t xml:space="preserve"> (because F = 0), and the entry </w:t>
      </w:r>
      <m:oMath>
        <m:r>
          <w:rPr>
            <w:rFonts w:ascii="Cambria Math" w:hAnsi="Cambria Math" w:cs="Times New Roman"/>
            <w:sz w:val="20"/>
            <w:szCs w:val="20"/>
          </w:rPr>
          <m:t xml:space="preserve">∂(dF/dτ)/∂S = 0 </m:t>
        </m:r>
      </m:oMath>
      <w:r w:rsidRPr="009668D3">
        <w:rPr>
          <w:rFonts w:ascii="Times New Roman" w:hAnsi="Times New Roman" w:cs="Times New Roman"/>
          <w:sz w:val="20"/>
          <w:szCs w:val="20"/>
        </w:rPr>
        <w:t>(Equation 3 does not depend on S directly). Consequently, the variational equation for M</w:t>
      </w:r>
      <w:r w:rsidRPr="009668D3">
        <w:rPr>
          <w:rFonts w:ascii="Times New Roman" w:hAnsi="Times New Roman" w:cs="Times New Roman"/>
          <w:sz w:val="20"/>
          <w:szCs w:val="20"/>
          <w:vertAlign w:val="subscript"/>
        </w:rPr>
        <w:t>3,1</w:t>
      </w:r>
      <w:r w:rsidRPr="009668D3">
        <w:rPr>
          <w:rFonts w:ascii="Times New Roman" w:hAnsi="Times New Roman" w:cs="Times New Roman"/>
          <w:sz w:val="20"/>
          <w:szCs w:val="20"/>
        </w:rPr>
        <w:t>(τ) = ∂F(τ)/∂S(0) receives no forcing from the S-perturbation (M</w:t>
      </w:r>
      <w:r w:rsidRPr="009668D3">
        <w:rPr>
          <w:rFonts w:ascii="Times New Roman" w:hAnsi="Times New Roman" w:cs="Times New Roman"/>
          <w:sz w:val="20"/>
          <w:szCs w:val="20"/>
          <w:vertAlign w:val="subscript"/>
        </w:rPr>
        <w:t>3,1</w:t>
      </w:r>
      <w:r w:rsidRPr="009668D3">
        <w:rPr>
          <w:rFonts w:ascii="Times New Roman" w:hAnsi="Times New Roman" w:cs="Times New Roman"/>
          <w:sz w:val="20"/>
          <w:szCs w:val="20"/>
        </w:rPr>
        <w:t xml:space="preserve">(0) = 0 and the coupling coefficients are zero), so </w:t>
      </w:r>
      <m:oMath>
        <m:r>
          <w:rPr>
            <w:rFonts w:ascii="Cambria Math" w:hAnsi="Cambria Math" w:cs="Times New Roman"/>
            <w:sz w:val="20"/>
            <w:szCs w:val="20"/>
          </w:rPr>
          <m:t>M</m:t>
        </m:r>
        <m:r>
          <w:rPr>
            <w:rFonts w:ascii="Cambria Math" w:hAnsi="Cambria Math" w:cs="Times New Roman"/>
            <w:sz w:val="20"/>
            <w:szCs w:val="20"/>
            <w:vertAlign w:val="subscript"/>
          </w:rPr>
          <m:t>3,1</m:t>
        </m:r>
        <m:r>
          <w:rPr>
            <w:rFonts w:ascii="Cambria Math" w:hAnsi="Cambria Math" w:cs="Times New Roman"/>
            <w:sz w:val="20"/>
            <w:szCs w:val="20"/>
          </w:rPr>
          <m:t>(T) = ∂F</m:t>
        </m:r>
        <m:r>
          <w:rPr>
            <w:rFonts w:ascii="Cambria Math" w:hAnsi="Cambria Math" w:cs="Times New Roman"/>
            <w:sz w:val="20"/>
            <w:szCs w:val="20"/>
            <w:vertAlign w:val="subscript"/>
          </w:rPr>
          <m:t>T</m:t>
        </m:r>
        <m:r>
          <w:rPr>
            <w:rFonts w:ascii="Cambria Math" w:hAnsi="Cambria Math" w:cs="Times New Roman"/>
            <w:sz w:val="20"/>
            <w:szCs w:val="20"/>
          </w:rPr>
          <m:t>/∂S(0) = 0</m:t>
        </m:r>
      </m:oMath>
      <w:r w:rsidRPr="009668D3">
        <w:rPr>
          <w:rFonts w:ascii="Times New Roman" w:hAnsi="Times New Roman" w:cs="Times New Roman"/>
          <w:sz w:val="20"/>
          <w:szCs w:val="20"/>
        </w:rPr>
        <w:t xml:space="preserve"> at x₁*.</w:t>
      </w:r>
    </w:p>
    <w:p w14:paraId="397FF7B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the annual state ordering x = (A, F, K), the second row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at x₁* therefore becomes:</w:t>
      </w:r>
    </w:p>
    <w:p w14:paraId="7D500B16" w14:textId="2C16191D"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m:t xml:space="preserve">∂Fₜ₊₁/∂Aₜ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∂Fₜ/∂S(0) · ∂S(0)/∂Aₜ = σₑ · 0 · (·) = 0</m:t>
          </m:r>
        </m:oMath>
      </m:oMathPara>
    </w:p>
    <w:p w14:paraId="02C64DBF" w14:textId="464452ED"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m:t xml:space="preserve">∂Fₜ₊₁/∂Fₜ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∂Fₜ/∂F(0)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R</m:t>
              </m:r>
            </m:e>
            <m:sub>
              <m:r>
                <w:rPr>
                  <w:rFonts w:ascii="Cambria Math" w:eastAsia="Cambria Math" w:hAnsi="Cambria Math" w:cs="Times New Roman"/>
                  <w:sz w:val="20"/>
                  <w:szCs w:val="20"/>
                </w:rPr>
                <m:t>P</m:t>
              </m:r>
            </m:sub>
          </m:sSub>
        </m:oMath>
      </m:oMathPara>
    </w:p>
    <w:p w14:paraId="0CA14A84" w14:textId="6DF494DB"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m:t xml:space="preserve">∂Fₜ₊₁/∂Kₜ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∂Fₜ/∂S(0) · ∂S(0)/∂Kₜ = 0</m:t>
          </m:r>
        </m:oMath>
      </m:oMathPara>
    </w:p>
    <w:p w14:paraId="22B4714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second row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(x₁*) is [0,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0]. The characteristic polynomial of the 3 × 3 Jacobian therefore factors as:</w:t>
      </w:r>
    </w:p>
    <w:p w14:paraId="7F6AEB5A" w14:textId="6F13F458" w:rsidR="000875CC" w:rsidRPr="009668D3" w:rsidRDefault="00000000" w:rsidP="002D21BC">
      <w:pPr>
        <w:spacing w:before="160" w:line="240" w:lineRule="auto"/>
        <w:jc w:val="both"/>
        <w:rPr>
          <w:rFonts w:ascii="Times New Roman" w:hAnsi="Times New Roman" w:cs="Times New Roman"/>
          <w:sz w:val="20"/>
          <w:szCs w:val="20"/>
        </w:rPr>
      </w:pPr>
      <m:oMathPara>
        <m:oMath>
          <m:func>
            <m:funcPr>
              <m:ctrlPr>
                <w:rPr>
                  <w:rFonts w:ascii="Cambria Math" w:hAnsi="Cambria Math" w:cs="Times New Roman"/>
                  <w:sz w:val="20"/>
                  <w:szCs w:val="20"/>
                </w:rPr>
              </m:ctrlPr>
            </m:funcPr>
            <m:fName>
              <m:r>
                <m:rPr>
                  <m:sty m:val="p"/>
                </m:rPr>
                <w:rPr>
                  <w:rFonts w:ascii="Cambria Math" w:hAnsi="Cambria Math" w:cs="Times New Roman"/>
                  <w:sz w:val="20"/>
                  <w:szCs w:val="20"/>
                </w:rPr>
                <m:t>det</m:t>
              </m:r>
            </m:fName>
            <m:e>
              <m:d>
                <m:dPr>
                  <m:ctrlPr>
                    <w:rPr>
                      <w:rFonts w:ascii="Cambria Math" w:hAnsi="Cambria Math" w:cs="Times New Roman"/>
                      <w:i/>
                      <w:sz w:val="20"/>
                      <w:szCs w:val="20"/>
                    </w:rPr>
                  </m:ctrlPr>
                </m:dPr>
                <m:e>
                  <m:r>
                    <w:rPr>
                      <w:rFonts w:ascii="Cambria Math" w:hAnsi="Cambria Math" w:cs="Times New Roman"/>
                      <w:sz w:val="20"/>
                      <w:szCs w:val="20"/>
                    </w:rPr>
                    <m:t>J</m:t>
                  </m:r>
                  <m:r>
                    <w:rPr>
                      <w:rFonts w:ascii="Cambria Math" w:hAnsi="Cambria Math" w:cs="Times New Roman"/>
                      <w:sz w:val="20"/>
                      <w:szCs w:val="20"/>
                    </w:rPr>
                    <m:t>ₓ</m:t>
                  </m:r>
                  <m:r>
                    <w:rPr>
                      <w:rFonts w:ascii="Cambria Math" w:hAnsi="Cambria Math" w:cs="Times New Roman"/>
                      <w:sz w:val="20"/>
                      <w:szCs w:val="20"/>
                    </w:rPr>
                    <m:t xml:space="preserve"> - </m:t>
                  </m:r>
                  <m:r>
                    <w:rPr>
                      <w:rFonts w:ascii="Cambria Math" w:hAnsi="Cambria Math" w:cs="Times New Roman"/>
                      <w:sz w:val="20"/>
                      <w:szCs w:val="20"/>
                    </w:rPr>
                    <m:t>λl</m:t>
                  </m:r>
                </m:e>
              </m:d>
            </m:e>
          </m:func>
          <m:r>
            <w:rPr>
              <w:rFonts w:ascii="Cambria Math" w:hAnsi="Cambria Math" w:cs="Times New Roman"/>
              <w:sz w:val="20"/>
              <w:szCs w:val="20"/>
            </w:rPr>
            <m:t xml:space="preserve">= </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λ</m:t>
              </m:r>
            </m:e>
          </m:d>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det</m:t>
              </m:r>
              <m:ctrlPr>
                <w:rPr>
                  <w:rFonts w:ascii="Cambria Math" w:hAnsi="Cambria Math" w:cs="Times New Roman"/>
                  <w:i/>
                  <w:sz w:val="20"/>
                  <w:szCs w:val="20"/>
                </w:rPr>
              </m:ctrlPr>
            </m:fName>
            <m:e>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r>
                        <w:rPr>
                          <w:rFonts w:ascii="Cambria Math" w:hAnsi="Cambria Math" w:cs="Times New Roman"/>
                          <w:sz w:val="20"/>
                          <w:szCs w:val="20"/>
                        </w:rPr>
                        <m:t>J</m:t>
                      </m:r>
                      <m:r>
                        <w:rPr>
                          <w:rFonts w:ascii="Cambria Math" w:hAnsi="Cambria Math" w:cs="Times New Roman"/>
                          <w:sz w:val="20"/>
                          <w:szCs w:val="20"/>
                        </w:rPr>
                        <m:t>ₐₐ</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ₐₖ</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ₖₐ</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ₖₖ</m:t>
                      </m:r>
                      <m:r>
                        <w:rPr>
                          <w:rFonts w:ascii="Cambria Math" w:hAnsi="Cambria Math" w:cs="Times New Roman"/>
                          <w:sz w:val="20"/>
                          <w:szCs w:val="20"/>
                        </w:rPr>
                        <m:t xml:space="preserve"> - </m:t>
                      </m:r>
                      <m:r>
                        <w:rPr>
                          <w:rFonts w:ascii="Cambria Math" w:hAnsi="Cambria Math" w:cs="Times New Roman"/>
                          <w:sz w:val="20"/>
                          <w:szCs w:val="20"/>
                        </w:rPr>
                        <m:t>λ</m:t>
                      </m:r>
                    </m:e>
                  </m:d>
                </m:e>
              </m:d>
            </m:e>
          </m:func>
        </m:oMath>
      </m:oMathPara>
    </w:p>
    <w:p w14:paraId="43D3D797" w14:textId="3644665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J</w:t>
      </w:r>
      <w:r w:rsidRPr="009668D3">
        <w:rPr>
          <w:rFonts w:ascii="Times New Roman" w:hAnsi="Times New Roman" w:cs="Times New Roman"/>
          <w:sz w:val="20"/>
          <w:szCs w:val="20"/>
          <w:vertAlign w:val="subscript"/>
        </w:rPr>
        <w:t>AA</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AK</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KA</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KK</w:t>
      </w:r>
      <w:r w:rsidRPr="009668D3">
        <w:rPr>
          <w:rFonts w:ascii="Times New Roman" w:hAnsi="Times New Roman" w:cs="Times New Roman"/>
          <w:sz w:val="20"/>
          <w:szCs w:val="20"/>
        </w:rPr>
        <w:t xml:space="preserve"> are the entries of the (A, K) beetle–foliage subsystem block. Therefore, R</w:t>
      </w:r>
      <w:r w:rsidR="001C61B3" w:rsidRPr="009668D3">
        <w:rPr>
          <w:rFonts w:ascii="Times New Roman" w:hAnsi="Times New Roman" w:cs="Times New Roman"/>
          <w:sz w:val="20"/>
          <w:szCs w:val="20"/>
        </w:rPr>
        <w:t>_P</w:t>
      </w:r>
      <w:r w:rsidRPr="009668D3">
        <w:rPr>
          <w:rFonts w:ascii="Times New Roman" w:hAnsi="Times New Roman" w:cs="Times New Roman"/>
          <w:sz w:val="20"/>
          <w:szCs w:val="20"/>
        </w:rPr>
        <w:t xml:space="preserve"> is always an eigenvalue of Jₓ at the parasitoid-free fixed point—this is an exact structural result, not an approximation. The remaining two eigenvalues govern the stability of the resident beetle–foliage dynamics.</w:t>
      </w:r>
    </w:p>
    <w:p w14:paraId="31028FB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Ecological interpretation.</w:t>
      </w:r>
    </w:p>
    <w:p w14:paraId="4A4FA9AF" w14:textId="402F131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measures the expected number of new parasitoid adults produced per parasitoid introduced over one full annual cycle (within-season </w:t>
      </w:r>
      <w:r w:rsidR="004F245F">
        <w:rPr>
          <w:rFonts w:ascii="Times New Roman" w:hAnsi="Times New Roman" w:cs="Times New Roman"/>
          <w:sz w:val="20"/>
          <w:szCs w:val="20"/>
        </w:rPr>
        <w:t>parasitoidism</w:t>
      </w:r>
      <w:r w:rsidRPr="009668D3">
        <w:rPr>
          <w:rFonts w:ascii="Times New Roman" w:hAnsi="Times New Roman" w:cs="Times New Roman"/>
          <w:sz w:val="20"/>
          <w:szCs w:val="20"/>
        </w:rPr>
        <w:t>, host mortality, parasitoid emergence, and overwinter survival) at the resident beetle density. This interpretation connects the next-generation logic of van den Driessche and Watmough (2002) to the Floquet theory for periodically forced systems (Wiggins, 2003, §1.2).</w:t>
      </w:r>
    </w:p>
    <w:p w14:paraId="6D2D6860"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Stability implications.</w:t>
      </w:r>
    </w:p>
    <w:p w14:paraId="020A27D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parasitoid-free fixed point x₁* is locally asymptotically stable as an annual equilibrium if and only if (a)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&lt; 1, and (b) the beetle–foliage eigenvalues of the resident subsystem also lie inside the unit circle. At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1, a transcritical bifurcation occurs: the coexistence fixed point x₂* becomes biologically feasible (F* &gt; 0) and, generically, inherits stability for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1 while x₁* loses stability in the parasitoid direction.</w:t>
      </w:r>
    </w:p>
    <w:p w14:paraId="5AA7D57F"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Approximate formula.</w:t>
      </w:r>
    </w:p>
    <w:p w14:paraId="35B25147" w14:textId="462E1A73"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When the within-season dynamics are evaluated under the simplifying assumption that S ≈ Ś (constant host density), with constant bird pressure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and including the Holling Type II saturation correction, the rigorous definition reduces to the interpretable next-generation approximation</w:t>
      </w:r>
      <w:r w:rsidR="00AA491A"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m:rPr>
            <m:sty m:val="p"/>
          </m:rPr>
          <w:rPr>
            <w:rFonts w:ascii="Cambria Math" w:hAnsi="Cambria Math" w:cs="Times New Roman"/>
            <w:sz w:val="20"/>
            <w:szCs w:val="20"/>
          </w:rPr>
          <m:t>≈</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η ×δ× β× </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num>
          <m:den>
            <m:d>
              <m:dPr>
                <m:ctrlPr>
                  <w:rPr>
                    <w:rFonts w:ascii="Cambria Math" w:eastAsia="Times New Roman" w:hAnsi="Cambria Math" w:cs="Times New Roman"/>
                    <w:sz w:val="20"/>
                    <w:szCs w:val="20"/>
                  </w:rPr>
                </m:ctrlPr>
              </m:dPr>
              <m:e>
                <m:r>
                  <w:rPr>
                    <w:rFonts w:ascii="Cambria Math" w:eastAsia="Times New Roman" w:hAnsi="Cambria Math" w:cs="Times New Roman"/>
                    <w:sz w:val="20"/>
                    <w:szCs w:val="20"/>
                  </w:rPr>
                  <m:t>1+</m:t>
                </m:r>
                <m:r>
                  <w:rPr>
                    <w:rFonts w:ascii="Cambria Math" w:eastAsia="Times New Roman" w:hAnsi="Cambria Math" w:cs="Times New Roman"/>
                    <w:sz w:val="20"/>
                    <w:szCs w:val="20"/>
                  </w:rPr>
                  <m:t>h</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e>
            </m:d>
            <m:r>
              <m:rPr>
                <m:sty m:val="p"/>
              </m:rP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F</m:t>
                </m:r>
              </m:sub>
            </m:sSub>
            <m:r>
              <m:rPr>
                <m:sty m:val="p"/>
              </m:rPr>
              <w:rPr>
                <w:rFonts w:ascii="Cambria Math" w:eastAsia="Times New Roman" w:hAnsi="Cambria Math" w:cs="Times New Roman"/>
                <w:sz w:val="20"/>
                <w:szCs w:val="20"/>
              </w:rPr>
              <m:t>⋅</m:t>
            </m:r>
            <m:d>
              <m:dPr>
                <m:ctrlPr>
                  <w:rPr>
                    <w:rFonts w:ascii="Cambria Math" w:eastAsia="Times New Roman" w:hAnsi="Cambria Math" w:cs="Times New Roman"/>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+δ+</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Times New Roman" w:hAnsi="Cambria Math" w:cs="Times New Roman"/>
                        <w:sz w:val="20"/>
                        <w:szCs w:val="20"/>
                      </w:rPr>
                      <m:t>C</m:t>
                    </m:r>
                  </m:sub>
                </m:sSub>
                <m:r>
                  <w:rPr>
                    <w:rFonts w:ascii="Cambria Math" w:eastAsia="Times New Roman" w:hAnsi="Cambria Math" w:cs="Times New Roman"/>
                    <w:sz w:val="20"/>
                    <w:szCs w:val="20"/>
                  </w:rPr>
                  <m:t>+</m:t>
                </m:r>
                <m:f>
                  <m:fPr>
                    <m:ctrlPr>
                      <w:rPr>
                        <w:rFonts w:ascii="Cambria Math" w:eastAsia="Times New Roman" w:hAnsi="Cambria Math" w:cs="Times New Roman"/>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t</m:t>
                        </m:r>
                      </m:sub>
                    </m:sSub>
                    <m:ctrlPr>
                      <w:rPr>
                        <w:rFonts w:ascii="Cambria Math" w:eastAsia="Times New Roman" w:hAnsi="Cambria Math" w:cs="Times New Roman"/>
                        <w:i/>
                        <w:sz w:val="20"/>
                        <w:szCs w:val="20"/>
                      </w:rPr>
                    </m:ctrlPr>
                  </m:num>
                  <m:den>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 </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den>
                </m:f>
                <m:ctrlPr>
                  <w:rPr>
                    <w:rFonts w:ascii="Cambria Math" w:eastAsia="Times New Roman" w:hAnsi="Cambria Math" w:cs="Times New Roman"/>
                    <w:i/>
                    <w:sz w:val="20"/>
                    <w:szCs w:val="20"/>
                  </w:rPr>
                </m:ctrlPr>
              </m:e>
            </m:d>
            <m:ctrlPr>
              <w:rPr>
                <w:rFonts w:ascii="Cambria Math" w:eastAsia="Times New Roman" w:hAnsi="Cambria Math" w:cs="Times New Roman"/>
                <w:i/>
                <w:sz w:val="20"/>
                <w:szCs w:val="20"/>
              </w:rPr>
            </m:ctrlPr>
          </m:den>
        </m:f>
        <m:r>
          <m:rPr>
            <m:sty m:val="p"/>
          </m:rPr>
          <w:rPr>
            <w:rFonts w:ascii="Cambria Math" w:hAnsi="Cambria Math" w:cs="Times New Roman"/>
            <w:sz w:val="20"/>
            <w:szCs w:val="20"/>
          </w:rPr>
          <m:t> </m:t>
        </m:r>
        <m:r>
          <m:rPr>
            <m:nor/>
          </m:rPr>
          <w:rPr>
            <w:rFonts w:ascii="Times New Roman" w:hAnsi="Times New Roman" w:cs="Times New Roman"/>
            <w:sz w:val="20"/>
            <w:szCs w:val="20"/>
          </w:rPr>
          <m:t>(11a)</m:t>
        </m:r>
      </m:oMath>
    </w:p>
    <w:p w14:paraId="14E4D17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Note the factor (1 + hŚ) in the denominator, which arises from the Holling Type II functional response. This factor is negligible when hŚ </w:t>
      </w:r>
      <w:r w:rsidRPr="009668D3">
        <w:rPr>
          <w:rFonts w:ascii="Cambria Math" w:hAnsi="Cambria Math" w:cs="Cambria Math"/>
          <w:sz w:val="20"/>
          <w:szCs w:val="20"/>
        </w:rPr>
        <w:t>≪</w:t>
      </w:r>
      <w:r w:rsidRPr="009668D3">
        <w:rPr>
          <w:rFonts w:ascii="Times New Roman" w:hAnsi="Times New Roman" w:cs="Times New Roman"/>
          <w:sz w:val="20"/>
          <w:szCs w:val="20"/>
        </w:rPr>
        <w:t xml:space="preserve"> 1 but should be retained when handling time h is appreciable relative to the inverse of the host density.</w:t>
      </w:r>
    </w:p>
    <w:p w14:paraId="294445FB"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7: Identification of tipping points as bifurcation boundaries of the annual map</w:t>
      </w:r>
    </w:p>
    <w:p w14:paraId="3D511CA3" w14:textId="25F34988" w:rsidR="000875CC" w:rsidRPr="009668D3" w:rsidRDefault="002F0864"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operational definitions of resistance, resilience, adaptive stability, tipping, and the strategy comparison protocol are given in Section 2.2 of the main text</w:t>
      </w:r>
      <w:r w:rsidR="00977094" w:rsidRPr="009668D3">
        <w:rPr>
          <w:rFonts w:ascii="Times New Roman" w:hAnsi="Times New Roman" w:cs="Times New Roman"/>
          <w:sz w:val="20"/>
          <w:szCs w:val="20"/>
        </w:rPr>
        <w:t>; Annex 2 provides the mathematical derivations underlying those quantities.</w:t>
      </w:r>
    </w:p>
    <w:p w14:paraId="6BC45EF9"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Criterion used: Bifurcation theory for discrete-time maps.</w:t>
      </w:r>
    </w:p>
    <w:p w14:paraId="677C546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(Kuznetsov, 2004, Chapter 4): A fixed point x*(p) of a parametrised discrete-time map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 G(x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p) undergoes a bifurcation at p =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when an eigenvalue (or a pair of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(x*(p)) crosses the unit circle. The generic codimension-one bifurcations of discrete-time maps are: (a) saddle-node (fold), (b) period-doubling (flip), and (c) Neimark–Sacker (discrete Hopf).</w:t>
      </w:r>
    </w:p>
    <w:p w14:paraId="27BF5E52"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Application.</w:t>
      </w:r>
    </w:p>
    <w:p w14:paraId="73923445" w14:textId="02A35219"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A tipping parameter p (chosen from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Cambria Math" w:hAnsi="Cambria Math" w:cs="Times New Roman"/>
                <w:sz w:val="20"/>
                <w:szCs w:val="20"/>
                <w:vertAlign w:val="subscript"/>
              </w:rPr>
              <m:t>B</m:t>
            </m:r>
          </m:sub>
        </m:sSub>
        <m:r>
          <w:rPr>
            <w:rFonts w:ascii="Cambria Math" w:eastAsia="Times New Roman" w:hAnsi="Cambria Math" w:cs="Times New Roman"/>
            <w:sz w:val="20"/>
            <w:szCs w:val="20"/>
          </w:rPr>
          <m:t xml:space="preserve">, ϕ,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Cambria Math" w:hAnsi="Cambria Math" w:cs="Times New Roman"/>
                <w:sz w:val="20"/>
                <w:szCs w:val="20"/>
                <w:vertAlign w:val="subscript"/>
              </w:rPr>
              <m:t>B</m:t>
            </m:r>
          </m:sub>
        </m:sSub>
        <m:r>
          <w:rPr>
            <w:rFonts w:ascii="Cambria Math" w:eastAsia="Times New Roman" w:hAnsi="Cambria Math" w:cs="Times New Roman"/>
            <w:sz w:val="20"/>
            <w:szCs w:val="20"/>
          </w:rPr>
          <m:t xml:space="preserve">, β,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Cambria Math" w:hAnsi="Cambria Math" w:cs="Times New Roman"/>
                <w:sz w:val="20"/>
                <w:szCs w:val="20"/>
                <w:vertAlign w:val="subscript"/>
              </w:rPr>
              <m:t>P,max</m:t>
            </m:r>
          </m:sub>
        </m:sSub>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Cambria Math" w:hAnsi="Cambria Math" w:cs="Times New Roman"/>
                <w:sz w:val="20"/>
                <w:szCs w:val="20"/>
                <w:vertAlign w:val="subscript"/>
              </w:rPr>
              <m:t>B,max</m:t>
            </m:r>
          </m:sub>
        </m:sSub>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according to the management question) is varied, and the eigenvalues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(p)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(x*(p)) are tracked. The regulated (low-damage) fixed point x*(p) is locally asymptotically stable as long as max</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(p)| &lt; 1. A tipping boundary occurs at the critical value p =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where:</w:t>
      </w:r>
    </w:p>
    <w:p w14:paraId="4AEC3C05" w14:textId="77777777" w:rsidR="000875CC" w:rsidRPr="009668D3" w:rsidRDefault="000875CC" w:rsidP="002D21BC">
      <w:pPr>
        <w:tabs>
          <w:tab w:val="right" w:pos="9026"/>
        </w:tabs>
        <w:spacing w:before="160" w:line="240" w:lineRule="auto"/>
        <w:jc w:val="both"/>
        <w:rPr>
          <w:rFonts w:ascii="Times New Roman" w:hAnsi="Times New Roman" w:cs="Times New Roman"/>
          <w:sz w:val="20"/>
          <w:szCs w:val="20"/>
        </w:rPr>
      </w:pPr>
      <w:r w:rsidRPr="009668D3">
        <w:rPr>
          <w:rFonts w:ascii="Times New Roman" w:hAnsi="Times New Roman" w:cs="Times New Roman"/>
          <w:sz w:val="20"/>
          <w:szCs w:val="20"/>
        </w:rPr>
        <w:t>maxᵢ |λᵢ(pᴄ)| = 1</w:t>
      </w:r>
      <w:r w:rsidRPr="009668D3">
        <w:rPr>
          <w:rFonts w:ascii="Times New Roman" w:hAnsi="Times New Roman" w:cs="Times New Roman"/>
          <w:sz w:val="20"/>
          <w:szCs w:val="20"/>
        </w:rPr>
        <w:tab/>
        <w:t>(19)</w:t>
      </w:r>
    </w:p>
    <w:p w14:paraId="63C75685"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Classification of tipping types.</w:t>
      </w:r>
    </w:p>
    <w:p w14:paraId="714F09D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(a) Saddle-node (fold) tipping: </w:t>
      </w:r>
      <w:r w:rsidRPr="009668D3">
        <w:rPr>
          <w:rFonts w:ascii="Times New Roman" w:hAnsi="Times New Roman" w:cs="Times New Roman"/>
          <w:sz w:val="20"/>
          <w:szCs w:val="20"/>
        </w:rPr>
        <w:t>A real eigenvalue crosses +1. This corresponds to the collision and disappearance of the low-damage and high-damage fixed points. Ecologically, the stable low-damage equilibrium ceases to exist and the system collapses abruptly to a high-damage state.</w:t>
      </w:r>
    </w:p>
    <w:p w14:paraId="0038D7D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(b) Flip (period-doubling) tipping: </w:t>
      </w:r>
      <w:r w:rsidRPr="009668D3">
        <w:rPr>
          <w:rFonts w:ascii="Times New Roman" w:hAnsi="Times New Roman" w:cs="Times New Roman"/>
          <w:sz w:val="20"/>
          <w:szCs w:val="20"/>
        </w:rPr>
        <w:t>A real eigenvalue crosses −1. This corresponds to the onset of biennial outbreak cycling. Ecologically, this produces alternating outbreak and recovery years—the system oscillates between high-damage and low-damage states with period 2.</w:t>
      </w:r>
    </w:p>
    <w:p w14:paraId="1FBE2F0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(c) Neimark–Sacker (discrete Hopf) tipping: </w:t>
      </w:r>
      <w:r w:rsidRPr="009668D3">
        <w:rPr>
          <w:rFonts w:ascii="Times New Roman" w:hAnsi="Times New Roman" w:cs="Times New Roman"/>
          <w:sz w:val="20"/>
          <w:szCs w:val="20"/>
        </w:rPr>
        <w:t>A complex conjugate pair of eigenvalues crosses the unit circle. This corresponds to the onset of quasi-periodic outbreak oscillations. Ecologically, this produces irregular multi-year outbreak cycles whose period is generally incommensurate with the annual timescale.</w:t>
      </w:r>
    </w:p>
    <w:p w14:paraId="5E1DD430"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Functional tipping criteria.</w:t>
      </w:r>
    </w:p>
    <w:p w14:paraId="39621EB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addition to the dynamical tipping boundary (Equation 19), a functional tipping criterion is defined to capture ecological collapse that may not coincide exactly with the mathematical bifurcation. Two functional thresholds are monitored: (i) the carrying capacity K</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falls below a regeneration threshold K</w:t>
      </w:r>
      <w:r w:rsidRPr="009668D3">
        <w:rPr>
          <w:rFonts w:ascii="Times New Roman" w:hAnsi="Times New Roman" w:cs="Times New Roman"/>
          <w:sz w:val="20"/>
          <w:szCs w:val="20"/>
          <w:vertAlign w:val="subscript"/>
        </w:rPr>
        <w:t>min</w:t>
      </w:r>
      <w:r w:rsidRPr="009668D3">
        <w:rPr>
          <w:rFonts w:ascii="Times New Roman" w:hAnsi="Times New Roman" w:cs="Times New Roman"/>
          <w:sz w:val="20"/>
          <w:szCs w:val="20"/>
        </w:rPr>
        <w:t xml:space="preserve"> for m ≥ 3 consecutive years, indicating persistent canopy degradation; or (ii) the long-run mean damage exceeds a critical threshold D</w:t>
      </w:r>
      <w:r w:rsidRPr="009668D3">
        <w:rPr>
          <w:rFonts w:ascii="Times New Roman" w:hAnsi="Times New Roman" w:cs="Times New Roman"/>
          <w:sz w:val="20"/>
          <w:szCs w:val="20"/>
          <w:vertAlign w:val="subscript"/>
        </w:rPr>
        <w:t>crit</w:t>
      </w:r>
      <w:r w:rsidRPr="009668D3">
        <w:rPr>
          <w:rFonts w:ascii="Times New Roman" w:hAnsi="Times New Roman" w:cs="Times New Roman"/>
          <w:sz w:val="20"/>
          <w:szCs w:val="20"/>
        </w:rPr>
        <w:t>. The functional tipping boundary is located relative to the dynamical bifurcation boundary to assess whether ecological collapse precedes or follows the loss of mathematical stability.</w:t>
      </w:r>
    </w:p>
    <w:p w14:paraId="04410DD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Multistability and basin boundaries.</w:t>
      </w:r>
    </w:p>
    <w:p w14:paraId="4EBC2C1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For parameter values near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the annual map is iterated forward from multiple initial conditions to detect multistability—the coexistence of a low-damage attractor and a high-damage attractor (or stable cycle) separated by a basin boundary. If multistability exists, tipping can occur by perturbation (basin crossing) even before the dynamical bifurcation, and the relative basin sizes are reported as a measure of tipping risk.</w:t>
      </w:r>
    </w:p>
    <w:p w14:paraId="23F489C2" w14:textId="77777777" w:rsidR="000875CC" w:rsidRPr="009668D3" w:rsidRDefault="000875C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br w:type="page"/>
      </w:r>
    </w:p>
    <w:p w14:paraId="7755A6AC"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lastRenderedPageBreak/>
        <w:t>Step 8: Optimal control via Pontryagin’s Maximum Principle and the forward–backward sweep method</w:t>
      </w:r>
    </w:p>
    <w:p w14:paraId="2BE8147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0165D60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Determine the optimal allocation of within-season control effort (parasitoid augmentation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and targeted larval removal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that minimises the combined ecological and economic cost.</w:t>
      </w:r>
    </w:p>
    <w:p w14:paraId="3ACF7D6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Theorem used: Pontryagin’s Maximum Principle (PMP).</w:t>
      </w:r>
    </w:p>
    <w:p w14:paraId="450A326E" w14:textId="47E56D7C"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(Pontryagin et al., 1962; Fleming and Rishel, 1975): For a control system </w:t>
      </w:r>
      <w:r w:rsidR="00000000" w:rsidRPr="001E6700">
        <w:rPr>
          <w:rFonts w:ascii="Times New Roman" w:eastAsia="Times New Roman" w:hAnsi="Times New Roman" w:cs="Times New Roman"/>
          <w:sz w:val="20"/>
          <w:szCs w:val="20"/>
        </w:rPr>
        <w:t>y′ = f(y, u)</w:t>
      </w:r>
      <w:r w:rsidRPr="009668D3">
        <w:rPr>
          <w:rFonts w:ascii="Times New Roman" w:hAnsi="Times New Roman" w:cs="Times New Roman"/>
          <w:sz w:val="20"/>
          <w:szCs w:val="20"/>
        </w:rPr>
        <w:t xml:space="preserve"> with cost functional J = ∫ L(y, u) dτ + Ψ(y(T)), there exist costate variables λ(τ) such that, at the optimum, the Hamiltonian H = L + λᵀf satisfies: (a) the state equations y′ = ∂H/∂λ = f; (b) the costate equations λ′ = −∂H/∂y; (c) the stationarity condition ∂H/∂u = 0 at the optimal control; and (d) the transversality condition λ(T) = ∂Ψ/∂y(T).</w:t>
      </w:r>
    </w:p>
    <w:p w14:paraId="333D87B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Sign convention (minimisation).</w:t>
      </w:r>
    </w:p>
    <w:p w14:paraId="5A8D5F6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Convention adopted: </w:t>
      </w:r>
      <w:r w:rsidRPr="009668D3">
        <w:rPr>
          <w:rFonts w:ascii="Times New Roman" w:hAnsi="Times New Roman" w:cs="Times New Roman"/>
          <w:sz w:val="20"/>
          <w:szCs w:val="20"/>
        </w:rPr>
        <w:t>The Hamiltonian is defined in the standard minimisation form H = L + λᵀf, and the optimal control minimises H. This convention, used throughout Lenhart and Workman (2007) and Fleming and Rishel (1975), determines the signs of all subsequent control characterisations. The costate equations are λ′ = −∂H/∂y, and the transversality conditions are λ(T) = ∂Ψ/∂y(T).</w:t>
      </w:r>
    </w:p>
    <w:p w14:paraId="7C93163D"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Hamiltonian.</w:t>
      </w:r>
    </w:p>
    <w:p w14:paraId="31C9181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Hamiltonian H is constructed by adjoining the state equations (1)–(4) to the objective integrand via costate (adjoint) variables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D</w:t>
      </w:r>
      <w:r w:rsidRPr="009668D3">
        <w:rPr>
          <w:rFonts w:ascii="Times New Roman" w:hAnsi="Times New Roman" w:cs="Times New Roman"/>
          <w:sz w:val="20"/>
          <w:szCs w:val="20"/>
        </w:rPr>
        <w:t>:</w:t>
      </w:r>
    </w:p>
    <w:p w14:paraId="0AAE4D54" w14:textId="22C6F34C" w:rsidR="000875CC" w:rsidRPr="009668D3" w:rsidRDefault="00643DAE"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H=</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r>
          <w:rPr>
            <w:rFonts w:ascii="Cambria Math" w:hAnsi="Cambria Math" w:cs="Times New Roman"/>
            <w:sz w:val="20"/>
            <w:szCs w:val="20"/>
          </w:rPr>
          <m:t>S+</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r>
              <m:rPr>
                <m:lit/>
              </m:rPr>
              <w:rPr>
                <w:rFonts w:ascii="Cambria Math" w:hAnsi="Cambria Math" w:cs="Times New Roman"/>
                <w:sz w:val="20"/>
                <w:szCs w:val="20"/>
              </w:rPr>
              <m:t>/</m:t>
            </m:r>
            <m:r>
              <w:rPr>
                <w:rFonts w:ascii="Cambria Math" w:hAnsi="Cambria Math" w:cs="Times New Roman"/>
                <w:sz w:val="20"/>
                <w:szCs w:val="20"/>
              </w:rPr>
              <m:t>2</m:t>
            </m:r>
          </m:e>
        </m:d>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P</m:t>
            </m:r>
          </m:sub>
          <m:sup>
            <m:r>
              <w:rPr>
                <w:rFonts w:ascii="Cambria Math" w:hAnsi="Cambria Math" w:cs="Times New Roman"/>
                <w:sz w:val="20"/>
                <w:szCs w:val="20"/>
              </w:rPr>
              <m:t>2</m:t>
            </m:r>
          </m:sup>
        </m:sSubSup>
        <m:r>
          <w:rPr>
            <w:rFonts w:ascii="Cambria Math" w:hAnsi="Cambria Math" w:cs="Times New Roman"/>
            <w:sz w:val="20"/>
            <w:szCs w:val="20"/>
          </w:rPr>
          <m: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r>
              <m:rPr>
                <m:lit/>
              </m:rPr>
              <w:rPr>
                <w:rFonts w:ascii="Cambria Math" w:hAnsi="Cambria Math" w:cs="Times New Roman"/>
                <w:sz w:val="20"/>
                <w:szCs w:val="20"/>
              </w:rPr>
              <m:t>/</m:t>
            </m:r>
            <m:r>
              <w:rPr>
                <w:rFonts w:ascii="Cambria Math" w:hAnsi="Cambria Math" w:cs="Times New Roman"/>
                <w:sz w:val="20"/>
                <w:szCs w:val="20"/>
              </w:rPr>
              <m:t>2</m:t>
            </m:r>
          </m:e>
        </m:d>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C</m:t>
            </m:r>
          </m:sub>
          <m:sup>
            <m:r>
              <w:rPr>
                <w:rFonts w:ascii="Cambria Math" w:hAnsi="Cambria Math" w:cs="Times New Roman"/>
                <w:sz w:val="20"/>
                <w:szCs w:val="20"/>
              </w:rPr>
              <m:t>2</m:t>
            </m:r>
          </m:sup>
        </m:sSub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dS</m:t>
            </m:r>
            <m:r>
              <m:rPr>
                <m:lit/>
              </m:rPr>
              <w:rPr>
                <w:rFonts w:ascii="Cambria Math" w:hAnsi="Cambria Math" w:cs="Times New Roman"/>
                <w:sz w:val="20"/>
                <w:szCs w:val="20"/>
              </w:rPr>
              <m:t>/</m:t>
            </m:r>
            <m:r>
              <w:rPr>
                <w:rFonts w:ascii="Cambria Math" w:hAnsi="Cambria Math" w:cs="Times New Roman"/>
                <w:sz w:val="20"/>
                <w:szCs w:val="20"/>
              </w:rPr>
              <m:t>dτ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d>
          <m:dPr>
            <m:ctrlPr>
              <w:rPr>
                <w:rFonts w:ascii="Cambria Math" w:hAnsi="Cambria Math" w:cs="Times New Roman"/>
                <w:i/>
                <w:sz w:val="20"/>
                <w:szCs w:val="20"/>
              </w:rPr>
            </m:ctrlPr>
          </m:dPr>
          <m:e>
            <m:r>
              <w:rPr>
                <w:rFonts w:ascii="Cambria Math" w:hAnsi="Cambria Math" w:cs="Times New Roman"/>
                <w:sz w:val="20"/>
                <w:szCs w:val="20"/>
              </w:rPr>
              <m:t>dI</m:t>
            </m:r>
            <m:r>
              <m:rPr>
                <m:lit/>
              </m:rPr>
              <w:rPr>
                <w:rFonts w:ascii="Cambria Math" w:hAnsi="Cambria Math" w:cs="Times New Roman"/>
                <w:sz w:val="20"/>
                <w:szCs w:val="20"/>
              </w:rPr>
              <m:t>/</m:t>
            </m:r>
            <m:r>
              <w:rPr>
                <w:rFonts w:ascii="Cambria Math" w:hAnsi="Cambria Math" w:cs="Times New Roman"/>
                <w:sz w:val="20"/>
                <w:szCs w:val="20"/>
              </w:rPr>
              <m:t>dτ</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λ</m:t>
            </m:r>
            <m:ctrlPr>
              <w:rPr>
                <w:rFonts w:ascii="Cambria Math" w:hAnsi="Cambria Math" w:cs="Times New Roman"/>
                <w:sz w:val="20"/>
                <w:szCs w:val="20"/>
              </w:rPr>
            </m:ctrlPr>
          </m:e>
          <m:sub>
            <m:r>
              <w:rPr>
                <w:rFonts w:ascii="Cambria Math" w:hAnsi="Cambria Math" w:cs="Times New Roman"/>
                <w:sz w:val="20"/>
                <w:szCs w:val="20"/>
              </w:rPr>
              <m:t>F</m:t>
            </m:r>
          </m:sub>
        </m:sSub>
        <m:r>
          <w:rPr>
            <w:rFonts w:ascii="Cambria Math" w:hAnsi="Cambria Math" w:cs="Times New Roman"/>
            <w:sz w:val="20"/>
            <w:szCs w:val="20"/>
          </w:rPr>
          <m:t xml:space="preserve"> (dF/dτ) +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D</m:t>
            </m:r>
          </m:sub>
        </m:sSub>
        <m:r>
          <w:rPr>
            <w:rFonts w:ascii="Cambria Math" w:hAnsi="Cambria Math" w:cs="Times New Roman"/>
            <w:sz w:val="20"/>
            <w:szCs w:val="20"/>
          </w:rPr>
          <m:t xml:space="preserve">(dD/dτ) </m:t>
        </m:r>
      </m:oMath>
      <w:r w:rsidR="000875CC" w:rsidRPr="009668D3">
        <w:rPr>
          <w:rFonts w:ascii="Times New Roman" w:hAnsi="Times New Roman" w:cs="Times New Roman"/>
          <w:sz w:val="20"/>
          <w:szCs w:val="20"/>
        </w:rPr>
        <w:tab/>
        <w:t>(20)</w:t>
      </w:r>
    </w:p>
    <w:p w14:paraId="5BD9459D"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Costate (adjoint) equations.</w:t>
      </w:r>
    </w:p>
    <w:p w14:paraId="3950776B" w14:textId="56F9AF0F"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backward costate equations are dλ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/dτ = −∂H/∂y</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for each state variable y</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w:t>
      </w:r>
      <w:r w:rsidRPr="009668D3">
        <w:rPr>
          <w:rFonts w:ascii="Cambria Math" w:hAnsi="Cambria Math" w:cs="Cambria Math"/>
          <w:sz w:val="20"/>
          <w:szCs w:val="20"/>
        </w:rPr>
        <w:t>∈</w:t>
      </w:r>
      <w:r w:rsidRPr="009668D3">
        <w:rPr>
          <w:rFonts w:ascii="Times New Roman" w:hAnsi="Times New Roman" w:cs="Times New Roman"/>
          <w:sz w:val="20"/>
          <w:szCs w:val="20"/>
        </w:rPr>
        <w:t xml:space="preserve"> {S, I, F, D}. These are integrated backward in time from the transversality conditions at τ = T. The terminal conditions are: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(the terminal damage weight from the objective functional, Equation 9).</w:t>
      </w:r>
    </w:p>
    <w:p w14:paraId="5F02267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Optimal control characterisation.</w:t>
      </w:r>
    </w:p>
    <w:p w14:paraId="708AF1A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u*ᴄ: </w:t>
      </w:r>
      <w:r w:rsidRPr="009668D3">
        <w:rPr>
          <w:rFonts w:ascii="Times New Roman" w:hAnsi="Times New Roman" w:cs="Times New Roman"/>
          <w:sz w:val="20"/>
          <w:szCs w:val="20"/>
        </w:rPr>
        <w:t>The control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enters the state equations via ∂(dS/dτ)/∂u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−S and ∂(dI/dτ)/∂u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−I (Equations 1–2). Setting ∂H/∂u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w:t>
      </w:r>
    </w:p>
    <w:p w14:paraId="1D65A3FB" w14:textId="2856B15A" w:rsidR="000875CC" w:rsidRPr="009668D3" w:rsidRDefault="00000000"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ᴄ</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ᴄ</m:t>
              </m:r>
            </m:sub>
          </m:sSub>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ₛ</m:t>
          </m:r>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ᵢ</m:t>
          </m:r>
          <m:r>
            <w:rPr>
              <w:rFonts w:ascii="Cambria Math" w:hAnsi="Cambria Math" w:cs="Times New Roman"/>
              <w:sz w:val="20"/>
              <w:szCs w:val="20"/>
            </w:rPr>
            <m:t>(-</m:t>
          </m:r>
          <m:r>
            <w:rPr>
              <w:rFonts w:ascii="Cambria Math" w:hAnsi="Cambria Math" w:cs="Times New Roman"/>
              <w:sz w:val="20"/>
              <w:szCs w:val="20"/>
            </w:rPr>
            <m:t>I</m:t>
          </m:r>
          <m:r>
            <w:rPr>
              <w:rFonts w:ascii="Cambria Math" w:hAnsi="Cambria Math" w:cs="Times New Roman"/>
              <w:sz w:val="20"/>
              <w:szCs w:val="20"/>
            </w:rPr>
            <m:t>) = 0</m:t>
          </m:r>
        </m:oMath>
      </m:oMathPara>
    </w:p>
    <w:p w14:paraId="5F50A807" w14:textId="45F13380" w:rsidR="000875CC" w:rsidRPr="009668D3" w:rsidRDefault="00000000"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ᴄ</m:t>
              </m:r>
            </m:sub>
          </m:sSub>
          <m:r>
            <w:rPr>
              <w:rFonts w:ascii="Cambria Math" w:hAnsi="Cambria Math" w:cs="Times New Roman"/>
              <w:sz w:val="20"/>
              <w:szCs w:val="20"/>
            </w:rPr>
            <m:t xml:space="preserve"> =</m:t>
          </m:r>
          <m:f>
            <m:fPr>
              <m:ctrlPr>
                <w:rPr>
                  <w:rFonts w:ascii="Cambria Math" w:eastAsia="Cambria Math" w:hAnsi="Cambria Math" w:cs="Times New Roman"/>
                  <w:i/>
                  <w:sz w:val="20"/>
                  <w:szCs w:val="20"/>
                </w:rPr>
              </m:ctrlPr>
            </m:fPr>
            <m:num>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λ</m:t>
                  </m:r>
                  <m:r>
                    <w:rPr>
                      <w:rFonts w:ascii="Cambria Math" w:eastAsia="Cambria Math" w:hAnsi="Cambria Math" w:cs="Times New Roman"/>
                      <w:sz w:val="20"/>
                      <w:szCs w:val="20"/>
                    </w:rPr>
                    <m:t>ₛ</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 + </m:t>
                  </m:r>
                  <m:r>
                    <w:rPr>
                      <w:rFonts w:ascii="Cambria Math" w:eastAsia="Cambria Math" w:hAnsi="Cambria Math" w:cs="Times New Roman"/>
                      <w:sz w:val="20"/>
                      <w:szCs w:val="20"/>
                    </w:rPr>
                    <m:t>λ</m:t>
                  </m:r>
                  <m:r>
                    <w:rPr>
                      <w:rFonts w:ascii="Cambria Math" w:eastAsia="Cambria Math" w:hAnsi="Cambria Math" w:cs="Times New Roman"/>
                      <w:sz w:val="20"/>
                      <w:szCs w:val="20"/>
                    </w:rPr>
                    <m:t>ᵢ</m:t>
                  </m:r>
                  <m:r>
                    <w:rPr>
                      <w:rFonts w:ascii="Cambria Math" w:eastAsia="Cambria Math" w:hAnsi="Cambria Math" w:cs="Times New Roman"/>
                      <w:sz w:val="20"/>
                      <w:szCs w:val="20"/>
                    </w:rPr>
                    <m:t>I</m:t>
                  </m:r>
                </m:e>
              </m:d>
            </m:num>
            <m:den>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c</m:t>
                  </m:r>
                </m:sub>
              </m:sSub>
            </m:den>
          </m:f>
        </m:oMath>
      </m:oMathPara>
    </w:p>
    <w:p w14:paraId="344AF83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With box constraints:</w:t>
      </w:r>
    </w:p>
    <w:p w14:paraId="3B208655" w14:textId="48DEA77B" w:rsidR="000875CC" w:rsidRPr="009668D3" w:rsidRDefault="00000000" w:rsidP="002D21BC">
      <w:pPr>
        <w:tabs>
          <w:tab w:val="right" w:pos="9026"/>
        </w:tabs>
        <w:spacing w:before="160" w:line="240" w:lineRule="auto"/>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ᴄ</m:t>
            </m:r>
            <m:d>
              <m:dPr>
                <m:ctrlPr>
                  <w:rPr>
                    <w:rFonts w:ascii="Cambria Math" w:hAnsi="Cambria Math" w:cs="Times New Roman"/>
                    <w:i/>
                    <w:sz w:val="20"/>
                    <w:szCs w:val="20"/>
                  </w:rPr>
                </m:ctrlPr>
              </m:dPr>
              <m:e>
                <m:r>
                  <w:rPr>
                    <w:rFonts w:ascii="Cambria Math" w:hAnsi="Cambria Math" w:cs="Times New Roman"/>
                    <w:sz w:val="20"/>
                    <w:szCs w:val="20"/>
                  </w:rPr>
                  <m:t>τ</m:t>
                </m:r>
              </m:e>
            </m:d>
          </m:sub>
          <m:sup>
            <m:r>
              <w:rPr>
                <w:rFonts w:ascii="Cambria Math" w:hAnsi="Cambria Math" w:cs="Times New Roman"/>
                <w:sz w:val="20"/>
                <w:szCs w:val="20"/>
              </w:rPr>
              <m:t>*</m:t>
            </m:r>
          </m:sup>
        </m:sSubSup>
        <m:r>
          <w:rPr>
            <w:rFonts w:ascii="Cambria Math" w:hAnsi="Cambria Math" w:cs="Times New Roman"/>
            <w:sz w:val="20"/>
            <w:szCs w:val="20"/>
          </w:rPr>
          <m:t xml:space="preserve"> = </m:t>
        </m:r>
        <m:r>
          <w:rPr>
            <w:rFonts w:ascii="Cambria Math" w:hAnsi="Cambria Math" w:cs="Times New Roman"/>
            <w:sz w:val="20"/>
            <w:szCs w:val="20"/>
          </w:rPr>
          <m:t>min</m:t>
        </m:r>
        <m:r>
          <w:rPr>
            <w:rFonts w:ascii="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u</m:t>
            </m:r>
          </m:e>
          <m:sub>
            <m:d>
              <m:dPr>
                <m:begChr m:val="{"/>
                <m:endChr m:val="}"/>
                <m:ctrlPr>
                  <w:rPr>
                    <w:rFonts w:ascii="Cambria Math" w:eastAsia="Cambria Math" w:hAnsi="Cambria Math" w:cs="Times New Roman"/>
                    <w:i/>
                    <w:sz w:val="20"/>
                    <w:szCs w:val="20"/>
                  </w:rPr>
                </m:ctrlPr>
              </m:dPr>
              <m:e>
                <m:r>
                  <w:rPr>
                    <w:rFonts w:ascii="Cambria Math" w:eastAsia="Cambria Math" w:hAnsi="Cambria Math" w:cs="Times New Roman"/>
                    <w:sz w:val="20"/>
                    <w:szCs w:val="20"/>
                  </w:rPr>
                  <m:t>ᴄ</m:t>
                </m:r>
                <m:r>
                  <w:rPr>
                    <w:rFonts w:ascii="Cambria Math" w:eastAsia="Cambria Math" w:hAnsi="Cambria Math" w:cs="Times New Roman"/>
                    <w:sz w:val="20"/>
                    <w:szCs w:val="20"/>
                  </w:rPr>
                  <m:t>,</m:t>
                </m:r>
                <m:r>
                  <w:rPr>
                    <w:rFonts w:ascii="Cambria Math" w:eastAsia="Cambria Math" w:hAnsi="Cambria Math" w:cs="Times New Roman"/>
                    <w:sz w:val="20"/>
                    <w:szCs w:val="20"/>
                  </w:rPr>
                  <m:t>max</m:t>
                </m:r>
              </m:e>
            </m:d>
          </m:sub>
        </m:sSub>
        <m:r>
          <w:rPr>
            <w:rFonts w:ascii="Cambria Math" w:eastAsia="Cambria Math"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max</m:t>
        </m:r>
        <m:r>
          <w:rPr>
            <w:rFonts w:ascii="Cambria Math" w:hAnsi="Cambria Math" w:cs="Times New Roman"/>
            <w:sz w:val="20"/>
            <w:szCs w:val="20"/>
          </w:rPr>
          <m:t>(0, (</m:t>
        </m:r>
        <m:r>
          <w:rPr>
            <w:rFonts w:ascii="Cambria Math" w:hAnsi="Cambria Math" w:cs="Times New Roman"/>
            <w:sz w:val="20"/>
            <w:szCs w:val="20"/>
          </w:rPr>
          <m:t>λ</m:t>
        </m:r>
        <m:r>
          <w:rPr>
            <w:rFonts w:ascii="Cambria Math" w:hAnsi="Cambria Math" w:cs="Times New Roman"/>
            <w:sz w:val="20"/>
            <w:szCs w:val="20"/>
          </w:rPr>
          <m:t>ₛ</m:t>
        </m:r>
        <m:r>
          <w:rPr>
            <w:rFonts w:ascii="Cambria Math" w:hAnsi="Cambria Math" w:cs="Times New Roman"/>
            <w:sz w:val="20"/>
            <w:szCs w:val="20"/>
          </w:rPr>
          <m:t>S</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ᵢ</m:t>
        </m:r>
        <m:r>
          <w:rPr>
            <w:rFonts w:ascii="Cambria Math" w:hAnsi="Cambria Math" w:cs="Times New Roman"/>
            <w:sz w:val="20"/>
            <w:szCs w:val="20"/>
          </w:rPr>
          <m:t>I</m:t>
        </m:r>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ᴄ</m:t>
            </m:r>
          </m:sub>
        </m:sSub>
        <m:r>
          <w:rPr>
            <w:rFonts w:ascii="Cambria Math" w:hAnsi="Cambria Math" w:cs="Times New Roman"/>
            <w:sz w:val="20"/>
            <w:szCs w:val="20"/>
          </w:rPr>
          <m:t>))</m:t>
        </m:r>
      </m:oMath>
      <w:r w:rsidR="000875CC" w:rsidRPr="009668D3">
        <w:rPr>
          <w:rFonts w:ascii="Times New Roman" w:hAnsi="Times New Roman" w:cs="Times New Roman"/>
          <w:sz w:val="20"/>
          <w:szCs w:val="20"/>
        </w:rPr>
        <w:tab/>
        <w:t>(21)</w:t>
      </w:r>
    </w:p>
    <w:p w14:paraId="69CE417E" w14:textId="20CBF506"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Sign interpretation: </w:t>
      </w:r>
      <w:r w:rsidRPr="009668D3">
        <w:rPr>
          <w:rFonts w:ascii="Times New Roman" w:hAnsi="Times New Roman" w:cs="Times New Roman"/>
          <w:sz w:val="20"/>
          <w:szCs w:val="20"/>
        </w:rPr>
        <w:t>The costates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 xml:space="preserve"> and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represent the marginal cost of an additional susceptible or parasitised larva, respectively. Under minimisation, these are typically positive (∂V/∂S &gt; 0, since more larvae increase damage). Hence</w:t>
      </w:r>
      <w:r w:rsidR="004358A4"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S +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I)/c</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is positive, and </w:t>
      </w:r>
      <w:r w:rsidR="00000000" w:rsidRPr="001E6700">
        <w:rPr>
          <w:rFonts w:ascii="Times New Roman" w:eastAsia="Times New Roman" w:hAnsi="Times New Roman" w:cs="Times New Roman"/>
          <w:sz w:val="20"/>
          <w:szCs w:val="20"/>
        </w:rPr>
        <w:t>u*</w:t>
      </w:r>
      <w:r w:rsidR="00000000" w:rsidRPr="001E6700">
        <w:rPr>
          <w:rFonts w:ascii="Times New Roman" w:eastAsia="Cambria Math" w:hAnsi="Times New Roman" w:cs="Times New Roman"/>
          <w:sz w:val="20"/>
          <w:szCs w:val="20"/>
          <w:vertAlign w:val="subscript"/>
        </w:rPr>
        <w:t>C</w:t>
      </w:r>
      <w:r w:rsidR="00000000"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is active (positive) when the marginal benefit of removal exceeds the marginal cost.</w:t>
      </w:r>
    </w:p>
    <w:p w14:paraId="28B37E1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u*ₖ: </w:t>
      </w:r>
      <w:r w:rsidRPr="009668D3">
        <w:rPr>
          <w:rFonts w:ascii="Times New Roman" w:hAnsi="Times New Roman" w:cs="Times New Roman"/>
          <w:sz w:val="20"/>
          <w:szCs w:val="20"/>
        </w:rPr>
        <w:t>The control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enters the state equations via ∂(dF/dτ)/∂u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+1 (Equation 3: dF/dτ = ηδI − µ</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F +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Setting ∂H/∂u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0:</w:t>
      </w:r>
    </w:p>
    <w:p w14:paraId="08F8900C" w14:textId="1D2334AD" w:rsidR="000875CC" w:rsidRPr="009668D3" w:rsidRDefault="00000000"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_</m:t>
          </m:r>
          <m:r>
            <w:rPr>
              <w:rFonts w:ascii="Cambria Math" w:hAnsi="Cambria Math" w:cs="Times New Roman"/>
              <w:sz w:val="20"/>
              <w:szCs w:val="20"/>
            </w:rPr>
            <m:t>F</m:t>
          </m:r>
          <m:r>
            <w:rPr>
              <w:rFonts w:ascii="Cambria Math" w:hAnsi="Cambria Math" w:cs="Times New Roman"/>
              <w:sz w:val="20"/>
              <w:szCs w:val="20"/>
            </w:rPr>
            <m:t xml:space="preserve"> · (+1) = 0</m:t>
          </m:r>
        </m:oMath>
      </m:oMathPara>
    </w:p>
    <w:p w14:paraId="42BADA7A" w14:textId="254FCA4C" w:rsidR="000875CC" w:rsidRPr="009668D3" w:rsidRDefault="00000000"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F</m:t>
              </m:r>
            </m:sub>
          </m:sSub>
          <m:r>
            <w:rPr>
              <w:rFonts w:ascii="Cambria Math" w:hAnsi="Cambria Math" w:cs="Times New Roman"/>
              <w:sz w:val="20"/>
              <w:szCs w:val="20"/>
            </w:rPr>
            <m:t xml:space="preserve"> / </m:t>
          </m:r>
          <m:r>
            <w:rPr>
              <w:rFonts w:ascii="Cambria Math" w:hAnsi="Cambria Math" w:cs="Times New Roman"/>
              <w:sz w:val="20"/>
              <w:szCs w:val="20"/>
            </w:rPr>
            <m:t>c</m:t>
          </m:r>
          <m:r>
            <w:rPr>
              <w:rFonts w:ascii="Cambria Math" w:hAnsi="Cambria Math" w:cs="Times New Roman"/>
              <w:sz w:val="20"/>
              <w:szCs w:val="20"/>
            </w:rPr>
            <m:t>_</m:t>
          </m:r>
          <m:r>
            <w:rPr>
              <w:rFonts w:ascii="Cambria Math" w:hAnsi="Cambria Math" w:cs="Times New Roman"/>
              <w:sz w:val="20"/>
              <w:szCs w:val="20"/>
            </w:rPr>
            <m:t>P</m:t>
          </m:r>
        </m:oMath>
      </m:oMathPara>
    </w:p>
    <w:p w14:paraId="155C440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With box constraints:</w:t>
      </w:r>
    </w:p>
    <w:p w14:paraId="0FAB7660" w14:textId="2B966AB6" w:rsidR="000875CC" w:rsidRPr="009668D3" w:rsidRDefault="00000000" w:rsidP="002D21BC">
      <w:pPr>
        <w:tabs>
          <w:tab w:val="right" w:pos="9026"/>
        </w:tabs>
        <w:spacing w:before="160" w:line="240" w:lineRule="auto"/>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 xml:space="preserve">  </m:t>
                </m:r>
                <m:r>
                  <w:rPr>
                    <w:rFonts w:ascii="Cambria Math" w:hAnsi="Cambria Math" w:cs="Times New Roman"/>
                    <w:sz w:val="20"/>
                    <w:szCs w:val="20"/>
                  </w:rPr>
                  <m:t>τ</m:t>
                </m:r>
                <m:r>
                  <w:rPr>
                    <w:rFonts w:ascii="Cambria Math" w:hAnsi="Cambria Math" w:cs="Times New Roman"/>
                    <w:sz w:val="20"/>
                    <w:szCs w:val="20"/>
                  </w:rPr>
                  <m:t xml:space="preserve"> </m:t>
                </m:r>
              </m:e>
            </m:d>
          </m:sub>
          <m:sup>
            <m:r>
              <w:rPr>
                <w:rFonts w:ascii="Cambria Math" w:hAnsi="Cambria Math" w:cs="Times New Roman"/>
                <w:sz w:val="20"/>
                <w:szCs w:val="20"/>
              </w:rPr>
              <m:t>*</m:t>
            </m:r>
          </m:sup>
        </m:sSubSup>
        <m:r>
          <w:rPr>
            <w:rFonts w:ascii="Cambria Math" w:hAnsi="Cambria Math" w:cs="Times New Roman"/>
            <w:sz w:val="20"/>
            <w:szCs w:val="20"/>
          </w:rPr>
          <m:t xml:space="preserve"> = </m:t>
        </m:r>
        <m:r>
          <w:rPr>
            <w:rFonts w:ascii="Cambria Math" w:hAnsi="Cambria Math" w:cs="Times New Roman"/>
            <w:sz w:val="20"/>
            <w:szCs w:val="20"/>
          </w:rPr>
          <m:t>min</m:t>
        </m:r>
        <m:r>
          <w:rPr>
            <w:rFonts w:ascii="Cambria Math" w:hAnsi="Cambria Math" w:cs="Times New Roman"/>
            <w:sz w:val="20"/>
            <w:szCs w:val="20"/>
          </w:rPr>
          <m:t>(</m:t>
        </m:r>
        <m:r>
          <w:rPr>
            <w:rFonts w:ascii="Cambria Math" w:hAnsi="Cambria Math" w:cs="Times New Roman"/>
            <w:sz w:val="20"/>
            <w:szCs w:val="20"/>
          </w:rPr>
          <m:t>u</m:t>
        </m:r>
        <m:r>
          <w:rPr>
            <w:rFonts w:ascii="Cambria Math" w:hAnsi="Cambria Math" w:cs="Times New Roman"/>
            <w:sz w:val="20"/>
            <w:szCs w:val="20"/>
          </w:rPr>
          <m:t>_</m:t>
        </m:r>
        <m:r>
          <w:rPr>
            <w:rFonts w:ascii="Cambria Math" w:hAnsi="Cambria Math" w:cs="Times New Roman"/>
            <w:sz w:val="20"/>
            <w:szCs w:val="20"/>
          </w:rPr>
          <m:t>P</m:t>
        </m:r>
        <m:r>
          <w:rPr>
            <w:rFonts w:ascii="Cambria Math" w:hAnsi="Cambria Math" w:cs="Times New Roman"/>
            <w:sz w:val="20"/>
            <w:szCs w:val="20"/>
          </w:rPr>
          <m:t>,</m:t>
        </m:r>
        <m:r>
          <w:rPr>
            <w:rFonts w:ascii="Cambria Math" w:hAnsi="Cambria Math" w:cs="Times New Roman"/>
            <w:sz w:val="20"/>
            <w:szCs w:val="20"/>
          </w:rPr>
          <m:t>max</m:t>
        </m:r>
        <m:r>
          <w:rPr>
            <w:rFonts w:ascii="Cambria Math" w:hAnsi="Cambria Math" w:cs="Times New Roman"/>
            <w:sz w:val="20"/>
            <w:szCs w:val="20"/>
          </w:rPr>
          <m:t xml:space="preserve">, </m:t>
        </m:r>
        <m:r>
          <w:rPr>
            <w:rFonts w:ascii="Cambria Math" w:hAnsi="Cambria Math" w:cs="Times New Roman"/>
            <w:sz w:val="20"/>
            <w:szCs w:val="20"/>
          </w:rPr>
          <m:t>max</m:t>
        </m:r>
        <m:r>
          <w:rPr>
            <w:rFonts w:ascii="Cambria Math" w:hAnsi="Cambria Math" w:cs="Times New Roman"/>
            <w:sz w:val="20"/>
            <w:szCs w:val="20"/>
          </w:rPr>
          <m:t>(0, -</m:t>
        </m:r>
        <m:r>
          <w:rPr>
            <w:rFonts w:ascii="Cambria Math" w:hAnsi="Cambria Math" w:cs="Times New Roman"/>
            <w:sz w:val="20"/>
            <w:szCs w:val="20"/>
          </w:rPr>
          <m:t>λ</m:t>
        </m:r>
        <m:r>
          <w:rPr>
            <w:rFonts w:ascii="Cambria Math" w:hAnsi="Cambria Math" w:cs="Times New Roman"/>
            <w:sz w:val="20"/>
            <w:szCs w:val="20"/>
          </w:rPr>
          <m:t>_</m:t>
        </m:r>
        <m:r>
          <w:rPr>
            <w:rFonts w:ascii="Cambria Math" w:hAnsi="Cambria Math" w:cs="Times New Roman"/>
            <w:sz w:val="20"/>
            <w:szCs w:val="20"/>
          </w:rPr>
          <m:t>F</m:t>
        </m:r>
        <m:r>
          <w:rPr>
            <w:rFonts w:ascii="Cambria Math" w:hAnsi="Cambria Math" w:cs="Times New Roman"/>
            <w:sz w:val="20"/>
            <w:szCs w:val="20"/>
          </w:rPr>
          <m:t>/</m:t>
        </m:r>
        <m:r>
          <w:rPr>
            <w:rFonts w:ascii="Cambria Math" w:hAnsi="Cambria Math" w:cs="Times New Roman"/>
            <w:sz w:val="20"/>
            <w:szCs w:val="20"/>
          </w:rPr>
          <m:t>c</m:t>
        </m:r>
        <m:r>
          <w:rPr>
            <w:rFonts w:ascii="Cambria Math" w:hAnsi="Cambria Math" w:cs="Times New Roman"/>
            <w:sz w:val="20"/>
            <w:szCs w:val="20"/>
          </w:rPr>
          <m:t>_</m:t>
        </m:r>
        <m:r>
          <w:rPr>
            <w:rFonts w:ascii="Cambria Math" w:hAnsi="Cambria Math" w:cs="Times New Roman"/>
            <w:sz w:val="20"/>
            <w:szCs w:val="20"/>
          </w:rPr>
          <m:t>P</m:t>
        </m:r>
        <m:r>
          <w:rPr>
            <w:rFonts w:ascii="Cambria Math" w:hAnsi="Cambria Math" w:cs="Times New Roman"/>
            <w:sz w:val="20"/>
            <w:szCs w:val="20"/>
          </w:rPr>
          <m:t>))</m:t>
        </m:r>
      </m:oMath>
      <w:r w:rsidR="000875CC" w:rsidRPr="009668D3">
        <w:rPr>
          <w:rFonts w:ascii="Times New Roman" w:hAnsi="Times New Roman" w:cs="Times New Roman"/>
          <w:sz w:val="20"/>
          <w:szCs w:val="20"/>
        </w:rPr>
        <w:tab/>
        <w:t>(22)</w:t>
      </w:r>
    </w:p>
    <w:p w14:paraId="3FE8F79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Sign interpretation: </w:t>
      </w:r>
      <w:r w:rsidRPr="009668D3">
        <w:rPr>
          <w:rFonts w:ascii="Times New Roman" w:hAnsi="Times New Roman" w:cs="Times New Roman"/>
          <w:sz w:val="20"/>
          <w:szCs w:val="20"/>
        </w:rPr>
        <w:t>Under minimisation, the parasitoid costate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represents the marginal cost of an additional parasitoid. Since more parasitoids reduce beetle damage (a benefit),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is typically negative (∂V/∂F &lt; 0). Therefore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is positive, making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active when augmentation is beneficial. </w:t>
      </w:r>
      <w:r w:rsidRPr="009668D3">
        <w:rPr>
          <w:rFonts w:ascii="Times New Roman" w:hAnsi="Times New Roman" w:cs="Times New Roman"/>
          <w:b/>
          <w:sz w:val="20"/>
          <w:szCs w:val="20"/>
        </w:rPr>
        <w:t xml:space="preserve">Note: </w:t>
      </w:r>
      <w:r w:rsidRPr="009668D3">
        <w:rPr>
          <w:rFonts w:ascii="Times New Roman" w:hAnsi="Times New Roman" w:cs="Times New Roman"/>
          <w:sz w:val="20"/>
          <w:szCs w:val="20"/>
        </w:rPr>
        <w:t xml:space="preserve">The previous version of this annex </w:t>
      </w:r>
      <w:r w:rsidRPr="009668D3">
        <w:rPr>
          <w:rFonts w:ascii="Times New Roman" w:hAnsi="Times New Roman" w:cs="Times New Roman"/>
          <w:sz w:val="20"/>
          <w:szCs w:val="20"/>
        </w:rPr>
        <w:lastRenderedPageBreak/>
        <w:t>contained an error in Equation (22), writing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instead of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Under the minimisation convention H = L + λᵀf, the correct expression is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which follows directly from ∂H/∂u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 0.</w:t>
      </w:r>
    </w:p>
    <w:p w14:paraId="676E8CC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Annual bird-habitat control.</w:t>
      </w:r>
    </w:p>
    <w:p w14:paraId="171CA2D7" w14:textId="1E37F812"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annual bird-enhancement control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(t) is determined by the discrete optimality condition at the annual scale, embedded within the multi-year recurrence. Since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enters the model through</w:t>
      </w:r>
      <w:r w:rsidR="0072628F" w:rsidRPr="009668D3">
        <w:rPr>
          <w:rFonts w:ascii="Times New Roman" w:hAnsi="Times New Roman" w:cs="Times New Roman"/>
          <w:sz w:val="20"/>
          <w:szCs w:val="20"/>
        </w:rPr>
        <w:t xml:space="preserve"> </w:t>
      </w:r>
      <w:r w:rsidRPr="009668D3">
        <w:rPr>
          <w:rFonts w:ascii="Times New Roman" w:hAnsi="Times New Roman" w:cs="Times New Roman"/>
          <w:sz w:val="20"/>
          <w:szCs w:val="20"/>
        </w:rPr>
        <w:t>Equation 7 and affects the within-season dynamics through the bird predation terms in Equations 1</w:t>
      </w:r>
      <w:r w:rsidR="0072628F" w:rsidRPr="009668D3">
        <w:rPr>
          <w:rFonts w:ascii="Times New Roman" w:hAnsi="Times New Roman" w:cs="Times New Roman"/>
          <w:sz w:val="20"/>
          <w:szCs w:val="20"/>
        </w:rPr>
        <w:t>-</w:t>
      </w:r>
      <w:r w:rsidRPr="009668D3">
        <w:rPr>
          <w:rFonts w:ascii="Times New Roman" w:hAnsi="Times New Roman" w:cs="Times New Roman"/>
          <w:sz w:val="20"/>
          <w:szCs w:val="20"/>
        </w:rPr>
        <w:t>2, its optimal value depends on the full annual cost-to-go and is updated at the annual (not within-season) timescale.</w:t>
      </w:r>
    </w:p>
    <w:p w14:paraId="409FCA1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Numerical solution: Forward–backward sweep method (FBSM).</w:t>
      </w:r>
    </w:p>
    <w:p w14:paraId="4D182F0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resulting two-point boundary value problem is solved numerically using the forward–backward sweep method (FBSM), which iterates until convergence:</w:t>
      </w:r>
    </w:p>
    <w:p w14:paraId="33D1814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 Forward integration of the state system (Equations 1–4) with current control estimates from τ = 0 to τ = T.</w:t>
      </w:r>
    </w:p>
    <w:p w14:paraId="075A4BA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 Backward integration of the adjoint system (dλ/dτ = −∂H/∂y) from τ = T to τ = 0 using the terminal transversality conditions.</w:t>
      </w:r>
    </w:p>
    <w:p w14:paraId="2E160A7C" w14:textId="306701FA"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(iii) Update of the controls via Equations (21</w:t>
      </w:r>
      <w:r w:rsidR="004D32BC" w:rsidRPr="009668D3">
        <w:rPr>
          <w:rFonts w:ascii="Times New Roman" w:hAnsi="Times New Roman" w:cs="Times New Roman"/>
          <w:sz w:val="20"/>
          <w:szCs w:val="20"/>
        </w:rPr>
        <w:t xml:space="preserve">- </w:t>
      </w:r>
      <w:r w:rsidRPr="009668D3">
        <w:rPr>
          <w:rFonts w:ascii="Times New Roman" w:hAnsi="Times New Roman" w:cs="Times New Roman"/>
          <w:sz w:val="20"/>
          <w:szCs w:val="20"/>
        </w:rPr>
        <w:t>(22), with convex combination damping: u</w:t>
      </w:r>
      <w:r w:rsidRPr="009668D3">
        <w:rPr>
          <w:rFonts w:ascii="Times New Roman" w:hAnsi="Times New Roman" w:cs="Times New Roman"/>
          <w:sz w:val="20"/>
          <w:szCs w:val="20"/>
          <w:vertAlign w:val="superscript"/>
        </w:rPr>
        <w:t>new</w:t>
      </w:r>
      <w:r w:rsidRPr="009668D3">
        <w:rPr>
          <w:rFonts w:ascii="Times New Roman" w:hAnsi="Times New Roman" w:cs="Times New Roman"/>
          <w:sz w:val="20"/>
          <w:szCs w:val="20"/>
        </w:rPr>
        <w:t xml:space="preserve"> = α u</w:t>
      </w:r>
      <w:r w:rsidRPr="009668D3">
        <w:rPr>
          <w:rFonts w:ascii="Times New Roman" w:hAnsi="Times New Roman" w:cs="Times New Roman"/>
          <w:sz w:val="20"/>
          <w:szCs w:val="20"/>
          <w:vertAlign w:val="superscript"/>
        </w:rPr>
        <w:t>update</w:t>
      </w:r>
      <w:r w:rsidRPr="009668D3">
        <w:rPr>
          <w:rFonts w:ascii="Times New Roman" w:hAnsi="Times New Roman" w:cs="Times New Roman"/>
          <w:sz w:val="20"/>
          <w:szCs w:val="20"/>
        </w:rPr>
        <w:t xml:space="preserve"> + (1 − α) u</w:t>
      </w:r>
      <w:r w:rsidRPr="009668D3">
        <w:rPr>
          <w:rFonts w:ascii="Times New Roman" w:hAnsi="Times New Roman" w:cs="Times New Roman"/>
          <w:sz w:val="20"/>
          <w:szCs w:val="20"/>
          <w:vertAlign w:val="superscript"/>
        </w:rPr>
        <w:t>old</w:t>
      </w:r>
      <w:r w:rsidRPr="009668D3">
        <w:rPr>
          <w:rFonts w:ascii="Times New Roman" w:hAnsi="Times New Roman" w:cs="Times New Roman"/>
          <w:sz w:val="20"/>
          <w:szCs w:val="20"/>
        </w:rPr>
        <w:t xml:space="preserve"> (with α = 0.5).</w:t>
      </w:r>
    </w:p>
    <w:p w14:paraId="1E9CFA5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(iv) Convergence check: repeat until max|Δu| &lt; ε (tolerance ε = 10⁻⁴).</w:t>
      </w:r>
    </w:p>
    <w:p w14:paraId="073C6D1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Convergence of the FBSM for systems of this structure is established by Hackbusch (1978) and applied in eco-epidemic contexts by Lenhart and Workman (2007, Chapter 11). The FBSM yields the optimal within-season profiles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(τ) and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(τ) for a single season. In the multi-year setting, the FBSM is applied sequentially within each year (receding-horizon / myopic strategy): the annual state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determines the initial conditions, the FBSM computes the optimal within-season controls, and the resulting terminal values determine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via the annual map. This sequential approach is distinct from solving the full N-year dynamic programming problem simultaneously, and the text reports results accordingly.</w:t>
      </w:r>
    </w:p>
    <w:p w14:paraId="4E3DFBAD" w14:textId="1976D203" w:rsidR="00D34DD3"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Step 9: </w:t>
      </w:r>
      <w:r w:rsidR="00CB57AB" w:rsidRPr="009668D3">
        <w:rPr>
          <w:rFonts w:ascii="Times New Roman" w:hAnsi="Times New Roman" w:cs="Times New Roman"/>
          <w:b/>
          <w:sz w:val="20"/>
          <w:szCs w:val="20"/>
        </w:rPr>
        <w:t>Strategy comparison under optimal control</w:t>
      </w:r>
    </w:p>
    <w:p w14:paraId="0A38A052" w14:textId="4C32A703"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w:t>
      </w:r>
    </w:p>
    <w:p w14:paraId="396B2FE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Steps 3–7 are repeated with the annual map G replaced by the controlled map G</w:t>
      </w:r>
      <w:r w:rsidRPr="009668D3">
        <w:rPr>
          <w:rFonts w:ascii="Times New Roman" w:hAnsi="Times New Roman" w:cs="Times New Roman"/>
          <w:sz w:val="20"/>
          <w:szCs w:val="20"/>
          <w:vertAlign w:val="superscript"/>
        </w:rPr>
        <w:t>u*</w:t>
      </w:r>
      <w:r w:rsidRPr="009668D3">
        <w:rPr>
          <w:rFonts w:ascii="Times New Roman" w:hAnsi="Times New Roman" w:cs="Times New Roman"/>
          <w:sz w:val="20"/>
          <w:szCs w:val="20"/>
        </w:rPr>
        <w:t>, where u* is the optimal policy obtained in Step 8. The controlled fixed point x*</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rPr>
        <w:t>, controlled Jacobian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rPr>
        <w:t>), and controlled tipping parameter p</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are computed. The stabilisation gain from optimal control is quantified by the shift:</w:t>
      </w:r>
    </w:p>
    <w:p w14:paraId="601A4B2C" w14:textId="77777777" w:rsidR="000875CC" w:rsidRPr="009668D3" w:rsidRDefault="000875CC" w:rsidP="002D21BC">
      <w:pPr>
        <w:spacing w:before="160" w:line="240" w:lineRule="auto"/>
        <w:jc w:val="both"/>
        <w:rPr>
          <w:rFonts w:ascii="Times New Roman" w:hAnsi="Times New Roman" w:cs="Times New Roman"/>
          <w:sz w:val="20"/>
          <w:szCs w:val="20"/>
        </w:rPr>
      </w:pPr>
      <w:r w:rsidRPr="009668D3">
        <w:rPr>
          <w:rFonts w:ascii="Times New Roman" w:hAnsi="Times New Roman" w:cs="Times New Roman"/>
          <w:sz w:val="20"/>
          <w:szCs w:val="20"/>
        </w:rPr>
        <w:t>Δpᴄ = pᴄᶜᵗʳˡ − pᴄ⁰</w:t>
      </w:r>
    </w:p>
    <w:p w14:paraId="6BC2BA0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p</w:t>
      </w:r>
      <w:r w:rsidRPr="009668D3">
        <w:rPr>
          <w:rFonts w:ascii="Times New Roman" w:hAnsi="Times New Roman" w:cs="Times New Roman"/>
          <w:sz w:val="20"/>
          <w:szCs w:val="20"/>
          <w:vertAlign w:val="superscript"/>
        </w:rPr>
        <w:t>0</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is the uncontrolled tipping boundary.</w:t>
      </w:r>
    </w:p>
    <w:p w14:paraId="2867F06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Control scenarios for hypothesis testing.</w:t>
      </w:r>
    </w:p>
    <w:p w14:paraId="367F0A2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A: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 (parasitoid augmentation only). Tests whether parasitoid attack alone is sufficient for system stability (H₁ₐ).</w:t>
      </w:r>
    </w:p>
    <w:p w14:paraId="42B5F08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B: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 (combined parasitoid and bird-habitat enhancement). Tests whether bird predation provides essential complementary resistance (H₁ᵇ).</w:t>
      </w:r>
    </w:p>
    <w:p w14:paraId="2ED99B47" w14:textId="6D26AD62" w:rsidR="00D34DD3"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C: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&gt; 0 (full integrated control). Benchmark for the maximum achievable stabilisation.</w:t>
      </w:r>
    </w:p>
    <w:p w14:paraId="294D120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Performance criteria.</w:t>
      </w:r>
    </w:p>
    <w:p w14:paraId="5EB0C3B6" w14:textId="566E6F9A" w:rsidR="00CB57AB"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sz w:val="20"/>
          <w:szCs w:val="20"/>
        </w:rPr>
        <w:t>Control performance is evaluated by four criteria applied to each scenario's long-run trajectory: (a) whether the equilibrium defoliation D* remains below D_crit = 0.5; (b) whether the equilibrium carrying capacity K* remains above K_min = 0.5 K₀; (c) the dominant eigenvalue magnitude ρ* at the controlled fixed point (resilience); and (d) the total multi-year cost J.</w:t>
      </w:r>
      <w:r w:rsidR="00CB57AB" w:rsidRPr="009668D3">
        <w:rPr>
          <w:rFonts w:ascii="Times New Roman" w:hAnsi="Times New Roman" w:cs="Times New Roman"/>
          <w:sz w:val="20"/>
          <w:szCs w:val="20"/>
        </w:rPr>
        <w:t xml:space="preserve"> </w:t>
      </w:r>
      <w:r w:rsidR="002F0864" w:rsidRPr="009668D3">
        <w:rPr>
          <w:rFonts w:ascii="Times New Roman" w:hAnsi="Times New Roman" w:cs="Times New Roman"/>
          <w:sz w:val="20"/>
          <w:szCs w:val="20"/>
        </w:rPr>
        <w:t>Additionally, the Van Meerbeek resistance (R1) and resilience (R2) indices are computed for each scenario at the controlled fixed point.</w:t>
      </w:r>
    </w:p>
    <w:p w14:paraId="4BAE54F8" w14:textId="6B2E9231" w:rsidR="00CB57AB" w:rsidRPr="009668D3" w:rsidRDefault="00CB57AB"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Strategy decision rule.</w:t>
      </w:r>
      <w:r w:rsidRPr="009668D3">
        <w:rPr>
          <w:rFonts w:ascii="Times New Roman" w:hAnsi="Times New Roman" w:cs="Times New Roman"/>
          <w:sz w:val="20"/>
          <w:szCs w:val="20"/>
        </w:rPr>
        <w:t xml:space="preserve"> Strategies are compared using a lexicographic decision rule: (i) feasibility</w:t>
      </w:r>
      <w:r w:rsidR="002F0864" w:rsidRPr="009668D3">
        <w:rPr>
          <w:rFonts w:ascii="Times New Roman" w:hAnsi="Times New Roman" w:cs="Times New Roman"/>
          <w:sz w:val="20"/>
          <w:szCs w:val="20"/>
        </w:rPr>
        <w:t>-</w:t>
      </w:r>
      <w:r w:rsidRPr="009668D3">
        <w:rPr>
          <w:rFonts w:ascii="Times New Roman" w:hAnsi="Times New Roman" w:cs="Times New Roman"/>
          <w:sz w:val="20"/>
          <w:szCs w:val="20"/>
        </w:rPr>
        <w:t xml:space="preserve">only strategies satisfying D* &lt; D_crit and K* &gt; K_min and maintaining parasitoid coexistence (F* &gt; 0) are considered; (ii) among feasible strategies, the one with minimum total cost J is selected as the minimal-effort strategy for each </w:t>
      </w:r>
      <w:r w:rsidRPr="009668D3">
        <w:rPr>
          <w:rFonts w:ascii="Times New Roman" w:hAnsi="Times New Roman" w:cs="Times New Roman"/>
          <w:sz w:val="20"/>
          <w:szCs w:val="20"/>
        </w:rPr>
        <w:lastRenderedPageBreak/>
        <w:t>phenological scenario. H1 is supported if the most probable equilibrium across parameter space is the desirable coexistence equilibrium. If it is not, the analysis reports which phenological scenarios prevent convergence to the desirable state.</w:t>
      </w:r>
    </w:p>
    <w:p w14:paraId="1DA6C3EF" w14:textId="4E8E7F16"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21B7795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Assess whether the qualitative stability conclusions and hypothesis decisions are robust to uncertainty in parameter values and model structure.</w:t>
      </w:r>
    </w:p>
    <w:p w14:paraId="16B716C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 1: Latin Hypercube Sampling with Partial Rank Correlation Coefficients (LHS–PRCC).</w:t>
      </w:r>
    </w:p>
    <w:p w14:paraId="08F1F37E" w14:textId="229FC301"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Framework</w:t>
      </w:r>
      <w:r w:rsidRPr="009668D3">
        <w:rPr>
          <w:rFonts w:ascii="Times New Roman" w:hAnsi="Times New Roman" w:cs="Times New Roman"/>
          <w:sz w:val="20"/>
          <w:szCs w:val="20"/>
        </w:rPr>
        <w:t xml:space="preserve"> (Marino et al., 2008; Saltelli et al., 2008): Because several parameters are anchored by cross-system proxies rather than direct field measurements for the </w:t>
      </w:r>
      <w:r w:rsidR="00066319" w:rsidRPr="009668D3">
        <w:rPr>
          <w:rFonts w:ascii="Times New Roman" w:hAnsi="Times New Roman" w:cs="Times New Roman"/>
          <w:sz w:val="20"/>
          <w:szCs w:val="20"/>
        </w:rPr>
        <w:t>Beetle</w:t>
      </w:r>
      <w:r w:rsidRPr="009668D3">
        <w:rPr>
          <w:rFonts w:ascii="Times New Roman" w:hAnsi="Times New Roman" w:cs="Times New Roman"/>
          <w:sz w:val="20"/>
          <w:szCs w:val="20"/>
        </w:rPr>
        <w:t>–M. mutabilis system (notably β, h, σ</w:t>
      </w:r>
      <w:r w:rsidRPr="009668D3">
        <w:rPr>
          <w:rFonts w:ascii="Times New Roman" w:hAnsi="Times New Roman" w:cs="Times New Roman"/>
          <w:sz w:val="20"/>
          <w:szCs w:val="20"/>
          <w:vertAlign w:val="subscript"/>
        </w:rPr>
        <w:t>A</w:t>
      </w:r>
      <w:r w:rsidRPr="009668D3">
        <w:rPr>
          <w:rFonts w:ascii="Times New Roman" w:hAnsi="Times New Roman" w:cs="Times New Roman"/>
          <w:sz w:val="20"/>
          <w:szCs w:val="20"/>
        </w:rPr>
        <w:t>, σ</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all stability and optimal control results are evaluated for robustness across the full plausible parameter ranges reported in the parameter tables (Sections 2.1.2–2.1.3 of the main text). Uncertain parameters are treated as intervals, and the analysis reports robust stability regions in parameter space—regions where the annual fixed point remains stable (all eigenvalues inside the unit circle) for all sampled parameter combinations.</w:t>
      </w:r>
    </w:p>
    <w:p w14:paraId="4516CD6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Sensitivity of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the tipping boundary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and the optimal cost J to each parameter is quantified using partial rank correlation coefficients (PRCC) computed from Latin Hypercube Sampling (LHS). LHS stratifies each parameter’s range into N equal-probability intervals and samples one value per interval with random permutation across parameters, ensuring uniform marginal coverage. PRCC then computes the correlation between each parameter and the output after removing the linear effects of all other parameters via rank regression, yielding a measure of monotonic sensitivity that is valid for nonlinear but monotonic input–output relationships.</w:t>
      </w:r>
    </w:p>
    <w:p w14:paraId="43FB1516" w14:textId="77777777" w:rsidR="00CB57AB" w:rsidRPr="009668D3" w:rsidRDefault="00CB57AB"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sz w:val="20"/>
          <w:szCs w:val="20"/>
        </w:rPr>
        <w:t>A qualitative stability conclusion (i.e., which equilibrium is most probable, the regime shift probability, and the minimal-effort strategy ranking) is considered robust if it does not change across the full plausible parameter space.</w:t>
      </w:r>
    </w:p>
    <w:p w14:paraId="3EACD4C6" w14:textId="4697AE00"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 2: Structural robustness via alternative functional forms.</w:t>
      </w:r>
    </w:p>
    <w:p w14:paraId="076B80B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addition to parametric sensitivity, structural robustness is assessed by comparing the baseline model against alternative functional form assumptions:</w:t>
      </w:r>
    </w:p>
    <w:p w14:paraId="42354BE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 Beverton–Holt versus Ricker recruitment in Equation (5): S(0) = R</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A/(1 + A/K) versus S(0) = A exp(r(1 − A/K)). This tests sensitivity to the form of density-dependent recruitment.</w:t>
      </w:r>
    </w:p>
    <w:p w14:paraId="11AD1CC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 Holling Type II versus linear functional response for bird predation: c</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S/(1 + a</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(S + I)) versus c</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 This tests sensitivity to the assumed saturation in bird foraging.</w:t>
      </w:r>
    </w:p>
    <w:p w14:paraId="3935EBEA" w14:textId="65E6F1B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(iii) S → I compartmental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versus direct parasitoid-induced mortality: the current model (parasitised larvae continue feeding until parasitoid emergence) versus a model where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directly removes larvae. This tests whether the explicit infected class is necessary for the qualitative conclusions.</w:t>
      </w:r>
    </w:p>
    <w:p w14:paraId="64A83FE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If the qualitative stability conclusions (i.e., which hypothesis is supported and which bifurcation type governs tipping) remain unchanged under both parametric and structural perturbations, they are considered to reflect genuine properties of the tri-trophic interaction architecture rather than artefacts of specific modelling choices.</w:t>
      </w:r>
    </w:p>
    <w:p w14:paraId="745940A5" w14:textId="77777777" w:rsidR="00AB4882" w:rsidRPr="009668D3" w:rsidRDefault="00AB4882" w:rsidP="002D21BC">
      <w:pPr>
        <w:spacing w:after="120" w:line="240" w:lineRule="auto"/>
        <w:jc w:val="both"/>
        <w:rPr>
          <w:rFonts w:ascii="Times New Roman" w:hAnsi="Times New Roman" w:cs="Times New Roman"/>
          <w:sz w:val="20"/>
          <w:szCs w:val="20"/>
        </w:rPr>
      </w:pPr>
    </w:p>
    <w:p w14:paraId="27CDB9CC" w14:textId="25E71405" w:rsidR="000875CC" w:rsidRPr="009668D3" w:rsidRDefault="000875CC"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Model Adequacy and Data-Lean Design</w:t>
      </w:r>
    </w:p>
    <w:p w14:paraId="1A5D89E0" w14:textId="4513DA50"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lack of long-term, site-specific time series for </w:t>
      </w:r>
      <w:r w:rsidR="00066319" w:rsidRPr="009668D3">
        <w:rPr>
          <w:rFonts w:ascii="Times New Roman" w:hAnsi="Times New Roman" w:cs="Times New Roman"/>
          <w:sz w:val="20"/>
          <w:szCs w:val="20"/>
        </w:rPr>
        <w:t>Beetle</w:t>
      </w:r>
      <w:r w:rsidRPr="009668D3">
        <w:rPr>
          <w:rFonts w:ascii="Times New Roman" w:hAnsi="Times New Roman" w:cs="Times New Roman"/>
          <w:sz w:val="20"/>
          <w:szCs w:val="20"/>
        </w:rPr>
        <w:t xml:space="preserve"> outbreak density, M. mutabilis </w:t>
      </w:r>
      <w:r w:rsidR="004F245F">
        <w:rPr>
          <w:rFonts w:ascii="Times New Roman" w:hAnsi="Times New Roman" w:cs="Times New Roman"/>
          <w:sz w:val="20"/>
          <w:szCs w:val="20"/>
        </w:rPr>
        <w:t>parasitoidism</w:t>
      </w:r>
      <w:r w:rsidRPr="009668D3">
        <w:rPr>
          <w:rFonts w:ascii="Times New Roman" w:hAnsi="Times New Roman" w:cs="Times New Roman"/>
          <w:sz w:val="20"/>
          <w:szCs w:val="20"/>
        </w:rPr>
        <w:t xml:space="preserve"> prevalence, and passerine kill rates on this beetle does not constrain the class of results targeted by this study. The primary contribution of the model is to map the structural stability landscape by identifying parameter combinations and control allocations that yield a stable low-damage equilibrium, those that result in tipping, and the response of the parasitoid invasion threshold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to intraguild predation and control effort.</w:t>
      </w:r>
    </w:p>
    <w:p w14:paraId="6B1CBF86" w14:textId="11D1F147" w:rsidR="000E55BD" w:rsidRPr="001E6700" w:rsidRDefault="000875CC" w:rsidP="000649FA">
      <w:pPr>
        <w:spacing w:after="120" w:line="240" w:lineRule="auto"/>
        <w:jc w:val="both"/>
        <w:rPr>
          <w:rFonts w:ascii="Times New Roman" w:eastAsia="Times New Roman" w:hAnsi="Times New Roman" w:cs="Times New Roman"/>
          <w:sz w:val="20"/>
          <w:szCs w:val="20"/>
        </w:rPr>
      </w:pPr>
      <w:r w:rsidRPr="001E6700">
        <w:rPr>
          <w:rFonts w:ascii="Times New Roman" w:eastAsia="Times New Roman" w:hAnsi="Times New Roman" w:cs="Times New Roman"/>
          <w:sz w:val="20"/>
          <w:szCs w:val="20"/>
        </w:rPr>
        <w:t>The focus is on structural stability properties (fixed-point existence, eigenvalue conditions, bifurcation type), which depend on the architecture of the annual map and the qualitative form of the functional responses, rather than on precise numerical parameter values. This approach aligns with standard practice in theoretical eco-epidemic modelling (Chattopadhyay and Arino, 1999; Hethcote et al., 2004), where the mathematical framework is constructed to be valid across the plausible parameter space.</w:t>
      </w:r>
      <w:r w:rsidR="000E55BD" w:rsidRPr="001E6700">
        <w:rPr>
          <w:rFonts w:ascii="Times New Roman" w:hAnsi="Times New Roman" w:cs="Times New Roman"/>
          <w:b/>
          <w:sz w:val="20"/>
          <w:szCs w:val="20"/>
        </w:rPr>
        <w:t xml:space="preserve"> </w:t>
      </w:r>
      <w:r w:rsidR="000E55BD" w:rsidRPr="001E6700">
        <w:rPr>
          <w:rFonts w:ascii="Times New Roman" w:hAnsi="Times New Roman" w:cs="Times New Roman"/>
          <w:sz w:val="20"/>
          <w:szCs w:val="20"/>
        </w:rPr>
        <w:t xml:space="preserve">The baseline recruitment model in Equation 5 adopts the Beverton–Holt (compensatory) form because the behavioural ecology of Agelastica alni at stand scale is consistent with contest-limited, not scramble-limited, density dependence. A. alni females distribute 200–400 eggs across multiple oviposition sites in clusters of 60–70 (Sivrikaya et al., 2020); larval clustering is loose rather than obligate, with alarm-pheromone-mediated dispersal from crowded patches (Grégoire, 1988; Bünnige &amp; </w:t>
      </w:r>
      <w:r w:rsidR="000E55BD" w:rsidRPr="001E6700">
        <w:rPr>
          <w:rFonts w:ascii="Times New Roman" w:hAnsi="Times New Roman" w:cs="Times New Roman"/>
          <w:sz w:val="20"/>
          <w:szCs w:val="20"/>
        </w:rPr>
        <w:lastRenderedPageBreak/>
        <w:t>Hilker, 1999); and induced phytochemical resistance in defoliated trees redistributes herbivory to undamaged neighbours (Dolch &amp; Tscharntke, 2000), generating stand-scale contest rather than leaf-scale scramble competition. Density-dependent emigration in related chrysomelids (Herzig, 1995; Chapman et al., 2007) supports this interpretation more broadly, and empirical outbreak records for A. alni show multi-year episodes rather than the biennial cycles characteristic of overcompensatory Ricker dynamics. The Beverton–Holt form also serves a methodological purpose: it isolates instability arising from the tri-trophic interaction from any instability intrinsic to the recruitment function, so that the structural robustness analysis below can attribute observed regime-shift probability to the architecture of the annual map rather than to recruitment overshoot.</w:t>
      </w:r>
      <w:r w:rsidR="000649FA" w:rsidRPr="001E6700">
        <w:rPr>
          <w:rFonts w:ascii="Times New Roman" w:hAnsi="Times New Roman" w:cs="Times New Roman"/>
          <w:sz w:val="20"/>
          <w:szCs w:val="20"/>
        </w:rPr>
        <w:t xml:space="preserve"> </w:t>
      </w:r>
      <w:r w:rsidR="000E55BD" w:rsidRPr="001E6700">
        <w:rPr>
          <w:rFonts w:ascii="Times New Roman" w:hAnsi="Times New Roman" w:cs="Times New Roman"/>
          <w:sz w:val="20"/>
          <w:szCs w:val="20"/>
        </w:rPr>
        <w:t>To evaluate whether the choice of Beverton–Holt recruitment drives the main conclusions of Objectives 1–3, we replaced Equation 5 with the Ricker alternative S(0) = A_t · exp(r(1 − A_t / K_t)), with r = ln(R_B) so that the low-density slope ∂S(0)/∂A_t at A_t = 0 equals R_B under both forms and the two recruitment models differ only in the overcompensation regime. All other model components (within-season ODEs, annual map, optimal-control formulation) and parameter ranges (Annex 1, Table S1) were held fixed, and the full Latin Hypercube sweep (N = 300 samples, 60-year annual-map iteration) was rerun under both recruitment forms. Reporting mirrors Sections 3.1–3.3: equilibrium-class frequency (O1), joint regime-shift probability with 95 % bootstrap confidence intervals (O2), and control-strategy feasibility and minimum-cost ranking (O3). Supplementary Table S2 provides the full per-scenario breakdown under both recruitment forms</w:t>
      </w:r>
      <w:r w:rsidR="000649FA" w:rsidRPr="001E6700">
        <w:rPr>
          <w:rFonts w:ascii="Times New Roman" w:hAnsi="Times New Roman" w:cs="Times New Roman"/>
          <w:sz w:val="20"/>
          <w:szCs w:val="20"/>
        </w:rPr>
        <w:t xml:space="preserve">. </w:t>
      </w:r>
      <w:r w:rsidR="000E55BD" w:rsidRPr="001E6700">
        <w:rPr>
          <w:rFonts w:ascii="Times New Roman" w:hAnsi="Times New Roman" w:cs="Times New Roman"/>
          <w:sz w:val="20"/>
          <w:szCs w:val="20"/>
        </w:rPr>
        <w:t>The three headline conclusions are preserved. The most probable stable equilibrium is canopy-only under both forms (80.7 % of samples under Beverton–Holt; 81.0 % under Ricker). The joint regime-shift probability is 97.0 % under Beverton–Holt (95 % CI 95.0–98.7 %) and 100.0 % under Ricker (95 % CI 100.0–100.0 %), so the central finding that coexistence is fragile under simultaneous phenological variation is reinforced, not contradicted, by the overcompensatory alternative. The minimum-cost feasible management strategy identified by the lexicographic decision rule is Strategy B (parasitoid augmentation combined with bird-habitat enhancement) under both forms, with a total cost of J = 81.5 under Beverton–Holt and J = 71.1 under Ricker. The top three parametric drivers of instability identified by partial rank correlation with the dominant-eigenvalue magnitude ρ* are susceptible larval mortality μ_S, beetle reproduction ratio R_B, and season length T under both recruitment forms (|PRCC| &gt; 0.25 throughout; Supplementary Table S2). The ranking of early-warning-signal candidates in Table 1 is therefore preserved. We note that R_B retains the second-place ranking in the |PRCC| ordering under the Ricker alternative (|PRCC| = 0.45) rather than advancing to a dominant driver, which supports the interpretation that the Beverton–Holt baseline does not mask an overcompensation-driven instability channel. Because every qualitative outcome reported in Sections 3.1–3.3 is preserved under the overcompensatory alternative, the main findings are properties of the tri-trophic interaction architecture rather than artefacts of the recruitment form.</w:t>
      </w:r>
    </w:p>
    <w:p w14:paraId="48EC61C7" w14:textId="77777777" w:rsidR="000E55BD" w:rsidRPr="001E6700" w:rsidRDefault="000E55BD" w:rsidP="000E55BD">
      <w:pPr>
        <w:rPr>
          <w:rFonts w:ascii="Times New Roman" w:hAnsi="Times New Roman" w:cs="Times New Roman"/>
          <w:sz w:val="20"/>
          <w:szCs w:val="20"/>
        </w:rPr>
      </w:pPr>
    </w:p>
    <w:p w14:paraId="2F6FF0ED" w14:textId="77777777" w:rsidR="000E55BD" w:rsidRPr="001E6700" w:rsidRDefault="000E55BD" w:rsidP="000E55BD">
      <w:pPr>
        <w:rPr>
          <w:rFonts w:ascii="Times New Roman" w:hAnsi="Times New Roman" w:cs="Times New Roman"/>
          <w:sz w:val="20"/>
          <w:szCs w:val="20"/>
        </w:rPr>
      </w:pPr>
      <w:r w:rsidRPr="001E6700">
        <w:rPr>
          <w:rFonts w:ascii="Times New Roman" w:hAnsi="Times New Roman" w:cs="Times New Roman"/>
          <w:b/>
          <w:sz w:val="20"/>
          <w:szCs w:val="20"/>
        </w:rPr>
        <w:t xml:space="preserve">Table 2. </w:t>
      </w:r>
      <w:r w:rsidRPr="001E6700">
        <w:rPr>
          <w:rFonts w:ascii="Times New Roman" w:hAnsi="Times New Roman" w:cs="Times New Roman"/>
          <w:sz w:val="20"/>
          <w:szCs w:val="20"/>
        </w:rPr>
        <w:t>Structural robustness of the Objective 1–3 conclusions under the Ricker alternative (Equation 5). Values are computed from the full Latin Hypercube sweep (N = 300) with identical parameter ranges under both recruitment forms; brackets denote 95 % bootstrap confidence intervals.</w:t>
      </w:r>
    </w:p>
    <w:tbl>
      <w:tblPr>
        <w:tblStyle w:val="LightGrid-Accent1"/>
        <w:tblW w:w="0" w:type="auto"/>
        <w:tblLook w:val="04A0" w:firstRow="1" w:lastRow="0" w:firstColumn="1" w:lastColumn="0" w:noHBand="0" w:noVBand="1"/>
      </w:tblPr>
      <w:tblGrid>
        <w:gridCol w:w="3559"/>
        <w:gridCol w:w="2721"/>
        <w:gridCol w:w="2726"/>
      </w:tblGrid>
      <w:tr w:rsidR="00800C27" w:rsidRPr="001E6700" w14:paraId="661959A4" w14:textId="77777777" w:rsidTr="00064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7A8192"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Conclusion</w:t>
            </w:r>
          </w:p>
        </w:tc>
        <w:tc>
          <w:tcPr>
            <w:tcW w:w="0" w:type="auto"/>
          </w:tcPr>
          <w:p w14:paraId="1AC9B733" w14:textId="77777777" w:rsidR="000649FA" w:rsidRPr="001E6700" w:rsidRDefault="000649FA" w:rsidP="007E4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Baseline (Beverton–Holt)</w:t>
            </w:r>
          </w:p>
        </w:tc>
        <w:tc>
          <w:tcPr>
            <w:tcW w:w="0" w:type="auto"/>
          </w:tcPr>
          <w:p w14:paraId="4785EE6D" w14:textId="77777777" w:rsidR="000649FA" w:rsidRPr="001E6700" w:rsidRDefault="000649FA" w:rsidP="007E4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Alternative (Ricker)</w:t>
            </w:r>
          </w:p>
        </w:tc>
      </w:tr>
      <w:tr w:rsidR="00800C27" w:rsidRPr="001E6700" w14:paraId="611EB0A4" w14:textId="77777777" w:rsidTr="00064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90CCE7"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Most probable stable equilibrium (O1)</w:t>
            </w:r>
          </w:p>
        </w:tc>
        <w:tc>
          <w:tcPr>
            <w:tcW w:w="0" w:type="auto"/>
          </w:tcPr>
          <w:p w14:paraId="4F11C270"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Canopy-only (80.7 %)</w:t>
            </w:r>
          </w:p>
        </w:tc>
        <w:tc>
          <w:tcPr>
            <w:tcW w:w="0" w:type="auto"/>
          </w:tcPr>
          <w:p w14:paraId="775D1ABA"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Canopy-only (81.0 %)</w:t>
            </w:r>
          </w:p>
        </w:tc>
      </w:tr>
      <w:tr w:rsidR="00800C27" w:rsidRPr="001E6700" w14:paraId="387BE708" w14:textId="77777777" w:rsidTr="000649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6B7D1C"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Joint regime-shift probability (O2)</w:t>
            </w:r>
          </w:p>
        </w:tc>
        <w:tc>
          <w:tcPr>
            <w:tcW w:w="0" w:type="auto"/>
          </w:tcPr>
          <w:p w14:paraId="43AB8CD7"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97.0 % [95.0–98.7 %]</w:t>
            </w:r>
          </w:p>
        </w:tc>
        <w:tc>
          <w:tcPr>
            <w:tcW w:w="0" w:type="auto"/>
          </w:tcPr>
          <w:p w14:paraId="2746DCB6"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100.0 % [100.0–100.0 %]</w:t>
            </w:r>
          </w:p>
        </w:tc>
      </w:tr>
      <w:tr w:rsidR="00800C27" w:rsidRPr="001E6700" w14:paraId="411A0405" w14:textId="77777777" w:rsidTr="00064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5AE2B2"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Only minimum-cost feasible strategy (O3)</w:t>
            </w:r>
          </w:p>
        </w:tc>
        <w:tc>
          <w:tcPr>
            <w:tcW w:w="0" w:type="auto"/>
          </w:tcPr>
          <w:p w14:paraId="2DB77067"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Strategy B; J = 81.5, ρ* = 0.624</w:t>
            </w:r>
          </w:p>
        </w:tc>
        <w:tc>
          <w:tcPr>
            <w:tcW w:w="0" w:type="auto"/>
          </w:tcPr>
          <w:p w14:paraId="715FD98F"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Strategy B; J = 71.1, ρ* = 0.621</w:t>
            </w:r>
          </w:p>
        </w:tc>
      </w:tr>
      <w:tr w:rsidR="00800C27" w:rsidRPr="001E6700" w14:paraId="393A8641" w14:textId="77777777" w:rsidTr="000649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903FE"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Top-3 PRCC drivers of ρ* (ranked by |PRCC|)</w:t>
            </w:r>
          </w:p>
        </w:tc>
        <w:tc>
          <w:tcPr>
            <w:tcW w:w="0" w:type="auto"/>
          </w:tcPr>
          <w:p w14:paraId="40BAE863"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μ_S (−0.92), R_B (+0.64), T (−0.59)</w:t>
            </w:r>
          </w:p>
        </w:tc>
        <w:tc>
          <w:tcPr>
            <w:tcW w:w="0" w:type="auto"/>
          </w:tcPr>
          <w:p w14:paraId="5D71F1E2"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μ_S (−0.83), R_B (+0.45), T (−0.42)</w:t>
            </w:r>
          </w:p>
        </w:tc>
      </w:tr>
    </w:tbl>
    <w:p w14:paraId="153D42C2" w14:textId="77777777" w:rsidR="000E55BD" w:rsidRPr="009668D3" w:rsidRDefault="000E55BD" w:rsidP="009668D3">
      <w:pPr>
        <w:rPr>
          <w:rFonts w:ascii="Times New Roman" w:hAnsi="Times New Roman" w:cs="Times New Roman"/>
          <w:sz w:val="20"/>
          <w:szCs w:val="20"/>
        </w:rPr>
      </w:pPr>
    </w:p>
    <w:p w14:paraId="0A30818A" w14:textId="77777777" w:rsidR="000E55BD" w:rsidRPr="009668D3" w:rsidRDefault="000E55BD" w:rsidP="009668D3">
      <w:pPr>
        <w:spacing w:after="120" w:line="240" w:lineRule="auto"/>
        <w:jc w:val="both"/>
        <w:rPr>
          <w:rFonts w:ascii="Times New Roman" w:hAnsi="Times New Roman" w:cs="Times New Roman"/>
          <w:sz w:val="20"/>
          <w:szCs w:val="20"/>
        </w:rPr>
      </w:pPr>
    </w:p>
    <w:p w14:paraId="38E35C6F" w14:textId="77777777" w:rsidR="000875CC" w:rsidRPr="009668D3" w:rsidRDefault="000875CC" w:rsidP="002D21BC">
      <w:pPr>
        <w:spacing w:before="360" w:after="240" w:line="240" w:lineRule="auto"/>
        <w:jc w:val="both"/>
        <w:rPr>
          <w:rFonts w:ascii="Times New Roman" w:hAnsi="Times New Roman" w:cs="Times New Roman"/>
          <w:sz w:val="20"/>
          <w:szCs w:val="20"/>
        </w:rPr>
      </w:pPr>
      <w:r w:rsidRPr="009668D3">
        <w:rPr>
          <w:rFonts w:ascii="Times New Roman" w:hAnsi="Times New Roman" w:cs="Times New Roman"/>
          <w:b/>
          <w:sz w:val="20"/>
          <w:szCs w:val="20"/>
        </w:rPr>
        <w:t>References Cited in This Annex</w:t>
      </w:r>
    </w:p>
    <w:p w14:paraId="055DEAC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Allgower, E. L. and Georg, K. (2003).</w:t>
      </w:r>
      <w:r w:rsidRPr="009668D3">
        <w:rPr>
          <w:rFonts w:ascii="Times New Roman" w:hAnsi="Times New Roman" w:cs="Times New Roman"/>
          <w:sz w:val="20"/>
          <w:szCs w:val="20"/>
        </w:rPr>
        <w:t xml:space="preserve"> Introduction to Numerical Continuation Methods. SIAM Classics in Applied Mathematics, Vol. 45.</w:t>
      </w:r>
    </w:p>
    <w:p w14:paraId="7F05006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Beverton, R. J. H. and Holt, S. J. (1957).</w:t>
      </w:r>
      <w:r w:rsidRPr="009668D3">
        <w:rPr>
          <w:rFonts w:ascii="Times New Roman" w:hAnsi="Times New Roman" w:cs="Times New Roman"/>
          <w:sz w:val="20"/>
          <w:szCs w:val="20"/>
        </w:rPr>
        <w:t xml:space="preserve"> On the Dynamics of Exploited Fish Populations. Chapman and Hall, London.</w:t>
      </w:r>
    </w:p>
    <w:p w14:paraId="7DED520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Blanchini, F. (1999).</w:t>
      </w:r>
      <w:r w:rsidRPr="009668D3">
        <w:rPr>
          <w:rFonts w:ascii="Times New Roman" w:hAnsi="Times New Roman" w:cs="Times New Roman"/>
          <w:sz w:val="20"/>
          <w:szCs w:val="20"/>
        </w:rPr>
        <w:t xml:space="preserve"> Set invariance in control. Automatica, 35(11), 1747–1767.</w:t>
      </w:r>
    </w:p>
    <w:p w14:paraId="14708B8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lastRenderedPageBreak/>
        <w:t>Chattopadhyay, J. and Arino, O. (1999).</w:t>
      </w:r>
      <w:r w:rsidRPr="009668D3">
        <w:rPr>
          <w:rFonts w:ascii="Times New Roman" w:hAnsi="Times New Roman" w:cs="Times New Roman"/>
          <w:sz w:val="20"/>
          <w:szCs w:val="20"/>
        </w:rPr>
        <w:t xml:space="preserve"> A predator–prey model with disease in the prey. Nonlinear Analysis, 36, 747–766.</w:t>
      </w:r>
    </w:p>
    <w:p w14:paraId="3CA530F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Coddington, E. A. and Levinson, N. (1955).</w:t>
      </w:r>
      <w:r w:rsidRPr="009668D3">
        <w:rPr>
          <w:rFonts w:ascii="Times New Roman" w:hAnsi="Times New Roman" w:cs="Times New Roman"/>
          <w:sz w:val="20"/>
          <w:szCs w:val="20"/>
        </w:rPr>
        <w:t xml:space="preserve"> Theory of Ordinary Differential Equations. McGraw-Hill, New York.</w:t>
      </w:r>
    </w:p>
    <w:p w14:paraId="2854C17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Elaydi, S. (2005).</w:t>
      </w:r>
      <w:r w:rsidRPr="009668D3">
        <w:rPr>
          <w:rFonts w:ascii="Times New Roman" w:hAnsi="Times New Roman" w:cs="Times New Roman"/>
          <w:sz w:val="20"/>
          <w:szCs w:val="20"/>
        </w:rPr>
        <w:t xml:space="preserve"> An Introduction to Difference Equations. 3rd edition. Springer, New York.</w:t>
      </w:r>
    </w:p>
    <w:p w14:paraId="568F83A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Fleming, W. H. and Rishel, R. W. (1975).</w:t>
      </w:r>
      <w:r w:rsidRPr="009668D3">
        <w:rPr>
          <w:rFonts w:ascii="Times New Roman" w:hAnsi="Times New Roman" w:cs="Times New Roman"/>
          <w:sz w:val="20"/>
          <w:szCs w:val="20"/>
        </w:rPr>
        <w:t xml:space="preserve"> Deterministic and Stochastic Optimal Control. Springer, New York.</w:t>
      </w:r>
    </w:p>
    <w:p w14:paraId="5ABA235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Hackbusch, W. (1978).</w:t>
      </w:r>
      <w:r w:rsidRPr="009668D3">
        <w:rPr>
          <w:rFonts w:ascii="Times New Roman" w:hAnsi="Times New Roman" w:cs="Times New Roman"/>
          <w:sz w:val="20"/>
          <w:szCs w:val="20"/>
        </w:rPr>
        <w:t xml:space="preserve"> A numerical method for solving parabolic equations with opposite orientations. Computing, 20, 229–240.</w:t>
      </w:r>
    </w:p>
    <w:p w14:paraId="31EB7922"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Hartman, P. (1964).</w:t>
      </w:r>
      <w:r w:rsidRPr="009668D3">
        <w:rPr>
          <w:rFonts w:ascii="Times New Roman" w:hAnsi="Times New Roman" w:cs="Times New Roman"/>
          <w:sz w:val="20"/>
          <w:szCs w:val="20"/>
        </w:rPr>
        <w:t xml:space="preserve"> Ordinary Differential Equations. John Wiley &amp; Sons, New York.</w:t>
      </w:r>
    </w:p>
    <w:p w14:paraId="3192D8B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Hethcote, H. W., Wang, W., Han, L. and Ma, Z. (2004).</w:t>
      </w:r>
      <w:r w:rsidRPr="009668D3">
        <w:rPr>
          <w:rFonts w:ascii="Times New Roman" w:hAnsi="Times New Roman" w:cs="Times New Roman"/>
          <w:sz w:val="20"/>
          <w:szCs w:val="20"/>
        </w:rPr>
        <w:t xml:space="preserve"> A predator–prey model with infected prey. Theoretical Population Biology, 66, 259–268.</w:t>
      </w:r>
    </w:p>
    <w:p w14:paraId="69914D6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Khalil, H. K. (2002).</w:t>
      </w:r>
      <w:r w:rsidRPr="009668D3">
        <w:rPr>
          <w:rFonts w:ascii="Times New Roman" w:hAnsi="Times New Roman" w:cs="Times New Roman"/>
          <w:sz w:val="20"/>
          <w:szCs w:val="20"/>
        </w:rPr>
        <w:t xml:space="preserve"> Nonlinear Systems. 3rd edition. Prentice Hall, Upper Saddle River, NJ.</w:t>
      </w:r>
    </w:p>
    <w:p w14:paraId="06546A7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Kot, M. (2001).</w:t>
      </w:r>
      <w:r w:rsidRPr="009668D3">
        <w:rPr>
          <w:rFonts w:ascii="Times New Roman" w:hAnsi="Times New Roman" w:cs="Times New Roman"/>
          <w:sz w:val="20"/>
          <w:szCs w:val="20"/>
        </w:rPr>
        <w:t xml:space="preserve"> Elements of Mathematical Ecology. Cambridge University Press.</w:t>
      </w:r>
    </w:p>
    <w:p w14:paraId="6F84906C" w14:textId="3E21DC7A"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Kuznetsov, Y. A. (2004</w:t>
      </w:r>
      <w:r w:rsidRPr="001E6700">
        <w:rPr>
          <w:rFonts w:ascii="Times New Roman" w:eastAsia="Times New Roman" w:hAnsi="Times New Roman" w:cs="Times New Roman"/>
          <w:i/>
          <w:iCs/>
          <w:sz w:val="20"/>
          <w:szCs w:val="20"/>
        </w:rPr>
        <w:t>)</w:t>
      </w:r>
      <w:r w:rsidR="00E10BC7" w:rsidRPr="001E6700">
        <w:rPr>
          <w:rFonts w:ascii="Times New Roman" w:eastAsia="Times New Roman" w:hAnsi="Times New Roman" w:cs="Times New Roman"/>
          <w:i/>
          <w:iCs/>
          <w:sz w:val="20"/>
          <w:szCs w:val="20"/>
        </w:rPr>
        <w:t>s</w:t>
      </w:r>
      <w:r w:rsidRPr="001E6700">
        <w:rPr>
          <w:rFonts w:ascii="Times New Roman" w:eastAsia="Times New Roman" w:hAnsi="Times New Roman" w:cs="Times New Roman"/>
          <w:i/>
          <w:iCs/>
          <w:sz w:val="20"/>
          <w:szCs w:val="20"/>
        </w:rPr>
        <w:t>.</w:t>
      </w:r>
      <w:r w:rsidRPr="009668D3">
        <w:rPr>
          <w:rFonts w:ascii="Times New Roman" w:hAnsi="Times New Roman" w:cs="Times New Roman"/>
          <w:sz w:val="20"/>
          <w:szCs w:val="20"/>
        </w:rPr>
        <w:t xml:space="preserve"> Elements of Applied Bifurcation Theory. 3rd edition. Springer, New York.</w:t>
      </w:r>
    </w:p>
    <w:p w14:paraId="4BA5667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Lenhart, S. and Workman, J. T. (2007).</w:t>
      </w:r>
      <w:r w:rsidRPr="009668D3">
        <w:rPr>
          <w:rFonts w:ascii="Times New Roman" w:hAnsi="Times New Roman" w:cs="Times New Roman"/>
          <w:sz w:val="20"/>
          <w:szCs w:val="20"/>
        </w:rPr>
        <w:t xml:space="preserve"> Optimal Control Applied to Biological Models. Chapman and Hall/CRC, Boca Raton.</w:t>
      </w:r>
    </w:p>
    <w:p w14:paraId="23598894" w14:textId="77777777" w:rsidR="000875CC" w:rsidRPr="009668D3" w:rsidRDefault="000875CC" w:rsidP="002D21BC">
      <w:pPr>
        <w:spacing w:after="120" w:line="240" w:lineRule="auto"/>
        <w:jc w:val="both"/>
        <w:rPr>
          <w:rFonts w:ascii="Times New Roman" w:hAnsi="Times New Roman" w:cs="Times New Roman"/>
          <w:sz w:val="20"/>
          <w:szCs w:val="20"/>
          <w:lang w:val="de-DE"/>
        </w:rPr>
      </w:pPr>
      <w:r w:rsidRPr="009668D3">
        <w:rPr>
          <w:rFonts w:ascii="Times New Roman" w:hAnsi="Times New Roman" w:cs="Times New Roman"/>
          <w:i/>
          <w:sz w:val="20"/>
          <w:szCs w:val="20"/>
        </w:rPr>
        <w:t>Marino, S., Hogue, I. B., Ray, C. J. and Kirschner, D. E. (2008).</w:t>
      </w:r>
      <w:r w:rsidRPr="009668D3">
        <w:rPr>
          <w:rFonts w:ascii="Times New Roman" w:hAnsi="Times New Roman" w:cs="Times New Roman"/>
          <w:sz w:val="20"/>
          <w:szCs w:val="20"/>
        </w:rPr>
        <w:t xml:space="preserve"> A methodology for performing global uncertainty and sensitivity analysis in systems biology. </w:t>
      </w:r>
      <w:r w:rsidRPr="009668D3">
        <w:rPr>
          <w:rFonts w:ascii="Times New Roman" w:hAnsi="Times New Roman" w:cs="Times New Roman"/>
          <w:sz w:val="20"/>
          <w:szCs w:val="20"/>
          <w:lang w:val="de-DE"/>
        </w:rPr>
        <w:t>Journal of Theoretical Biology, 254, 178–196.</w:t>
      </w:r>
    </w:p>
    <w:p w14:paraId="3CD94DF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lang w:val="de-DE"/>
        </w:rPr>
        <w:t>Nagumo, M. (1942).</w:t>
      </w:r>
      <w:r w:rsidRPr="009668D3">
        <w:rPr>
          <w:rFonts w:ascii="Times New Roman" w:hAnsi="Times New Roman" w:cs="Times New Roman"/>
          <w:sz w:val="20"/>
          <w:szCs w:val="20"/>
          <w:lang w:val="de-DE"/>
        </w:rPr>
        <w:t xml:space="preserve"> Über die Lage der Integralkurven gewöhnlicher Differentialgleichungen. </w:t>
      </w:r>
      <w:r w:rsidRPr="009668D3">
        <w:rPr>
          <w:rFonts w:ascii="Times New Roman" w:hAnsi="Times New Roman" w:cs="Times New Roman"/>
          <w:sz w:val="20"/>
          <w:szCs w:val="20"/>
        </w:rPr>
        <w:t>Proceedings of the Physico-Mathematical Society of Japan, 24, 551–559.</w:t>
      </w:r>
    </w:p>
    <w:p w14:paraId="7790B90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Palis, J. and de Melo, W. (1982).</w:t>
      </w:r>
      <w:r w:rsidRPr="009668D3">
        <w:rPr>
          <w:rFonts w:ascii="Times New Roman" w:hAnsi="Times New Roman" w:cs="Times New Roman"/>
          <w:sz w:val="20"/>
          <w:szCs w:val="20"/>
        </w:rPr>
        <w:t xml:space="preserve"> Geometric Theory of Dynamical Systems. Springer, New York.</w:t>
      </w:r>
    </w:p>
    <w:p w14:paraId="0617E3A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Pontryagin, L. S., Boltyanskii, V. G., Gamkrelidze, R. V. and Mishchenko, E. F. (1962).</w:t>
      </w:r>
      <w:r w:rsidRPr="009668D3">
        <w:rPr>
          <w:rFonts w:ascii="Times New Roman" w:hAnsi="Times New Roman" w:cs="Times New Roman"/>
          <w:sz w:val="20"/>
          <w:szCs w:val="20"/>
        </w:rPr>
        <w:t xml:space="preserve"> The Mathematical Theory of Optimal Processes. Interscience, New York.</w:t>
      </w:r>
    </w:p>
    <w:p w14:paraId="5D85D69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Saltelli, A., Ratto, M., Andres, T., Campolongo, F., Cariboni, J., Gatelli, D., Saisana, M. and Tarantola, S. (2008).</w:t>
      </w:r>
      <w:r w:rsidRPr="009668D3">
        <w:rPr>
          <w:rFonts w:ascii="Times New Roman" w:hAnsi="Times New Roman" w:cs="Times New Roman"/>
          <w:sz w:val="20"/>
          <w:szCs w:val="20"/>
        </w:rPr>
        <w:t xml:space="preserve"> Global Sensitivity Analysis: The Primer. John Wiley &amp; Sons.</w:t>
      </w:r>
    </w:p>
    <w:p w14:paraId="72860C8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van den Driessche, P. and Watmough, J. (2002).</w:t>
      </w:r>
      <w:r w:rsidRPr="009668D3">
        <w:rPr>
          <w:rFonts w:ascii="Times New Roman" w:hAnsi="Times New Roman" w:cs="Times New Roman"/>
          <w:sz w:val="20"/>
          <w:szCs w:val="20"/>
        </w:rPr>
        <w:t xml:space="preserve"> Reproduction numbers and sub-threshold endemic equilibria for compartmental models of disease transmission. Mathematical Biosciences, 180, 29–48.</w:t>
      </w:r>
    </w:p>
    <w:p w14:paraId="1B9CC28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Wiggins, S. (2003).</w:t>
      </w:r>
      <w:r w:rsidRPr="009668D3">
        <w:rPr>
          <w:rFonts w:ascii="Times New Roman" w:hAnsi="Times New Roman" w:cs="Times New Roman"/>
          <w:sz w:val="20"/>
          <w:szCs w:val="20"/>
        </w:rPr>
        <w:t xml:space="preserve"> Introduction to Applied Nonlinear Dynamical Systems and Chaos. 2nd edition. Springer, New York.</w:t>
      </w:r>
    </w:p>
    <w:p w14:paraId="01A20F7B" w14:textId="77777777" w:rsidR="000875CC" w:rsidRPr="009668D3" w:rsidRDefault="000875CC" w:rsidP="002D21BC">
      <w:pPr>
        <w:spacing w:line="240" w:lineRule="auto"/>
        <w:jc w:val="both"/>
        <w:rPr>
          <w:rFonts w:ascii="Times New Roman" w:hAnsi="Times New Roman" w:cs="Times New Roman"/>
          <w:sz w:val="20"/>
          <w:szCs w:val="20"/>
        </w:rPr>
      </w:pPr>
    </w:p>
    <w:p w14:paraId="691FB0F9" w14:textId="008773E0" w:rsidR="00420E5B" w:rsidRPr="009668D3" w:rsidRDefault="00420E5B" w:rsidP="002D21BC">
      <w:pPr>
        <w:spacing w:line="240" w:lineRule="auto"/>
        <w:jc w:val="both"/>
        <w:rPr>
          <w:rFonts w:ascii="Times New Roman" w:hAnsi="Times New Roman" w:cs="Times New Roman"/>
          <w:sz w:val="20"/>
          <w:szCs w:val="20"/>
        </w:rPr>
      </w:pPr>
    </w:p>
    <w:sectPr w:rsidR="00420E5B" w:rsidRPr="009668D3" w:rsidSect="00D578B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NGH Shipra" w:date="2026-04-20T22:44:00Z" w:initials="SS">
    <w:p w14:paraId="5C067BF5" w14:textId="77777777" w:rsidR="00DB5D0E" w:rsidRDefault="00DB5D0E" w:rsidP="00DB5D0E">
      <w:r>
        <w:rPr>
          <w:rStyle w:val="CommentTextChar"/>
        </w:rPr>
        <w:annotationRef/>
      </w:r>
      <w:r>
        <w:rPr>
          <w:lang w:val="en-IN"/>
        </w:rPr>
        <w:t>Is it necessary to add opus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67B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BF1AB" w16cex:dateUtc="2026-04-20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67BF5" w16cid:durableId="6C8BF1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C"/>
    <w:multiLevelType w:val="hybridMultilevel"/>
    <w:tmpl w:val="3ABEFA6C"/>
    <w:lvl w:ilvl="0" w:tplc="9E3036D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823EF"/>
    <w:multiLevelType w:val="multilevel"/>
    <w:tmpl w:val="CEA0540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3EB73D54"/>
    <w:multiLevelType w:val="hybridMultilevel"/>
    <w:tmpl w:val="AF72194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6E2211B"/>
    <w:multiLevelType w:val="hybridMultilevel"/>
    <w:tmpl w:val="4692C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0D777B"/>
    <w:multiLevelType w:val="multilevel"/>
    <w:tmpl w:val="065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B1CDB"/>
    <w:multiLevelType w:val="multilevel"/>
    <w:tmpl w:val="8C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E1357"/>
    <w:multiLevelType w:val="multilevel"/>
    <w:tmpl w:val="59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6627">
    <w:abstractNumId w:val="3"/>
  </w:num>
  <w:num w:numId="2" w16cid:durableId="1759522483">
    <w:abstractNumId w:val="2"/>
  </w:num>
  <w:num w:numId="3" w16cid:durableId="1804692812">
    <w:abstractNumId w:val="5"/>
  </w:num>
  <w:num w:numId="4" w16cid:durableId="1383407459">
    <w:abstractNumId w:val="0"/>
  </w:num>
  <w:num w:numId="5" w16cid:durableId="1921013281">
    <w:abstractNumId w:val="6"/>
  </w:num>
  <w:num w:numId="6" w16cid:durableId="1357268019">
    <w:abstractNumId w:val="4"/>
  </w:num>
  <w:num w:numId="7" w16cid:durableId="549538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NGH Shipra">
    <w15:presenceInfo w15:providerId="AD" w15:userId="S::singhs@iiasa.ac.at::559169c7-01f1-4a51-91e3-2ac8bd12ca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5E"/>
    <w:rsid w:val="00004DB5"/>
    <w:rsid w:val="00010642"/>
    <w:rsid w:val="00011F0D"/>
    <w:rsid w:val="000178DF"/>
    <w:rsid w:val="000221B3"/>
    <w:rsid w:val="0002273C"/>
    <w:rsid w:val="00023591"/>
    <w:rsid w:val="000306FD"/>
    <w:rsid w:val="000309A1"/>
    <w:rsid w:val="0003571D"/>
    <w:rsid w:val="00035C80"/>
    <w:rsid w:val="000407FB"/>
    <w:rsid w:val="00053646"/>
    <w:rsid w:val="000561E5"/>
    <w:rsid w:val="000620F6"/>
    <w:rsid w:val="000649FA"/>
    <w:rsid w:val="00066319"/>
    <w:rsid w:val="00070AFD"/>
    <w:rsid w:val="00071FEB"/>
    <w:rsid w:val="00073AE2"/>
    <w:rsid w:val="00074F30"/>
    <w:rsid w:val="00077094"/>
    <w:rsid w:val="00080D18"/>
    <w:rsid w:val="000875CC"/>
    <w:rsid w:val="00095F35"/>
    <w:rsid w:val="00097FF7"/>
    <w:rsid w:val="000A0FEE"/>
    <w:rsid w:val="000A3B97"/>
    <w:rsid w:val="000A3E17"/>
    <w:rsid w:val="000C1AD6"/>
    <w:rsid w:val="000D307B"/>
    <w:rsid w:val="000D461B"/>
    <w:rsid w:val="000D4F9A"/>
    <w:rsid w:val="000E004D"/>
    <w:rsid w:val="000E2FF5"/>
    <w:rsid w:val="000E55BD"/>
    <w:rsid w:val="000E6357"/>
    <w:rsid w:val="000E742B"/>
    <w:rsid w:val="000F0F0E"/>
    <w:rsid w:val="000F1169"/>
    <w:rsid w:val="000F5314"/>
    <w:rsid w:val="000F6251"/>
    <w:rsid w:val="0010751B"/>
    <w:rsid w:val="001131C4"/>
    <w:rsid w:val="001137CF"/>
    <w:rsid w:val="001164B3"/>
    <w:rsid w:val="001212EC"/>
    <w:rsid w:val="00123538"/>
    <w:rsid w:val="001351F7"/>
    <w:rsid w:val="00145E5E"/>
    <w:rsid w:val="00150623"/>
    <w:rsid w:val="001579E9"/>
    <w:rsid w:val="00163EB0"/>
    <w:rsid w:val="00164944"/>
    <w:rsid w:val="00165E61"/>
    <w:rsid w:val="001672D9"/>
    <w:rsid w:val="0016750A"/>
    <w:rsid w:val="00174817"/>
    <w:rsid w:val="001763B3"/>
    <w:rsid w:val="00176EF7"/>
    <w:rsid w:val="00177474"/>
    <w:rsid w:val="00180D83"/>
    <w:rsid w:val="00182DFF"/>
    <w:rsid w:val="00194469"/>
    <w:rsid w:val="00195BA3"/>
    <w:rsid w:val="001A02BA"/>
    <w:rsid w:val="001A7848"/>
    <w:rsid w:val="001B0907"/>
    <w:rsid w:val="001B4098"/>
    <w:rsid w:val="001B78F1"/>
    <w:rsid w:val="001C18CB"/>
    <w:rsid w:val="001C2D35"/>
    <w:rsid w:val="001C37D6"/>
    <w:rsid w:val="001C61B3"/>
    <w:rsid w:val="001D74F2"/>
    <w:rsid w:val="001E164D"/>
    <w:rsid w:val="001E2C8E"/>
    <w:rsid w:val="001E4103"/>
    <w:rsid w:val="001E5D4C"/>
    <w:rsid w:val="001E6700"/>
    <w:rsid w:val="001E6FAC"/>
    <w:rsid w:val="001F2F10"/>
    <w:rsid w:val="001F4EC8"/>
    <w:rsid w:val="00211219"/>
    <w:rsid w:val="00217FAD"/>
    <w:rsid w:val="00221E17"/>
    <w:rsid w:val="00222C54"/>
    <w:rsid w:val="00223D98"/>
    <w:rsid w:val="00225F14"/>
    <w:rsid w:val="00231FEF"/>
    <w:rsid w:val="002325B2"/>
    <w:rsid w:val="002407DE"/>
    <w:rsid w:val="0024426C"/>
    <w:rsid w:val="002524CC"/>
    <w:rsid w:val="00253C4A"/>
    <w:rsid w:val="0025789A"/>
    <w:rsid w:val="00261CFD"/>
    <w:rsid w:val="00261D0A"/>
    <w:rsid w:val="00263939"/>
    <w:rsid w:val="002659D9"/>
    <w:rsid w:val="0027027A"/>
    <w:rsid w:val="002739A8"/>
    <w:rsid w:val="00281A71"/>
    <w:rsid w:val="0029509E"/>
    <w:rsid w:val="002A1004"/>
    <w:rsid w:val="002A36FA"/>
    <w:rsid w:val="002A39E8"/>
    <w:rsid w:val="002A4C87"/>
    <w:rsid w:val="002A623E"/>
    <w:rsid w:val="002B0990"/>
    <w:rsid w:val="002B7CB5"/>
    <w:rsid w:val="002C0356"/>
    <w:rsid w:val="002C32B5"/>
    <w:rsid w:val="002C3360"/>
    <w:rsid w:val="002D21BC"/>
    <w:rsid w:val="002D3246"/>
    <w:rsid w:val="002D5098"/>
    <w:rsid w:val="002D621C"/>
    <w:rsid w:val="002D6C8F"/>
    <w:rsid w:val="002E3E84"/>
    <w:rsid w:val="002E735A"/>
    <w:rsid w:val="002F0864"/>
    <w:rsid w:val="002F14EA"/>
    <w:rsid w:val="002F1AFE"/>
    <w:rsid w:val="002F331D"/>
    <w:rsid w:val="002F3C41"/>
    <w:rsid w:val="002F3C74"/>
    <w:rsid w:val="002F6DC6"/>
    <w:rsid w:val="002F70F5"/>
    <w:rsid w:val="002F79C9"/>
    <w:rsid w:val="002F7E12"/>
    <w:rsid w:val="00305FAE"/>
    <w:rsid w:val="00315B24"/>
    <w:rsid w:val="00316107"/>
    <w:rsid w:val="003215C3"/>
    <w:rsid w:val="00322142"/>
    <w:rsid w:val="00327684"/>
    <w:rsid w:val="00334BE9"/>
    <w:rsid w:val="003401AE"/>
    <w:rsid w:val="00342092"/>
    <w:rsid w:val="00343A2F"/>
    <w:rsid w:val="0034411E"/>
    <w:rsid w:val="00347A4A"/>
    <w:rsid w:val="00351374"/>
    <w:rsid w:val="003517E3"/>
    <w:rsid w:val="00356DB0"/>
    <w:rsid w:val="003629FE"/>
    <w:rsid w:val="0037771E"/>
    <w:rsid w:val="00380512"/>
    <w:rsid w:val="00381D74"/>
    <w:rsid w:val="0039300E"/>
    <w:rsid w:val="003937AD"/>
    <w:rsid w:val="00394061"/>
    <w:rsid w:val="003A3E3F"/>
    <w:rsid w:val="003B0CF7"/>
    <w:rsid w:val="003B2C5C"/>
    <w:rsid w:val="003B62B2"/>
    <w:rsid w:val="003C53DE"/>
    <w:rsid w:val="003C5A9B"/>
    <w:rsid w:val="003E1B3A"/>
    <w:rsid w:val="003E2BED"/>
    <w:rsid w:val="003E58BB"/>
    <w:rsid w:val="003E786F"/>
    <w:rsid w:val="003F1BE8"/>
    <w:rsid w:val="004036B2"/>
    <w:rsid w:val="00404E42"/>
    <w:rsid w:val="00406478"/>
    <w:rsid w:val="0040714D"/>
    <w:rsid w:val="00407F07"/>
    <w:rsid w:val="00420E5B"/>
    <w:rsid w:val="004248F4"/>
    <w:rsid w:val="00427EF2"/>
    <w:rsid w:val="004358A4"/>
    <w:rsid w:val="004403DE"/>
    <w:rsid w:val="00440D16"/>
    <w:rsid w:val="00444BAA"/>
    <w:rsid w:val="004478A5"/>
    <w:rsid w:val="00452EB0"/>
    <w:rsid w:val="004543AC"/>
    <w:rsid w:val="00460E95"/>
    <w:rsid w:val="004611F6"/>
    <w:rsid w:val="00482E23"/>
    <w:rsid w:val="00483705"/>
    <w:rsid w:val="00486251"/>
    <w:rsid w:val="0048743E"/>
    <w:rsid w:val="004909A1"/>
    <w:rsid w:val="0049659C"/>
    <w:rsid w:val="00497BE6"/>
    <w:rsid w:val="00497FAC"/>
    <w:rsid w:val="004A71D3"/>
    <w:rsid w:val="004B0AA6"/>
    <w:rsid w:val="004B58A2"/>
    <w:rsid w:val="004B68F8"/>
    <w:rsid w:val="004C1D38"/>
    <w:rsid w:val="004C5921"/>
    <w:rsid w:val="004C641E"/>
    <w:rsid w:val="004D1131"/>
    <w:rsid w:val="004D32BC"/>
    <w:rsid w:val="004E0271"/>
    <w:rsid w:val="004E068F"/>
    <w:rsid w:val="004E79BA"/>
    <w:rsid w:val="004F011A"/>
    <w:rsid w:val="004F245F"/>
    <w:rsid w:val="004F47EB"/>
    <w:rsid w:val="00502646"/>
    <w:rsid w:val="005040EF"/>
    <w:rsid w:val="00507442"/>
    <w:rsid w:val="005101B6"/>
    <w:rsid w:val="00511375"/>
    <w:rsid w:val="00512A32"/>
    <w:rsid w:val="00512AFB"/>
    <w:rsid w:val="00533F15"/>
    <w:rsid w:val="005357AB"/>
    <w:rsid w:val="00540DB2"/>
    <w:rsid w:val="005444A5"/>
    <w:rsid w:val="00544863"/>
    <w:rsid w:val="00550C74"/>
    <w:rsid w:val="00565188"/>
    <w:rsid w:val="00570CDF"/>
    <w:rsid w:val="00576D83"/>
    <w:rsid w:val="00583262"/>
    <w:rsid w:val="00586632"/>
    <w:rsid w:val="0059446B"/>
    <w:rsid w:val="00594FA6"/>
    <w:rsid w:val="00597351"/>
    <w:rsid w:val="005B1329"/>
    <w:rsid w:val="005B4F30"/>
    <w:rsid w:val="005C0BD3"/>
    <w:rsid w:val="005C1084"/>
    <w:rsid w:val="005C237A"/>
    <w:rsid w:val="005C78FD"/>
    <w:rsid w:val="005D2CF6"/>
    <w:rsid w:val="005D4873"/>
    <w:rsid w:val="005E0B5A"/>
    <w:rsid w:val="005F2C4C"/>
    <w:rsid w:val="005F424B"/>
    <w:rsid w:val="005F5842"/>
    <w:rsid w:val="005F67FD"/>
    <w:rsid w:val="006008D1"/>
    <w:rsid w:val="00600AD6"/>
    <w:rsid w:val="00602B9A"/>
    <w:rsid w:val="0061383D"/>
    <w:rsid w:val="00614391"/>
    <w:rsid w:val="00621DC3"/>
    <w:rsid w:val="006273DA"/>
    <w:rsid w:val="00630483"/>
    <w:rsid w:val="00636508"/>
    <w:rsid w:val="00640B31"/>
    <w:rsid w:val="00640BC5"/>
    <w:rsid w:val="00643DAE"/>
    <w:rsid w:val="00643ED9"/>
    <w:rsid w:val="006450AD"/>
    <w:rsid w:val="00652138"/>
    <w:rsid w:val="00653373"/>
    <w:rsid w:val="00665518"/>
    <w:rsid w:val="006752F3"/>
    <w:rsid w:val="0067567E"/>
    <w:rsid w:val="006772E4"/>
    <w:rsid w:val="00677CC7"/>
    <w:rsid w:val="00683C2B"/>
    <w:rsid w:val="00684C73"/>
    <w:rsid w:val="006862B0"/>
    <w:rsid w:val="00686C73"/>
    <w:rsid w:val="00695BD3"/>
    <w:rsid w:val="006A1945"/>
    <w:rsid w:val="006A4550"/>
    <w:rsid w:val="006B0B58"/>
    <w:rsid w:val="006B19FB"/>
    <w:rsid w:val="006B3399"/>
    <w:rsid w:val="006B3BD3"/>
    <w:rsid w:val="006B4AE1"/>
    <w:rsid w:val="006B6AB5"/>
    <w:rsid w:val="006B6E15"/>
    <w:rsid w:val="006C20BF"/>
    <w:rsid w:val="006C51A5"/>
    <w:rsid w:val="006E72AF"/>
    <w:rsid w:val="006F02A1"/>
    <w:rsid w:val="006F63E3"/>
    <w:rsid w:val="00705056"/>
    <w:rsid w:val="00706436"/>
    <w:rsid w:val="00707719"/>
    <w:rsid w:val="007109D4"/>
    <w:rsid w:val="00710C88"/>
    <w:rsid w:val="00722BE6"/>
    <w:rsid w:val="0072628F"/>
    <w:rsid w:val="007263C9"/>
    <w:rsid w:val="00726470"/>
    <w:rsid w:val="0073020E"/>
    <w:rsid w:val="00740A54"/>
    <w:rsid w:val="0074256D"/>
    <w:rsid w:val="007528C9"/>
    <w:rsid w:val="00757681"/>
    <w:rsid w:val="00766F94"/>
    <w:rsid w:val="007717A7"/>
    <w:rsid w:val="00772441"/>
    <w:rsid w:val="00773963"/>
    <w:rsid w:val="007742C1"/>
    <w:rsid w:val="00787F59"/>
    <w:rsid w:val="00791D55"/>
    <w:rsid w:val="007A517E"/>
    <w:rsid w:val="007B0814"/>
    <w:rsid w:val="007B3BC5"/>
    <w:rsid w:val="007B6A6A"/>
    <w:rsid w:val="007C6AFA"/>
    <w:rsid w:val="007C7911"/>
    <w:rsid w:val="007E0084"/>
    <w:rsid w:val="007E63AA"/>
    <w:rsid w:val="007E661F"/>
    <w:rsid w:val="007F21BE"/>
    <w:rsid w:val="007F3148"/>
    <w:rsid w:val="007F4DB8"/>
    <w:rsid w:val="007F7A46"/>
    <w:rsid w:val="00800C27"/>
    <w:rsid w:val="00805682"/>
    <w:rsid w:val="00807140"/>
    <w:rsid w:val="00807BB1"/>
    <w:rsid w:val="00813CFE"/>
    <w:rsid w:val="00814654"/>
    <w:rsid w:val="008216DB"/>
    <w:rsid w:val="0083768E"/>
    <w:rsid w:val="00840C95"/>
    <w:rsid w:val="00842431"/>
    <w:rsid w:val="00842A02"/>
    <w:rsid w:val="00844DD6"/>
    <w:rsid w:val="00847EC5"/>
    <w:rsid w:val="00853A54"/>
    <w:rsid w:val="00855688"/>
    <w:rsid w:val="00856A75"/>
    <w:rsid w:val="00862A28"/>
    <w:rsid w:val="0086444E"/>
    <w:rsid w:val="0086625E"/>
    <w:rsid w:val="00872868"/>
    <w:rsid w:val="00874EE4"/>
    <w:rsid w:val="00881B5E"/>
    <w:rsid w:val="008868E4"/>
    <w:rsid w:val="00887516"/>
    <w:rsid w:val="00894E43"/>
    <w:rsid w:val="008A38BF"/>
    <w:rsid w:val="008A5F26"/>
    <w:rsid w:val="008A6C0F"/>
    <w:rsid w:val="008A7872"/>
    <w:rsid w:val="008B1061"/>
    <w:rsid w:val="008C375D"/>
    <w:rsid w:val="008C5569"/>
    <w:rsid w:val="008C5C1C"/>
    <w:rsid w:val="008C7B65"/>
    <w:rsid w:val="008D2889"/>
    <w:rsid w:val="008D6301"/>
    <w:rsid w:val="008E3512"/>
    <w:rsid w:val="008E454D"/>
    <w:rsid w:val="008F149F"/>
    <w:rsid w:val="008F332F"/>
    <w:rsid w:val="008F493D"/>
    <w:rsid w:val="008F53ED"/>
    <w:rsid w:val="009034BE"/>
    <w:rsid w:val="00905AAB"/>
    <w:rsid w:val="009106DE"/>
    <w:rsid w:val="00920210"/>
    <w:rsid w:val="0092146F"/>
    <w:rsid w:val="0092195B"/>
    <w:rsid w:val="009247E5"/>
    <w:rsid w:val="00926DC5"/>
    <w:rsid w:val="0093149B"/>
    <w:rsid w:val="009331A3"/>
    <w:rsid w:val="0094245B"/>
    <w:rsid w:val="009668D3"/>
    <w:rsid w:val="00977094"/>
    <w:rsid w:val="00982EEA"/>
    <w:rsid w:val="009834C5"/>
    <w:rsid w:val="0099432F"/>
    <w:rsid w:val="0099471D"/>
    <w:rsid w:val="00994DFA"/>
    <w:rsid w:val="009976A9"/>
    <w:rsid w:val="009A31EC"/>
    <w:rsid w:val="009B1F1C"/>
    <w:rsid w:val="009B3D82"/>
    <w:rsid w:val="009D3F7F"/>
    <w:rsid w:val="009D6EBA"/>
    <w:rsid w:val="009E267B"/>
    <w:rsid w:val="009F0017"/>
    <w:rsid w:val="00A12CA2"/>
    <w:rsid w:val="00A14119"/>
    <w:rsid w:val="00A14718"/>
    <w:rsid w:val="00A15B09"/>
    <w:rsid w:val="00A24CE3"/>
    <w:rsid w:val="00A255AF"/>
    <w:rsid w:val="00A31506"/>
    <w:rsid w:val="00A34188"/>
    <w:rsid w:val="00A53600"/>
    <w:rsid w:val="00A63364"/>
    <w:rsid w:val="00A674F1"/>
    <w:rsid w:val="00A731A2"/>
    <w:rsid w:val="00A735B9"/>
    <w:rsid w:val="00A7520B"/>
    <w:rsid w:val="00A7692E"/>
    <w:rsid w:val="00A82C69"/>
    <w:rsid w:val="00A8673D"/>
    <w:rsid w:val="00A868CD"/>
    <w:rsid w:val="00A96320"/>
    <w:rsid w:val="00AA192B"/>
    <w:rsid w:val="00AA253B"/>
    <w:rsid w:val="00AA2E71"/>
    <w:rsid w:val="00AA491A"/>
    <w:rsid w:val="00AA662B"/>
    <w:rsid w:val="00AB3D75"/>
    <w:rsid w:val="00AB44F0"/>
    <w:rsid w:val="00AB4882"/>
    <w:rsid w:val="00AC027F"/>
    <w:rsid w:val="00AC20B5"/>
    <w:rsid w:val="00AD0FB0"/>
    <w:rsid w:val="00AD1A88"/>
    <w:rsid w:val="00AD21ED"/>
    <w:rsid w:val="00AD6C99"/>
    <w:rsid w:val="00AE0201"/>
    <w:rsid w:val="00AF0A0F"/>
    <w:rsid w:val="00AF5FD7"/>
    <w:rsid w:val="00AF64A9"/>
    <w:rsid w:val="00B06361"/>
    <w:rsid w:val="00B06933"/>
    <w:rsid w:val="00B1584A"/>
    <w:rsid w:val="00B20685"/>
    <w:rsid w:val="00B25A2B"/>
    <w:rsid w:val="00B26BAB"/>
    <w:rsid w:val="00B42F62"/>
    <w:rsid w:val="00B51BB1"/>
    <w:rsid w:val="00B52AD7"/>
    <w:rsid w:val="00B53BBA"/>
    <w:rsid w:val="00B606D4"/>
    <w:rsid w:val="00B67FBB"/>
    <w:rsid w:val="00B70AB3"/>
    <w:rsid w:val="00B815C1"/>
    <w:rsid w:val="00B8166E"/>
    <w:rsid w:val="00B852BD"/>
    <w:rsid w:val="00B865C3"/>
    <w:rsid w:val="00B94072"/>
    <w:rsid w:val="00B96F42"/>
    <w:rsid w:val="00BA0638"/>
    <w:rsid w:val="00BB0726"/>
    <w:rsid w:val="00BB3822"/>
    <w:rsid w:val="00BC2AA0"/>
    <w:rsid w:val="00BC78BA"/>
    <w:rsid w:val="00BD67A8"/>
    <w:rsid w:val="00BD76A4"/>
    <w:rsid w:val="00BE0736"/>
    <w:rsid w:val="00BE0894"/>
    <w:rsid w:val="00BE5C03"/>
    <w:rsid w:val="00BE7402"/>
    <w:rsid w:val="00C01730"/>
    <w:rsid w:val="00C01831"/>
    <w:rsid w:val="00C02F46"/>
    <w:rsid w:val="00C03207"/>
    <w:rsid w:val="00C10E96"/>
    <w:rsid w:val="00C13DC0"/>
    <w:rsid w:val="00C14048"/>
    <w:rsid w:val="00C15819"/>
    <w:rsid w:val="00C207F5"/>
    <w:rsid w:val="00C2415C"/>
    <w:rsid w:val="00C301AE"/>
    <w:rsid w:val="00C30DA7"/>
    <w:rsid w:val="00C34B87"/>
    <w:rsid w:val="00C35DBB"/>
    <w:rsid w:val="00C37E14"/>
    <w:rsid w:val="00C41802"/>
    <w:rsid w:val="00C429AB"/>
    <w:rsid w:val="00C447AE"/>
    <w:rsid w:val="00C45C8B"/>
    <w:rsid w:val="00C52555"/>
    <w:rsid w:val="00C57C37"/>
    <w:rsid w:val="00C61678"/>
    <w:rsid w:val="00C6648F"/>
    <w:rsid w:val="00C6767B"/>
    <w:rsid w:val="00C715AB"/>
    <w:rsid w:val="00C80A99"/>
    <w:rsid w:val="00C8160C"/>
    <w:rsid w:val="00C8521D"/>
    <w:rsid w:val="00C86254"/>
    <w:rsid w:val="00C92F6D"/>
    <w:rsid w:val="00C951BD"/>
    <w:rsid w:val="00C95B5D"/>
    <w:rsid w:val="00CA0AA6"/>
    <w:rsid w:val="00CA44A1"/>
    <w:rsid w:val="00CA4AB8"/>
    <w:rsid w:val="00CA5B2E"/>
    <w:rsid w:val="00CB0850"/>
    <w:rsid w:val="00CB3732"/>
    <w:rsid w:val="00CB45E5"/>
    <w:rsid w:val="00CB57AB"/>
    <w:rsid w:val="00CB764F"/>
    <w:rsid w:val="00CC2139"/>
    <w:rsid w:val="00CD1DA7"/>
    <w:rsid w:val="00CE79B0"/>
    <w:rsid w:val="00CF482E"/>
    <w:rsid w:val="00D02353"/>
    <w:rsid w:val="00D0288A"/>
    <w:rsid w:val="00D103B7"/>
    <w:rsid w:val="00D11A79"/>
    <w:rsid w:val="00D16F0D"/>
    <w:rsid w:val="00D22CA7"/>
    <w:rsid w:val="00D22F8D"/>
    <w:rsid w:val="00D24492"/>
    <w:rsid w:val="00D30336"/>
    <w:rsid w:val="00D34DD3"/>
    <w:rsid w:val="00D357BB"/>
    <w:rsid w:val="00D415CA"/>
    <w:rsid w:val="00D505DD"/>
    <w:rsid w:val="00D52560"/>
    <w:rsid w:val="00D52C22"/>
    <w:rsid w:val="00D5352B"/>
    <w:rsid w:val="00D53D55"/>
    <w:rsid w:val="00D55985"/>
    <w:rsid w:val="00D5735E"/>
    <w:rsid w:val="00D578B6"/>
    <w:rsid w:val="00D61CAC"/>
    <w:rsid w:val="00D81C42"/>
    <w:rsid w:val="00D851CA"/>
    <w:rsid w:val="00D91BCD"/>
    <w:rsid w:val="00D9286E"/>
    <w:rsid w:val="00DA0580"/>
    <w:rsid w:val="00DA54D7"/>
    <w:rsid w:val="00DB009F"/>
    <w:rsid w:val="00DB39E4"/>
    <w:rsid w:val="00DB3D08"/>
    <w:rsid w:val="00DB5457"/>
    <w:rsid w:val="00DB5D0E"/>
    <w:rsid w:val="00DC67F0"/>
    <w:rsid w:val="00DD2491"/>
    <w:rsid w:val="00DE1444"/>
    <w:rsid w:val="00DE2F29"/>
    <w:rsid w:val="00DE70C9"/>
    <w:rsid w:val="00DE7976"/>
    <w:rsid w:val="00DF672F"/>
    <w:rsid w:val="00E10BC7"/>
    <w:rsid w:val="00E15C66"/>
    <w:rsid w:val="00E17E93"/>
    <w:rsid w:val="00E24342"/>
    <w:rsid w:val="00E30B95"/>
    <w:rsid w:val="00E30C0F"/>
    <w:rsid w:val="00E40A46"/>
    <w:rsid w:val="00E4744E"/>
    <w:rsid w:val="00E478E3"/>
    <w:rsid w:val="00E47AC9"/>
    <w:rsid w:val="00E50D54"/>
    <w:rsid w:val="00E52495"/>
    <w:rsid w:val="00E53542"/>
    <w:rsid w:val="00E5665D"/>
    <w:rsid w:val="00E610D1"/>
    <w:rsid w:val="00E6334C"/>
    <w:rsid w:val="00E64DE7"/>
    <w:rsid w:val="00E65F23"/>
    <w:rsid w:val="00E731F7"/>
    <w:rsid w:val="00E75393"/>
    <w:rsid w:val="00E82381"/>
    <w:rsid w:val="00E82C6D"/>
    <w:rsid w:val="00E90C81"/>
    <w:rsid w:val="00E90E2B"/>
    <w:rsid w:val="00EA41B1"/>
    <w:rsid w:val="00EA5BFE"/>
    <w:rsid w:val="00EA7E5C"/>
    <w:rsid w:val="00EB4C6A"/>
    <w:rsid w:val="00EC428D"/>
    <w:rsid w:val="00EC4A74"/>
    <w:rsid w:val="00EC5D64"/>
    <w:rsid w:val="00EC67BA"/>
    <w:rsid w:val="00EC7A8D"/>
    <w:rsid w:val="00ED1751"/>
    <w:rsid w:val="00ED1C26"/>
    <w:rsid w:val="00ED22AD"/>
    <w:rsid w:val="00ED63C4"/>
    <w:rsid w:val="00EE3E2A"/>
    <w:rsid w:val="00EE54EA"/>
    <w:rsid w:val="00EF57E0"/>
    <w:rsid w:val="00F036A2"/>
    <w:rsid w:val="00F052EE"/>
    <w:rsid w:val="00F16680"/>
    <w:rsid w:val="00F174F7"/>
    <w:rsid w:val="00F21FBC"/>
    <w:rsid w:val="00F27205"/>
    <w:rsid w:val="00F3266B"/>
    <w:rsid w:val="00F33058"/>
    <w:rsid w:val="00F432D2"/>
    <w:rsid w:val="00F506BB"/>
    <w:rsid w:val="00F55475"/>
    <w:rsid w:val="00F712FE"/>
    <w:rsid w:val="00F74395"/>
    <w:rsid w:val="00F7489D"/>
    <w:rsid w:val="00F93E9D"/>
    <w:rsid w:val="00F94DAE"/>
    <w:rsid w:val="00F9663D"/>
    <w:rsid w:val="00F96CFE"/>
    <w:rsid w:val="00FA7DD2"/>
    <w:rsid w:val="00FB1640"/>
    <w:rsid w:val="00FB5ED8"/>
    <w:rsid w:val="00FB6661"/>
    <w:rsid w:val="00FB796D"/>
    <w:rsid w:val="00FC2021"/>
    <w:rsid w:val="00FC5975"/>
    <w:rsid w:val="00FD02E6"/>
    <w:rsid w:val="00FD056E"/>
    <w:rsid w:val="00FE0858"/>
    <w:rsid w:val="00FE6C2F"/>
    <w:rsid w:val="00FE7600"/>
    <w:rsid w:val="00FE7AAC"/>
    <w:rsid w:val="00FF28AB"/>
    <w:rsid w:val="00FF759C"/>
    <w:rsid w:val="00FF77C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CFFB"/>
  <w15:chartTrackingRefBased/>
  <w15:docId w15:val="{81E115FF-288F-4C31-A9FE-1C579E86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5E"/>
    <w:rPr>
      <w:rFonts w:eastAsiaTheme="majorEastAsia" w:cstheme="majorBidi"/>
      <w:color w:val="272727" w:themeColor="text1" w:themeTint="D8"/>
    </w:rPr>
  </w:style>
  <w:style w:type="paragraph" w:styleId="Title">
    <w:name w:val="Title"/>
    <w:basedOn w:val="Normal"/>
    <w:next w:val="Normal"/>
    <w:link w:val="TitleChar"/>
    <w:uiPriority w:val="10"/>
    <w:qFormat/>
    <w:rsid w:val="0014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45E5E"/>
    <w:rPr>
      <w:i/>
      <w:iCs/>
      <w:color w:val="404040" w:themeColor="text1" w:themeTint="BF"/>
    </w:rPr>
  </w:style>
  <w:style w:type="paragraph" w:styleId="ListParagraph">
    <w:name w:val="List Paragraph"/>
    <w:basedOn w:val="Normal"/>
    <w:uiPriority w:val="34"/>
    <w:qFormat/>
    <w:rsid w:val="00145E5E"/>
    <w:pPr>
      <w:ind w:left="720"/>
      <w:contextualSpacing/>
    </w:pPr>
  </w:style>
  <w:style w:type="character" w:styleId="IntenseEmphasis">
    <w:name w:val="Intense Emphasis"/>
    <w:basedOn w:val="DefaultParagraphFont"/>
    <w:uiPriority w:val="21"/>
    <w:qFormat/>
    <w:rsid w:val="00145E5E"/>
    <w:rPr>
      <w:i/>
      <w:iCs/>
      <w:color w:val="0F4761" w:themeColor="accent1" w:themeShade="BF"/>
    </w:rPr>
  </w:style>
  <w:style w:type="paragraph" w:styleId="IntenseQuote">
    <w:name w:val="Intense Quote"/>
    <w:basedOn w:val="Normal"/>
    <w:next w:val="Normal"/>
    <w:link w:val="IntenseQuoteChar"/>
    <w:uiPriority w:val="30"/>
    <w:qFormat/>
    <w:rsid w:val="0014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5E"/>
    <w:rPr>
      <w:i/>
      <w:iCs/>
      <w:color w:val="0F4761" w:themeColor="accent1" w:themeShade="BF"/>
    </w:rPr>
  </w:style>
  <w:style w:type="character" w:styleId="IntenseReference">
    <w:name w:val="Intense Reference"/>
    <w:basedOn w:val="DefaultParagraphFont"/>
    <w:uiPriority w:val="32"/>
    <w:qFormat/>
    <w:rsid w:val="00145E5E"/>
    <w:rPr>
      <w:b/>
      <w:bCs/>
      <w:smallCaps/>
      <w:color w:val="0F4761" w:themeColor="accent1" w:themeShade="BF"/>
      <w:spacing w:val="5"/>
    </w:rPr>
  </w:style>
  <w:style w:type="paragraph" w:customStyle="1" w:styleId="font-claude-response-body">
    <w:name w:val="font-claude-response-body"/>
    <w:basedOn w:val="Normal"/>
    <w:rsid w:val="00261D0A"/>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Emphasis">
    <w:name w:val="Emphasis"/>
    <w:basedOn w:val="DefaultParagraphFont"/>
    <w:uiPriority w:val="20"/>
    <w:qFormat/>
    <w:rsid w:val="00261D0A"/>
    <w:rPr>
      <w:i/>
      <w:iCs/>
    </w:rPr>
  </w:style>
  <w:style w:type="character" w:styleId="PlaceholderText">
    <w:name w:val="Placeholder Text"/>
    <w:basedOn w:val="DefaultParagraphFont"/>
    <w:uiPriority w:val="99"/>
    <w:semiHidden/>
    <w:rsid w:val="00CD1DA7"/>
    <w:rPr>
      <w:color w:val="666666"/>
    </w:rPr>
  </w:style>
  <w:style w:type="paragraph" w:styleId="Caption">
    <w:name w:val="caption"/>
    <w:basedOn w:val="Normal"/>
    <w:next w:val="Normal"/>
    <w:uiPriority w:val="35"/>
    <w:unhideWhenUsed/>
    <w:qFormat/>
    <w:rsid w:val="00E90C81"/>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D578B6"/>
  </w:style>
  <w:style w:type="table" w:styleId="TableGrid">
    <w:name w:val="Table Grid"/>
    <w:basedOn w:val="TableNormal"/>
    <w:uiPriority w:val="59"/>
    <w:rsid w:val="0012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D98"/>
    <w:rPr>
      <w:color w:val="467886" w:themeColor="hyperlink"/>
      <w:u w:val="single"/>
    </w:rPr>
  </w:style>
  <w:style w:type="character" w:styleId="UnresolvedMention">
    <w:name w:val="Unresolved Mention"/>
    <w:basedOn w:val="DefaultParagraphFont"/>
    <w:uiPriority w:val="99"/>
    <w:semiHidden/>
    <w:unhideWhenUsed/>
    <w:rsid w:val="00223D98"/>
    <w:rPr>
      <w:color w:val="605E5C"/>
      <w:shd w:val="clear" w:color="auto" w:fill="E1DFDD"/>
    </w:rPr>
  </w:style>
  <w:style w:type="table" w:styleId="PlainTable5">
    <w:name w:val="Plain Table 5"/>
    <w:basedOn w:val="TableNormal"/>
    <w:uiPriority w:val="45"/>
    <w:rsid w:val="004E79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Grid-Accent1">
    <w:name w:val="Light Grid Accent 1"/>
    <w:basedOn w:val="TableNormal"/>
    <w:uiPriority w:val="62"/>
    <w:rsid w:val="000E55B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CommentText">
    <w:name w:val="annotation text"/>
    <w:basedOn w:val="Normal"/>
    <w:link w:val="CommentTextChar"/>
    <w:uiPriority w:val="99"/>
    <w:unhideWhenUsed/>
    <w:rsid w:val="00B42F62"/>
    <w:pPr>
      <w:spacing w:line="240" w:lineRule="auto"/>
    </w:pPr>
    <w:rPr>
      <w:sz w:val="20"/>
      <w:szCs w:val="20"/>
      <w:lang w:val=""/>
    </w:rPr>
  </w:style>
  <w:style w:type="character" w:customStyle="1" w:styleId="CommentTextChar">
    <w:name w:val="Comment Text Char"/>
    <w:basedOn w:val="DefaultParagraphFont"/>
    <w:link w:val="CommentText"/>
    <w:uiPriority w:val="99"/>
    <w:rsid w:val="00B42F62"/>
    <w:rPr>
      <w:sz w:val="20"/>
      <w:szCs w:val="20"/>
      <w:lang w:val=""/>
    </w:rPr>
  </w:style>
  <w:style w:type="character" w:styleId="CommentReference">
    <w:name w:val="annotation reference"/>
    <w:basedOn w:val="DefaultParagraphFont"/>
    <w:uiPriority w:val="99"/>
    <w:semiHidden/>
    <w:unhideWhenUsed/>
    <w:rsid w:val="00B42F62"/>
    <w:rPr>
      <w:sz w:val="16"/>
      <w:szCs w:val="16"/>
    </w:rPr>
  </w:style>
  <w:style w:type="paragraph" w:styleId="Revision">
    <w:name w:val="Revision"/>
    <w:hidden/>
    <w:uiPriority w:val="99"/>
    <w:semiHidden/>
    <w:rsid w:val="00B42F62"/>
    <w:pPr>
      <w:spacing w:after="0" w:line="240" w:lineRule="auto"/>
    </w:pPr>
    <w:rPr>
      <w:lang w:val=""/>
    </w:rPr>
  </w:style>
  <w:style w:type="paragraph" w:customStyle="1" w:styleId="my-2">
    <w:name w:val="my-2"/>
    <w:basedOn w:val="Normal"/>
    <w:rsid w:val="00B42F6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B42F62"/>
    <w:rPr>
      <w:b/>
      <w:bCs/>
    </w:rPr>
  </w:style>
  <w:style w:type="paragraph" w:styleId="CommentSubject">
    <w:name w:val="annotation subject"/>
    <w:basedOn w:val="CommentText"/>
    <w:next w:val="CommentText"/>
    <w:link w:val="CommentSubjectChar"/>
    <w:uiPriority w:val="99"/>
    <w:semiHidden/>
    <w:unhideWhenUsed/>
    <w:rsid w:val="00B42F62"/>
    <w:rPr>
      <w:b/>
      <w:bCs/>
    </w:rPr>
  </w:style>
  <w:style w:type="character" w:customStyle="1" w:styleId="CommentSubjectChar">
    <w:name w:val="Comment Subject Char"/>
    <w:basedOn w:val="CommentTextChar"/>
    <w:link w:val="CommentSubject"/>
    <w:uiPriority w:val="99"/>
    <w:semiHidden/>
    <w:rsid w:val="00B42F62"/>
    <w:rPr>
      <w:b/>
      <w:bCs/>
      <w:sz w:val="20"/>
      <w:szCs w:val="20"/>
      <w:lang w:v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hyperlink" Target="https://doi.org/10.1146/annurev.es.04.110173.000245" TargetMode="External"/><Relationship Id="rId39" Type="http://schemas.openxmlformats.org/officeDocument/2006/relationships/hyperlink" Target="https://doi.org/10.1007/s004420000482" TargetMode="External"/><Relationship Id="rId21" Type="http://schemas.openxmlformats.org/officeDocument/2006/relationships/hyperlink" Target="https://doi.org/10.1016/S0005-1098(99)00113-2" TargetMode="External"/><Relationship Id="rId34" Type="http://schemas.openxmlformats.org/officeDocument/2006/relationships/hyperlink" Target="https://doi.org/10.1086/286018" TargetMode="External"/><Relationship Id="rId42" Type="http://schemas.openxmlformats.org/officeDocument/2006/relationships/hyperlink" Target="https://doi.org/10.2307/2937109"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i.org/10.1007/b97481" TargetMode="External"/><Relationship Id="rId11" Type="http://schemas.openxmlformats.org/officeDocument/2006/relationships/image" Target="media/image4.jpeg"/><Relationship Id="rId24" Type="http://schemas.openxmlformats.org/officeDocument/2006/relationships/hyperlink" Target="https://doi.org/10.1111/een.12792" TargetMode="External"/><Relationship Id="rId32" Type="http://schemas.openxmlformats.org/officeDocument/2006/relationships/hyperlink" Target="https://doi.org/10.1016/j.mbs.2015.11.011" TargetMode="External"/><Relationship Id="rId37" Type="http://schemas.openxmlformats.org/officeDocument/2006/relationships/hyperlink" Target="https://doi.org/10.1038/s41598-017-14155-9" TargetMode="External"/><Relationship Id="rId40" Type="http://schemas.openxmlformats.org/officeDocument/2006/relationships/hyperlink" Target="https://doi.org/10.1016/j.scitotenv.2021.145370" TargetMode="External"/><Relationship Id="rId45" Type="http://schemas.openxmlformats.org/officeDocument/2006/relationships/hyperlink" Target="https://doi.org/10.16970/entoted.600893" TargetMode="Externa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hyperlink" Target="https://doi.org/10.1038/nature18608" TargetMode="External"/><Relationship Id="rId28" Type="http://schemas.openxmlformats.org/officeDocument/2006/relationships/hyperlink" Target="https://doi.org/10.1016/j.foreco.2020.118500" TargetMode="External"/><Relationship Id="rId36" Type="http://schemas.openxmlformats.org/officeDocument/2006/relationships/hyperlink" Target="https://doi.org/10.1093/treephys/tpad040" TargetMode="External"/><Relationship Id="rId49" Type="http://schemas.openxmlformats.org/officeDocument/2006/relationships/theme" Target="theme/theme1.xml"/><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hyperlink" Target="https://doi.org/10.1146/annurev-phyto-080614-120132" TargetMode="External"/><Relationship Id="rId44" Type="http://schemas.openxmlformats.org/officeDocument/2006/relationships/hyperlink" Target="https://doi.org/10.1111/j.1095-8312.2011.01721.x"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111/j.1365-2656.2008.01458.x" TargetMode="External"/><Relationship Id="rId27" Type="http://schemas.openxmlformats.org/officeDocument/2006/relationships/hyperlink" Target="https://doi.org/10.3389/fams.2025.1642676" TargetMode="External"/><Relationship Id="rId30" Type="http://schemas.openxmlformats.org/officeDocument/2006/relationships/hyperlink" Target="https://doi.org/10.1371/journal.pone.0017857" TargetMode="External"/><Relationship Id="rId35" Type="http://schemas.openxmlformats.org/officeDocument/2006/relationships/hyperlink" Target="https://doi.org/10.1111/1365-2745.12810" TargetMode="External"/><Relationship Id="rId43" Type="http://schemas.openxmlformats.org/officeDocument/2006/relationships/hyperlink" Target="https://doi.org/10.1046/j.1365-2664.2002.00761.x" TargetMode="Externa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jpeg"/><Relationship Id="rId17" Type="http://schemas.microsoft.com/office/2011/relationships/commentsExtended" Target="commentsExtended.xml"/><Relationship Id="rId25" Type="http://schemas.openxmlformats.org/officeDocument/2006/relationships/hyperlink" Target="https://doi.org/10.1098/rspb.2005.3356" TargetMode="External"/><Relationship Id="rId33" Type="http://schemas.openxmlformats.org/officeDocument/2006/relationships/hyperlink" Target="https://doi.org/10.1890/06-1525.1" TargetMode="External"/><Relationship Id="rId38" Type="http://schemas.openxmlformats.org/officeDocument/2006/relationships/hyperlink" Target="https://doi.org/10.1086/285756" TargetMode="External"/><Relationship Id="rId46" Type="http://schemas.openxmlformats.org/officeDocument/2006/relationships/hyperlink" Target="https://doi.org/10.1146/annurev.ento.51.110104.151133" TargetMode="External"/><Relationship Id="rId20" Type="http://schemas.openxmlformats.org/officeDocument/2006/relationships/hyperlink" Target="https://gsinchanpostdoc.github.io/alderguard/" TargetMode="External"/><Relationship Id="rId41" Type="http://schemas.openxmlformats.org/officeDocument/2006/relationships/hyperlink" Target="https://doi.org/10.1017/S0959270907000915"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7CE9CF58A37AF43893A4D0C675339DF" ma:contentTypeVersion="14" ma:contentTypeDescription="Ein neues Dokument erstellen." ma:contentTypeScope="" ma:versionID="5989bad1125b19c700b2086c36401e65">
  <xsd:schema xmlns:xsd="http://www.w3.org/2001/XMLSchema" xmlns:xs="http://www.w3.org/2001/XMLSchema" xmlns:p="http://schemas.microsoft.com/office/2006/metadata/properties" xmlns:ns3="30efe6b0-f892-451e-9da2-07192282824d" xmlns:ns4="20667e85-4d90-4204-9a26-d6f4dfabd15b" targetNamespace="http://schemas.microsoft.com/office/2006/metadata/properties" ma:root="true" ma:fieldsID="c892d5c4dce8e6ec68b4e4be744f6425" ns3:_="" ns4:_="">
    <xsd:import namespace="30efe6b0-f892-451e-9da2-07192282824d"/>
    <xsd:import namespace="20667e85-4d90-4204-9a26-d6f4dfabd15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e6b0-f892-451e-9da2-0719228282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67e85-4d90-4204-9a26-d6f4dfabd15b"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0efe6b0-f892-451e-9da2-07192282824d" xsi:nil="true"/>
  </documentManagement>
</p:properties>
</file>

<file path=customXml/itemProps1.xml><?xml version="1.0" encoding="utf-8"?>
<ds:datastoreItem xmlns:ds="http://schemas.openxmlformats.org/officeDocument/2006/customXml" ds:itemID="{61A3B79C-579B-4166-89DF-C98E4A5CBF5C}">
  <ds:schemaRefs>
    <ds:schemaRef ds:uri="http://schemas.microsoft.com/sharepoint/v3/contenttype/forms"/>
  </ds:schemaRefs>
</ds:datastoreItem>
</file>

<file path=customXml/itemProps2.xml><?xml version="1.0" encoding="utf-8"?>
<ds:datastoreItem xmlns:ds="http://schemas.openxmlformats.org/officeDocument/2006/customXml" ds:itemID="{DA10D51D-B08A-4F9D-8BB4-964DBA6E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fe6b0-f892-451e-9da2-07192282824d"/>
    <ds:schemaRef ds:uri="20667e85-4d90-4204-9a26-d6f4dfab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17406-498E-4990-BD8B-2C5EBDB597E3}">
  <ds:schemaRefs>
    <ds:schemaRef ds:uri="http://schemas.microsoft.com/office/2006/metadata/properties"/>
    <ds:schemaRef ds:uri="http://schemas.microsoft.com/office/infopath/2007/PartnerControls"/>
    <ds:schemaRef ds:uri="30efe6b0-f892-451e-9da2-07192282824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24625</Words>
  <Characters>140366</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cp:keywords/>
  <dc:description/>
  <cp:lastModifiedBy>GHOSH Sinchan</cp:lastModifiedBy>
  <cp:revision>59</cp:revision>
  <dcterms:created xsi:type="dcterms:W3CDTF">2026-04-22T22:32:00Z</dcterms:created>
  <dcterms:modified xsi:type="dcterms:W3CDTF">2026-04-23T11:00:00Z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0x01010037CE9CF58A37AF43893A4D0C675339DF</vt:lpwstr>
  </property>
  <property fmtid="{D5CDD505-2E9C-101B-9397-08002B2CF9AE}" pid="3" name="GrammarlyDocumentId">
    <vt:lpwstr>1a041fbb-7255-4e13-8e16-01c8cc3955b8</vt:lpwstr>
  </property>
</Properties>
</file>