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4405" w14:textId="77777777" w:rsidR="00E64DE7" w:rsidRPr="001E6700" w:rsidRDefault="00E64DE7" w:rsidP="00FF28AB">
      <w:pPr>
        <w:rPr>
          <w:rFonts w:ascii="Times New Roman" w:hAnsi="Times New Roman" w:cs="Times New Roman"/>
          <w:sz w:val="20"/>
          <w:szCs w:val="20"/>
        </w:rPr>
      </w:pPr>
      <w:r w:rsidRPr="001E6700">
        <w:rPr>
          <w:rFonts w:ascii="Times New Roman" w:hAnsi="Times New Roman" w:cs="Times New Roman"/>
          <w:sz w:val="20"/>
          <w:szCs w:val="20"/>
        </w:rPr>
        <w:t>Adaptive stability of the Black alder ecoepidemic system: integrated intervention alone prevents regime shift under phenological variability</w:t>
      </w:r>
    </w:p>
    <w:p w14:paraId="64049E9B" w14:textId="74DAED08" w:rsidR="009B1F1C" w:rsidRPr="001E6700" w:rsidRDefault="009B1F1C" w:rsidP="002D21BC">
      <w:pPr>
        <w:spacing w:line="240" w:lineRule="auto"/>
        <w:jc w:val="both"/>
        <w:rPr>
          <w:rFonts w:ascii="Times New Roman" w:hAnsi="Times New Roman" w:cs="Times New Roman"/>
          <w:b/>
          <w:sz w:val="20"/>
          <w:szCs w:val="20"/>
          <w:lang w:val="en-US"/>
        </w:rPr>
      </w:pPr>
      <w:r w:rsidRPr="001E6700">
        <w:rPr>
          <w:rFonts w:ascii="Times New Roman" w:hAnsi="Times New Roman" w:cs="Times New Roman"/>
          <w:b/>
          <w:sz w:val="20"/>
          <w:szCs w:val="20"/>
          <w:lang w:val="en-US"/>
        </w:rPr>
        <w:t xml:space="preserve"> Sinchan Ghosh</w:t>
      </w:r>
      <w:r w:rsidRPr="001E6700">
        <w:rPr>
          <w:rFonts w:ascii="Times New Roman" w:hAnsi="Times New Roman" w:cs="Times New Roman"/>
          <w:b/>
          <w:sz w:val="20"/>
          <w:szCs w:val="20"/>
          <w:vertAlign w:val="superscript"/>
          <w:lang w:val="en-US"/>
        </w:rPr>
        <w:t>1</w:t>
      </w:r>
      <w:r w:rsidR="00920210" w:rsidRPr="001E6700">
        <w:rPr>
          <w:rFonts w:ascii="Times New Roman" w:hAnsi="Times New Roman" w:cs="Times New Roman"/>
          <w:b/>
          <w:sz w:val="20"/>
          <w:szCs w:val="20"/>
          <w:vertAlign w:val="superscript"/>
          <w:lang w:val="en-US"/>
        </w:rPr>
        <w:t>*</w:t>
      </w:r>
      <w:r w:rsidRPr="001E6700">
        <w:rPr>
          <w:rFonts w:ascii="Times New Roman" w:hAnsi="Times New Roman" w:cs="Times New Roman"/>
          <w:b/>
          <w:sz w:val="20"/>
          <w:szCs w:val="20"/>
          <w:lang w:val="en-US"/>
        </w:rPr>
        <w:t>, Shipra Singh</w:t>
      </w:r>
      <w:r w:rsidRPr="001E6700">
        <w:rPr>
          <w:rFonts w:ascii="Times New Roman" w:hAnsi="Times New Roman" w:cs="Times New Roman"/>
          <w:b/>
          <w:sz w:val="20"/>
          <w:szCs w:val="20"/>
          <w:vertAlign w:val="superscript"/>
          <w:lang w:val="en-US"/>
        </w:rPr>
        <w:t>2</w:t>
      </w:r>
    </w:p>
    <w:p w14:paraId="204597D2" w14:textId="657A46C8" w:rsidR="009B1F1C" w:rsidRPr="001E6700" w:rsidRDefault="009B1F1C" w:rsidP="002D21BC">
      <w:pPr>
        <w:spacing w:line="240" w:lineRule="auto"/>
        <w:jc w:val="both"/>
        <w:rPr>
          <w:rFonts w:ascii="Times New Roman" w:hAnsi="Times New Roman" w:cs="Times New Roman"/>
          <w:b/>
          <w:sz w:val="20"/>
          <w:szCs w:val="20"/>
          <w:lang w:val="en-US"/>
        </w:rPr>
      </w:pPr>
      <w:r w:rsidRPr="001E6700">
        <w:rPr>
          <w:rFonts w:ascii="Times New Roman" w:hAnsi="Times New Roman" w:cs="Times New Roman"/>
          <w:sz w:val="20"/>
          <w:szCs w:val="20"/>
          <w:vertAlign w:val="superscript"/>
          <w:lang w:val="en-US"/>
        </w:rPr>
        <w:t>1</w:t>
      </w:r>
      <w:r w:rsidR="00035C80" w:rsidRPr="001E6700">
        <w:rPr>
          <w:rFonts w:ascii="Times New Roman" w:hAnsi="Times New Roman" w:cs="Times New Roman"/>
          <w:sz w:val="20"/>
          <w:szCs w:val="20"/>
          <w:lang w:val="en-US"/>
        </w:rPr>
        <w:t>Agriculture Forestry Ecosystems Services Group, Biodiversity and Natural Resources Program, International Institute for Applied Systems Analys</w:t>
      </w:r>
      <w:r w:rsidR="00E47AC9" w:rsidRPr="001E6700">
        <w:rPr>
          <w:rFonts w:ascii="Times New Roman" w:hAnsi="Times New Roman" w:cs="Times New Roman"/>
          <w:sz w:val="20"/>
          <w:szCs w:val="20"/>
          <w:lang w:val="en-US"/>
        </w:rPr>
        <w:t>i</w:t>
      </w:r>
      <w:r w:rsidR="00035C80" w:rsidRPr="001E6700">
        <w:rPr>
          <w:rFonts w:ascii="Times New Roman" w:hAnsi="Times New Roman" w:cs="Times New Roman"/>
          <w:sz w:val="20"/>
          <w:szCs w:val="20"/>
          <w:lang w:val="en-US"/>
        </w:rPr>
        <w:t>s</w:t>
      </w:r>
      <w:r w:rsidR="00AB44F0" w:rsidRPr="001E6700">
        <w:rPr>
          <w:rFonts w:ascii="Times New Roman" w:hAnsi="Times New Roman" w:cs="Times New Roman"/>
          <w:sz w:val="20"/>
          <w:szCs w:val="20"/>
          <w:lang w:val="en-US"/>
        </w:rPr>
        <w:t>, Laxenburg, Austria</w:t>
      </w:r>
      <w:r w:rsidR="00035C80" w:rsidRPr="001E6700">
        <w:rPr>
          <w:rFonts w:ascii="Times New Roman" w:hAnsi="Times New Roman" w:cs="Times New Roman"/>
          <w:sz w:val="20"/>
          <w:szCs w:val="20"/>
          <w:lang w:val="en-US"/>
        </w:rPr>
        <w:t xml:space="preserve"> </w:t>
      </w:r>
    </w:p>
    <w:p w14:paraId="60D8DC4A" w14:textId="58BC42A0" w:rsidR="00E47AC9" w:rsidRPr="001E6700" w:rsidRDefault="009B1F1C" w:rsidP="002D21BC">
      <w:pPr>
        <w:spacing w:line="240" w:lineRule="auto"/>
        <w:jc w:val="both"/>
        <w:rPr>
          <w:rFonts w:ascii="Times New Roman" w:hAnsi="Times New Roman" w:cs="Times New Roman"/>
          <w:b/>
          <w:sz w:val="20"/>
          <w:szCs w:val="20"/>
          <w:lang w:val="en-US"/>
        </w:rPr>
      </w:pPr>
      <w:r w:rsidRPr="001E6700">
        <w:rPr>
          <w:rFonts w:ascii="Times New Roman" w:hAnsi="Times New Roman" w:cs="Times New Roman"/>
          <w:sz w:val="20"/>
          <w:szCs w:val="20"/>
          <w:vertAlign w:val="superscript"/>
          <w:lang w:val="en-US"/>
        </w:rPr>
        <w:t>2</w:t>
      </w:r>
      <w:r w:rsidR="00AB44F0" w:rsidRPr="001E6700">
        <w:rPr>
          <w:rFonts w:ascii="Times New Roman" w:hAnsi="Times New Roman" w:cs="Times New Roman"/>
          <w:sz w:val="20"/>
          <w:szCs w:val="20"/>
        </w:rPr>
        <w:t>Biodiversity, Ecology, and Conservation</w:t>
      </w:r>
      <w:r w:rsidR="007B0814" w:rsidRPr="001E6700">
        <w:rPr>
          <w:rFonts w:ascii="Times New Roman" w:hAnsi="Times New Roman" w:cs="Times New Roman"/>
          <w:sz w:val="20"/>
          <w:szCs w:val="20"/>
          <w:lang w:val="en-US"/>
        </w:rPr>
        <w:t xml:space="preserve"> </w:t>
      </w:r>
      <w:r w:rsidR="00E47AC9" w:rsidRPr="001E6700">
        <w:rPr>
          <w:rFonts w:ascii="Times New Roman" w:hAnsi="Times New Roman" w:cs="Times New Roman"/>
          <w:sz w:val="20"/>
          <w:szCs w:val="20"/>
          <w:lang w:val="en-US"/>
        </w:rPr>
        <w:t xml:space="preserve">Group, Biodiversity and Natural Resources Program, International Institute for Applied Systems Analysis, Laxenburg, Austria </w:t>
      </w:r>
    </w:p>
    <w:p w14:paraId="60AC56DB" w14:textId="042888E8" w:rsidR="007B0814" w:rsidRPr="001E6700" w:rsidRDefault="007B0814" w:rsidP="002D21BC">
      <w:pPr>
        <w:spacing w:line="240" w:lineRule="auto"/>
        <w:jc w:val="both"/>
        <w:rPr>
          <w:rFonts w:ascii="Times New Roman" w:hAnsi="Times New Roman" w:cs="Times New Roman"/>
          <w:sz w:val="20"/>
          <w:szCs w:val="20"/>
          <w:lang w:val="en-US"/>
        </w:rPr>
      </w:pPr>
      <w:r w:rsidRPr="001E6700">
        <w:rPr>
          <w:rFonts w:ascii="Times New Roman" w:hAnsi="Times New Roman" w:cs="Times New Roman"/>
          <w:sz w:val="20"/>
          <w:szCs w:val="20"/>
        </w:rPr>
        <w:t>*Corresponding author: email: gsinchanpostdoc@gmail.com</w:t>
      </w:r>
    </w:p>
    <w:p w14:paraId="100BF004" w14:textId="10BCA871" w:rsidR="009B1F1C" w:rsidRPr="001E6700" w:rsidRDefault="007B0814" w:rsidP="002D21BC">
      <w:pPr>
        <w:spacing w:line="240" w:lineRule="auto"/>
        <w:jc w:val="both"/>
        <w:rPr>
          <w:rFonts w:ascii="Times New Roman" w:hAnsi="Times New Roman" w:cs="Times New Roman"/>
          <w:sz w:val="20"/>
          <w:szCs w:val="20"/>
          <w:lang w:val="en-US"/>
        </w:rPr>
      </w:pPr>
      <w:r w:rsidRPr="001E6700">
        <w:rPr>
          <w:rFonts w:ascii="Times New Roman" w:hAnsi="Times New Roman" w:cs="Times New Roman"/>
          <w:b/>
          <w:sz w:val="20"/>
          <w:szCs w:val="20"/>
          <w:lang w:val="en-US"/>
        </w:rPr>
        <w:t>Key Words</w:t>
      </w:r>
      <w:r w:rsidRPr="001E6700">
        <w:rPr>
          <w:rFonts w:ascii="Times New Roman" w:hAnsi="Times New Roman" w:cs="Times New Roman"/>
          <w:sz w:val="20"/>
          <w:szCs w:val="20"/>
          <w:lang w:val="en-US"/>
        </w:rPr>
        <w:t xml:space="preserve">: </w:t>
      </w:r>
      <w:r w:rsidRPr="001E6700">
        <w:rPr>
          <w:rFonts w:ascii="Times New Roman" w:hAnsi="Times New Roman" w:cs="Times New Roman"/>
          <w:sz w:val="20"/>
          <w:szCs w:val="20"/>
        </w:rPr>
        <w:t>ecoepidemic model, optimal control theory, host–parasitoid dynamics, regime shift, intraguild predation, phenological mismatch, ecological resilience, alluvial forest conservation</w:t>
      </w:r>
    </w:p>
    <w:p w14:paraId="541C0D64" w14:textId="5F1EBA58" w:rsidR="007C7911" w:rsidRPr="001E6700" w:rsidRDefault="007C7911" w:rsidP="002D21BC">
      <w:pPr>
        <w:spacing w:line="240" w:lineRule="auto"/>
        <w:jc w:val="both"/>
        <w:rPr>
          <w:rFonts w:ascii="Times New Roman" w:hAnsi="Times New Roman" w:cs="Times New Roman"/>
          <w:b/>
          <w:sz w:val="20"/>
          <w:szCs w:val="20"/>
        </w:rPr>
      </w:pPr>
      <w:r w:rsidRPr="001E6700">
        <w:rPr>
          <w:rFonts w:ascii="Times New Roman" w:hAnsi="Times New Roman" w:cs="Times New Roman"/>
          <w:b/>
          <w:sz w:val="20"/>
          <w:szCs w:val="20"/>
        </w:rPr>
        <w:t>Abstract</w:t>
      </w:r>
    </w:p>
    <w:p w14:paraId="31D240BF" w14:textId="6A74C25D" w:rsidR="00EB4C6A" w:rsidRPr="001E6700" w:rsidRDefault="00EB4C6A" w:rsidP="001F2F10">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 xml:space="preserve"> </w:t>
      </w:r>
      <w:r w:rsidR="006A1945" w:rsidRPr="006A1945">
        <w:rPr>
          <w:rFonts w:ascii="Times New Roman" w:hAnsi="Times New Roman" w:cs="Times New Roman"/>
          <w:sz w:val="20"/>
          <w:szCs w:val="20"/>
        </w:rPr>
        <w:t>Black alder (Alnus glutinosa), the leaf beetle (Agelastica alni), the tachinid parasitoid  (Meigenia mutabilis), and generalist passeriform birds form a multi-trophic ecoepidemic system in European alluvial forests. During outbreaks, beetle larvae defoliate alder, parasitoid attack can suppress larval survival, and birds add density-dependent top-down control by preferentially consuming abundant prey. Alder also responds with induced defences that can increase stand-level resistance across seasons, while canopy regrowth restores resilience on an annual timescale. Because these processes operate on different temporal scales, system stability may depend strongly on phenology.</w:t>
      </w:r>
      <w:r w:rsidRPr="001E6700">
        <w:rPr>
          <w:rFonts w:ascii="Times New Roman" w:hAnsi="Times New Roman" w:cs="Times New Roman"/>
          <w:sz w:val="20"/>
          <w:szCs w:val="20"/>
        </w:rPr>
        <w:t>We developed a process-based hybrid seasonal–annual model to examine how resistance and resilience shape stability across nine climatically driven phenological scenarios. We then used optimal control theory to compare three management strategies: parasitoid augmentation, parasitoid augmentation plus larval removal, and a fully integrated strategy including bird-habitat enhancement. Across the phenological parameter space, the coexistence equilibrium was the least frequently stable regime, whereas the parasitoid-free state was the most frequent. When all phenological parameters varied simultaneously, the probability of a regime shift from coexistence reached 81.5% under joint parameter variation across the sampled phenological parameter space. Of the three management strategies, only the fully integrated approach produced a locally stable managed equilibrium at minimum cost. These results suggest that, within the assumptions of the model, maintaining parasitoid-based biological control may require multi-component intervention. Single-action control may suppress outbreaks temporarily, but long-term stability appears to require integrating parasitoids, larval removal, and bird habitat enhancement.</w:t>
      </w:r>
    </w:p>
    <w:p w14:paraId="535585FB" w14:textId="77777777" w:rsidR="001E4103" w:rsidRPr="001E6700" w:rsidRDefault="001E4103" w:rsidP="002D21BC">
      <w:pPr>
        <w:spacing w:line="240" w:lineRule="auto"/>
        <w:jc w:val="both"/>
        <w:rPr>
          <w:rFonts w:ascii="Times New Roman" w:hAnsi="Times New Roman" w:cs="Times New Roman"/>
          <w:sz w:val="20"/>
          <w:szCs w:val="20"/>
        </w:rPr>
      </w:pPr>
    </w:p>
    <w:p w14:paraId="612EFA6A" w14:textId="42BB9865" w:rsidR="00E24342" w:rsidRPr="001E6700" w:rsidRDefault="00686C73" w:rsidP="00EB4C6A">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Number of Tables and Figures: 7 figures and 1 table in the main manuscript.</w:t>
      </w:r>
      <w:r w:rsidR="00E24342" w:rsidRPr="001E6700">
        <w:rPr>
          <w:rFonts w:ascii="Times New Roman" w:hAnsi="Times New Roman" w:cs="Times New Roman"/>
          <w:sz w:val="20"/>
          <w:szCs w:val="20"/>
        </w:rPr>
        <w:br w:type="page"/>
      </w:r>
    </w:p>
    <w:p w14:paraId="4EB71D0D" w14:textId="3F98969F" w:rsidR="002739A8" w:rsidRPr="001E6700" w:rsidRDefault="005444A5" w:rsidP="002D21BC">
      <w:pPr>
        <w:pStyle w:val="ListParagraph"/>
        <w:numPr>
          <w:ilvl w:val="0"/>
          <w:numId w:val="7"/>
        </w:numPr>
        <w:spacing w:line="240" w:lineRule="auto"/>
        <w:jc w:val="both"/>
        <w:rPr>
          <w:rFonts w:ascii="Times New Roman" w:hAnsi="Times New Roman" w:cs="Times New Roman"/>
          <w:sz w:val="20"/>
          <w:szCs w:val="20"/>
        </w:rPr>
      </w:pPr>
      <w:r w:rsidRPr="001E6700">
        <w:rPr>
          <w:rFonts w:ascii="Times New Roman" w:hAnsi="Times New Roman" w:cs="Times New Roman"/>
          <w:b/>
          <w:sz w:val="20"/>
          <w:szCs w:val="20"/>
        </w:rPr>
        <w:lastRenderedPageBreak/>
        <w:t>Introduction</w:t>
      </w:r>
    </w:p>
    <w:p w14:paraId="616DF1A4" w14:textId="06E142CA"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 xml:space="preserve">Black alder (Alnus glutinosa) dominates European riparian zones and supports diverse flora and associated fauna habitats (Habitats Directive 92/43/EEC; European Commission, 1992). Outbreaks of the phyllophagous leaf beetle Agelastica alni can substantially defoliate the black alder canopy (Dolch &amp; Tscharntke, 2000). Under recurring defoliation from outbreaks, the forest system may collapse due to its vulnerability to other environmental perturbations (Valor et al., 2020). An induced physiological change is evident in black Alder that offers a stand-level resistance under beetle attack (Dolch &amp; Tscharntke, 2000). The black alder canopy recovers via reflushing of leaves after defoliation (Dolch &amp; Tscharntke, 2000), but repeated outbreaks can potentially constrain the recovery of the whole canopy due to depletion of carbohydrates beyond a critical level (Hart et al., 2024; Barker et al., 2021; Miranda et al., 2020). Therefore, a potential full recovery is expected to occur mostly through vernal growth during the next spring following the outbreak season. A resilience of the black alder forest system comes from two natural enemies of beetle larvae that can control the outbreak and aid faster recovery. One is Meigenia mutabilis, a koinobiont larval endoparasitoid that parasitises beetle larvae and kills the host larva during emergence (Dolch &amp; Tscharntke, 2000; Stireman et al., 2006). Another control comes from the predation of generalist birds that follows optimal foraging. Optimal foraging theory and empirical studies on a few generalist avian diets suggest that passeriform birds may exploit locally abundant prey, ie, the leaf beetle, during the outbreaks (Remmel et al., 2011; Monteagudo et al., 2023). To prevent canopy loss from the beetle, often, Black alder-dominated habitats restoration involves management intervention, such as beetle removal and parasitoid introduction (Korkmaz &amp; Kaplan, 2022).  The stand-level resistance, vernal regrowth-dependent recovery, and dual resistance from optimal foraging and parasitoid-mediated resilience form a tractable framework to test the stability of the ecoepidemic system as an adaptive property and how to harness the benefit of this adaptivity to plan management intervention better. </w:t>
      </w:r>
    </w:p>
    <w:p w14:paraId="51DC0F2C" w14:textId="77777777"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This leaf beetle typically causes outbreaks in spring and early summer. During this period, newly flushed alder foliage provides abundant food for larval feeding and development (Sivrikaya et al., 2020). In response, alder leaves undergo induced phytochemical and physical changes, including increased phenolic content, reduced starch, and hardened leaf traits that collectively deter further beetle foraging. These defences determine stand-level resistance and help prevent beetle spread to other susceptible trees (Tscharntke et al., 2001; Dolch &amp; Tscharntke, 2000). At the same time, the koinobiont larval endoparasitoid tracks beetle larval aggregations and parasitises susceptible larvae by ovipositing on their integument. The subsequent emergence of adult parasitoids results in the death of parasitised larvae (Dolch &amp; Tscharntke, 2000; Stireman et al., 2006). Notably, there is no well-studied larval defence against the parasitoid that has been documented. The existing studies of beetles' chemical defences are directed to deter specialist birds (Pasteels et al., 1995). Despite these defences against specialist birds, larvae still remain vulnerable to generalist passeriform birds, which select the most abundant prey as a result of their optimal foraging strategy (Stephens &amp; Krebs, 1986). Ultimately, the timing and intensities of these intricate interactions are dictated by phenological variations subjected to Climatic and management context.</w:t>
      </w:r>
    </w:p>
    <w:p w14:paraId="023EE8B9" w14:textId="24F14EA4"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 xml:space="preserve">At least nine ecologically relevant phenologies vary in this system, each having documented links to climate. Spring–summer seasonal length, which changes under a warming climate, determines the vernal growth period of the tree for canopy recovery and vulnerability window for beetle to parasitoid attack for resilience against beetle outbreak(Renner &amp; Zohner, 2018; Dolch &amp; Tscharntke, 2000). Winter severity influences the overwintering survival of both beetle and parasitoid, which together set the effective outbreak intensity for the following season (Sivrikaya et al., 2020; Stireman et al., 2006).  Parasitoid development rate increases with warmer climate, raising mortality in parasitised larvae (Stireman et al., 2006). Concurrently, a warmer winter also lowers the baseline mortality in overwintering larvae. Aggregate predation pressure on the beetle from generalist passeriform birds also varies widely (Monteagudo et al., 2023). This predation pressure depends on habitat structure, breeding disturbance, local bird community composition, learned avoidance of beetle chemical defence, and the impact of bird-habitat enhancements. Adaptive foliage and growth patterns can also impact beetle-parasitoid interactions in alder forests under recurring beetle attack (Tscharntke et al., 2001; Dolch &amp; Tscharntke, 2000). The plant adaptation can lead to a lower carrying capacity for the foraging aggregation of beetles, which is a phenological signal for the parasitoid to locate the beetles. So, a decrease in foraging aggregation can lead to a lower parasitoid attack rate (Stireman et al., 2006). Thus, variability across phenologies jointly shapes the interactions that adapt the system stability via resilience, resistance, and recovery components. </w:t>
      </w:r>
    </w:p>
    <w:p w14:paraId="4272BD99" w14:textId="77777777"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 xml:space="preserve">Understanding how these phenological variabilities shape adaptive stability as a property defined by dynamic resistance, resilience, and recovery can offer strategic planning in habitat restoration and especially pest control by minimising cost and maximising benefit in two aspects: timing and effort per intervention measures to design a combined strategy. The optimal control theory can help minimise the cost of intervention strategies using the interdependence of these phenologies, intervention measures, and environmental changes (Lenhart &amp; Workman, 2007). A first step to apply the strategy in the system is to understand the system's equilibria and their ecological </w:t>
      </w:r>
      <w:r w:rsidRPr="006A1945">
        <w:rPr>
          <w:rFonts w:ascii="Times New Roman" w:hAnsi="Times New Roman" w:cs="Times New Roman"/>
          <w:sz w:val="20"/>
          <w:szCs w:val="20"/>
        </w:rPr>
        <w:lastRenderedPageBreak/>
        <w:t>desirability. For instance, since there is no direct empirical evidence on the behavioural or visual distinction of the parasitised beetles from susceptible ones, the consumption of both classes can be assumed to be equal by generalist passeriform birds (Segoli et al., 2024). Under this assumption, bird predation on parasitised larvae can be interpreted as intraguild predation; foraging on parasitised beetle larvae eliminates future parasitoid recruits as endoparasitoid will be killed with beetle larvae before their emergence (Polis et al., 1989; Rosenheim, 1998; Fakhry et al., 2022). In a hypothetical parasitoid-free scenario, the generalist passeriform birds can still provide natural regulation of the beetle only during the outbreak, but without sustained parasitoid, the risk of canopy loss increases. Such a hypothetical parasitoid-free equilibrium, even if locally stable, is ecologically undesirable. Consequently, this research focuses on optimising intervention strategies that maintain coexistence equilibria and identify parameter conditions that may drive the system to an ecologically undesirable equilibria.</w:t>
      </w:r>
    </w:p>
    <w:p w14:paraId="46E07FDC" w14:textId="4664550E"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Despite detailed empirical investigation into phenologies in this focal ecoepidemic system, the canopy state regime and adaptive stability remain poorly understood. Measuring resistance is challenging and may only provide a limited understanding of the current stage. For instance, it is empirically difficult to quantify the exact thresholds for plant chemical accumulation, required bird diversity, or parasitoid density needed to control the beetle population without risking extinction. In this study, we measure resistance as a loss from the expected outbreak intensity across seasonal and annual scales. We define resilience as the reciprocal of the rate of recovery in annual carrying capacity. However, following Van Meerbeek et al. (2021), we view ecological stability as a multidimensional property rather than a single measure. This perspective helps place our focal system within a broader stability framework that includes resistance, resilience, and the ability of the system to remain within the same domain of attraction after perturbation (Donohue et al., 2016; Hillebrand et al., 2018). Here, we use that framework only as a conceptual guide. The actual stability measures are defined using biologically relevant variables from our hybrid seasonal–annual model: low larval density and low cumulative defoliation indicate strong resistance during the outbreak season, whereas rapid return of annual carrying capacity and system state toward the reference annual equilibrium indicates resilience across years. In this way, Van Meerbeek et al. (2021) provide the general language of stability, while our model provides the system-specific quantities used to evaluate the objectives.</w:t>
      </w:r>
    </w:p>
    <w:p w14:paraId="66D7C1B8" w14:textId="476D96A5" w:rsidR="006A1945" w:rsidRPr="006A1945" w:rsidRDefault="006A1945" w:rsidP="006A1945">
      <w:pPr>
        <w:spacing w:line="240" w:lineRule="auto"/>
        <w:jc w:val="both"/>
        <w:rPr>
          <w:rFonts w:ascii="Times New Roman" w:hAnsi="Times New Roman" w:cs="Times New Roman"/>
          <w:sz w:val="20"/>
          <w:szCs w:val="20"/>
        </w:rPr>
      </w:pPr>
      <w:r w:rsidRPr="006A1945">
        <w:rPr>
          <w:rFonts w:ascii="Times New Roman" w:hAnsi="Times New Roman" w:cs="Times New Roman"/>
          <w:sz w:val="20"/>
          <w:szCs w:val="20"/>
        </w:rPr>
        <w:t>Using these definitions, we formulate three aims to advance the understanding of adaptive stability in this ecoepidemic system. This framework can support management planning under optimal control theory. O1. We identify the most probable stable equilibria of the system across all phenological scenarios. To meet this aim, we develop a process-based model that captures phenologies and intervention strategies through parameters. We represent phenological variability via a parameter space of the model. We then search for all possible stable equilibria in this variable parameter space. Next, we test H1: across phenological variability , the system is likely to converge to a desirable coexistence equilibrium, defined by the presence of a canopy, bird, and parasitoid that can prevent future beetle outbreaks if reintroduced. O2. We quantify the probability of the system shifting to an undesirable equilibrium from its current coexistence equilibrium, unless coexistence is the likeliest equilibrium across phenological variabilities. We test H2: changes in certain phenologies, or parameter values, may serve as early warning signals of a shift to an undesirable equilibrium that still maintains stability. If so, we aim to classify them for each potential undesirable equilibrium. O3. We determine the minimal effort needed for three pest control strategies against the leaf beetle to prevent regime shift. Using optimal control, we aim to minimise the cost of effort per strategy. To guide intervention planning, we test three sets of scenarios, ranging from the least costly to the most costly strategy combinations, against all variable phenologies. We do not explicitly study the spatial variability of the system due to limited comprehensive spatially explicit data for the Adler forests across Europe. However, with the phenological variability, we show how the result and our framework are adaptive for any specific black alder forest</w:t>
      </w:r>
      <w:r w:rsidR="002F1AFE">
        <w:rPr>
          <w:rFonts w:ascii="Times New Roman" w:hAnsi="Times New Roman" w:cs="Times New Roman"/>
          <w:sz w:val="20"/>
          <w:szCs w:val="20"/>
        </w:rPr>
        <w:t xml:space="preserve"> as an additional dissemination measure</w:t>
      </w:r>
      <w:r w:rsidRPr="006A1945">
        <w:rPr>
          <w:rFonts w:ascii="Times New Roman" w:hAnsi="Times New Roman" w:cs="Times New Roman"/>
          <w:sz w:val="20"/>
          <w:szCs w:val="20"/>
        </w:rPr>
        <w:t>.</w:t>
      </w:r>
    </w:p>
    <w:p w14:paraId="6238A6E6" w14:textId="741BBABC" w:rsidR="005444A5" w:rsidRPr="006A1945" w:rsidRDefault="005444A5" w:rsidP="006A1945">
      <w:pPr>
        <w:spacing w:line="240" w:lineRule="auto"/>
        <w:jc w:val="both"/>
        <w:rPr>
          <w:rFonts w:ascii="Times New Roman" w:hAnsi="Times New Roman" w:cs="Times New Roman"/>
          <w:sz w:val="20"/>
          <w:szCs w:val="20"/>
        </w:rPr>
      </w:pPr>
      <w:r w:rsidRPr="006A1945">
        <w:rPr>
          <w:rFonts w:ascii="Times New Roman" w:hAnsi="Times New Roman" w:cs="Times New Roman"/>
          <w:b/>
          <w:sz w:val="20"/>
          <w:szCs w:val="20"/>
        </w:rPr>
        <w:t>Methodology</w:t>
      </w:r>
    </w:p>
    <w:p w14:paraId="493A1CB9" w14:textId="31B4A4A1" w:rsidR="00CB3732" w:rsidRPr="009668D3" w:rsidRDefault="00CB3732"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We use the structural property of the systems' </w:t>
      </w:r>
      <w:r w:rsidR="00677CC7" w:rsidRPr="009668D3">
        <w:rPr>
          <w:rFonts w:ascii="Times New Roman" w:hAnsi="Times New Roman" w:cs="Times New Roman"/>
          <w:sz w:val="20"/>
          <w:szCs w:val="20"/>
        </w:rPr>
        <w:t>well-studied</w:t>
      </w:r>
      <w:r w:rsidRPr="009668D3">
        <w:rPr>
          <w:rFonts w:ascii="Times New Roman" w:hAnsi="Times New Roman" w:cs="Times New Roman"/>
          <w:sz w:val="20"/>
          <w:szCs w:val="20"/>
        </w:rPr>
        <w:t xml:space="preserve"> ecological interactions to model the system using process-based modelling. Then we characterise the </w:t>
      </w:r>
      <w:r w:rsidR="00677CC7" w:rsidRPr="009668D3">
        <w:rPr>
          <w:rFonts w:ascii="Times New Roman" w:hAnsi="Times New Roman" w:cs="Times New Roman"/>
          <w:sz w:val="20"/>
          <w:szCs w:val="20"/>
        </w:rPr>
        <w:t>system's</w:t>
      </w:r>
      <w:r w:rsidRPr="009668D3">
        <w:rPr>
          <w:rFonts w:ascii="Times New Roman" w:hAnsi="Times New Roman" w:cs="Times New Roman"/>
          <w:sz w:val="20"/>
          <w:szCs w:val="20"/>
        </w:rPr>
        <w:t xml:space="preserve"> stability across parameter space in this study with emphasis on persistence conditions, equilibrium transitions, and comparative control performance. Therefore</w:t>
      </w:r>
      <w:r w:rsidR="00677CC7" w:rsidRPr="009668D3">
        <w:rPr>
          <w:rFonts w:ascii="Times New Roman" w:hAnsi="Times New Roman" w:cs="Times New Roman"/>
          <w:sz w:val="20"/>
          <w:szCs w:val="20"/>
        </w:rPr>
        <w:t>, we employ a four-stage analysis</w:t>
      </w:r>
      <w:r w:rsidRPr="009668D3">
        <w:rPr>
          <w:rFonts w:ascii="Times New Roman" w:hAnsi="Times New Roman" w:cs="Times New Roman"/>
          <w:sz w:val="20"/>
          <w:szCs w:val="20"/>
        </w:rPr>
        <w:t xml:space="preserve"> to characterise stability from the structural properties of the system within a unified seasonal–annual framework. First, we formulate a set of process-based within-season ordinary differential equation models and nest them within an annual recurrence process. Second, we identify equilibria as fixed points of the annual process and derive the basic reproduction rate of the parasitoid at the parasitoid-free fixed point using the next-generation matrix with modifications required for the hybrid seasonal-annual structure following van den Driessche &amp; Watmough (2002). Third, we analyse the local stability of the annual fixed points through the Jacobian of the annual process, including computation of the Jacobian by means of variational (sensitivity) equations of the within-season flow, together with identification of bifurcation boundaries in parameter space (Kuznetsov, 2004). We define the parameter space based on eigenvalues of the annual-process Jacobian crossing </w:t>
      </w:r>
      <w:r w:rsidRPr="009668D3">
        <w:rPr>
          <w:rFonts w:ascii="Times New Roman" w:hAnsi="Times New Roman" w:cs="Times New Roman"/>
          <w:sz w:val="20"/>
          <w:szCs w:val="20"/>
        </w:rPr>
        <w:lastRenderedPageBreak/>
        <w:t xml:space="preserve">the unit circle. Fourth, we formulate an optimal control problem and solve it numerically through Pontryagin's Maximum Principle and the forward–backward sweep method </w:t>
      </w:r>
      <w:r w:rsidR="00FB510D" w:rsidRPr="001E6700">
        <w:rPr>
          <w:rFonts w:ascii="Times New Roman" w:hAnsi="Times New Roman" w:cs="Times New Roman"/>
          <w:sz w:val="20"/>
          <w:szCs w:val="20"/>
        </w:rPr>
        <w:t xml:space="preserve">to </w:t>
      </w:r>
      <w:r w:rsidR="002F1AFE">
        <w:rPr>
          <w:rFonts w:ascii="Times New Roman" w:hAnsi="Times New Roman" w:cs="Times New Roman"/>
          <w:sz w:val="20"/>
          <w:szCs w:val="20"/>
        </w:rPr>
        <w:t>evaluate system stability under optimal control constraints to test</w:t>
      </w:r>
      <w:r w:rsidRPr="001E6700">
        <w:rPr>
          <w:rFonts w:ascii="Times New Roman" w:hAnsi="Times New Roman" w:cs="Times New Roman"/>
          <w:sz w:val="20"/>
          <w:szCs w:val="20"/>
        </w:rPr>
        <w:t xml:space="preserve"> the stability of the system in light of </w:t>
      </w:r>
      <w:r w:rsidRPr="009668D3">
        <w:rPr>
          <w:rFonts w:ascii="Times New Roman" w:hAnsi="Times New Roman" w:cs="Times New Roman"/>
          <w:sz w:val="20"/>
          <w:szCs w:val="20"/>
        </w:rPr>
        <w:t xml:space="preserve">optimal control </w:t>
      </w:r>
      <w:r w:rsidR="002F1AFE" w:rsidRPr="001E6700">
        <w:rPr>
          <w:rFonts w:ascii="Times New Roman" w:hAnsi="Times New Roman" w:cs="Times New Roman"/>
          <w:sz w:val="20"/>
          <w:szCs w:val="20"/>
        </w:rPr>
        <w:t xml:space="preserve">constraints </w:t>
      </w:r>
      <w:r w:rsidR="002F1AFE" w:rsidRPr="009668D3">
        <w:rPr>
          <w:rFonts w:ascii="Times New Roman" w:hAnsi="Times New Roman" w:cs="Times New Roman"/>
          <w:sz w:val="20"/>
          <w:szCs w:val="20"/>
        </w:rPr>
        <w:t>(</w:t>
      </w:r>
      <w:r w:rsidRPr="009668D3">
        <w:rPr>
          <w:rFonts w:ascii="Times New Roman" w:hAnsi="Times New Roman" w:cs="Times New Roman"/>
          <w:sz w:val="20"/>
          <w:szCs w:val="20"/>
        </w:rPr>
        <w:t>Lenhart &amp; Workman, 2007). We then perform a systematic robustness evaluation across the full plausible parameter ranges in the numerical analyses (see Section 2.3) and compare the resulting optimal-control trajectories and stability landscapes across the alternative control scenarios introduced in the Introduction. We organise the methodology into three subsections: (1) model formulation, (2) structural stability analyses, and (3) numerical analyses. The model formulation includes an explicit mapping of nine phenological scenarios to model parameters (Table S1 in Annex 1). The structural stability analyses derive equilibrium conditions, the parasitoid invasion threshold, bifurcation boundaries, and optimal control solutions. The numerical analyses evaluate all stability and control outcomes across the full plausible parameter space defined by these phenological scenarios (Annex 1). Together, the three subsections address: (O1) identification of the most probable stable equilibria across phenological scenarios, (O2) quantification of regime shift probability and identification of parametric drivers of instability that may translate to candidate early warning signals, and (O3) determination of the minimal intervention effort under three pest-management</w:t>
      </w:r>
      <w:r w:rsidR="00677CC7" w:rsidRPr="009668D3">
        <w:rPr>
          <w:rFonts w:ascii="Times New Roman" w:hAnsi="Times New Roman" w:cs="Times New Roman"/>
          <w:sz w:val="20"/>
          <w:szCs w:val="20"/>
        </w:rPr>
        <w:t xml:space="preserve"> scenarios.</w:t>
      </w:r>
    </w:p>
    <w:p w14:paraId="0E0B5E9E" w14:textId="4B23F257" w:rsidR="00E24342" w:rsidRPr="009668D3" w:rsidRDefault="00757681"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2.1 </w:t>
      </w:r>
      <w:r w:rsidR="00261D0A" w:rsidRPr="009668D3">
        <w:rPr>
          <w:rFonts w:ascii="Times New Roman" w:hAnsi="Times New Roman" w:cs="Times New Roman"/>
          <w:b/>
          <w:sz w:val="20"/>
          <w:szCs w:val="20"/>
        </w:rPr>
        <w:t>Model formulation</w:t>
      </w:r>
      <w:r w:rsidR="00261D0A" w:rsidRPr="009668D3">
        <w:rPr>
          <w:rFonts w:ascii="Times New Roman" w:hAnsi="Times New Roman" w:cs="Times New Roman"/>
          <w:sz w:val="20"/>
          <w:szCs w:val="20"/>
        </w:rPr>
        <w:t xml:space="preserve"> </w:t>
      </w:r>
    </w:p>
    <w:p w14:paraId="208F2984" w14:textId="7D314EC3" w:rsidR="00261D0A" w:rsidRPr="009668D3" w:rsidRDefault="00261D0A"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model comprises two coupled modules that operate at distinct temporal scales. Module 1 is a within-season eco-epidemic ordinary differential equation system that characterises the tri-trophic dynamics during the spring-summer larval vulnerability window of </w:t>
      </w:r>
      <w:r w:rsidR="0086625E" w:rsidRPr="009668D3">
        <w:rPr>
          <w:rFonts w:ascii="Times New Roman" w:hAnsi="Times New Roman" w:cs="Times New Roman"/>
          <w:sz w:val="20"/>
          <w:szCs w:val="20"/>
        </w:rPr>
        <w:t>the leaf beetle</w:t>
      </w:r>
      <w:r w:rsidRPr="009668D3">
        <w:rPr>
          <w:rFonts w:ascii="Times New Roman" w:hAnsi="Times New Roman" w:cs="Times New Roman"/>
          <w:sz w:val="20"/>
          <w:szCs w:val="20"/>
        </w:rPr>
        <w:t xml:space="preserve">. Module 2 is an annual discrete recurrence process that connects successive seasons by updating the beetle recruitment cohort, the parasitoid overwintering population, and the implicit alder foliage carrying capacity according to cumulative defoliation damage. All state variables are expressed per hectare of </w:t>
      </w:r>
      <w:r w:rsidR="009F0017" w:rsidRPr="009668D3">
        <w:rPr>
          <w:rFonts w:ascii="Times New Roman" w:hAnsi="Times New Roman" w:cs="Times New Roman"/>
          <w:sz w:val="20"/>
          <w:szCs w:val="20"/>
        </w:rPr>
        <w:t>alluvial forest</w:t>
      </w:r>
      <w:r w:rsidRPr="009668D3">
        <w:rPr>
          <w:rFonts w:ascii="Times New Roman" w:hAnsi="Times New Roman" w:cs="Times New Roman"/>
          <w:sz w:val="20"/>
          <w:szCs w:val="20"/>
        </w:rPr>
        <w:t xml:space="preserve"> stand.</w:t>
      </w:r>
      <w:r w:rsidR="009F0017" w:rsidRPr="009668D3">
        <w:rPr>
          <w:rFonts w:ascii="Times New Roman" w:hAnsi="Times New Roman" w:cs="Times New Roman"/>
          <w:sz w:val="20"/>
          <w:szCs w:val="20"/>
        </w:rPr>
        <w:t xml:space="preserve"> Because resistance emerges within and across seasons, while resilience depends on annual canopy recovery and carrying-capacity return, only a two-timescale model can identify equilibria, regime shifts, and minimal interventions reliably.</w:t>
      </w:r>
    </w:p>
    <w:p w14:paraId="770A9CA8" w14:textId="198BC745" w:rsidR="00261D0A" w:rsidRPr="009668D3" w:rsidRDefault="00CD1DA7"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Module</w:t>
      </w:r>
      <w:r w:rsidR="00643ED9" w:rsidRPr="009668D3">
        <w:rPr>
          <w:rFonts w:ascii="Times New Roman" w:hAnsi="Times New Roman" w:cs="Times New Roman"/>
          <w:sz w:val="20"/>
          <w:szCs w:val="20"/>
        </w:rPr>
        <w:t xml:space="preserve"> 1</w:t>
      </w:r>
      <w:r w:rsidRPr="009668D3">
        <w:rPr>
          <w:rFonts w:ascii="Times New Roman" w:hAnsi="Times New Roman" w:cs="Times New Roman"/>
          <w:sz w:val="20"/>
          <w:szCs w:val="20"/>
        </w:rPr>
        <w:t xml:space="preserve">:  We consider four within-season state variables over continuous time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where T is the duration of the larval vulnerability window (baseline T = </w:t>
      </w:r>
      <w:r w:rsidR="0072628F" w:rsidRPr="009668D3">
        <w:rPr>
          <w:rFonts w:ascii="Times New Roman" w:hAnsi="Times New Roman" w:cs="Times New Roman"/>
          <w:sz w:val="20"/>
          <w:szCs w:val="20"/>
        </w:rPr>
        <w:t>55</w:t>
      </w:r>
      <w:r w:rsidRPr="009668D3">
        <w:rPr>
          <w:rFonts w:ascii="Times New Roman" w:hAnsi="Times New Roman" w:cs="Times New Roman"/>
          <w:sz w:val="20"/>
          <w:szCs w:val="20"/>
        </w:rPr>
        <w:t xml:space="preserve"> days, range 45-70 days; univoltine phenology of </w:t>
      </w:r>
      <w:r w:rsidR="00DE70C9" w:rsidRPr="009668D3">
        <w:rPr>
          <w:rFonts w:ascii="Times New Roman" w:hAnsi="Times New Roman" w:cs="Times New Roman"/>
          <w:sz w:val="20"/>
          <w:szCs w:val="20"/>
        </w:rPr>
        <w:t>the leaf beetle</w:t>
      </w:r>
      <w:r w:rsidRPr="009668D3">
        <w:rPr>
          <w:rFonts w:ascii="Times New Roman" w:hAnsi="Times New Roman" w:cs="Times New Roman"/>
          <w:sz w:val="20"/>
          <w:szCs w:val="20"/>
        </w:rPr>
        <w:t>)</w:t>
      </w:r>
      <w:r w:rsidR="00840C95" w:rsidRPr="009668D3">
        <w:rPr>
          <w:rFonts w:ascii="Times New Roman" w:hAnsi="Times New Roman" w:cs="Times New Roman"/>
          <w:sz w:val="20"/>
          <w:szCs w:val="20"/>
        </w:rPr>
        <w:t>. We denote</w:t>
      </w:r>
      <w:r w:rsidRPr="009668D3">
        <w:rPr>
          <w:rFonts w:ascii="Times New Roman" w:hAnsi="Times New Roman" w:cs="Times New Roman"/>
          <w:sz w:val="20"/>
          <w:szCs w:val="20"/>
        </w:rPr>
        <w:t xml:space="preserve"> S(τ)</w:t>
      </w:r>
      <w:r w:rsidR="00840C95" w:rsidRPr="009668D3">
        <w:rPr>
          <w:rFonts w:ascii="Times New Roman" w:hAnsi="Times New Roman" w:cs="Times New Roman"/>
          <w:sz w:val="20"/>
          <w:szCs w:val="20"/>
        </w:rPr>
        <w:t xml:space="preserve"> as</w:t>
      </w:r>
      <w:r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 xml:space="preserve">the </w:t>
      </w:r>
      <w:r w:rsidRPr="009668D3">
        <w:rPr>
          <w:rFonts w:ascii="Times New Roman" w:hAnsi="Times New Roman" w:cs="Times New Roman"/>
          <w:sz w:val="20"/>
          <w:szCs w:val="20"/>
        </w:rPr>
        <w:t xml:space="preserve">density of susceptible (unparasitised) </w:t>
      </w:r>
      <w:r w:rsidR="00DE70C9" w:rsidRPr="009668D3">
        <w:rPr>
          <w:rFonts w:ascii="Times New Roman" w:hAnsi="Times New Roman" w:cs="Times New Roman"/>
          <w:sz w:val="20"/>
          <w:szCs w:val="20"/>
        </w:rPr>
        <w:t>beetle</w:t>
      </w:r>
      <w:r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larvae</w:t>
      </w:r>
      <w:r w:rsidRPr="009668D3">
        <w:rPr>
          <w:rFonts w:ascii="Times New Roman" w:hAnsi="Times New Roman" w:cs="Times New Roman"/>
          <w:sz w:val="20"/>
          <w:szCs w:val="20"/>
        </w:rPr>
        <w:t>, I(τ)</w:t>
      </w:r>
      <w:r w:rsidR="00840C95" w:rsidRPr="009668D3">
        <w:rPr>
          <w:rFonts w:ascii="Times New Roman" w:hAnsi="Times New Roman" w:cs="Times New Roman"/>
          <w:sz w:val="20"/>
          <w:szCs w:val="20"/>
        </w:rPr>
        <w:t xml:space="preserve"> as</w:t>
      </w:r>
      <w:r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 xml:space="preserve">the </w:t>
      </w:r>
      <w:r w:rsidRPr="009668D3">
        <w:rPr>
          <w:rFonts w:ascii="Times New Roman" w:hAnsi="Times New Roman" w:cs="Times New Roman"/>
          <w:sz w:val="20"/>
          <w:szCs w:val="20"/>
        </w:rPr>
        <w:t xml:space="preserve">density of parasitised ("infected") </w:t>
      </w:r>
      <w:r w:rsidR="008B1061" w:rsidRPr="009668D3">
        <w:rPr>
          <w:rFonts w:ascii="Times New Roman" w:hAnsi="Times New Roman" w:cs="Times New Roman"/>
          <w:sz w:val="20"/>
          <w:szCs w:val="20"/>
        </w:rPr>
        <w:t>b</w:t>
      </w:r>
      <w:r w:rsidR="00066319" w:rsidRPr="009668D3">
        <w:rPr>
          <w:rFonts w:ascii="Times New Roman" w:hAnsi="Times New Roman" w:cs="Times New Roman"/>
          <w:sz w:val="20"/>
          <w:szCs w:val="20"/>
        </w:rPr>
        <w:t>eetle</w:t>
      </w:r>
      <w:r w:rsidRPr="009668D3">
        <w:rPr>
          <w:rFonts w:ascii="Times New Roman" w:hAnsi="Times New Roman" w:cs="Times New Roman"/>
          <w:sz w:val="20"/>
          <w:szCs w:val="20"/>
        </w:rPr>
        <w:t xml:space="preserve"> larvae</w:t>
      </w:r>
      <w:r w:rsidR="00E50D54" w:rsidRPr="009668D3">
        <w:rPr>
          <w:rFonts w:ascii="Times New Roman" w:hAnsi="Times New Roman" w:cs="Times New Roman"/>
          <w:sz w:val="20"/>
          <w:szCs w:val="20"/>
        </w:rPr>
        <w:t>,</w:t>
      </w:r>
      <w:r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 xml:space="preserve">and </w:t>
      </w:r>
      <w:r w:rsidRPr="009668D3">
        <w:rPr>
          <w:rFonts w:ascii="Times New Roman" w:hAnsi="Times New Roman" w:cs="Times New Roman"/>
          <w:sz w:val="20"/>
          <w:szCs w:val="20"/>
        </w:rPr>
        <w:t>F(τ)</w:t>
      </w:r>
      <w:r w:rsidR="00840C95" w:rsidRPr="009668D3">
        <w:rPr>
          <w:rFonts w:ascii="Times New Roman" w:hAnsi="Times New Roman" w:cs="Times New Roman"/>
          <w:sz w:val="20"/>
          <w:szCs w:val="20"/>
        </w:rPr>
        <w:t xml:space="preserve"> as </w:t>
      </w:r>
      <w:r w:rsidR="00677CC7" w:rsidRPr="009668D3">
        <w:rPr>
          <w:rFonts w:ascii="Times New Roman" w:hAnsi="Times New Roman" w:cs="Times New Roman"/>
          <w:sz w:val="20"/>
          <w:szCs w:val="20"/>
        </w:rPr>
        <w:t xml:space="preserve">the </w:t>
      </w:r>
      <w:r w:rsidRPr="009668D3">
        <w:rPr>
          <w:rFonts w:ascii="Times New Roman" w:hAnsi="Times New Roman" w:cs="Times New Roman"/>
          <w:sz w:val="20"/>
          <w:szCs w:val="20"/>
        </w:rPr>
        <w:t>density of adult parasitoid flies</w:t>
      </w:r>
      <w:r w:rsidR="00677CC7" w:rsidRPr="009668D3">
        <w:rPr>
          <w:rFonts w:ascii="Times New Roman" w:hAnsi="Times New Roman" w:cs="Times New Roman"/>
          <w:sz w:val="20"/>
          <w:szCs w:val="20"/>
        </w:rPr>
        <w:t>.</w:t>
      </w:r>
      <w:r w:rsidR="00E50D54" w:rsidRPr="009668D3">
        <w:rPr>
          <w:rFonts w:ascii="Times New Roman" w:hAnsi="Times New Roman" w:cs="Times New Roman"/>
          <w:sz w:val="20"/>
          <w:szCs w:val="20"/>
        </w:rPr>
        <w:t xml:space="preserve"> </w:t>
      </w:r>
      <m:oMath>
        <m:r>
          <w:rPr>
            <w:rFonts w:ascii="Cambria Math" w:hAnsi="Cambria Math" w:cs="Times New Roman"/>
            <w:sz w:val="20"/>
            <w:szCs w:val="20"/>
          </w:rPr>
          <m:t>D(τ)</m:t>
        </m:r>
      </m:oMath>
      <w:r w:rsidR="00223D98" w:rsidRPr="009668D3">
        <w:rPr>
          <w:rFonts w:ascii="Times New Roman" w:hAnsi="Times New Roman" w:cs="Times New Roman"/>
          <w:sz w:val="20"/>
          <w:szCs w:val="20"/>
        </w:rPr>
        <w:t>: cumulative defoliation damage</w:t>
      </w:r>
      <w:r w:rsidRPr="009668D3">
        <w:rPr>
          <w:rFonts w:ascii="Times New Roman" w:hAnsi="Times New Roman" w:cs="Times New Roman"/>
          <w:sz w:val="20"/>
          <w:szCs w:val="20"/>
        </w:rPr>
        <w:t>.</w:t>
      </w:r>
      <w:r w:rsidR="00E50D54" w:rsidRPr="009668D3">
        <w:rPr>
          <w:rFonts w:ascii="Times New Roman" w:hAnsi="Times New Roman" w:cs="Times New Roman"/>
          <w:sz w:val="20"/>
          <w:szCs w:val="20"/>
        </w:rPr>
        <w:t xml:space="preserve"> Population state variables are expressed per hectare of alluvial forest stand, whereas cumulative defoliation damage is represented as a dimensionless fractional quantity.</w:t>
      </w:r>
      <w:r w:rsidRPr="009668D3">
        <w:rPr>
          <w:rFonts w:ascii="Times New Roman" w:hAnsi="Times New Roman" w:cs="Times New Roman"/>
          <w:sz w:val="20"/>
          <w:szCs w:val="20"/>
        </w:rPr>
        <w:t xml:space="preserve"> </w:t>
      </w:r>
      <w:r w:rsidR="00840C95" w:rsidRPr="009668D3">
        <w:rPr>
          <w:rFonts w:ascii="Times New Roman" w:hAnsi="Times New Roman" w:cs="Times New Roman"/>
          <w:sz w:val="20"/>
          <w:szCs w:val="20"/>
        </w:rPr>
        <w:t xml:space="preserve">We describe the within-season dynamics of susceptible </w:t>
      </w:r>
      <w:r w:rsidR="00DE70C9" w:rsidRPr="009668D3">
        <w:rPr>
          <w:rFonts w:ascii="Times New Roman" w:hAnsi="Times New Roman" w:cs="Times New Roman"/>
          <w:sz w:val="20"/>
          <w:szCs w:val="20"/>
        </w:rPr>
        <w:t>beetle</w:t>
      </w:r>
      <w:r w:rsidR="00840C95" w:rsidRPr="009668D3">
        <w:rPr>
          <w:rFonts w:ascii="Times New Roman" w:hAnsi="Times New Roman" w:cs="Times New Roman"/>
          <w:sz w:val="20"/>
          <w:szCs w:val="20"/>
        </w:rPr>
        <w:t xml:space="preserve"> larvae by</w:t>
      </w:r>
      <w:r w:rsidRPr="009668D3">
        <w:rPr>
          <w:rFonts w:ascii="Times New Roman" w:hAnsi="Times New Roman" w:cs="Times New Roman"/>
          <w:sz w:val="20"/>
          <w:szCs w:val="20"/>
        </w:rPr>
        <w:t>:</w:t>
      </w:r>
    </w:p>
    <w:p w14:paraId="4AF267DC" w14:textId="7A2DA73E" w:rsidR="00CD1DA7" w:rsidRPr="009668D3" w:rsidRDefault="00FB510D" w:rsidP="002D21BC">
      <w:pPr>
        <w:spacing w:line="240" w:lineRule="auto"/>
        <w:jc w:val="both"/>
        <w:rPr>
          <w:rFonts w:ascii="Times New Roman" w:hAnsi="Times New Roman" w:cs="Times New Roman"/>
          <w:sz w:val="20"/>
          <w:szCs w:val="20"/>
        </w:rPr>
      </w:pPr>
      <m:oMath>
        <m:f>
          <m:fPr>
            <m:ctrlPr>
              <w:rPr>
                <w:rFonts w:ascii="Cambria Math" w:hAnsi="Cambria Math" w:cs="Times New Roman"/>
                <w:i/>
                <w:sz w:val="20"/>
                <w:szCs w:val="20"/>
              </w:rPr>
            </m:ctrlPr>
          </m:fPr>
          <m:num>
            <m:r>
              <w:rPr>
                <w:rFonts w:ascii="Cambria Math" w:hAnsi="Cambria Math" w:cs="Times New Roman"/>
                <w:sz w:val="20"/>
                <w:szCs w:val="20"/>
              </w:rPr>
              <m:t>dS</m:t>
            </m:r>
            <m:r>
              <w:rPr>
                <w:rFonts w:ascii="Cambria Math" w:hAnsi="Cambria Math" w:cs="Times New Roman"/>
                <w:sz w:val="20"/>
                <w:szCs w:val="20"/>
              </w:rPr>
              <m:t>(</m:t>
            </m:r>
            <m:r>
              <w:rPr>
                <w:rFonts w:ascii="Cambria Math" w:hAnsi="Cambria Math" w:cs="Times New Roman"/>
                <w:sz w:val="20"/>
                <w:szCs w:val="20"/>
              </w:rPr>
              <m:t>τ</m:t>
            </m:r>
            <m:r>
              <w:rPr>
                <w:rFonts w:ascii="Cambria Math" w:hAnsi="Cambria Math" w:cs="Times New Roman"/>
                <w:sz w:val="20"/>
                <w:szCs w:val="20"/>
              </w:rPr>
              <m:t>)</m:t>
            </m:r>
          </m:num>
          <m:den>
            <m:r>
              <w:rPr>
                <w:rFonts w:ascii="Cambria Math" w:hAnsi="Cambria Math" w:cs="Times New Roman"/>
                <w:sz w:val="20"/>
                <w:szCs w:val="20"/>
              </w:rPr>
              <m:t>dτ</m:t>
            </m:r>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β</m:t>
            </m:r>
            <m:r>
              <w:rPr>
                <w:rFonts w:ascii="Cambria Math" w:hAnsi="Cambria Math" w:cs="Times New Roman"/>
                <w:sz w:val="20"/>
                <w:szCs w:val="20"/>
              </w:rPr>
              <m:t xml:space="preserve">× </m:t>
            </m:r>
            <m:r>
              <w:rPr>
                <w:rFonts w:ascii="Cambria Math" w:hAnsi="Cambria Math" w:cs="Times New Roman"/>
                <w:sz w:val="20"/>
                <w:szCs w:val="20"/>
              </w:rPr>
              <m:t>F</m:t>
            </m:r>
            <m:r>
              <w:rPr>
                <w:rFonts w:ascii="Cambria Math" w:hAnsi="Cambria Math" w:cs="Times New Roman"/>
                <w:sz w:val="20"/>
                <w:szCs w:val="20"/>
              </w:rPr>
              <m:t>(</m:t>
            </m:r>
            <m:r>
              <w:rPr>
                <w:rFonts w:ascii="Cambria Math" w:hAnsi="Cambria Math" w:cs="Times New Roman"/>
                <w:sz w:val="20"/>
                <w:szCs w:val="20"/>
              </w:rPr>
              <m:t>τ</m:t>
            </m:r>
            <m:r>
              <w:rPr>
                <w:rFonts w:ascii="Cambria Math" w:hAnsi="Cambria Math" w:cs="Times New Roman"/>
                <w:sz w:val="20"/>
                <w:szCs w:val="20"/>
              </w:rPr>
              <m:t xml:space="preserve">)× </m:t>
            </m:r>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num>
          <m:den>
            <m:r>
              <w:rPr>
                <w:rFonts w:ascii="Cambria Math" w:hAnsi="Cambria Math" w:cs="Times New Roman"/>
                <w:sz w:val="20"/>
                <w:szCs w:val="20"/>
              </w:rPr>
              <m:t>1+</m:t>
            </m:r>
            <m:r>
              <w:rPr>
                <w:rFonts w:ascii="Cambria Math" w:hAnsi="Cambria Math" w:cs="Times New Roman"/>
                <w:sz w:val="20"/>
                <w:szCs w:val="20"/>
              </w:rPr>
              <m:t>h×</m:t>
            </m:r>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den>
        </m:f>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m:t>
            </m:r>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num>
          <m:den>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B</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τ</m:t>
                    </m:r>
                  </m:e>
                </m:d>
              </m:e>
            </m:d>
          </m:den>
        </m:f>
        <m:r>
          <w:rPr>
            <w:rFonts w:ascii="Cambria Math" w:hAnsi="Cambria Math" w:cs="Times New Roman"/>
            <w:sz w:val="20"/>
            <w:szCs w:val="20"/>
          </w:rPr>
          <m:t>-</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e>
        </m:d>
        <m:r>
          <w:rPr>
            <w:rFonts w:ascii="Cambria Math" w:hAnsi="Cambria Math" w:cs="Times New Roman"/>
            <w:sz w:val="20"/>
            <w:szCs w:val="20"/>
          </w:rPr>
          <m:t>×</m:t>
        </m:r>
        <m:r>
          <w:rPr>
            <w:rFonts w:ascii="Cambria Math" w:hAnsi="Cambria Math" w:cs="Times New Roman"/>
            <w:sz w:val="20"/>
            <w:szCs w:val="20"/>
          </w:rPr>
          <m:t>S</m:t>
        </m:r>
        <m:r>
          <w:rPr>
            <w:rFonts w:ascii="Cambria Math" w:hAnsi="Cambria Math" w:cs="Times New Roman"/>
            <w:sz w:val="20"/>
            <w:szCs w:val="20"/>
          </w:rPr>
          <m:t>(</m:t>
        </m:r>
        <m:r>
          <w:rPr>
            <w:rFonts w:ascii="Cambria Math" w:hAnsi="Cambria Math" w:cs="Times New Roman"/>
            <w:sz w:val="20"/>
            <w:szCs w:val="20"/>
          </w:rPr>
          <m:t>τ</m:t>
        </m:r>
        <m:r>
          <w:rPr>
            <w:rFonts w:ascii="Cambria Math" w:hAnsi="Cambria Math" w:cs="Times New Roman"/>
            <w:sz w:val="20"/>
            <w:szCs w:val="20"/>
          </w:rPr>
          <m:t>)</m:t>
        </m:r>
      </m:oMath>
      <w:r w:rsidR="00CD1DA7" w:rsidRPr="001E6700">
        <w:rPr>
          <w:rFonts w:ascii="Times New Roman" w:eastAsiaTheme="minorEastAsia" w:hAnsi="Times New Roman" w:cs="Times New Roman"/>
          <w:sz w:val="20"/>
          <w:szCs w:val="20"/>
        </w:rPr>
        <w:t xml:space="preserve"> ... Equation 1</w:t>
      </w:r>
    </w:p>
    <w:p w14:paraId="7FA8C799" w14:textId="4F1E5C51" w:rsidR="00D24492" w:rsidRPr="009668D3" w:rsidRDefault="00CD1DA7"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Here </w:t>
      </w:r>
      <m:oMath>
        <m:f>
          <m:fPr>
            <m:ctrlPr>
              <w:rPr>
                <w:rFonts w:ascii="Cambria Math" w:hAnsi="Cambria Math" w:cs="Times New Roman"/>
                <w:i/>
                <w:sz w:val="20"/>
                <w:szCs w:val="20"/>
              </w:rPr>
            </m:ctrlPr>
          </m:fPr>
          <m:num>
            <m:r>
              <w:rPr>
                <w:rFonts w:ascii="Cambria Math" w:hAnsi="Cambria Math" w:cs="Times New Roman"/>
                <w:sz w:val="20"/>
                <w:szCs w:val="20"/>
              </w:rPr>
              <m:t>dS(τ)</m:t>
            </m:r>
          </m:num>
          <m:den>
            <m:r>
              <w:rPr>
                <w:rFonts w:ascii="Cambria Math" w:hAnsi="Cambria Math" w:cs="Times New Roman"/>
                <w:sz w:val="20"/>
                <w:szCs w:val="20"/>
              </w:rPr>
              <m:t>dτ</m:t>
            </m:r>
          </m:den>
        </m:f>
      </m:oMath>
      <w:r w:rsidRPr="009668D3">
        <w:rPr>
          <w:rFonts w:ascii="Times New Roman" w:hAnsi="Times New Roman" w:cs="Times New Roman"/>
          <w:sz w:val="20"/>
          <w:szCs w:val="20"/>
        </w:rPr>
        <w:t xml:space="preserve">is the rate of change of susceptible </w:t>
      </w:r>
      <w:r w:rsidR="008B1061" w:rsidRPr="009668D3">
        <w:rPr>
          <w:rFonts w:ascii="Times New Roman" w:hAnsi="Times New Roman" w:cs="Times New Roman"/>
          <w:sz w:val="20"/>
          <w:szCs w:val="20"/>
        </w:rPr>
        <w:t>b</w:t>
      </w:r>
      <w:r w:rsidR="00066319" w:rsidRPr="009668D3">
        <w:rPr>
          <w:rFonts w:ascii="Times New Roman" w:hAnsi="Times New Roman" w:cs="Times New Roman"/>
          <w:sz w:val="20"/>
          <w:szCs w:val="20"/>
        </w:rPr>
        <w:t>eetle</w:t>
      </w:r>
      <w:r w:rsidRPr="009668D3">
        <w:rPr>
          <w:rFonts w:ascii="Times New Roman" w:hAnsi="Times New Roman" w:cs="Times New Roman"/>
          <w:sz w:val="20"/>
          <w:szCs w:val="20"/>
        </w:rPr>
        <w:t xml:space="preserve"> larval density over the within-season time τ. </w:t>
      </w:r>
      <w:r w:rsidR="00840C95" w:rsidRPr="009668D3">
        <w:rPr>
          <w:rFonts w:ascii="Times New Roman" w:hAnsi="Times New Roman" w:cs="Times New Roman"/>
          <w:sz w:val="20"/>
          <w:szCs w:val="20"/>
        </w:rPr>
        <w:t xml:space="preserve">The first term, </w:t>
      </w:r>
      <m:oMath>
        <m:f>
          <m:fPr>
            <m:ctrlPr>
              <w:rPr>
                <w:rFonts w:ascii="Cambria Math" w:hAnsi="Cambria Math" w:cs="Times New Roman"/>
                <w:i/>
                <w:sz w:val="20"/>
                <w:szCs w:val="20"/>
              </w:rPr>
            </m:ctrlPr>
          </m:fPr>
          <m:num>
            <m:r>
              <w:rPr>
                <w:rFonts w:ascii="Cambria Math" w:hAnsi="Cambria Math" w:cs="Times New Roman"/>
                <w:sz w:val="20"/>
                <w:szCs w:val="20"/>
              </w:rPr>
              <m:t>-</m:t>
            </m:r>
            <m:r>
              <w:rPr>
                <w:rFonts w:ascii="Cambria Math" w:hAnsi="Cambria Math" w:cs="Times New Roman"/>
                <w:sz w:val="20"/>
                <w:szCs w:val="20"/>
              </w:rPr>
              <m:t>β× F(τ)× S</m:t>
            </m:r>
            <m:d>
              <m:dPr>
                <m:ctrlPr>
                  <w:rPr>
                    <w:rFonts w:ascii="Cambria Math" w:hAnsi="Cambria Math" w:cs="Times New Roman"/>
                    <w:i/>
                    <w:sz w:val="20"/>
                    <w:szCs w:val="20"/>
                  </w:rPr>
                </m:ctrlPr>
              </m:dPr>
              <m:e>
                <m:r>
                  <w:rPr>
                    <w:rFonts w:ascii="Cambria Math" w:hAnsi="Cambria Math" w:cs="Times New Roman"/>
                    <w:sz w:val="20"/>
                    <w:szCs w:val="20"/>
                  </w:rPr>
                  <m:t>τ</m:t>
                </m:r>
              </m:e>
            </m:d>
          </m:num>
          <m:den>
            <m:r>
              <w:rPr>
                <w:rFonts w:ascii="Cambria Math" w:hAnsi="Cambria Math" w:cs="Times New Roman"/>
                <w:sz w:val="20"/>
                <w:szCs w:val="20"/>
              </w:rPr>
              <m:t>1+</m:t>
            </m:r>
            <m:r>
              <w:rPr>
                <w:rFonts w:ascii="Cambria Math" w:hAnsi="Cambria Math" w:cs="Times New Roman"/>
                <w:sz w:val="20"/>
                <w:szCs w:val="20"/>
              </w:rPr>
              <m:t>h×S</m:t>
            </m:r>
            <m:d>
              <m:dPr>
                <m:ctrlPr>
                  <w:rPr>
                    <w:rFonts w:ascii="Cambria Math" w:hAnsi="Cambria Math" w:cs="Times New Roman"/>
                    <w:i/>
                    <w:sz w:val="20"/>
                    <w:szCs w:val="20"/>
                  </w:rPr>
                </m:ctrlPr>
              </m:dPr>
              <m:e>
                <m:r>
                  <w:rPr>
                    <w:rFonts w:ascii="Cambria Math" w:hAnsi="Cambria Math" w:cs="Times New Roman"/>
                    <w:sz w:val="20"/>
                    <w:szCs w:val="20"/>
                  </w:rPr>
                  <m:t>τ</m:t>
                </m:r>
              </m:e>
            </m:d>
          </m:den>
        </m:f>
      </m:oMath>
      <w:r w:rsidR="00840C95" w:rsidRPr="001E6700">
        <w:rPr>
          <w:rFonts w:ascii="Times New Roman" w:hAnsi="Times New Roman" w:cs="Times New Roman"/>
          <w:sz w:val="20"/>
          <w:szCs w:val="20"/>
        </w:rPr>
        <w:t>,</w:t>
      </w:r>
      <w:r w:rsidR="00840C95" w:rsidRPr="009668D3">
        <w:rPr>
          <w:rFonts w:ascii="Times New Roman" w:hAnsi="Times New Roman" w:cs="Times New Roman"/>
          <w:sz w:val="20"/>
          <w:szCs w:val="20"/>
        </w:rPr>
        <w:t xml:space="preserve"> represents </w:t>
      </w:r>
      <w:r w:rsidR="00E50D54" w:rsidRPr="009668D3">
        <w:rPr>
          <w:rFonts w:ascii="Times New Roman" w:hAnsi="Times New Roman" w:cs="Times New Roman"/>
          <w:sz w:val="20"/>
          <w:szCs w:val="20"/>
        </w:rPr>
        <w:t xml:space="preserve">the </w:t>
      </w:r>
      <w:r w:rsidR="00840C95" w:rsidRPr="009668D3">
        <w:rPr>
          <w:rFonts w:ascii="Times New Roman" w:hAnsi="Times New Roman" w:cs="Times New Roman"/>
          <w:sz w:val="20"/>
          <w:szCs w:val="20"/>
        </w:rPr>
        <w:t>parasit</w:t>
      </w:r>
      <w:r w:rsidR="00706436" w:rsidRPr="009668D3">
        <w:rPr>
          <w:rFonts w:ascii="Times New Roman" w:hAnsi="Times New Roman" w:cs="Times New Roman"/>
          <w:sz w:val="20"/>
          <w:szCs w:val="20"/>
        </w:rPr>
        <w:t>oid</w:t>
      </w:r>
      <w:r w:rsidR="00840C95" w:rsidRPr="009668D3">
        <w:rPr>
          <w:rFonts w:ascii="Times New Roman" w:hAnsi="Times New Roman" w:cs="Times New Roman"/>
          <w:sz w:val="20"/>
          <w:szCs w:val="20"/>
        </w:rPr>
        <w:t>ism and follows a Holling type II functional response. Here, β denotes the parasitoid attack rate</w:t>
      </w:r>
      <w:r w:rsidR="00677CC7" w:rsidRPr="009668D3">
        <w:rPr>
          <w:rFonts w:ascii="Times New Roman" w:hAnsi="Times New Roman" w:cs="Times New Roman"/>
          <w:sz w:val="20"/>
          <w:szCs w:val="20"/>
        </w:rPr>
        <w:t>,</w:t>
      </w:r>
      <w:r w:rsidR="00840C95" w:rsidRPr="009668D3">
        <w:rPr>
          <w:rFonts w:ascii="Times New Roman" w:hAnsi="Times New Roman" w:cs="Times New Roman"/>
          <w:sz w:val="20"/>
          <w:szCs w:val="20"/>
        </w:rPr>
        <w:t xml:space="preserve"> and ℎ denotes the parasitoid handling or saturation parameter; together they capture the fact that parasitoid attack increases with host availability but saturates at high larval density because oviposition is time-limited. The second term, </w:t>
      </w:r>
      <m:oMath>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num>
          <m:den>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B</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τ</m:t>
                    </m:r>
                  </m:e>
                </m:d>
              </m:e>
            </m:d>
          </m:den>
        </m:f>
      </m:oMath>
      <w:r w:rsidR="00840C95" w:rsidRPr="001E6700">
        <w:rPr>
          <w:rFonts w:ascii="Times New Roman" w:hAnsi="Times New Roman" w:cs="Times New Roman"/>
          <w:sz w:val="20"/>
          <w:szCs w:val="20"/>
        </w:rPr>
        <w:t>​,</w:t>
      </w:r>
      <w:r w:rsidR="00CB3732" w:rsidRPr="009668D3">
        <w:rPr>
          <w:rFonts w:ascii="Times New Roman" w:hAnsi="Times New Roman" w:cs="Times New Roman"/>
          <w:sz w:val="20"/>
          <w:szCs w:val="20"/>
        </w:rPr>
        <w:t xml:space="preserve"> </w:t>
      </w:r>
      <w:r w:rsidR="00840C95" w:rsidRPr="009668D3">
        <w:rPr>
          <w:rFonts w:ascii="Times New Roman" w:hAnsi="Times New Roman" w:cs="Times New Roman"/>
          <w:sz w:val="20"/>
          <w:szCs w:val="20"/>
        </w:rPr>
        <w:t>represents predation by generalist passerine birds, also in Holling type II form, where total larval density (</w:t>
      </w:r>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τ</m:t>
            </m:r>
          </m:e>
        </m:d>
      </m:oMath>
      <w:r w:rsidR="00840C95" w:rsidRPr="001E6700">
        <w:rPr>
          <w:rFonts w:ascii="Times New Roman" w:hAnsi="Times New Roman" w:cs="Times New Roman"/>
          <w:sz w:val="20"/>
          <w:szCs w:val="20"/>
        </w:rPr>
        <w:t>)</w:t>
      </w:r>
      <w:r w:rsidR="00840C95" w:rsidRPr="009668D3">
        <w:rPr>
          <w:rFonts w:ascii="Times New Roman" w:hAnsi="Times New Roman" w:cs="Times New Roman"/>
          <w:sz w:val="20"/>
          <w:szCs w:val="20"/>
        </w:rPr>
        <w:t xml:space="preserve"> determines </w:t>
      </w:r>
      <w:r w:rsidR="00AA662B" w:rsidRPr="001E6700">
        <w:rPr>
          <w:rFonts w:ascii="Times New Roman" w:hAnsi="Times New Roman" w:cs="Times New Roman"/>
          <w:sz w:val="20"/>
          <w:szCs w:val="20"/>
        </w:rPr>
        <w:t xml:space="preserve">the </w:t>
      </w:r>
      <w:r w:rsidR="00840C95" w:rsidRPr="009668D3">
        <w:rPr>
          <w:rFonts w:ascii="Times New Roman" w:hAnsi="Times New Roman" w:cs="Times New Roman"/>
          <w:sz w:val="20"/>
          <w:szCs w:val="20"/>
        </w:rPr>
        <w:t xml:space="preserve">saturation of bird consumption. Here, </w:t>
      </w:r>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oMath>
      <w:r w:rsidR="00D24492" w:rsidRPr="009668D3">
        <w:rPr>
          <w:rFonts w:ascii="Times New Roman" w:hAnsi="Times New Roman" w:cs="Times New Roman"/>
          <w:sz w:val="20"/>
          <w:szCs w:val="20"/>
        </w:rPr>
        <w:t xml:space="preserve"> </w:t>
      </w:r>
      <w:r w:rsidR="00840C95" w:rsidRPr="009668D3">
        <w:rPr>
          <w:rFonts w:ascii="Times New Roman" w:hAnsi="Times New Roman" w:cs="Times New Roman"/>
          <w:sz w:val="20"/>
          <w:szCs w:val="20"/>
        </w:rPr>
        <w:t xml:space="preserve">is the per-unit bird-pressure consumption rate, and </w:t>
      </w: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00D24492" w:rsidRPr="009668D3">
        <w:rPr>
          <w:rFonts w:ascii="Times New Roman" w:hAnsi="Times New Roman" w:cs="Times New Roman"/>
          <w:sz w:val="20"/>
          <w:szCs w:val="20"/>
        </w:rPr>
        <w:t xml:space="preserve"> </w:t>
      </w:r>
      <w:r w:rsidR="00840C95" w:rsidRPr="009668D3">
        <w:rPr>
          <w:rFonts w:ascii="Times New Roman" w:hAnsi="Times New Roman" w:cs="Times New Roman"/>
          <w:sz w:val="20"/>
          <w:szCs w:val="20"/>
        </w:rPr>
        <w:t>is an exogenous index of generalist passerine bird pressure in the focal forest stand rather than an explicit bird population state variable. We use an index because bird abundance and community composition are shaped by ecological processes operating beyond the focal stand and beyond the seasonal timescale of the beetle outbreak, whereas in this model</w:t>
      </w:r>
      <w:r w:rsidR="00677CC7" w:rsidRPr="009668D3">
        <w:rPr>
          <w:rFonts w:ascii="Times New Roman" w:hAnsi="Times New Roman" w:cs="Times New Roman"/>
          <w:sz w:val="20"/>
          <w:szCs w:val="20"/>
        </w:rPr>
        <w:t>,</w:t>
      </w:r>
      <w:r w:rsidR="00840C95" w:rsidRPr="009668D3">
        <w:rPr>
          <w:rFonts w:ascii="Times New Roman" w:hAnsi="Times New Roman" w:cs="Times New Roman"/>
          <w:sz w:val="20"/>
          <w:szCs w:val="20"/>
        </w:rPr>
        <w:t xml:space="preserve"> we require only their aggregate predation pressure on larvae (Monteagudo et al., 2023). The parameter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B</m:t>
            </m:r>
          </m:sub>
        </m:sSub>
      </m:oMath>
      <w:r w:rsidR="00840C95" w:rsidRPr="009668D3">
        <w:rPr>
          <w:rFonts w:ascii="Times New Roman" w:hAnsi="Times New Roman" w:cs="Times New Roman"/>
          <w:sz w:val="20"/>
          <w:szCs w:val="20"/>
        </w:rPr>
        <w:t xml:space="preserve"> is the bird half-saturation or handling parameter and controls how quickly predation approaches saturation as larval density increases. It therefore reflects a saturating consumption process, not learned avoidance. The final term,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e>
        </m:d>
        <m:r>
          <w:rPr>
            <w:rFonts w:ascii="Cambria Math" w:hAnsi="Cambria Math" w:cs="Times New Roman"/>
            <w:sz w:val="20"/>
            <w:szCs w:val="20"/>
          </w:rPr>
          <m:t>×S(τ)</m:t>
        </m:r>
      </m:oMath>
      <w:r w:rsidR="00482E23" w:rsidRPr="001E6700">
        <w:rPr>
          <w:rFonts w:ascii="Times New Roman" w:eastAsiaTheme="minorEastAsia" w:hAnsi="Times New Roman" w:cs="Times New Roman"/>
          <w:sz w:val="20"/>
          <w:szCs w:val="20"/>
        </w:rPr>
        <w:t xml:space="preserve"> </w:t>
      </w:r>
      <w:r w:rsidR="00840C95" w:rsidRPr="001E6700">
        <w:rPr>
          <w:rFonts w:ascii="Times New Roman" w:hAnsi="Times New Roman" w:cs="Times New Roman"/>
          <w:sz w:val="20"/>
          <w:szCs w:val="20"/>
        </w:rPr>
        <w:t>,</w:t>
      </w:r>
      <w:r w:rsidR="00840C95" w:rsidRPr="009668D3">
        <w:rPr>
          <w:rFonts w:ascii="Times New Roman" w:hAnsi="Times New Roman" w:cs="Times New Roman"/>
          <w:sz w:val="20"/>
          <w:szCs w:val="20"/>
        </w:rPr>
        <w:t xml:space="preserve"> represents </w:t>
      </w:r>
      <w:r w:rsidR="00677CC7" w:rsidRPr="009668D3">
        <w:rPr>
          <w:rFonts w:ascii="Times New Roman" w:hAnsi="Times New Roman" w:cs="Times New Roman"/>
          <w:sz w:val="20"/>
          <w:szCs w:val="20"/>
        </w:rPr>
        <w:t xml:space="preserve">the </w:t>
      </w:r>
      <w:r w:rsidR="00840C95" w:rsidRPr="009668D3">
        <w:rPr>
          <w:rFonts w:ascii="Times New Roman" w:hAnsi="Times New Roman" w:cs="Times New Roman"/>
          <w:sz w:val="20"/>
          <w:szCs w:val="20"/>
        </w:rPr>
        <w:t xml:space="preserve">removal of susceptible larvae through baseline natural mortality and external intervention. Here,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00840C95" w:rsidRPr="009668D3">
        <w:rPr>
          <w:rFonts w:ascii="Times New Roman" w:hAnsi="Times New Roman" w:cs="Times New Roman"/>
          <w:sz w:val="20"/>
          <w:szCs w:val="20"/>
        </w:rPr>
        <w:t xml:space="preserve"> is </w:t>
      </w:r>
      <w:r w:rsidR="00D24492" w:rsidRPr="009668D3">
        <w:rPr>
          <w:rFonts w:ascii="Times New Roman" w:hAnsi="Times New Roman" w:cs="Times New Roman"/>
          <w:sz w:val="20"/>
          <w:szCs w:val="20"/>
        </w:rPr>
        <w:t>a</w:t>
      </w:r>
      <w:r w:rsidR="00840C95" w:rsidRPr="009668D3">
        <w:rPr>
          <w:rFonts w:ascii="Times New Roman" w:hAnsi="Times New Roman" w:cs="Times New Roman"/>
          <w:sz w:val="20"/>
          <w:szCs w:val="20"/>
        </w:rPr>
        <w:t xml:space="preserve"> background</w:t>
      </w:r>
      <w:r w:rsidR="00D24492" w:rsidRPr="009668D3">
        <w:rPr>
          <w:rFonts w:ascii="Times New Roman" w:hAnsi="Times New Roman" w:cs="Times New Roman"/>
          <w:sz w:val="20"/>
          <w:szCs w:val="20"/>
        </w:rPr>
        <w:t>/baseline</w:t>
      </w:r>
      <w:r w:rsidR="00840C95" w:rsidRPr="009668D3">
        <w:rPr>
          <w:rFonts w:ascii="Times New Roman" w:hAnsi="Times New Roman" w:cs="Times New Roman"/>
          <w:sz w:val="20"/>
          <w:szCs w:val="20"/>
        </w:rPr>
        <w:t xml:space="preserve"> mortality rate of larvae from causes other than parasitism and bird predation, and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oMath>
      <w:r w:rsidR="00A14718" w:rsidRPr="009668D3">
        <w:rPr>
          <w:rFonts w:ascii="Times New Roman" w:hAnsi="Times New Roman" w:cs="Times New Roman"/>
          <w:sz w:val="20"/>
          <w:szCs w:val="20"/>
        </w:rPr>
        <w:t xml:space="preserve"> is the time-dependent removal rate of larvae due to direct intervention during the within-season control </w:t>
      </w:r>
      <w:r w:rsidR="00677CC7" w:rsidRPr="009668D3">
        <w:rPr>
          <w:rFonts w:ascii="Times New Roman" w:hAnsi="Times New Roman" w:cs="Times New Roman"/>
          <w:sz w:val="20"/>
          <w:szCs w:val="20"/>
        </w:rPr>
        <w:t>process,</w:t>
      </w:r>
      <w:r w:rsidR="00840C95" w:rsidRPr="009668D3">
        <w:rPr>
          <w:rFonts w:ascii="Times New Roman" w:hAnsi="Times New Roman" w:cs="Times New Roman"/>
          <w:sz w:val="20"/>
          <w:szCs w:val="20"/>
        </w:rPr>
        <w:t xml:space="preserve"> </w:t>
      </w:r>
      <w:r w:rsidR="00677CC7" w:rsidRPr="009668D3">
        <w:rPr>
          <w:rFonts w:ascii="Times New Roman" w:hAnsi="Times New Roman" w:cs="Times New Roman"/>
          <w:sz w:val="20"/>
          <w:szCs w:val="20"/>
        </w:rPr>
        <w:t xml:space="preserve">and </w:t>
      </w:r>
      <w:r w:rsidR="00840C95" w:rsidRPr="009668D3">
        <w:rPr>
          <w:rFonts w:ascii="Times New Roman" w:hAnsi="Times New Roman" w:cs="Times New Roman"/>
          <w:sz w:val="20"/>
          <w:szCs w:val="20"/>
        </w:rPr>
        <w:t>during the within-season intervention process.</w:t>
      </w:r>
    </w:p>
    <w:p w14:paraId="38214FE6" w14:textId="5D2C32E0" w:rsidR="00D24492" w:rsidRPr="009668D3" w:rsidRDefault="00D24492"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We describe the within-season dynamics of parasitised (“infected”) </w:t>
      </w:r>
      <w:r w:rsidR="00DE70C9" w:rsidRPr="009668D3">
        <w:rPr>
          <w:rFonts w:ascii="Times New Roman" w:hAnsi="Times New Roman" w:cs="Times New Roman"/>
          <w:i/>
          <w:sz w:val="20"/>
          <w:szCs w:val="20"/>
        </w:rPr>
        <w:t>beetle</w:t>
      </w:r>
      <w:r w:rsidRPr="009668D3">
        <w:rPr>
          <w:rFonts w:ascii="Times New Roman" w:hAnsi="Times New Roman" w:cs="Times New Roman"/>
          <w:sz w:val="20"/>
          <w:szCs w:val="20"/>
        </w:rPr>
        <w:t xml:space="preserve"> larvae by</w:t>
      </w:r>
    </w:p>
    <w:p w14:paraId="6E5FC8BC" w14:textId="3056CE07" w:rsidR="00643ED9" w:rsidRPr="009668D3" w:rsidRDefault="00FB510D"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dI</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β</m:t>
            </m:r>
            <m:r>
              <w:rPr>
                <w:rFonts w:ascii="Cambria Math" w:eastAsiaTheme="minorEastAsia" w:hAnsi="Cambria Math" w:cs="Times New Roman"/>
                <w:sz w:val="20"/>
                <w:szCs w:val="20"/>
              </w:rPr>
              <m:t>×</m:t>
            </m:r>
            <m:r>
              <w:rPr>
                <w:rFonts w:ascii="Cambria Math" w:eastAsiaTheme="minorEastAsia" w:hAnsi="Cambria Math" w:cs="Times New Roman"/>
                <w:sz w:val="20"/>
                <w:szCs w:val="20"/>
              </w:rPr>
              <m:t>F</m:t>
            </m:r>
            <m:r>
              <w:rPr>
                <w:rFonts w:ascii="Cambria Math" w:eastAsiaTheme="minorEastAsia" w:hAnsi="Cambria Math" w:cs="Times New Roman"/>
                <w:sz w:val="20"/>
                <w:szCs w:val="20"/>
              </w:rPr>
              <m:t>×</m:t>
            </m:r>
            <m:r>
              <w:rPr>
                <w:rFonts w:ascii="Cambria Math" w:eastAsiaTheme="minorEastAsia" w:hAnsi="Cambria Math" w:cs="Times New Roman"/>
                <w:sz w:val="20"/>
                <w:szCs w:val="20"/>
              </w:rPr>
              <m:t>S</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1+</m:t>
            </m:r>
            <m:r>
              <w:rPr>
                <w:rFonts w:ascii="Cambria Math" w:eastAsiaTheme="minorEastAsia" w:hAnsi="Cambria Math" w:cs="Times New Roman"/>
                <w:sz w:val="20"/>
                <w:szCs w:val="20"/>
              </w:rPr>
              <m:t>h×</m:t>
            </m:r>
            <m:r>
              <w:rPr>
                <w:rFonts w:ascii="Cambria Math" w:eastAsiaTheme="minorEastAsia" w:hAnsi="Cambria Math" w:cs="Times New Roman"/>
                <w:sz w:val="20"/>
                <w:szCs w:val="20"/>
              </w:rPr>
              <m:t>S</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den>
        </m:f>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B</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t>
                </m:r>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t</m:t>
                </m:r>
                <m:r>
                  <w:rPr>
                    <w:rFonts w:ascii="Cambria Math" w:eastAsiaTheme="minorEastAsia" w:hAnsi="Cambria Math" w:cs="Times New Roman"/>
                    <w:sz w:val="20"/>
                    <w:szCs w:val="20"/>
                  </w:rPr>
                  <m:t>×</m:t>
                </m:r>
              </m:sub>
            </m:sSub>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num>
          <m:den>
            <m:r>
              <w:rPr>
                <w:rFonts w:ascii="Cambria Math" w:eastAsiaTheme="minorEastAsia" w:hAnsi="Cambria Math" w:cs="Times New Roman"/>
                <w:sz w:val="20"/>
                <w:szCs w:val="20"/>
              </w:rPr>
              <m:t>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m:t>
                </m:r>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e>
            </m:d>
          </m:den>
        </m:f>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m:t>
            </m:r>
            <m:r>
              <w:rPr>
                <w:rFonts w:ascii="Cambria Math" w:eastAsiaTheme="minorEastAsia" w:hAnsi="Cambria Math" w:cs="Times New Roman"/>
                <w:sz w:val="20"/>
                <w:szCs w:val="20"/>
              </w:rPr>
              <m:t>δ</m:t>
            </m:r>
            <m:r>
              <w:rPr>
                <w:rFonts w:ascii="Cambria Math" w:eastAsiaTheme="minorEastAsia"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ctrlPr>
              <w:rPr>
                <w:rFonts w:ascii="Cambria Math" w:hAnsi="Cambria Math" w:cs="Times New Roman"/>
                <w:i/>
                <w:sz w:val="20"/>
                <w:szCs w:val="20"/>
              </w:rPr>
            </m:ctrlPr>
          </m:e>
        </m:d>
        <m:r>
          <w:rPr>
            <w:rFonts w:ascii="Cambria Math" w:hAnsi="Cambria Math" w:cs="Times New Roman"/>
            <w:sz w:val="20"/>
            <w:szCs w:val="20"/>
          </w:rPr>
          <m:t>×</m:t>
        </m:r>
        <m:r>
          <w:rPr>
            <w:rFonts w:ascii="Cambria Math" w:hAnsi="Cambria Math" w:cs="Times New Roman"/>
            <w:sz w:val="20"/>
            <w:szCs w:val="20"/>
          </w:rPr>
          <m:t>I</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oMath>
      <w:r w:rsidR="00643ED9" w:rsidRPr="001E6700">
        <w:rPr>
          <w:rFonts w:ascii="Times New Roman" w:eastAsiaTheme="minorEastAsia" w:hAnsi="Times New Roman" w:cs="Times New Roman"/>
          <w:sz w:val="20"/>
          <w:szCs w:val="20"/>
        </w:rPr>
        <w:t xml:space="preserve"> ... </w:t>
      </w:r>
      <w:r w:rsidR="00C41802" w:rsidRPr="001E6700">
        <w:rPr>
          <w:rFonts w:ascii="Times New Roman" w:eastAsiaTheme="minorEastAsia" w:hAnsi="Times New Roman" w:cs="Times New Roman"/>
          <w:sz w:val="20"/>
          <w:szCs w:val="20"/>
        </w:rPr>
        <w:t>E</w:t>
      </w:r>
      <w:r w:rsidR="00643ED9" w:rsidRPr="001E6700">
        <w:rPr>
          <w:rFonts w:ascii="Times New Roman" w:eastAsiaTheme="minorEastAsia" w:hAnsi="Times New Roman" w:cs="Times New Roman"/>
          <w:sz w:val="20"/>
          <w:szCs w:val="20"/>
        </w:rPr>
        <w:t>quation 2</w:t>
      </w:r>
    </w:p>
    <w:p w14:paraId="7792CB2F" w14:textId="2CA4C643" w:rsidR="00D24492" w:rsidRPr="009668D3" w:rsidRDefault="00643ED9"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Here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dI</m:t>
            </m:r>
          </m:num>
          <m:den>
            <m:r>
              <w:rPr>
                <w:rFonts w:ascii="Cambria Math" w:eastAsiaTheme="minorEastAsia" w:hAnsi="Cambria Math" w:cs="Times New Roman"/>
                <w:sz w:val="20"/>
                <w:szCs w:val="20"/>
              </w:rPr>
              <m:t>dτ</m:t>
            </m:r>
          </m:den>
        </m:f>
      </m:oMath>
      <w:r w:rsidRPr="009668D3">
        <w:rPr>
          <w:rFonts w:ascii="Times New Roman" w:hAnsi="Times New Roman" w:cs="Times New Roman"/>
          <w:sz w:val="20"/>
          <w:szCs w:val="20"/>
        </w:rPr>
        <w:t xml:space="preserve"> is </w:t>
      </w:r>
      <w:r w:rsidR="00677CC7" w:rsidRPr="009668D3">
        <w:rPr>
          <w:rFonts w:ascii="Times New Roman" w:hAnsi="Times New Roman" w:cs="Times New Roman"/>
          <w:sz w:val="20"/>
          <w:szCs w:val="20"/>
        </w:rPr>
        <w:t xml:space="preserve">the </w:t>
      </w:r>
      <w:r w:rsidRPr="009668D3">
        <w:rPr>
          <w:rFonts w:ascii="Times New Roman" w:hAnsi="Times New Roman" w:cs="Times New Roman"/>
          <w:sz w:val="20"/>
          <w:szCs w:val="20"/>
        </w:rPr>
        <w:t xml:space="preserve">rate of infected </w:t>
      </w:r>
      <w:r w:rsidR="0093149B" w:rsidRPr="009668D3">
        <w:rPr>
          <w:rFonts w:ascii="Times New Roman" w:hAnsi="Times New Roman" w:cs="Times New Roman"/>
          <w:sz w:val="20"/>
          <w:szCs w:val="20"/>
        </w:rPr>
        <w:t>beetle larvae</w:t>
      </w:r>
      <w:r w:rsidRPr="009668D3">
        <w:rPr>
          <w:rFonts w:ascii="Times New Roman" w:hAnsi="Times New Roman" w:cs="Times New Roman"/>
          <w:sz w:val="20"/>
          <w:szCs w:val="20"/>
        </w:rPr>
        <w:t xml:space="preserve">, </w:t>
      </w:r>
      <w:r w:rsidR="00757681" w:rsidRPr="009668D3">
        <w:rPr>
          <w:rFonts w:ascii="Times New Roman" w:hAnsi="Times New Roman" w:cs="Times New Roman"/>
          <w:sz w:val="20"/>
          <w:szCs w:val="20"/>
        </w:rPr>
        <w:t>the</w:t>
      </w:r>
      <w:r w:rsidR="00D24492" w:rsidRPr="009668D3">
        <w:rPr>
          <w:rFonts w:ascii="Times New Roman" w:hAnsi="Times New Roman" w:cs="Times New Roman"/>
          <w:sz w:val="20"/>
          <w:szCs w:val="20"/>
        </w:rPr>
        <w:t xml:space="preserve"> first term,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β×F×S(τ)</m:t>
            </m:r>
          </m:num>
          <m:den>
            <m:r>
              <w:rPr>
                <w:rFonts w:ascii="Cambria Math" w:eastAsiaTheme="minorEastAsia" w:hAnsi="Cambria Math" w:cs="Times New Roman"/>
                <w:sz w:val="20"/>
                <w:szCs w:val="20"/>
              </w:rPr>
              <m:t>1+</m:t>
            </m:r>
            <m:r>
              <w:rPr>
                <w:rFonts w:ascii="Cambria Math" w:eastAsiaTheme="minorEastAsia" w:hAnsi="Cambria Math" w:cs="Times New Roman"/>
                <w:sz w:val="20"/>
                <w:szCs w:val="20"/>
              </w:rPr>
              <m:t>h×S(τ)</m:t>
            </m:r>
          </m:den>
        </m:f>
      </m:oMath>
      <w:r w:rsidR="00FB510D" w:rsidRPr="001E6700">
        <w:rPr>
          <w:rFonts w:ascii="Times New Roman" w:hAnsi="Times New Roman" w:cs="Times New Roman"/>
          <w:sz w:val="20"/>
          <w:szCs w:val="20"/>
        </w:rPr>
        <w:t xml:space="preserve">, </w:t>
      </w:r>
      <w:r w:rsidR="00D24492" w:rsidRPr="009668D3">
        <w:rPr>
          <w:rFonts w:ascii="Times New Roman" w:hAnsi="Times New Roman" w:cs="Times New Roman"/>
          <w:sz w:val="20"/>
          <w:szCs w:val="20"/>
        </w:rPr>
        <w:t xml:space="preserve">represents the conversion of susceptible larvae into the parasitised class through oviposition by </w:t>
      </w:r>
      <w:r w:rsidR="0093149B" w:rsidRPr="009668D3">
        <w:rPr>
          <w:rFonts w:ascii="Times New Roman" w:hAnsi="Times New Roman" w:cs="Times New Roman"/>
          <w:sz w:val="20"/>
          <w:szCs w:val="20"/>
        </w:rPr>
        <w:t>parasitoid</w:t>
      </w:r>
      <w:r w:rsidR="00D24492" w:rsidRPr="009668D3">
        <w:rPr>
          <w:rFonts w:ascii="Times New Roman" w:hAnsi="Times New Roman" w:cs="Times New Roman"/>
          <w:sz w:val="20"/>
          <w:szCs w:val="20"/>
        </w:rPr>
        <w:t xml:space="preserve">, and thus forms the eco-epidemic core of the system. The second term, </w:t>
      </w:r>
      <m:oMath>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B</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num>
          <m:den>
            <m:r>
              <w:rPr>
                <w:rFonts w:ascii="Cambria Math" w:eastAsiaTheme="minorEastAsia" w:hAnsi="Cambria Math" w:cs="Times New Roman"/>
                <w:sz w:val="20"/>
                <w:szCs w:val="20"/>
              </w:rPr>
              <m:t>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e>
            </m:d>
          </m:den>
        </m:f>
      </m:oMath>
      <w:r w:rsidR="00FB510D" w:rsidRPr="001E6700">
        <w:rPr>
          <w:rFonts w:ascii="Times New Roman" w:hAnsi="Times New Roman" w:cs="Times New Roman"/>
          <w:sz w:val="20"/>
          <w:szCs w:val="20"/>
        </w:rPr>
        <w:t xml:space="preserve">, </w:t>
      </w:r>
      <w:r w:rsidR="00D24492" w:rsidRPr="009668D3">
        <w:rPr>
          <w:rFonts w:ascii="Times New Roman" w:hAnsi="Times New Roman" w:cs="Times New Roman"/>
          <w:sz w:val="20"/>
          <w:szCs w:val="20"/>
        </w:rPr>
        <w:t xml:space="preserve">represents predation on parasitised larvae by generalist passerine birds in the same Holling type II form used for susceptible larvae, with total larval density </w:t>
      </w:r>
      <w:r w:rsidR="00FB510D" w:rsidRPr="001E6700">
        <w:rPr>
          <w:rFonts w:ascii="Times New Roman" w:hAnsi="Times New Roman" w:cs="Times New Roman"/>
          <w:sz w:val="20"/>
          <w:szCs w:val="20"/>
        </w:rPr>
        <w:t>(S+I)</w:t>
      </w:r>
      <w:r w:rsidR="00D24492" w:rsidRPr="009668D3">
        <w:rPr>
          <w:rFonts w:ascii="Times New Roman" w:hAnsi="Times New Roman" w:cs="Times New Roman"/>
          <w:sz w:val="20"/>
          <w:szCs w:val="20"/>
        </w:rPr>
        <w:t xml:space="preserve"> determining saturation. The final term,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I</m:t>
                </m:r>
              </m:sub>
            </m:sSub>
            <m:r>
              <w:rPr>
                <w:rFonts w:ascii="Cambria Math" w:hAnsi="Cambria Math" w:cs="Times New Roman"/>
                <w:sz w:val="20"/>
                <w:szCs w:val="20"/>
              </w:rPr>
              <m:t>+δ+</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e>
        </m:d>
        <m:r>
          <w:rPr>
            <w:rFonts w:ascii="Cambria Math" w:hAnsi="Cambria Math" w:cs="Times New Roman"/>
            <w:sz w:val="20"/>
            <w:szCs w:val="20"/>
          </w:rPr>
          <m:t>I</m:t>
        </m:r>
        <m:r>
          <w:rPr>
            <w:rFonts w:ascii="Cambria Math" w:eastAsiaTheme="minorEastAsia" w:hAnsi="Cambria Math" w:cs="Times New Roman"/>
            <w:sz w:val="20"/>
            <w:szCs w:val="20"/>
          </w:rPr>
          <m:t>(τ)</m:t>
        </m:r>
      </m:oMath>
      <w:r w:rsidR="00AA662B" w:rsidRPr="001E6700">
        <w:rPr>
          <w:rFonts w:ascii="Times New Roman" w:eastAsiaTheme="minorEastAsia" w:hAnsi="Times New Roman" w:cs="Times New Roman"/>
          <w:sz w:val="20"/>
          <w:szCs w:val="20"/>
        </w:rPr>
        <w:t xml:space="preserve"> </w:t>
      </w:r>
      <w:r w:rsidR="00D24492" w:rsidRPr="009668D3">
        <w:rPr>
          <w:rFonts w:ascii="Times New Roman" w:hAnsi="Times New Roman" w:cs="Times New Roman"/>
          <w:sz w:val="20"/>
          <w:szCs w:val="20"/>
        </w:rPr>
        <w:t xml:space="preserve"> represents removal of parasitised larvae through background mortality, parasitoid emergence, and external intervention. Here,</w:t>
      </w:r>
      <w:r w:rsidR="003F1BE8"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I</m:t>
            </m:r>
          </m:sub>
        </m:sSub>
      </m:oMath>
      <w:r w:rsidR="003F1BE8" w:rsidRPr="009668D3">
        <w:rPr>
          <w:rFonts w:ascii="Times New Roman" w:hAnsi="Times New Roman" w:cs="Times New Roman"/>
          <w:sz w:val="20"/>
          <w:szCs w:val="20"/>
        </w:rPr>
        <w:t xml:space="preserve"> </w:t>
      </w:r>
      <w:r w:rsidR="00D24492" w:rsidRPr="009668D3">
        <w:rPr>
          <w:rFonts w:ascii="Times New Roman" w:hAnsi="Times New Roman" w:cs="Times New Roman"/>
          <w:sz w:val="20"/>
          <w:szCs w:val="20"/>
        </w:rPr>
        <w:t xml:space="preserve">is the background mortality rate of parasitised larvae, which we assume to be at least slightly higher than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00D24492" w:rsidRPr="009668D3">
        <w:rPr>
          <w:rFonts w:ascii="Times New Roman" w:hAnsi="Times New Roman" w:cs="Times New Roman"/>
          <w:sz w:val="20"/>
          <w:szCs w:val="20"/>
        </w:rPr>
        <w:t xml:space="preserve"> to reflect the additional physiological burden associated with parasitoid development within the host. The parameter δ denotes mortality due to </w:t>
      </w:r>
      <w:r w:rsidR="00677CC7" w:rsidRPr="009668D3">
        <w:rPr>
          <w:rFonts w:ascii="Times New Roman" w:hAnsi="Times New Roman" w:cs="Times New Roman"/>
          <w:sz w:val="20"/>
          <w:szCs w:val="20"/>
        </w:rPr>
        <w:t xml:space="preserve">the </w:t>
      </w:r>
      <w:r w:rsidR="00D24492" w:rsidRPr="009668D3">
        <w:rPr>
          <w:rFonts w:ascii="Times New Roman" w:hAnsi="Times New Roman" w:cs="Times New Roman"/>
          <w:sz w:val="20"/>
          <w:szCs w:val="20"/>
        </w:rPr>
        <w:t xml:space="preserve">emergence of the adult parasitoid from the host and therefore represents the delayed lethal effect of parasitism; its value is linked to reported tachinid developmental timing and host emergence intervals </w:t>
      </w:r>
      <w:r w:rsidR="00CB3732" w:rsidRPr="009668D3">
        <w:rPr>
          <w:rFonts w:ascii="Times New Roman" w:hAnsi="Times New Roman" w:cs="Times New Roman"/>
          <w:sz w:val="20"/>
          <w:szCs w:val="20"/>
        </w:rPr>
        <w:t>(Hawkins, 1994; Stireman et al., 2006)</w:t>
      </w:r>
      <w:r w:rsidR="00D24492" w:rsidRPr="009668D3">
        <w:rPr>
          <w:rFonts w:ascii="Times New Roman" w:hAnsi="Times New Roman" w:cs="Times New Roman"/>
          <w:sz w:val="20"/>
          <w:szCs w:val="20"/>
        </w:rPr>
        <w:t>.</w:t>
      </w:r>
    </w:p>
    <w:p w14:paraId="050B9A22" w14:textId="3BFEADE7" w:rsidR="00C41802" w:rsidRPr="009668D3" w:rsidRDefault="00FB510D"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dF</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r>
          <w:rPr>
            <w:rFonts w:ascii="Cambria Math" w:hAnsi="Cambria Math" w:cs="Times New Roman"/>
            <w:sz w:val="20"/>
            <w:szCs w:val="20"/>
          </w:rPr>
          <m:t>=</m:t>
        </m:r>
        <m:r>
          <w:rPr>
            <w:rFonts w:ascii="Cambria Math" w:hAnsi="Cambria Math" w:cs="Times New Roman"/>
            <w:sz w:val="20"/>
            <w:szCs w:val="20"/>
          </w:rPr>
          <m:t>η</m:t>
        </m:r>
        <m:r>
          <w:rPr>
            <w:rFonts w:ascii="Cambria Math" w:eastAsiaTheme="minorEastAsia" w:hAnsi="Cambria Math" w:cs="Times New Roman"/>
            <w:sz w:val="20"/>
            <w:szCs w:val="20"/>
          </w:rPr>
          <m:t>×</m:t>
        </m:r>
        <m:r>
          <w:rPr>
            <w:rFonts w:ascii="Cambria Math" w:hAnsi="Cambria Math" w:cs="Times New Roman"/>
            <w:sz w:val="20"/>
            <w:szCs w:val="20"/>
          </w:rPr>
          <m:t>δ</m:t>
        </m:r>
        <m:r>
          <w:rPr>
            <w:rFonts w:ascii="Cambria Math" w:eastAsiaTheme="minorEastAsia" w:hAnsi="Cambria Math" w:cs="Times New Roman"/>
            <w:sz w:val="20"/>
            <w:szCs w:val="20"/>
          </w:rPr>
          <m:t>×</m:t>
        </m:r>
        <m:r>
          <w:rPr>
            <w:rFonts w:ascii="Cambria Math"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µ</m:t>
            </m:r>
          </m:e>
          <m:sub>
            <m:r>
              <w:rPr>
                <w:rFonts w:ascii="Cambria Math" w:eastAsiaTheme="minorEastAsia" w:hAnsi="Cambria Math" w:cs="Times New Roman"/>
                <w:sz w:val="20"/>
                <w:szCs w:val="20"/>
              </w:rPr>
              <m:t>F</m:t>
            </m:r>
          </m:sub>
        </m:sSub>
        <m:r>
          <w:rPr>
            <w:rFonts w:ascii="Cambria Math" w:eastAsiaTheme="minorEastAsia" w:hAnsi="Cambria Math" w:cs="Times New Roman"/>
            <w:sz w:val="20"/>
            <w:szCs w:val="20"/>
          </w:rPr>
          <m:t>×</m:t>
        </m:r>
        <m:r>
          <w:rPr>
            <w:rFonts w:ascii="Cambria Math"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P</m:t>
            </m:r>
          </m:sub>
        </m:sSub>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F</m:t>
        </m:r>
        <m:r>
          <w:rPr>
            <w:rFonts w:ascii="Cambria Math" w:eastAsiaTheme="minorEastAsia" w:hAnsi="Cambria Math" w:cs="Times New Roman"/>
            <w:sz w:val="20"/>
            <w:szCs w:val="20"/>
          </w:rPr>
          <m:t>(</m:t>
        </m:r>
        <m:r>
          <w:rPr>
            <w:rFonts w:ascii="Cambria Math" w:eastAsiaTheme="minorEastAsia" w:hAnsi="Cambria Math" w:cs="Times New Roman"/>
            <w:sz w:val="20"/>
            <w:szCs w:val="20"/>
          </w:rPr>
          <m:t>T</m:t>
        </m:r>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t</m:t>
            </m:r>
          </m:sub>
        </m:sSub>
      </m:oMath>
      <w:r w:rsidR="00C41802" w:rsidRPr="009668D3">
        <w:rPr>
          <w:rFonts w:ascii="Times New Roman" w:hAnsi="Times New Roman" w:cs="Times New Roman"/>
          <w:sz w:val="20"/>
          <w:szCs w:val="20"/>
        </w:rPr>
        <w:t>... Equation 3</w:t>
      </w:r>
    </w:p>
    <w:p w14:paraId="0DFBCAEC" w14:textId="36E9762E" w:rsidR="00C41802" w:rsidRPr="009668D3" w:rsidRDefault="00FB510D"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dF</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oMath>
      <w:r w:rsidR="00C41802" w:rsidRPr="009668D3">
        <w:rPr>
          <w:rFonts w:ascii="Times New Roman" w:hAnsi="Times New Roman" w:cs="Times New Roman"/>
          <w:sz w:val="20"/>
          <w:szCs w:val="20"/>
        </w:rPr>
        <w:t xml:space="preserve"> is the rate of change in </w:t>
      </w:r>
      <w:r w:rsidR="0093149B" w:rsidRPr="009668D3">
        <w:rPr>
          <w:rFonts w:ascii="Times New Roman" w:hAnsi="Times New Roman" w:cs="Times New Roman"/>
          <w:sz w:val="20"/>
          <w:szCs w:val="20"/>
        </w:rPr>
        <w:t xml:space="preserve">the </w:t>
      </w:r>
      <w:r w:rsidR="00C41802" w:rsidRPr="009668D3">
        <w:rPr>
          <w:rFonts w:ascii="Times New Roman" w:hAnsi="Times New Roman" w:cs="Times New Roman"/>
          <w:sz w:val="20"/>
          <w:szCs w:val="20"/>
        </w:rPr>
        <w:t xml:space="preserve">population density of </w:t>
      </w:r>
      <w:r w:rsidR="0093149B" w:rsidRPr="009668D3">
        <w:rPr>
          <w:rFonts w:ascii="Times New Roman" w:hAnsi="Times New Roman" w:cs="Times New Roman"/>
          <w:sz w:val="20"/>
          <w:szCs w:val="20"/>
        </w:rPr>
        <w:t xml:space="preserve">the </w:t>
      </w:r>
      <w:r w:rsidR="00C41802" w:rsidRPr="009668D3">
        <w:rPr>
          <w:rFonts w:ascii="Times New Roman" w:hAnsi="Times New Roman" w:cs="Times New Roman"/>
          <w:sz w:val="20"/>
          <w:szCs w:val="20"/>
        </w:rPr>
        <w:t>parasitoid</w:t>
      </w:r>
      <w:r w:rsidR="00BD67A8" w:rsidRPr="009668D3">
        <w:rPr>
          <w:rFonts w:ascii="Times New Roman" w:hAnsi="Times New Roman" w:cs="Times New Roman"/>
          <w:sz w:val="20"/>
          <w:szCs w:val="20"/>
        </w:rPr>
        <w:t xml:space="preserve">. Here </w:t>
      </w:r>
      <m:oMath>
        <m:r>
          <w:rPr>
            <w:rFonts w:ascii="Cambria Math" w:hAnsi="Cambria Math" w:cs="Times New Roman"/>
            <w:sz w:val="20"/>
            <w:szCs w:val="20"/>
          </w:rPr>
          <m:t>η</m:t>
        </m:r>
        <m:r>
          <w:rPr>
            <w:rFonts w:ascii="Cambria Math" w:eastAsiaTheme="minorEastAsia" w:hAnsi="Cambria Math" w:cs="Times New Roman"/>
            <w:sz w:val="20"/>
            <w:szCs w:val="20"/>
          </w:rPr>
          <m:t>×</m:t>
        </m:r>
        <m:r>
          <w:rPr>
            <w:rFonts w:ascii="Cambria Math" w:hAnsi="Cambria Math" w:cs="Times New Roman"/>
            <w:sz w:val="20"/>
            <w:szCs w:val="20"/>
          </w:rPr>
          <m:t>δ</m:t>
        </m:r>
        <m:r>
          <w:rPr>
            <w:rFonts w:ascii="Cambria Math" w:eastAsiaTheme="minorEastAsia" w:hAnsi="Cambria Math" w:cs="Times New Roman"/>
            <w:sz w:val="20"/>
            <w:szCs w:val="20"/>
          </w:rPr>
          <m:t>×</m:t>
        </m:r>
        <m:r>
          <w:rPr>
            <w:rFonts w:ascii="Cambria Math" w:hAnsi="Cambria Math" w:cs="Times New Roman"/>
            <w:sz w:val="20"/>
            <w:szCs w:val="20"/>
          </w:rPr>
          <m:t>I</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oMath>
      <w:r w:rsidR="00BD67A8" w:rsidRPr="009668D3">
        <w:rPr>
          <w:rFonts w:ascii="Times New Roman" w:hAnsi="Times New Roman" w:cs="Times New Roman"/>
          <w:sz w:val="20"/>
          <w:szCs w:val="20"/>
        </w:rPr>
        <w:t xml:space="preserve"> represents the recruitment of new adult parasitoids: each parasitised larva that undergoes parasitoid-induced death (at rate δ) yields η new adult flies, where η is mathematically the conversion efficiency. For the solitary endoparasitoid, η ≤ 1 (one parasitoid per host); η &lt; 1 accounts for parasitoid mortality during development within the host. The second term is </w:t>
      </w:r>
      <w:r w:rsidR="00677CC7" w:rsidRPr="009668D3">
        <w:rPr>
          <w:rFonts w:ascii="Times New Roman" w:hAnsi="Times New Roman" w:cs="Times New Roman"/>
          <w:sz w:val="20"/>
          <w:szCs w:val="20"/>
        </w:rPr>
        <w:t xml:space="preserve">the </w:t>
      </w:r>
      <w:r w:rsidR="00BD67A8" w:rsidRPr="009668D3">
        <w:rPr>
          <w:rFonts w:ascii="Times New Roman" w:hAnsi="Times New Roman" w:cs="Times New Roman"/>
          <w:sz w:val="20"/>
          <w:szCs w:val="20"/>
        </w:rPr>
        <w:t>natural mortality of adult parasitoid flies. The third term is the parasitoid augmentation control</w:t>
      </w:r>
      <w:r w:rsidR="00677CC7" w:rsidRPr="009668D3">
        <w:rPr>
          <w:rFonts w:ascii="Times New Roman" w:hAnsi="Times New Roman" w:cs="Times New Roman"/>
          <w:sz w:val="20"/>
          <w:szCs w:val="20"/>
        </w:rPr>
        <w:t>, where</w:t>
      </w:r>
      <w:r w:rsidR="00BD67A8"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τ</m:t>
                </m:r>
              </m:e>
            </m:d>
          </m:sub>
        </m:sSub>
        <m:r>
          <w:rPr>
            <w:rFonts w:ascii="Cambria Math" w:hAnsi="Cambria Math" w:cs="Times New Roman"/>
            <w:sz w:val="20"/>
            <w:szCs w:val="20"/>
          </w:rPr>
          <m:t>,</m:t>
        </m:r>
      </m:oMath>
      <w:r w:rsidR="00BD67A8" w:rsidRPr="009668D3">
        <w:rPr>
          <w:rFonts w:ascii="Times New Roman" w:hAnsi="Times New Roman" w:cs="Times New Roman"/>
          <w:sz w:val="20"/>
          <w:szCs w:val="20"/>
        </w:rPr>
        <w:t xml:space="preserve"> representing management actions that increase parasitoid density (e.g., </w:t>
      </w:r>
      <w:r w:rsidR="00677CC7" w:rsidRPr="009668D3">
        <w:rPr>
          <w:rFonts w:ascii="Times New Roman" w:hAnsi="Times New Roman" w:cs="Times New Roman"/>
          <w:sz w:val="20"/>
          <w:szCs w:val="20"/>
        </w:rPr>
        <w:t>intentional release of parasitoids in the forests</w:t>
      </w:r>
      <w:r w:rsidR="00BD67A8" w:rsidRPr="009668D3">
        <w:rPr>
          <w:rFonts w:ascii="Times New Roman" w:hAnsi="Times New Roman" w:cs="Times New Roman"/>
          <w:sz w:val="20"/>
          <w:szCs w:val="20"/>
        </w:rPr>
        <w:t>).</w:t>
      </w:r>
    </w:p>
    <w:p w14:paraId="4010F357" w14:textId="29F2D673" w:rsidR="00C41802" w:rsidRPr="009668D3" w:rsidRDefault="00FB510D"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dD</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r>
          <w:rPr>
            <w:rFonts w:ascii="Cambria Math" w:hAnsi="Cambria Math" w:cs="Times New Roman"/>
            <w:sz w:val="20"/>
            <w:szCs w:val="20"/>
          </w:rPr>
          <m:t>=</m:t>
        </m:r>
        <m:r>
          <w:rPr>
            <w:rFonts w:ascii="Cambria Math" w:hAnsi="Cambria Math" w:cs="Times New Roman"/>
            <w:sz w:val="20"/>
            <w:szCs w:val="20"/>
          </w:rPr>
          <m:t>κ</m:t>
        </m:r>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m:t>
            </m:r>
            <m:r>
              <w:rPr>
                <w:rFonts w:ascii="Cambria Math" w:eastAsiaTheme="minorEastAsia" w:hAnsi="Cambria Math" w:cs="Times New Roman"/>
                <w:sz w:val="20"/>
                <w:szCs w:val="20"/>
              </w:rPr>
              <m:t>I</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e>
        </m:d>
        <m:r>
          <w:rPr>
            <w:rFonts w:ascii="Cambria Math" w:eastAsiaTheme="minorEastAsia" w:hAnsi="Cambria Math" w:cs="Times New Roman"/>
            <w:sz w:val="20"/>
            <w:szCs w:val="20"/>
          </w:rPr>
          <m:t>,</m:t>
        </m:r>
        <m:r>
          <w:rPr>
            <w:rFonts w:ascii="Cambria Math" w:hAnsi="Cambria Math" w:cs="Times New Roman"/>
            <w:sz w:val="20"/>
            <w:szCs w:val="20"/>
          </w:rPr>
          <m:t xml:space="preserve"> </m:t>
        </m:r>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 xml:space="preserve">=0, </m:t>
        </m:r>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00BD67A8" w:rsidRPr="009668D3">
        <w:rPr>
          <w:rFonts w:ascii="Times New Roman" w:hAnsi="Times New Roman" w:cs="Times New Roman"/>
          <w:sz w:val="20"/>
          <w:szCs w:val="20"/>
        </w:rPr>
        <w:t xml:space="preserve"> ... Equation 4</w:t>
      </w:r>
    </w:p>
    <w:p w14:paraId="6EA48935" w14:textId="26670354" w:rsidR="009668D3" w:rsidRDefault="00FB510D" w:rsidP="002D21BC">
      <w:pPr>
        <w:spacing w:line="240" w:lineRule="auto"/>
        <w:jc w:val="both"/>
        <w:rPr>
          <w:rFonts w:ascii="Times New Roman" w:hAnsi="Times New Roman" w:cs="Times New Roman"/>
          <w:sz w:val="20"/>
          <w:szCs w:val="20"/>
        </w:rPr>
      </w:pP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dD</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dτ</m:t>
            </m:r>
          </m:den>
        </m:f>
        <m:r>
          <w:rPr>
            <w:rFonts w:ascii="Cambria Math" w:hAnsi="Cambria Math" w:cs="Times New Roman"/>
            <w:sz w:val="20"/>
            <w:szCs w:val="20"/>
          </w:rPr>
          <m:t xml:space="preserve"> </m:t>
        </m:r>
      </m:oMath>
      <w:r w:rsidR="00BD67A8" w:rsidRPr="009668D3">
        <w:rPr>
          <w:rFonts w:ascii="Times New Roman" w:hAnsi="Times New Roman" w:cs="Times New Roman"/>
          <w:sz w:val="20"/>
          <w:szCs w:val="20"/>
        </w:rPr>
        <w:t xml:space="preserve">represents </w:t>
      </w:r>
      <w:r w:rsidR="00677CC7" w:rsidRPr="009668D3">
        <w:rPr>
          <w:rFonts w:ascii="Times New Roman" w:hAnsi="Times New Roman" w:cs="Times New Roman"/>
          <w:sz w:val="20"/>
          <w:szCs w:val="20"/>
        </w:rPr>
        <w:t xml:space="preserve">the </w:t>
      </w:r>
      <w:r w:rsidR="00BD67A8" w:rsidRPr="009668D3">
        <w:rPr>
          <w:rFonts w:ascii="Times New Roman" w:hAnsi="Times New Roman" w:cs="Times New Roman"/>
          <w:sz w:val="20"/>
          <w:szCs w:val="20"/>
        </w:rPr>
        <w:t xml:space="preserve">accumulation of the total defoliation damage </w:t>
      </w:r>
      <m:oMath>
        <m:r>
          <w:rPr>
            <w:rFonts w:ascii="Cambria Math" w:eastAsiaTheme="minorEastAsia" w:hAnsi="Cambria Math" w:cs="Times New Roman"/>
            <w:sz w:val="20"/>
            <w:szCs w:val="20"/>
          </w:rPr>
          <m:t>D</m:t>
        </m:r>
        <m:r>
          <w:rPr>
            <w:rFonts w:ascii="Cambria Math" w:eastAsiaTheme="minorEastAsia" w:hAnsi="Cambria Math" w:cs="Times New Roman"/>
            <w:sz w:val="20"/>
            <w:szCs w:val="20"/>
          </w:rPr>
          <m:t>(</m:t>
        </m:r>
        <m:r>
          <w:rPr>
            <w:rFonts w:ascii="Cambria Math" w:eastAsiaTheme="minorEastAsia" w:hAnsi="Cambria Math" w:cs="Times New Roman"/>
            <w:sz w:val="20"/>
            <w:szCs w:val="20"/>
          </w:rPr>
          <m:t>τ</m:t>
        </m:r>
        <m:r>
          <w:rPr>
            <w:rFonts w:ascii="Cambria Math" w:eastAsiaTheme="minorEastAsia" w:hAnsi="Cambria Math" w:cs="Times New Roman"/>
            <w:sz w:val="20"/>
            <w:szCs w:val="20"/>
          </w:rPr>
          <m:t>)</m:t>
        </m:r>
      </m:oMath>
      <w:r w:rsidR="00BD67A8" w:rsidRPr="001E6700">
        <w:rPr>
          <w:rFonts w:ascii="Times New Roman" w:eastAsiaTheme="minorEastAsia" w:hAnsi="Times New Roman" w:cs="Times New Roman"/>
          <w:sz w:val="20"/>
          <w:szCs w:val="20"/>
        </w:rPr>
        <w:t xml:space="preserve"> </w:t>
      </w:r>
      <w:r w:rsidR="006B4AE1" w:rsidRPr="001E6700">
        <w:rPr>
          <w:rFonts w:ascii="Times New Roman" w:eastAsiaTheme="minorEastAsia" w:hAnsi="Times New Roman" w:cs="Times New Roman"/>
          <w:sz w:val="20"/>
          <w:szCs w:val="20"/>
        </w:rPr>
        <w:t>as an index (</w:t>
      </w:r>
      <m:oMath>
        <m:r>
          <w:rPr>
            <w:rFonts w:ascii="Cambria Math" w:eastAsiaTheme="minorEastAsia" w:hAnsi="Cambria Math" w:cs="Times New Roman"/>
            <w:sz w:val="20"/>
            <w:szCs w:val="20"/>
          </w:rPr>
          <m:t>D</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τ</m:t>
            </m:r>
          </m:e>
        </m:d>
        <m:r>
          <w:rPr>
            <w:rFonts w:ascii="Cambria Math" w:eastAsiaTheme="minorEastAsia" w:hAnsi="Cambria Math" w:cs="Times New Roman"/>
            <w:sz w:val="20"/>
            <w:szCs w:val="20"/>
          </w:rPr>
          <m:t>∈[0,1</m:t>
        </m:r>
      </m:oMath>
      <w:r w:rsidR="00483705" w:rsidRPr="001E6700">
        <w:rPr>
          <w:rFonts w:ascii="Times New Roman" w:eastAsiaTheme="minorEastAsia" w:hAnsi="Times New Roman" w:cs="Times New Roman"/>
          <w:sz w:val="20"/>
          <w:szCs w:val="20"/>
        </w:rPr>
        <w:t>)</w:t>
      </w:r>
      <w:r w:rsidR="006B4AE1" w:rsidRPr="001E6700">
        <w:rPr>
          <w:rFonts w:ascii="Times New Roman" w:eastAsiaTheme="minorEastAsia" w:hAnsi="Times New Roman" w:cs="Times New Roman"/>
          <w:sz w:val="20"/>
          <w:szCs w:val="20"/>
        </w:rPr>
        <w:t>)</w:t>
      </w:r>
      <w:r w:rsidR="00483705" w:rsidRPr="001E6700">
        <w:rPr>
          <w:rFonts w:ascii="Times New Roman" w:eastAsiaTheme="minorEastAsia" w:hAnsi="Times New Roman" w:cs="Times New Roman"/>
          <w:sz w:val="20"/>
          <w:szCs w:val="20"/>
        </w:rPr>
        <w:t xml:space="preserve"> </w:t>
      </w:r>
      <w:r w:rsidR="00483705" w:rsidRPr="009668D3">
        <w:rPr>
          <w:rFonts w:ascii="Times New Roman" w:hAnsi="Times New Roman" w:cs="Times New Roman"/>
          <w:sz w:val="20"/>
          <w:szCs w:val="20"/>
        </w:rPr>
        <w:t xml:space="preserve"> </w:t>
      </w:r>
      <w:r w:rsidR="00BD67A8" w:rsidRPr="009668D3">
        <w:rPr>
          <w:rFonts w:ascii="Times New Roman" w:hAnsi="Times New Roman" w:cs="Times New Roman"/>
          <w:sz w:val="20"/>
          <w:szCs w:val="20"/>
        </w:rPr>
        <w:t xml:space="preserve">inflicted by both susceptible and parasitised larvae over the season. The parameter </w:t>
      </w:r>
      <m:oMath>
        <m:r>
          <w:rPr>
            <w:rFonts w:ascii="Cambria Math" w:eastAsiaTheme="minorEastAsia" w:hAnsi="Cambria Math" w:cs="Times New Roman"/>
            <w:sz w:val="20"/>
            <w:szCs w:val="20"/>
          </w:rPr>
          <m:t>κ</m:t>
        </m:r>
      </m:oMath>
      <w:r w:rsidR="00BD67A8" w:rsidRPr="009668D3">
        <w:rPr>
          <w:rFonts w:ascii="Times New Roman" w:hAnsi="Times New Roman" w:cs="Times New Roman"/>
          <w:sz w:val="20"/>
          <w:szCs w:val="20"/>
        </w:rPr>
        <w:t xml:space="preserve"> converts larval density into a fractional defoliation rate.</w:t>
      </w:r>
      <w:r w:rsidR="00FD02E6" w:rsidRPr="009668D3">
        <w:rPr>
          <w:rFonts w:ascii="Times New Roman" w:hAnsi="Times New Roman" w:cs="Times New Roman"/>
          <w:sz w:val="20"/>
          <w:szCs w:val="20"/>
        </w:rPr>
        <w:t xml:space="preserve"> </w:t>
      </w:r>
      <w:r w:rsidR="00B25A2B" w:rsidRPr="001E6700">
        <w:rPr>
          <w:rFonts w:ascii="Times New Roman" w:eastAsiaTheme="minorEastAsia" w:hAnsi="Times New Roman" w:cs="Times New Roman"/>
          <w:sz w:val="20"/>
          <w:szCs w:val="20"/>
        </w:rPr>
        <w:t xml:space="preserve">The per-capita defoliation rate κ is taken as independent of larval density because </w:t>
      </w:r>
      <w:r w:rsidR="00B25A2B" w:rsidRPr="001E6700">
        <w:rPr>
          <w:rFonts w:ascii="Times New Roman" w:eastAsiaTheme="minorEastAsia" w:hAnsi="Times New Roman" w:cs="Times New Roman"/>
          <w:i/>
          <w:iCs/>
          <w:sz w:val="20"/>
          <w:szCs w:val="20"/>
        </w:rPr>
        <w:t>A. alni</w:t>
      </w:r>
      <w:r w:rsidR="00B25A2B" w:rsidRPr="001E6700">
        <w:rPr>
          <w:rFonts w:ascii="Times New Roman" w:eastAsiaTheme="minorEastAsia" w:hAnsi="Times New Roman" w:cs="Times New Roman"/>
          <w:sz w:val="20"/>
          <w:szCs w:val="20"/>
        </w:rPr>
        <w:t xml:space="preserve"> larvae are sedentary leaf feeders whose individual consumption is energy- and gut-limited rather than encounter-limited, and the empirical stand-scale defoliation–growth relationship reported for broadleaf trees is linear (Ferretti et al., 2021; Sivrikaya et al., 2020), with resource-limitation feedback captured at the annual scale via Equation 8.</w:t>
      </w:r>
      <w:r w:rsidR="00BD67A8" w:rsidRPr="001E6700">
        <w:rPr>
          <w:rFonts w:ascii="Times New Roman" w:eastAsiaTheme="minorEastAsia" w:hAnsi="Times New Roman" w:cs="Times New Roman"/>
          <w:sz w:val="20"/>
          <w:szCs w:val="20"/>
        </w:rPr>
        <w:t xml:space="preserve"> </w:t>
      </w:r>
      <w:r w:rsidR="00BD67A8" w:rsidRPr="009668D3">
        <w:rPr>
          <w:rFonts w:ascii="Times New Roman" w:hAnsi="Times New Roman" w:cs="Times New Roman"/>
          <w:sz w:val="20"/>
          <w:szCs w:val="20"/>
        </w:rPr>
        <w:t>Ecologically</w:t>
      </w:r>
      <w:r w:rsidR="00677CC7" w:rsidRPr="009668D3">
        <w:rPr>
          <w:rFonts w:ascii="Times New Roman" w:hAnsi="Times New Roman" w:cs="Times New Roman"/>
          <w:sz w:val="20"/>
          <w:szCs w:val="20"/>
        </w:rPr>
        <w:t xml:space="preserve">, it represents the foraging rate of larvae on the </w:t>
      </w:r>
      <w:r w:rsidR="00BD67A8" w:rsidRPr="009668D3">
        <w:rPr>
          <w:rFonts w:ascii="Times New Roman" w:hAnsi="Times New Roman" w:cs="Times New Roman"/>
          <w:sz w:val="20"/>
          <w:szCs w:val="20"/>
        </w:rPr>
        <w:t xml:space="preserve">leaves of Black Adler. The terminal value </w:t>
      </w:r>
      <m:oMath>
        <m:r>
          <w:rPr>
            <w:rFonts w:ascii="Cambria Math" w:eastAsiaTheme="minorEastAsia" w:hAnsi="Cambria Math" w:cs="Times New Roman"/>
            <w:sz w:val="20"/>
            <w:szCs w:val="20"/>
          </w:rPr>
          <m:t>D</m:t>
        </m:r>
        <m:r>
          <w:rPr>
            <w:rFonts w:ascii="Cambria Math" w:eastAsiaTheme="minorEastAsia" w:hAnsi="Cambria Math" w:cs="Times New Roman"/>
            <w:sz w:val="20"/>
            <w:szCs w:val="20"/>
          </w:rPr>
          <m:t>(</m:t>
        </m:r>
        <m:r>
          <w:rPr>
            <w:rFonts w:ascii="Cambria Math" w:eastAsiaTheme="minorEastAsia" w:hAnsi="Cambria Math" w:cs="Times New Roman"/>
            <w:sz w:val="20"/>
            <w:szCs w:val="20"/>
          </w:rPr>
          <m:t>T</m:t>
        </m:r>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t</m:t>
            </m:r>
          </m:sub>
        </m:sSub>
      </m:oMath>
      <w:r w:rsidR="00BD67A8" w:rsidRPr="009668D3">
        <w:rPr>
          <w:rFonts w:ascii="Times New Roman" w:hAnsi="Times New Roman" w:cs="Times New Roman"/>
          <w:sz w:val="20"/>
          <w:szCs w:val="20"/>
        </w:rPr>
        <w:t xml:space="preserve"> </w:t>
      </w:r>
      <w:r w:rsidR="00CB45E5" w:rsidRPr="009668D3">
        <w:rPr>
          <w:rFonts w:ascii="Times New Roman" w:hAnsi="Times New Roman" w:cs="Times New Roman"/>
          <w:sz w:val="20"/>
          <w:szCs w:val="20"/>
        </w:rPr>
        <w:t xml:space="preserve">represents the end of season defoliation and </w:t>
      </w:r>
      <w:r w:rsidR="00BD67A8" w:rsidRPr="009668D3">
        <w:rPr>
          <w:rFonts w:ascii="Times New Roman" w:hAnsi="Times New Roman" w:cs="Times New Roman"/>
          <w:sz w:val="20"/>
          <w:szCs w:val="20"/>
        </w:rPr>
        <w:t>is passed to Module 2</w:t>
      </w:r>
      <w:r w:rsidR="00677CC7" w:rsidRPr="009668D3">
        <w:rPr>
          <w:rFonts w:ascii="Times New Roman" w:hAnsi="Times New Roman" w:cs="Times New Roman"/>
          <w:sz w:val="20"/>
          <w:szCs w:val="20"/>
        </w:rPr>
        <w:t xml:space="preserve">, which determines the reduction in carrying capacity of the </w:t>
      </w:r>
      <w:r w:rsidR="00BD67A8" w:rsidRPr="009668D3">
        <w:rPr>
          <w:rFonts w:ascii="Times New Roman" w:hAnsi="Times New Roman" w:cs="Times New Roman"/>
          <w:sz w:val="20"/>
          <w:szCs w:val="20"/>
        </w:rPr>
        <w:t>beetle for the following year</w:t>
      </w:r>
    </w:p>
    <w:p w14:paraId="4B47C07A" w14:textId="3D728D53" w:rsidR="00643ED9" w:rsidRPr="009668D3" w:rsidRDefault="00643ED9"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Module 2</w:t>
      </w:r>
      <w:r w:rsidR="00BD67A8" w:rsidRPr="009668D3">
        <w:rPr>
          <w:rFonts w:ascii="Times New Roman" w:hAnsi="Times New Roman" w:cs="Times New Roman"/>
          <w:sz w:val="20"/>
          <w:szCs w:val="20"/>
        </w:rPr>
        <w:t xml:space="preserve">: We model the temporal map of the annual recurrence that links successive within-season modules in this second module. It updates beetle recruitment, parasitoid carryover, and the implicit alder carrying capacity. The key ecological process captured here is the resilience mechanism: the deciduous </w:t>
      </w:r>
      <w:r w:rsidR="00BD67A8" w:rsidRPr="009668D3">
        <w:rPr>
          <w:rFonts w:ascii="Times New Roman" w:hAnsi="Times New Roman" w:cs="Times New Roman"/>
          <w:i/>
          <w:sz w:val="20"/>
          <w:szCs w:val="20"/>
        </w:rPr>
        <w:t>Alnus glutinosa</w:t>
      </w:r>
      <w:r w:rsidR="00BD67A8" w:rsidRPr="009668D3">
        <w:rPr>
          <w:rFonts w:ascii="Times New Roman" w:hAnsi="Times New Roman" w:cs="Times New Roman"/>
          <w:sz w:val="20"/>
          <w:szCs w:val="20"/>
        </w:rPr>
        <w:t xml:space="preserve"> regenerates its entire canopy each spring from new foliage, restoring the carrying capacity for beetle larvae</w:t>
      </w:r>
      <w:r w:rsidR="00CB3732" w:rsidRPr="009668D3">
        <w:rPr>
          <w:rFonts w:ascii="Times New Roman" w:hAnsi="Times New Roman" w:cs="Times New Roman"/>
          <w:sz w:val="20"/>
          <w:szCs w:val="20"/>
        </w:rPr>
        <w:t xml:space="preserve">, </w:t>
      </w:r>
      <w:r w:rsidR="00BD67A8" w:rsidRPr="009668D3">
        <w:rPr>
          <w:rFonts w:ascii="Times New Roman" w:hAnsi="Times New Roman" w:cs="Times New Roman"/>
          <w:sz w:val="20"/>
          <w:szCs w:val="20"/>
        </w:rPr>
        <w:t>but only to the extent permitted by the tree's vigour, which is penalised by cumulative defoliation damage from the previous season.</w:t>
      </w:r>
      <w:r w:rsidRPr="009668D3">
        <w:rPr>
          <w:rFonts w:ascii="Times New Roman" w:hAnsi="Times New Roman" w:cs="Times New Roman"/>
          <w:sz w:val="20"/>
          <w:szCs w:val="20"/>
        </w:rPr>
        <w:t xml:space="preserve"> </w:t>
      </w:r>
      <w:r w:rsidR="007E0084" w:rsidRPr="009668D3">
        <w:rPr>
          <w:rFonts w:ascii="Times New Roman" w:hAnsi="Times New Roman" w:cs="Times New Roman"/>
          <w:sz w:val="20"/>
          <w:szCs w:val="20"/>
        </w:rPr>
        <w:t xml:space="preserve">This module consists of 5 </w:t>
      </w:r>
      <w:r w:rsidR="009A31EC" w:rsidRPr="009668D3">
        <w:rPr>
          <w:rFonts w:ascii="Times New Roman" w:hAnsi="Times New Roman" w:cs="Times New Roman"/>
          <w:sz w:val="20"/>
          <w:szCs w:val="20"/>
        </w:rPr>
        <w:t xml:space="preserve">main </w:t>
      </w:r>
      <w:r w:rsidR="007E0084" w:rsidRPr="009668D3">
        <w:rPr>
          <w:rFonts w:ascii="Times New Roman" w:hAnsi="Times New Roman" w:cs="Times New Roman"/>
          <w:sz w:val="20"/>
          <w:szCs w:val="20"/>
        </w:rPr>
        <w:t>equations</w:t>
      </w:r>
      <w:r w:rsidR="009A31EC" w:rsidRPr="009668D3">
        <w:rPr>
          <w:rFonts w:ascii="Times New Roman" w:hAnsi="Times New Roman" w:cs="Times New Roman"/>
          <w:sz w:val="20"/>
          <w:szCs w:val="20"/>
        </w:rPr>
        <w:t xml:space="preserve"> and 2 additional equations for optimal control and threshold identification for regime shift during stability analyses</w:t>
      </w:r>
      <w:r w:rsidR="007E0084" w:rsidRPr="009668D3">
        <w:rPr>
          <w:rFonts w:ascii="Times New Roman" w:hAnsi="Times New Roman" w:cs="Times New Roman"/>
          <w:sz w:val="20"/>
          <w:szCs w:val="20"/>
        </w:rPr>
        <w:t>.</w:t>
      </w:r>
    </w:p>
    <w:p w14:paraId="26A9EDC4" w14:textId="0A312A41" w:rsidR="007E0084" w:rsidRPr="009668D3" w:rsidRDefault="00420E5B" w:rsidP="002D21BC">
      <w:pPr>
        <w:spacing w:line="240" w:lineRule="auto"/>
        <w:jc w:val="both"/>
        <w:rPr>
          <w:rFonts w:ascii="Times New Roman" w:hAnsi="Times New Roman" w:cs="Times New Roman"/>
          <w:sz w:val="20"/>
          <w:szCs w:val="20"/>
        </w:rPr>
      </w:pPr>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num>
          <m:den>
            <m:r>
              <w:rPr>
                <w:rFonts w:ascii="Cambria Math" w:hAnsi="Cambria Math" w:cs="Times New Roman"/>
                <w:sz w:val="20"/>
                <w:szCs w:val="20"/>
              </w:rPr>
              <m:t>1+</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num>
              <m:den>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den>
            </m:f>
          </m:den>
        </m:f>
        <m:r>
          <w:rPr>
            <w:rFonts w:ascii="Cambria Math" w:hAnsi="Cambria Math" w:cs="Times New Roman"/>
            <w:sz w:val="20"/>
            <w:szCs w:val="20"/>
          </w:rPr>
          <m:t>, I</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=0, F</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oMath>
      <w:r w:rsidR="007E0084" w:rsidRPr="009668D3">
        <w:rPr>
          <w:rFonts w:ascii="Times New Roman" w:hAnsi="Times New Roman" w:cs="Times New Roman"/>
          <w:sz w:val="20"/>
          <w:szCs w:val="20"/>
        </w:rPr>
        <w:t>...Equation 5</w:t>
      </w:r>
    </w:p>
    <w:p w14:paraId="2F92B1CD" w14:textId="66EB3263" w:rsidR="007E0084" w:rsidRPr="009668D3" w:rsidRDefault="00EE3E2A" w:rsidP="002D21BC">
      <w:pPr>
        <w:spacing w:line="240" w:lineRule="auto"/>
        <w:jc w:val="both"/>
        <w:rPr>
          <w:rFonts w:ascii="Times New Roman" w:hAnsi="Times New Roman" w:cs="Times New Roman"/>
          <w:sz w:val="20"/>
          <w:szCs w:val="20"/>
        </w:rPr>
      </w:pPr>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oMath>
      <w:r w:rsidR="00F052EE" w:rsidRPr="001E6700">
        <w:rPr>
          <w:rFonts w:ascii="Times New Roman" w:eastAsiaTheme="minorEastAsia" w:hAnsi="Times New Roman" w:cs="Times New Roman"/>
          <w:sz w:val="20"/>
          <w:szCs w:val="20"/>
        </w:rPr>
        <w:t>,</w:t>
      </w:r>
      <w:r w:rsidRPr="001E6700">
        <w:rPr>
          <w:rFonts w:ascii="Times New Roman" w:eastAsiaTheme="minorEastAsia" w:hAnsi="Times New Roman" w:cs="Times New Roman"/>
          <w:sz w:val="20"/>
          <w:szCs w:val="20"/>
        </w:rPr>
        <w:t xml:space="preserve"> </w:t>
      </w:r>
      <w:r w:rsidR="00F052EE" w:rsidRPr="001E6700">
        <w:rPr>
          <w:rFonts w:ascii="Times New Roman" w:eastAsiaTheme="minorEastAsia" w:hAnsi="Times New Roman" w:cs="Times New Roman"/>
          <w:sz w:val="20"/>
          <w:szCs w:val="20"/>
        </w:rPr>
        <w:t>t</w:t>
      </w:r>
      <w:r w:rsidR="00677CC7" w:rsidRPr="001E6700">
        <w:rPr>
          <w:rFonts w:ascii="Times New Roman" w:eastAsiaTheme="minorEastAsia" w:hAnsi="Times New Roman" w:cs="Times New Roman"/>
          <w:sz w:val="20"/>
          <w:szCs w:val="20"/>
        </w:rPr>
        <w:t>he</w:t>
      </w:r>
      <w:r w:rsidR="007E0084" w:rsidRPr="009668D3">
        <w:rPr>
          <w:rFonts w:ascii="Times New Roman" w:hAnsi="Times New Roman" w:cs="Times New Roman"/>
          <w:sz w:val="20"/>
          <w:szCs w:val="20"/>
        </w:rPr>
        <w:t xml:space="preserve"> initial susceptible larval density at the start of each season is determined by </w:t>
      </w:r>
      <w:r w:rsidR="00677CC7" w:rsidRPr="009668D3">
        <w:rPr>
          <w:rFonts w:ascii="Times New Roman" w:hAnsi="Times New Roman" w:cs="Times New Roman"/>
          <w:sz w:val="20"/>
          <w:szCs w:val="20"/>
        </w:rPr>
        <w:t xml:space="preserve">the </w:t>
      </w:r>
      <w:r w:rsidR="007E0084" w:rsidRPr="009668D3">
        <w:rPr>
          <w:rFonts w:ascii="Times New Roman" w:hAnsi="Times New Roman" w:cs="Times New Roman"/>
          <w:sz w:val="20"/>
          <w:szCs w:val="20"/>
        </w:rPr>
        <w:t>Bever</w:t>
      </w:r>
      <w:r w:rsidR="003F1BE8" w:rsidRPr="009668D3">
        <w:rPr>
          <w:rFonts w:ascii="Times New Roman" w:hAnsi="Times New Roman" w:cs="Times New Roman"/>
          <w:sz w:val="20"/>
          <w:szCs w:val="20"/>
        </w:rPr>
        <w:t>t</w:t>
      </w:r>
      <w:r w:rsidR="007E0084" w:rsidRPr="009668D3">
        <w:rPr>
          <w:rFonts w:ascii="Times New Roman" w:hAnsi="Times New Roman" w:cs="Times New Roman"/>
          <w:sz w:val="20"/>
          <w:szCs w:val="20"/>
        </w:rPr>
        <w:t xml:space="preserve">on-Holt recruitment function (Beverton and Holt, 1957), which limits the recruiting </w:t>
      </w:r>
      <w:r w:rsidR="002A39E8" w:rsidRPr="001E6700">
        <w:rPr>
          <w:rFonts w:ascii="Times New Roman" w:eastAsiaTheme="minorEastAsia" w:hAnsi="Times New Roman" w:cs="Times New Roman"/>
          <w:sz w:val="20"/>
          <w:szCs w:val="20"/>
        </w:rPr>
        <w:t>cohorts</w:t>
      </w:r>
      <w:r w:rsidR="007E0084" w:rsidRPr="001E6700">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t</m:t>
            </m:r>
          </m:sub>
        </m:sSub>
      </m:oMath>
      <w:r w:rsidR="007E0084" w:rsidRPr="009668D3">
        <w:rPr>
          <w:rFonts w:ascii="Times New Roman" w:hAnsi="Times New Roman" w:cs="Times New Roman"/>
          <w:sz w:val="20"/>
          <w:szCs w:val="20"/>
        </w:rPr>
        <w:t xml:space="preserve"> to the current carrying capacity</w:t>
      </w:r>
      <w:r w:rsidRPr="009668D3">
        <w:rPr>
          <w:rFonts w:ascii="Times New Roman" w:hAnsi="Times New Roman" w:cs="Times New Roman"/>
          <w:sz w:val="20"/>
          <w:szCs w:val="20"/>
        </w:rPr>
        <w:t xml:space="preserve"> of beetles</w:t>
      </w:r>
      <w:r w:rsidR="007E0084" w:rsidRPr="009668D3">
        <w:rPr>
          <w:rFonts w:ascii="Times New Roman" w:hAnsi="Times New Roman" w:cs="Times New Roman"/>
          <w:sz w:val="20"/>
          <w:szCs w:val="20"/>
        </w:rPr>
        <w:t xml:space="preserve"> </w:t>
      </w:r>
      <w:r w:rsidR="00FB510D" w:rsidRPr="001E6700">
        <w:rPr>
          <w:rFonts w:ascii="Times New Roman" w:hAnsi="Times New Roman" w:cs="Times New Roman"/>
          <w:sz w:val="20"/>
          <w:szCs w:val="20"/>
        </w:rPr>
        <w:t>(</w:t>
      </w: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oMath>
      <w:r w:rsidR="00FB510D" w:rsidRPr="001E6700">
        <w:rPr>
          <w:rFonts w:ascii="Times New Roman" w:hAnsi="Times New Roman" w:cs="Times New Roman"/>
          <w:sz w:val="20"/>
          <w:szCs w:val="20"/>
        </w:rPr>
        <w:t>)</w:t>
      </w:r>
      <w:r w:rsidR="007E0084" w:rsidRPr="009668D3">
        <w:rPr>
          <w:rFonts w:ascii="Times New Roman" w:hAnsi="Times New Roman" w:cs="Times New Roman"/>
          <w:sz w:val="20"/>
          <w:szCs w:val="20"/>
        </w:rPr>
        <w:t xml:space="preserve"> through density-dependent competition for foliag</w:t>
      </w:r>
      <w:r w:rsidR="00FF759C">
        <w:rPr>
          <w:rFonts w:ascii="Times New Roman" w:hAnsi="Times New Roman" w:cs="Times New Roman"/>
          <w:sz w:val="20"/>
          <w:szCs w:val="20"/>
        </w:rPr>
        <w:t>e.</w:t>
      </w:r>
      <w:r w:rsidR="00097FF7">
        <w:rPr>
          <w:rFonts w:ascii="Times New Roman" w:hAnsi="Times New Roman" w:cs="Times New Roman"/>
          <w:color w:val="0000FF"/>
          <w:sz w:val="20"/>
          <w:szCs w:val="20"/>
          <w:u w:val="single"/>
        </w:rPr>
        <w:t xml:space="preserve"> </w:t>
      </w:r>
      <w:r w:rsidR="00F052EE" w:rsidRPr="009668D3">
        <w:rPr>
          <w:rFonts w:ascii="Times New Roman" w:hAnsi="Times New Roman" w:cs="Times New Roman"/>
          <w:sz w:val="20"/>
          <w:szCs w:val="20"/>
        </w:rPr>
        <w:t xml:space="preserve">The Beverton–Holt form is adopted </w:t>
      </w:r>
      <w:r w:rsidR="00FB510D" w:rsidRPr="001E6700">
        <w:rPr>
          <w:rFonts w:ascii="Times New Roman" w:hAnsi="Times New Roman" w:cs="Times New Roman"/>
          <w:color w:val="0000FF"/>
          <w:sz w:val="20"/>
          <w:szCs w:val="20"/>
          <w:u w:val="single"/>
        </w:rPr>
        <w:t xml:space="preserve">as </w:t>
      </w:r>
      <w:r w:rsidR="00FB510D" w:rsidRPr="006A1945">
        <w:rPr>
          <w:rFonts w:ascii="Times New Roman" w:hAnsi="Times New Roman" w:cs="Times New Roman"/>
          <w:sz w:val="20"/>
          <w:szCs w:val="20"/>
        </w:rPr>
        <w:t>the baseline</w:t>
      </w:r>
      <w:r w:rsidR="00FB510D" w:rsidRPr="006A1945">
        <w:rPr>
          <w:rFonts w:ascii="Times New Roman" w:hAnsi="Times New Roman" w:cs="Times New Roman"/>
          <w:sz w:val="20"/>
          <w:szCs w:val="20"/>
          <w:u w:val="single"/>
        </w:rPr>
        <w:t xml:space="preserve"> </w:t>
      </w:r>
      <w:r w:rsidR="00F052EE" w:rsidRPr="009668D3">
        <w:rPr>
          <w:rFonts w:ascii="Times New Roman" w:hAnsi="Times New Roman" w:cs="Times New Roman"/>
          <w:sz w:val="20"/>
          <w:szCs w:val="20"/>
        </w:rPr>
        <w:t xml:space="preserve">because </w:t>
      </w:r>
      <w:r w:rsidR="00F052EE" w:rsidRPr="001E6700">
        <w:rPr>
          <w:rFonts w:ascii="Times New Roman" w:eastAsiaTheme="minorEastAsia" w:hAnsi="Times New Roman" w:cs="Times New Roman"/>
          <w:sz w:val="20"/>
          <w:szCs w:val="20"/>
        </w:rPr>
        <w:t>A. alni exhibits behavioural traits consistent with</w:t>
      </w:r>
      <w:r w:rsidR="00F052EE" w:rsidRPr="009668D3">
        <w:rPr>
          <w:rFonts w:ascii="Times New Roman" w:hAnsi="Times New Roman" w:cs="Times New Roman"/>
          <w:sz w:val="20"/>
          <w:szCs w:val="20"/>
        </w:rPr>
        <w:t xml:space="preserve"> compensatory</w:t>
      </w:r>
      <w:r w:rsidR="00F052EE" w:rsidRPr="001E6700">
        <w:rPr>
          <w:rFonts w:ascii="Times New Roman" w:eastAsiaTheme="minorEastAsia" w:hAnsi="Times New Roman" w:cs="Times New Roman"/>
          <w:sz w:val="20"/>
          <w:szCs w:val="20"/>
        </w:rPr>
        <w:t>, not overcompensatory,</w:t>
      </w:r>
      <w:r w:rsidR="00F052EE" w:rsidRPr="009668D3">
        <w:rPr>
          <w:rFonts w:ascii="Times New Roman" w:hAnsi="Times New Roman" w:cs="Times New Roman"/>
          <w:sz w:val="20"/>
          <w:szCs w:val="20"/>
        </w:rPr>
        <w:t xml:space="preserve"> density dependence</w:t>
      </w:r>
      <w:r w:rsidR="00F052EE" w:rsidRPr="001E6700">
        <w:rPr>
          <w:rFonts w:ascii="Times New Roman" w:eastAsiaTheme="minorEastAsia" w:hAnsi="Times New Roman" w:cs="Times New Roman"/>
          <w:sz w:val="20"/>
          <w:szCs w:val="20"/>
        </w:rPr>
        <w:t xml:space="preserve"> at </w:t>
      </w:r>
      <w:r w:rsidR="00F052EE" w:rsidRPr="009668D3">
        <w:rPr>
          <w:rFonts w:ascii="Times New Roman" w:hAnsi="Times New Roman" w:cs="Times New Roman"/>
          <w:sz w:val="20"/>
          <w:szCs w:val="20"/>
        </w:rPr>
        <w:t>stand scale</w:t>
      </w:r>
      <w:r w:rsidR="00F052EE" w:rsidRPr="001E6700">
        <w:rPr>
          <w:rFonts w:ascii="Times New Roman" w:eastAsiaTheme="minorEastAsia" w:hAnsi="Times New Roman" w:cs="Times New Roman"/>
          <w:sz w:val="20"/>
          <w:szCs w:val="20"/>
        </w:rPr>
        <w:t>: females distribute 200</w:t>
      </w:r>
      <w:r w:rsidR="00023591" w:rsidRPr="001E6700">
        <w:rPr>
          <w:rFonts w:ascii="Times New Roman" w:eastAsiaTheme="minorEastAsia" w:hAnsi="Times New Roman" w:cs="Times New Roman"/>
          <w:sz w:val="20"/>
          <w:szCs w:val="20"/>
        </w:rPr>
        <w:t>-</w:t>
      </w:r>
      <w:r w:rsidR="00F052EE" w:rsidRPr="001E6700">
        <w:rPr>
          <w:rFonts w:ascii="Times New Roman" w:eastAsiaTheme="minorEastAsia" w:hAnsi="Times New Roman" w:cs="Times New Roman"/>
          <w:sz w:val="20"/>
          <w:szCs w:val="20"/>
        </w:rPr>
        <w:t>400 eggs</w:t>
      </w:r>
      <w:r w:rsidR="00F052EE" w:rsidRPr="009668D3">
        <w:rPr>
          <w:rFonts w:ascii="Times New Roman" w:hAnsi="Times New Roman" w:cs="Times New Roman"/>
          <w:sz w:val="20"/>
          <w:szCs w:val="20"/>
        </w:rPr>
        <w:t xml:space="preserve"> across </w:t>
      </w:r>
      <w:r w:rsidR="00F052EE" w:rsidRPr="001E6700">
        <w:rPr>
          <w:rFonts w:ascii="Times New Roman" w:eastAsiaTheme="minorEastAsia" w:hAnsi="Times New Roman" w:cs="Times New Roman"/>
          <w:sz w:val="20"/>
          <w:szCs w:val="20"/>
        </w:rPr>
        <w:t>multiple oviposition sites in clusters of 60-70 (Sivrikaya et al., 2020); larval clustering is loose</w:t>
      </w:r>
      <w:r w:rsidR="00F052EE" w:rsidRPr="009668D3">
        <w:rPr>
          <w:rFonts w:ascii="Times New Roman" w:hAnsi="Times New Roman" w:cs="Times New Roman"/>
          <w:sz w:val="20"/>
          <w:szCs w:val="20"/>
        </w:rPr>
        <w:t xml:space="preserve"> rather than </w:t>
      </w:r>
      <w:r w:rsidR="00F052EE" w:rsidRPr="001E6700">
        <w:rPr>
          <w:rFonts w:ascii="Times New Roman" w:eastAsiaTheme="minorEastAsia" w:hAnsi="Times New Roman" w:cs="Times New Roman"/>
          <w:sz w:val="20"/>
          <w:szCs w:val="20"/>
        </w:rPr>
        <w:t xml:space="preserve">obligate, with alarm-pheromone-mediated dispersal of crowded larvae (Grégoire, 1988; Bünnige &amp; Hilker, 1999); and induced phytochemical resistance in defoliated trees redistributes herbivory to undamaged neighbours (Dolch &amp; Tscharntke, 2000), generating stand-scale contest rather than leaf-scale scramble. Density-dependent emigration in related chrysomelids (Herzig, 1995; Chapman et al., 2007) supports this interpretation more broadly, and empirical outbreak records for A. alni show multi-year episodes rather than the biennial cycles characteristic of overcompensatory Ricker dynamics. </w:t>
      </w:r>
      <w:r w:rsidR="006A1945">
        <w:rPr>
          <w:rFonts w:ascii="Times New Roman" w:eastAsiaTheme="minorEastAsia" w:hAnsi="Times New Roman" w:cs="Times New Roman"/>
          <w:sz w:val="20"/>
          <w:szCs w:val="20"/>
        </w:rPr>
        <w:t>Beverton–Holt, therefore,</w:t>
      </w:r>
      <w:r w:rsidR="00F052EE" w:rsidRPr="009668D3">
        <w:rPr>
          <w:rFonts w:ascii="Times New Roman" w:hAnsi="Times New Roman" w:cs="Times New Roman"/>
          <w:sz w:val="20"/>
          <w:szCs w:val="20"/>
        </w:rPr>
        <w:t xml:space="preserve"> </w:t>
      </w:r>
      <w:r w:rsidR="00F052EE" w:rsidRPr="001E6700">
        <w:rPr>
          <w:rFonts w:ascii="Times New Roman" w:eastAsiaTheme="minorEastAsia" w:hAnsi="Times New Roman" w:cs="Times New Roman"/>
          <w:sz w:val="20"/>
          <w:szCs w:val="20"/>
        </w:rPr>
        <w:t xml:space="preserve">also serves </w:t>
      </w:r>
      <w:r w:rsidR="00F052EE" w:rsidRPr="009668D3">
        <w:rPr>
          <w:rFonts w:ascii="Times New Roman" w:hAnsi="Times New Roman" w:cs="Times New Roman"/>
          <w:sz w:val="20"/>
          <w:szCs w:val="20"/>
        </w:rPr>
        <w:t xml:space="preserve">the </w:t>
      </w:r>
      <w:r w:rsidR="00F052EE" w:rsidRPr="001E6700">
        <w:rPr>
          <w:rFonts w:ascii="Times New Roman" w:eastAsiaTheme="minorEastAsia" w:hAnsi="Times New Roman" w:cs="Times New Roman"/>
          <w:sz w:val="20"/>
          <w:szCs w:val="20"/>
        </w:rPr>
        <w:t xml:space="preserve">methodological purpose of isolating instability arising from </w:t>
      </w:r>
      <w:r w:rsidR="00F052EE" w:rsidRPr="009668D3">
        <w:rPr>
          <w:rFonts w:ascii="Times New Roman" w:hAnsi="Times New Roman" w:cs="Times New Roman"/>
          <w:sz w:val="20"/>
          <w:szCs w:val="20"/>
        </w:rPr>
        <w:t xml:space="preserve">the </w:t>
      </w:r>
      <w:r w:rsidR="00F052EE" w:rsidRPr="001E6700">
        <w:rPr>
          <w:rFonts w:ascii="Times New Roman" w:eastAsiaTheme="minorEastAsia" w:hAnsi="Times New Roman" w:cs="Times New Roman"/>
          <w:sz w:val="20"/>
          <w:szCs w:val="20"/>
        </w:rPr>
        <w:t>tri-trophic interaction from any instability intrinsic to the recruitment function; the Ricker</w:t>
      </w:r>
      <w:r w:rsidR="00F052EE" w:rsidRPr="009668D3">
        <w:rPr>
          <w:rFonts w:ascii="Times New Roman" w:hAnsi="Times New Roman" w:cs="Times New Roman"/>
          <w:sz w:val="20"/>
          <w:szCs w:val="20"/>
        </w:rPr>
        <w:t xml:space="preserve"> alternative </w:t>
      </w:r>
      <w:r w:rsidR="00F052EE" w:rsidRPr="001E6700">
        <w:rPr>
          <w:rFonts w:ascii="Times New Roman" w:eastAsiaTheme="minorEastAsia" w:hAnsi="Times New Roman" w:cs="Times New Roman"/>
          <w:sz w:val="20"/>
          <w:szCs w:val="20"/>
        </w:rPr>
        <w:t xml:space="preserve">is retained as the </w:t>
      </w:r>
      <w:r w:rsidR="00F052EE" w:rsidRPr="009668D3">
        <w:rPr>
          <w:rFonts w:ascii="Times New Roman" w:hAnsi="Times New Roman" w:cs="Times New Roman"/>
          <w:sz w:val="20"/>
          <w:szCs w:val="20"/>
        </w:rPr>
        <w:t>structural</w:t>
      </w:r>
      <w:r w:rsidR="00F052EE" w:rsidRPr="001E6700">
        <w:rPr>
          <w:rFonts w:ascii="Times New Roman" w:eastAsiaTheme="minorEastAsia" w:hAnsi="Times New Roman" w:cs="Times New Roman"/>
          <w:sz w:val="20"/>
          <w:szCs w:val="20"/>
        </w:rPr>
        <w:t>-</w:t>
      </w:r>
      <w:r w:rsidR="00F052EE" w:rsidRPr="009668D3">
        <w:rPr>
          <w:rFonts w:ascii="Times New Roman" w:hAnsi="Times New Roman" w:cs="Times New Roman"/>
          <w:sz w:val="20"/>
          <w:szCs w:val="20"/>
        </w:rPr>
        <w:t xml:space="preserve">robustness </w:t>
      </w:r>
      <w:r w:rsidR="00F052EE" w:rsidRPr="001E6700">
        <w:rPr>
          <w:rFonts w:ascii="Times New Roman" w:eastAsiaTheme="minorEastAsia" w:hAnsi="Times New Roman" w:cs="Times New Roman"/>
          <w:sz w:val="20"/>
          <w:szCs w:val="20"/>
        </w:rPr>
        <w:t>control</w:t>
      </w:r>
      <w:r w:rsidR="00F052EE" w:rsidRPr="009668D3">
        <w:rPr>
          <w:rFonts w:ascii="Times New Roman" w:hAnsi="Times New Roman" w:cs="Times New Roman"/>
          <w:sz w:val="20"/>
          <w:szCs w:val="20"/>
        </w:rPr>
        <w:t xml:space="preserve"> in </w:t>
      </w:r>
      <w:r w:rsidR="00F052EE" w:rsidRPr="001E6700">
        <w:rPr>
          <w:rFonts w:ascii="Times New Roman" w:eastAsiaTheme="minorEastAsia" w:hAnsi="Times New Roman" w:cs="Times New Roman"/>
          <w:sz w:val="20"/>
          <w:szCs w:val="20"/>
        </w:rPr>
        <w:t>Step 10 of Annex.</w:t>
      </w:r>
      <w:r w:rsidR="007E0084" w:rsidRPr="001E6700">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w:r w:rsidRPr="001E6700">
        <w:rPr>
          <w:rFonts w:ascii="Times New Roman" w:eastAsiaTheme="minorEastAsia" w:hAnsi="Times New Roman" w:cs="Times New Roman"/>
          <w:sz w:val="20"/>
          <w:szCs w:val="20"/>
        </w:rPr>
        <w:t xml:space="preserve"> is here annual beetle reproduction rate calculated from </w:t>
      </w:r>
      <w:r w:rsidRPr="001E6700">
        <w:rPr>
          <w:rFonts w:ascii="Times New Roman" w:eastAsiaTheme="minorEastAsia" w:hAnsi="Times New Roman" w:cs="Times New Roman"/>
          <w:sz w:val="20"/>
          <w:szCs w:val="20"/>
        </w:rPr>
        <w:lastRenderedPageBreak/>
        <w:t>its fecundity.</w:t>
      </w:r>
      <w:r w:rsidRPr="009668D3">
        <w:rPr>
          <w:rFonts w:ascii="Times New Roman" w:hAnsi="Times New Roman" w:cs="Times New Roman"/>
          <w:sz w:val="20"/>
          <w:szCs w:val="20"/>
        </w:rPr>
        <w:t xml:space="preserve"> </w:t>
      </w:r>
      <w:r w:rsidR="007E0084" w:rsidRPr="009668D3">
        <w:rPr>
          <w:rFonts w:ascii="Times New Roman" w:hAnsi="Times New Roman" w:cs="Times New Roman"/>
          <w:sz w:val="20"/>
          <w:szCs w:val="20"/>
        </w:rPr>
        <w:t xml:space="preserve">No parasitised larvae exist at season onset because parasitoid activity begins only when adult </w:t>
      </w:r>
      <w:r w:rsidR="007E0084" w:rsidRPr="009668D3">
        <w:rPr>
          <w:rFonts w:ascii="Times New Roman" w:hAnsi="Times New Roman" w:cs="Times New Roman"/>
          <w:i/>
          <w:sz w:val="20"/>
          <w:szCs w:val="20"/>
        </w:rPr>
        <w:t>M. mutabilis</w:t>
      </w:r>
      <w:r w:rsidR="007E0084" w:rsidRPr="009668D3">
        <w:rPr>
          <w:rFonts w:ascii="Times New Roman" w:hAnsi="Times New Roman" w:cs="Times New Roman"/>
          <w:sz w:val="20"/>
          <w:szCs w:val="20"/>
        </w:rPr>
        <w:t xml:space="preserve"> encounter susceptible host larvae within the season. The initial parasitoid density</w:t>
      </w:r>
      <w:r w:rsidR="00C8160C" w:rsidRPr="009668D3">
        <w:rPr>
          <w:rFonts w:ascii="Times New Roman" w:hAnsi="Times New Roman" w:cs="Times New Roman"/>
          <w:sz w:val="20"/>
          <w:szCs w:val="20"/>
        </w:rPr>
        <w:t xml:space="preserve"> </w:t>
      </w:r>
      <w:r w:rsidR="00C8160C" w:rsidRPr="001E6700">
        <w:rPr>
          <w:rFonts w:ascii="Times New Roman" w:eastAsiaTheme="minorEastAsia" w:hAnsi="Times New Roman" w:cs="Times New Roman"/>
          <w:sz w:val="20"/>
          <w:szCs w:val="20"/>
        </w:rPr>
        <w:t>(F(0))</w:t>
      </w:r>
      <w:r w:rsidR="007E0084" w:rsidRPr="001E6700">
        <w:rPr>
          <w:rFonts w:ascii="Times New Roman" w:eastAsiaTheme="minorEastAsia" w:hAnsi="Times New Roman" w:cs="Times New Roman"/>
          <w:sz w:val="20"/>
          <w:szCs w:val="20"/>
        </w:rPr>
        <w:t xml:space="preserve"> </w:t>
      </w:r>
      <w:r w:rsidR="007E0084" w:rsidRPr="009668D3">
        <w:rPr>
          <w:rFonts w:ascii="Times New Roman" w:hAnsi="Times New Roman" w:cs="Times New Roman"/>
          <w:sz w:val="20"/>
          <w:szCs w:val="20"/>
        </w:rPr>
        <w:t xml:space="preserve">equals the overwintering carryover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t</m:t>
            </m:r>
          </m:sub>
        </m:sSub>
      </m:oMath>
      <w:r w:rsidR="004403DE" w:rsidRPr="001E6700">
        <w:rPr>
          <w:rFonts w:ascii="Times New Roman" w:eastAsiaTheme="minorEastAsia" w:hAnsi="Times New Roman" w:cs="Times New Roman"/>
          <w:sz w:val="20"/>
          <w:szCs w:val="20"/>
        </w:rPr>
        <w:t xml:space="preserve"> from last year t</w:t>
      </w:r>
      <w:r w:rsidR="007E0084" w:rsidRPr="009668D3">
        <w:rPr>
          <w:rFonts w:ascii="Times New Roman" w:hAnsi="Times New Roman" w:cs="Times New Roman"/>
          <w:sz w:val="20"/>
          <w:szCs w:val="20"/>
        </w:rPr>
        <w:t>.</w:t>
      </w:r>
    </w:p>
    <w:p w14:paraId="4DE53893" w14:textId="08242C76" w:rsidR="007E0084" w:rsidRPr="009668D3" w:rsidRDefault="00FB510D" w:rsidP="002D21BC">
      <w:pPr>
        <w:spacing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r>
          <w:rPr>
            <w:rFonts w:ascii="Cambria Math" w:hAnsi="Cambria Math" w:cs="Times New Roman"/>
            <w:sz w:val="20"/>
            <w:szCs w:val="20"/>
          </w:rPr>
          <m:t>×</m:t>
        </m:r>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oMath>
      <w:r w:rsidR="007E0084"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eastAsiaTheme="minorEastAsia" w:hAnsi="Cambria Math" w:cs="Times New Roman"/>
            <w:sz w:val="20"/>
            <w:szCs w:val="20"/>
          </w:rPr>
          <m:t>×</m:t>
        </m:r>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T</m:t>
            </m:r>
          </m:e>
        </m:d>
      </m:oMath>
      <w:r w:rsidR="007E0084" w:rsidRPr="009668D3">
        <w:rPr>
          <w:rFonts w:ascii="Times New Roman" w:hAnsi="Times New Roman" w:cs="Times New Roman"/>
          <w:sz w:val="20"/>
          <w:szCs w:val="20"/>
        </w:rPr>
        <w:t xml:space="preserve"> ...Equation 6</w:t>
      </w:r>
    </w:p>
    <w:p w14:paraId="40FFF4B2" w14:textId="4CD8699A" w:rsidR="005444A5" w:rsidRPr="009668D3" w:rsidRDefault="00EE3E2A"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At the end of each within-season window, the surviving susceptible larvae S(T) are mapped to the recruiting cohort for the next year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t+1</m:t>
                </m:r>
              </m:sub>
            </m:sSub>
          </m:e>
        </m:d>
      </m:oMath>
      <w:r w:rsidRPr="009668D3">
        <w:rPr>
          <w:rFonts w:ascii="Times New Roman" w:hAnsi="Times New Roman" w:cs="Times New Roman"/>
          <w:sz w:val="20"/>
          <w:szCs w:val="20"/>
        </w:rPr>
        <w:t xml:space="preserve">through an overwinter survival fraction </w:t>
      </w:r>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FB510D" w:rsidRPr="001E6700">
        <w:rPr>
          <w:rFonts w:ascii="Times New Roman" w:eastAsiaTheme="minorEastAsia" w:hAnsi="Times New Roman" w:cs="Times New Roman"/>
          <w:sz w:val="20"/>
          <w:szCs w:val="20"/>
        </w:rPr>
        <w:t xml:space="preserve"> .</w:t>
      </w:r>
      <w:r w:rsidRPr="009668D3">
        <w:rPr>
          <w:rFonts w:ascii="Times New Roman" w:hAnsi="Times New Roman" w:cs="Times New Roman"/>
          <w:sz w:val="20"/>
          <w:szCs w:val="20"/>
        </w:rPr>
        <w:t xml:space="preserve"> This term mathematically represents a single annual survival parameter that captures all the overwintering survivals: pupation in soil, cold-season mortality, adult emergence, mating, and oviposition. Similarly, </w:t>
      </w:r>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oMath>
      <w:r w:rsidRPr="009668D3">
        <w:rPr>
          <w:rFonts w:ascii="Times New Roman" w:hAnsi="Times New Roman" w:cs="Times New Roman"/>
          <w:sz w:val="20"/>
          <w:szCs w:val="20"/>
        </w:rPr>
        <w:t xml:space="preserve"> represents end-of-season adult parasitoid density to next year's initial density, accounting for tachinid puparia overwinter survival.</w:t>
      </w:r>
    </w:p>
    <w:p w14:paraId="5E3EF935" w14:textId="25581974" w:rsidR="00EE3E2A" w:rsidRPr="009668D3" w:rsidRDefault="00FB510D" w:rsidP="002D21BC">
      <w:pPr>
        <w:spacing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B</m:t>
            </m:r>
          </m:e>
          <m:sub>
            <m:r>
              <w:rPr>
                <w:rFonts w:ascii="Cambria Math" w:hAnsi="Cambria Math" w:cs="Times New Roman"/>
                <w:sz w:val="20"/>
                <w:szCs w:val="20"/>
              </w:rPr>
              <m:t>t</m:t>
            </m:r>
          </m:sub>
          <m:sup>
            <m:r>
              <m:rPr>
                <m:nor/>
              </m:rPr>
              <w:rPr>
                <w:rFonts w:ascii="Times New Roman" w:hAnsi="Times New Roman" w:cs="Times New Roman"/>
                <w:sz w:val="20"/>
                <w:szCs w:val="20"/>
              </w:rPr>
              <m:t>index</m:t>
            </m:r>
          </m:sup>
        </m:sSubSup>
        <m:d>
          <m:dPr>
            <m:ctrlPr>
              <w:rPr>
                <w:rFonts w:ascii="Cambria Math" w:hAnsi="Cambria Math" w:cs="Times New Roman"/>
                <w:sz w:val="20"/>
                <w:szCs w:val="20"/>
              </w:rPr>
            </m:ctrlPr>
          </m:dPr>
          <m:e>
            <m:r>
              <w:rPr>
                <w:rFonts w:ascii="Cambria Math" w:hAnsi="Cambria Math" w:cs="Times New Roman"/>
                <w:sz w:val="20"/>
                <w:szCs w:val="20"/>
              </w:rPr>
              <m:t>1+</m:t>
            </m:r>
            <m:r>
              <w:rPr>
                <w:rFonts w:ascii="Cambria Math" w:hAnsi="Cambria Math" w:cs="Times New Roman"/>
                <w:sz w:val="20"/>
                <w:szCs w:val="20"/>
              </w:rPr>
              <m:t>ξ</m:t>
            </m:r>
            <m:r>
              <w:rPr>
                <w:rFonts w:ascii="Cambria Math" w:hAnsi="Cambria Math" w:cs="Times New Roman"/>
                <w:sz w:val="20"/>
                <w:szCs w:val="20"/>
              </w:rPr>
              <m:t> </m:t>
            </m:r>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ctrlPr>
              <w:rPr>
                <w:rFonts w:ascii="Cambria Math" w:hAnsi="Cambria Math" w:cs="Times New Roman"/>
                <w:i/>
                <w:sz w:val="20"/>
                <w:szCs w:val="20"/>
              </w:rPr>
            </m:ctrlPr>
          </m:e>
        </m:d>
      </m:oMath>
      <w:r w:rsidR="00EE3E2A" w:rsidRPr="009668D3">
        <w:rPr>
          <w:rFonts w:ascii="Times New Roman" w:hAnsi="Times New Roman" w:cs="Times New Roman"/>
          <w:sz w:val="20"/>
          <w:szCs w:val="20"/>
        </w:rPr>
        <w:t>... Equation 7</w:t>
      </w:r>
    </w:p>
    <w:p w14:paraId="3D6EBF9B" w14:textId="3FD54F2F" w:rsidR="00EE3E2A" w:rsidRPr="009668D3" w:rsidRDefault="00653373"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Here </w:t>
      </w: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is the effective bird pressure in each year is the product of the baseline bird index </w:t>
      </w:r>
      <m:oMath>
        <m:sSubSup>
          <m:sSubSupPr>
            <m:ctrlPr>
              <w:rPr>
                <w:rFonts w:ascii="Cambria Math" w:hAnsi="Cambria Math" w:cs="Times New Roman"/>
                <w:i/>
                <w:sz w:val="20"/>
                <w:szCs w:val="20"/>
              </w:rPr>
            </m:ctrlPr>
          </m:sSubSupPr>
          <m:e>
            <m:r>
              <w:rPr>
                <w:rFonts w:ascii="Cambria Math" w:hAnsi="Cambria Math" w:cs="Times New Roman"/>
                <w:sz w:val="20"/>
                <w:szCs w:val="20"/>
              </w:rPr>
              <m:t>B</m:t>
            </m:r>
          </m:e>
          <m:sub>
            <m:r>
              <w:rPr>
                <w:rFonts w:ascii="Cambria Math" w:hAnsi="Cambria Math" w:cs="Times New Roman"/>
                <w:sz w:val="20"/>
                <w:szCs w:val="20"/>
              </w:rPr>
              <m:t>t</m:t>
            </m:r>
          </m:sub>
          <m:sup>
            <m:r>
              <w:rPr>
                <w:rFonts w:ascii="Cambria Math" w:hAnsi="Cambria Math" w:cs="Times New Roman"/>
                <w:sz w:val="20"/>
                <w:szCs w:val="20"/>
              </w:rPr>
              <m:t>index</m:t>
            </m:r>
          </m:sup>
        </m:sSubSup>
      </m:oMath>
      <w:r w:rsidRPr="009668D3">
        <w:rPr>
          <w:rFonts w:ascii="Times New Roman" w:hAnsi="Times New Roman" w:cs="Times New Roman"/>
          <w:sz w:val="20"/>
          <w:szCs w:val="20"/>
        </w:rPr>
        <w:t xml:space="preserve"> (obtained from PECBMS monitoring data or equivalent woodland bird surveys) and a management multiplier </w:t>
      </w:r>
      <m:oMath>
        <m:d>
          <m:dPr>
            <m:ctrlPr>
              <w:rPr>
                <w:rFonts w:ascii="Cambria Math" w:hAnsi="Cambria Math" w:cs="Times New Roman"/>
                <w:i/>
                <w:sz w:val="20"/>
                <w:szCs w:val="20"/>
              </w:rPr>
            </m:ctrlPr>
          </m:dPr>
          <m:e>
            <m:r>
              <w:rPr>
                <w:rFonts w:ascii="Cambria Math" w:hAnsi="Cambria Math" w:cs="Times New Roman"/>
                <w:sz w:val="20"/>
                <w:szCs w:val="20"/>
              </w:rPr>
              <m:t>1+ξ </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e>
        </m:d>
      </m:oMath>
      <w:r w:rsidRPr="009668D3">
        <w:rPr>
          <w:rFonts w:ascii="Times New Roman" w:hAnsi="Times New Roman" w:cs="Times New Roman"/>
          <w:sz w:val="20"/>
          <w:szCs w:val="20"/>
        </w:rPr>
        <w:t xml:space="preserve">. The control variable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d>
              <m:dPr>
                <m:ctrlPr>
                  <w:rPr>
                    <w:rFonts w:ascii="Cambria Math" w:hAnsi="Cambria Math" w:cs="Times New Roman"/>
                    <w:i/>
                    <w:sz w:val="20"/>
                    <w:szCs w:val="20"/>
                  </w:rPr>
                </m:ctrlPr>
              </m:dPr>
              <m:e>
                <m:r>
                  <w:rPr>
                    <w:rFonts w:ascii="Cambria Math" w:hAnsi="Cambria Math" w:cs="Times New Roman"/>
                    <w:sz w:val="20"/>
                    <w:szCs w:val="20"/>
                  </w:rPr>
                  <m:t>t</m:t>
                </m:r>
              </m:e>
            </m:d>
          </m:sub>
        </m:sSub>
      </m:oMath>
      <w:r w:rsidRPr="009668D3">
        <w:rPr>
          <w:rFonts w:ascii="Times New Roman" w:hAnsi="Times New Roman" w:cs="Times New Roman"/>
          <w:sz w:val="20"/>
          <w:szCs w:val="20"/>
        </w:rPr>
        <w:t xml:space="preserve"> represents annual bird-habitat enhancement actions (e.g., nest-box provisioning, structural habitat improvements, reduced disturbance during the breeding season). The parameter </w:t>
      </w:r>
      <m:oMath>
        <m:r>
          <w:rPr>
            <w:rFonts w:ascii="Cambria Math" w:hAnsi="Cambria Math" w:cs="Times New Roman"/>
            <w:sz w:val="20"/>
            <w:szCs w:val="20"/>
          </w:rPr>
          <m:t>ξ </m:t>
        </m:r>
      </m:oMath>
      <w:r w:rsidRPr="009668D3">
        <w:rPr>
          <w:rFonts w:ascii="Times New Roman" w:hAnsi="Times New Roman" w:cs="Times New Roman"/>
          <w:sz w:val="20"/>
          <w:szCs w:val="20"/>
        </w:rPr>
        <w:t xml:space="preserve"> scales the management effort to its effect on local bird density, i.e. the increment or change of bird index as a response to management effort </w:t>
      </w: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oMath>
      <w:r w:rsidRPr="009668D3">
        <w:rPr>
          <w:rFonts w:ascii="Times New Roman" w:hAnsi="Times New Roman" w:cs="Times New Roman"/>
          <w:sz w:val="20"/>
          <w:szCs w:val="20"/>
        </w:rPr>
        <w:t>.</w:t>
      </w:r>
    </w:p>
    <w:p w14:paraId="3AB2D80D" w14:textId="754B81F5" w:rsidR="00653373" w:rsidRPr="009668D3" w:rsidRDefault="00FB510D" w:rsidP="002D21BC">
      <w:pPr>
        <w:spacing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r>
          <w:rPr>
            <w:rFonts w:ascii="Cambria Math" w:hAnsi="Cambria Math" w:cs="Times New Roman"/>
            <w:sz w:val="20"/>
            <w:szCs w:val="20"/>
          </w:rPr>
          <m:t>×</m:t>
        </m:r>
        <m:func>
          <m:funcPr>
            <m:ctrlPr>
              <w:rPr>
                <w:rFonts w:ascii="Cambria Math" w:hAnsi="Cambria Math" w:cs="Times New Roman"/>
                <w:i/>
                <w:sz w:val="20"/>
                <w:szCs w:val="20"/>
              </w:rPr>
            </m:ctrlPr>
          </m:funcPr>
          <m:fName>
            <m:r>
              <m:rPr>
                <m:sty m:val="p"/>
              </m:rPr>
              <w:rPr>
                <w:rFonts w:ascii="Cambria Math" w:hAnsi="Cambria Math" w:cs="Times New Roman"/>
                <w:sz w:val="20"/>
                <w:szCs w:val="20"/>
              </w:rPr>
              <m:t>exp</m:t>
            </m:r>
          </m:fName>
          <m:e>
            <m:d>
              <m:dPr>
                <m:ctrlPr>
                  <w:rPr>
                    <w:rFonts w:ascii="Cambria Math" w:hAnsi="Cambria Math" w:cs="Times New Roman"/>
                    <w:i/>
                    <w:sz w:val="20"/>
                    <w:szCs w:val="20"/>
                  </w:rPr>
                </m:ctrlPr>
              </m:dPr>
              <m:e>
                <m:r>
                  <w:rPr>
                    <w:rFonts w:ascii="Cambria Math" w:hAnsi="Cambria Math" w:cs="Times New Roman"/>
                    <w:sz w:val="20"/>
                    <w:szCs w:val="20"/>
                  </w:rPr>
                  <m:t>-</m:t>
                </m:r>
                <m:r>
                  <w:rPr>
                    <w:rFonts w:ascii="Cambria Math" w:hAnsi="Cambria Math" w:cs="Times New Roman"/>
                    <w:sz w:val="20"/>
                    <w:szCs w:val="20"/>
                  </w:rPr>
                  <m:t>ϕ</m:t>
                </m:r>
                <m:sSub>
                  <m:sSubPr>
                    <m:ctrlPr>
                      <w:rPr>
                        <w:rFonts w:ascii="Cambria Math" w:hAnsi="Cambria Math" w:cs="Times New Roman"/>
                        <w:i/>
                        <w:sz w:val="20"/>
                        <w:szCs w:val="20"/>
                      </w:rPr>
                    </m:ctrlPr>
                  </m:sSubPr>
                  <m:e>
                    <m:r>
                      <w:rPr>
                        <w:rFonts w:ascii="Cambria Math" w:hAnsi="Cambria Math" w:cs="Times New Roman"/>
                        <w:sz w:val="20"/>
                        <w:szCs w:val="20"/>
                      </w:rPr>
                      <m:t>×</m:t>
                    </m:r>
                    <m:r>
                      <w:rPr>
                        <w:rFonts w:ascii="Cambria Math" w:hAnsi="Cambria Math" w:cs="Times New Roman"/>
                        <w:sz w:val="20"/>
                        <w:szCs w:val="20"/>
                      </w:rPr>
                      <m:t>D</m:t>
                    </m:r>
                  </m:e>
                  <m:sub>
                    <m:r>
                      <w:rPr>
                        <w:rFonts w:ascii="Cambria Math" w:hAnsi="Cambria Math" w:cs="Times New Roman"/>
                        <w:sz w:val="20"/>
                        <w:szCs w:val="20"/>
                      </w:rPr>
                      <m:t>t</m:t>
                    </m:r>
                  </m:sub>
                </m:sSub>
              </m:e>
            </m:d>
          </m:e>
        </m:func>
      </m:oMath>
      <w:r w:rsidR="00653373" w:rsidRPr="009668D3">
        <w:rPr>
          <w:rFonts w:ascii="Times New Roman" w:hAnsi="Times New Roman" w:cs="Times New Roman"/>
          <w:sz w:val="20"/>
          <w:szCs w:val="20"/>
        </w:rPr>
        <w:t>... Equation 8</w:t>
      </w:r>
    </w:p>
    <w:p w14:paraId="7A2470DA" w14:textId="6CC58392" w:rsidR="00653373" w:rsidRPr="009668D3" w:rsidRDefault="00FB510D" w:rsidP="002D21BC">
      <w:pPr>
        <w:spacing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r>
              <w:rPr>
                <w:rFonts w:ascii="Cambria Math" w:hAnsi="Cambria Math" w:cs="Times New Roman"/>
                <w:sz w:val="20"/>
                <w:szCs w:val="20"/>
              </w:rPr>
              <m:t>+1</m:t>
            </m:r>
          </m:sub>
        </m:sSub>
      </m:oMath>
      <w:r w:rsidR="00653373" w:rsidRPr="009668D3">
        <w:rPr>
          <w:rFonts w:ascii="Times New Roman" w:hAnsi="Times New Roman" w:cs="Times New Roman"/>
          <w:sz w:val="20"/>
          <w:szCs w:val="20"/>
        </w:rPr>
        <w:t xml:space="preserve"> is the carrying capacity of consecutive years that captures the core resilience of the system due to inter-annual feedback from cumulative defoliation. </w:t>
      </w: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oMath>
      <w:r w:rsidR="00653373" w:rsidRPr="009668D3">
        <w:rPr>
          <w:rFonts w:ascii="Times New Roman" w:hAnsi="Times New Roman" w:cs="Times New Roman"/>
          <w:sz w:val="20"/>
          <w:szCs w:val="20"/>
        </w:rPr>
        <w:t xml:space="preserve"> is the</w:t>
      </w:r>
      <w:r w:rsidR="00A255AF" w:rsidRPr="009668D3">
        <w:rPr>
          <w:rFonts w:ascii="Times New Roman" w:hAnsi="Times New Roman" w:cs="Times New Roman"/>
          <w:sz w:val="20"/>
          <w:szCs w:val="20"/>
        </w:rPr>
        <w:t xml:space="preserve"> undamaged baseline carrying capacity (corresponding to a fully recovered canopy from a healthy </w:t>
      </w:r>
      <w:r w:rsidR="00A255AF" w:rsidRPr="009668D3">
        <w:rPr>
          <w:rFonts w:ascii="Times New Roman" w:hAnsi="Times New Roman" w:cs="Times New Roman"/>
          <w:i/>
          <w:sz w:val="20"/>
          <w:szCs w:val="20"/>
        </w:rPr>
        <w:t>Alnus glutinosa</w:t>
      </w:r>
      <w:r w:rsidR="00A255AF" w:rsidRPr="009668D3">
        <w:rPr>
          <w:rFonts w:ascii="Times New Roman" w:hAnsi="Times New Roman" w:cs="Times New Roman"/>
          <w:sz w:val="20"/>
          <w:szCs w:val="20"/>
        </w:rPr>
        <w:t xml:space="preserve"> stand). </w:t>
      </w:r>
      <m:oMath>
        <m:func>
          <m:funcPr>
            <m:ctrlPr>
              <w:rPr>
                <w:rFonts w:ascii="Cambria Math" w:hAnsi="Cambria Math" w:cs="Times New Roman"/>
                <w:i/>
                <w:sz w:val="20"/>
                <w:szCs w:val="20"/>
              </w:rPr>
            </m:ctrlPr>
          </m:funcPr>
          <m:fName>
            <m:r>
              <m:rPr>
                <m:sty m:val="p"/>
              </m:rPr>
              <w:rPr>
                <w:rFonts w:ascii="Cambria Math" w:hAnsi="Cambria Math" w:cs="Times New Roman"/>
                <w:sz w:val="20"/>
                <w:szCs w:val="20"/>
              </w:rPr>
              <m:t>exp</m:t>
            </m:r>
          </m:fName>
          <m:e>
            <m:d>
              <m:dPr>
                <m:ctrlPr>
                  <w:rPr>
                    <w:rFonts w:ascii="Cambria Math" w:hAnsi="Cambria Math" w:cs="Times New Roman"/>
                    <w:i/>
                    <w:sz w:val="20"/>
                    <w:szCs w:val="20"/>
                  </w:rPr>
                </m:ctrlPr>
              </m:dPr>
              <m:e>
                <m:r>
                  <w:rPr>
                    <w:rFonts w:ascii="Cambria Math" w:hAnsi="Cambria Math" w:cs="Times New Roman"/>
                    <w:sz w:val="20"/>
                    <w:szCs w:val="20"/>
                  </w:rPr>
                  <m:t>-</m:t>
                </m:r>
                <m:r>
                  <w:rPr>
                    <w:rFonts w:ascii="Cambria Math" w:hAnsi="Cambria Math" w:cs="Times New Roman"/>
                    <w:sz w:val="20"/>
                    <w:szCs w:val="20"/>
                  </w:rPr>
                  <m:t>ϕ</m:t>
                </m:r>
                <m:sSub>
                  <m:sSubPr>
                    <m:ctrlPr>
                      <w:rPr>
                        <w:rFonts w:ascii="Cambria Math" w:hAnsi="Cambria Math" w:cs="Times New Roman"/>
                        <w:i/>
                        <w:sz w:val="20"/>
                        <w:szCs w:val="20"/>
                      </w:rPr>
                    </m:ctrlPr>
                  </m:sSubPr>
                  <m:e>
                    <m:r>
                      <w:rPr>
                        <w:rFonts w:ascii="Cambria Math" w:hAnsi="Cambria Math" w:cs="Times New Roman"/>
                        <w:sz w:val="20"/>
                        <w:szCs w:val="20"/>
                      </w:rPr>
                      <m:t>×</m:t>
                    </m:r>
                    <m:r>
                      <w:rPr>
                        <w:rFonts w:ascii="Cambria Math" w:hAnsi="Cambria Math" w:cs="Times New Roman"/>
                        <w:sz w:val="20"/>
                        <w:szCs w:val="20"/>
                      </w:rPr>
                      <m:t>D</m:t>
                    </m:r>
                  </m:e>
                  <m:sub>
                    <m:r>
                      <w:rPr>
                        <w:rFonts w:ascii="Cambria Math" w:hAnsi="Cambria Math" w:cs="Times New Roman"/>
                        <w:sz w:val="20"/>
                        <w:szCs w:val="20"/>
                      </w:rPr>
                      <m:t>t</m:t>
                    </m:r>
                  </m:sub>
                </m:sSub>
              </m:e>
            </m:d>
          </m:e>
        </m:func>
      </m:oMath>
      <w:r w:rsidR="00A255AF" w:rsidRPr="009668D3">
        <w:rPr>
          <w:rFonts w:ascii="Times New Roman" w:hAnsi="Times New Roman" w:cs="Times New Roman"/>
          <w:sz w:val="20"/>
          <w:szCs w:val="20"/>
        </w:rPr>
        <w:t xml:space="preserve"> is a penalty that depends upon the accumulated damage </w:t>
      </w:r>
      <m:oMath>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00A255AF" w:rsidRPr="009668D3">
        <w:rPr>
          <w:rFonts w:ascii="Times New Roman" w:hAnsi="Times New Roman" w:cs="Times New Roman"/>
          <w:sz w:val="20"/>
          <w:szCs w:val="20"/>
        </w:rPr>
        <w:t>. The penalty reduces proporti</w:t>
      </w:r>
      <w:r w:rsidR="008A7872" w:rsidRPr="009668D3">
        <w:rPr>
          <w:rFonts w:ascii="Times New Roman" w:hAnsi="Times New Roman" w:cs="Times New Roman"/>
          <w:sz w:val="20"/>
          <w:szCs w:val="20"/>
        </w:rPr>
        <w:t>on</w:t>
      </w:r>
      <w:r w:rsidR="00A255AF" w:rsidRPr="009668D3">
        <w:rPr>
          <w:rFonts w:ascii="Times New Roman" w:hAnsi="Times New Roman" w:cs="Times New Roman"/>
          <w:sz w:val="20"/>
          <w:szCs w:val="20"/>
        </w:rPr>
        <w:t>ally to next year's foliage quality and quantity, as per the empirical findings of Ferretti et al. (2021) and Dolch and Tscharntke (2000):  broadleaf tree growth decreases by approximately 0.9% per 1% increase in defoliation, and with the induced chemical resistance and persists through the growing season (~133 days) and reduces subsequent beetle herbivory in the following year.</w:t>
      </w:r>
    </w:p>
    <w:p w14:paraId="7356208B" w14:textId="6ABBC49D" w:rsidR="00A255AF" w:rsidRPr="009668D3" w:rsidRDefault="00FB6661"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Finally, to analyse the optimal control of the system, we define an objective functional that minimises the total ecological and management cost of beetle damage and intervention over a multi-year planning horizon of </w:t>
      </w:r>
      <m:oMath>
        <m:r>
          <w:rPr>
            <w:rFonts w:ascii="Cambria Math" w:hAnsi="Cambria Math" w:cs="Times New Roman"/>
            <w:sz w:val="20"/>
            <w:szCs w:val="20"/>
          </w:rPr>
          <m:t>N</m:t>
        </m:r>
      </m:oMath>
      <w:r w:rsidRPr="009668D3">
        <w:rPr>
          <w:rFonts w:ascii="Times New Roman" w:hAnsi="Times New Roman" w:cs="Times New Roman"/>
          <w:sz w:val="20"/>
          <w:szCs w:val="20"/>
        </w:rPr>
        <w:t xml:space="preserve"> years, where each year contains one within-season window of duration </w:t>
      </w:r>
      <m:oMath>
        <m:r>
          <w:rPr>
            <w:rFonts w:ascii="Cambria Math" w:hAnsi="Cambria Math" w:cs="Times New Roman"/>
            <w:sz w:val="20"/>
            <w:szCs w:val="20"/>
          </w:rPr>
          <m:t>T</m:t>
        </m:r>
      </m:oMath>
      <w:r w:rsidR="00A255AF" w:rsidRPr="009668D3">
        <w:rPr>
          <w:rFonts w:ascii="Times New Roman" w:hAnsi="Times New Roman" w:cs="Times New Roman"/>
          <w:sz w:val="20"/>
          <w:szCs w:val="20"/>
        </w:rPr>
        <w:t xml:space="preserve">. </w:t>
      </w:r>
    </w:p>
    <w:p w14:paraId="54DBFDDD" w14:textId="079D4576" w:rsidR="00182DFF" w:rsidRPr="001E6700" w:rsidRDefault="00420E5B" w:rsidP="002D21BC">
      <w:pPr>
        <w:spacing w:line="240" w:lineRule="auto"/>
        <w:jc w:val="both"/>
        <w:rPr>
          <w:rFonts w:ascii="Times New Roman" w:eastAsiaTheme="minorEastAsia" w:hAnsi="Times New Roman" w:cs="Times New Roman"/>
          <w:sz w:val="20"/>
          <w:szCs w:val="20"/>
        </w:rPr>
      </w:pPr>
      <m:oMath>
        <m:r>
          <w:rPr>
            <w:rFonts w:ascii="Cambria Math" w:hAnsi="Cambria Math" w:cs="Times New Roman"/>
            <w:sz w:val="20"/>
            <w:szCs w:val="20"/>
          </w:rPr>
          <m:t>J=</m:t>
        </m:r>
        <m:nary>
          <m:naryPr>
            <m:chr m:val="∑"/>
            <m:ctrlPr>
              <w:rPr>
                <w:rFonts w:ascii="Cambria Math" w:hAnsi="Cambria Math" w:cs="Times New Roman"/>
                <w:i/>
                <w:sz w:val="20"/>
                <w:szCs w:val="20"/>
              </w:rPr>
            </m:ctrlPr>
          </m:naryPr>
          <m:sub>
            <m:r>
              <w:rPr>
                <w:rFonts w:ascii="Cambria Math" w:hAnsi="Cambria Math" w:cs="Times New Roman"/>
                <w:sz w:val="20"/>
                <w:szCs w:val="20"/>
              </w:rPr>
              <m:t>t</m:t>
            </m:r>
          </m:sub>
          <m:sup>
            <m:r>
              <w:rPr>
                <w:rFonts w:ascii="Cambria Math" w:hAnsi="Cambria Math" w:cs="Times New Roman"/>
                <w:sz w:val="20"/>
                <w:szCs w:val="20"/>
              </w:rPr>
              <m:t>N</m:t>
            </m:r>
          </m:sup>
          <m:e>
            <m:d>
              <m:dPr>
                <m:begChr m:val="["/>
                <m:endChr m:val="]"/>
                <m:ctrlPr>
                  <w:rPr>
                    <w:rFonts w:ascii="Cambria Math" w:hAnsi="Cambria Math" w:cs="Times New Roman"/>
                    <w:i/>
                    <w:sz w:val="20"/>
                    <w:szCs w:val="20"/>
                  </w:rPr>
                </m:ctrlPr>
              </m:dPr>
              <m:e>
                <m:nary>
                  <m:naryPr>
                    <m:ctrlPr>
                      <w:rPr>
                        <w:rFonts w:ascii="Cambria Math" w:hAnsi="Cambria Math" w:cs="Times New Roman"/>
                        <w:i/>
                        <w:sz w:val="20"/>
                        <w:szCs w:val="20"/>
                      </w:rPr>
                    </m:ctrlPr>
                  </m:naryPr>
                  <m:sub>
                    <m:r>
                      <w:rPr>
                        <w:rFonts w:ascii="Cambria Math" w:hAnsi="Cambria Math" w:cs="Times New Roman"/>
                        <w:sz w:val="20"/>
                        <w:szCs w:val="20"/>
                      </w:rPr>
                      <m:t>0</m:t>
                    </m:r>
                  </m:sub>
                  <m:sup>
                    <m:r>
                      <w:rPr>
                        <w:rFonts w:ascii="Cambria Math" w:hAnsi="Cambria Math" w:cs="Times New Roman"/>
                        <w:sz w:val="20"/>
                        <w:szCs w:val="20"/>
                      </w:rPr>
                      <m:t>T</m:t>
                    </m:r>
                  </m:sup>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S</m:t>
                            </m:r>
                          </m:sub>
                        </m:sSub>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num>
                          <m:den>
                            <m:r>
                              <w:rPr>
                                <w:rFonts w:ascii="Cambria Math" w:hAnsi="Cambria Math" w:cs="Times New Roman"/>
                                <w:sz w:val="20"/>
                                <w:szCs w:val="20"/>
                              </w:rPr>
                              <m:t>2</m:t>
                            </m:r>
                          </m:den>
                        </m:f>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τ</m:t>
                                </m:r>
                              </m:e>
                            </m:d>
                          </m:e>
                          <m:sup>
                            <m:r>
                              <w:rPr>
                                <w:rFonts w:ascii="Cambria Math" w:hAnsi="Cambria Math" w:cs="Times New Roman"/>
                                <w:sz w:val="20"/>
                                <w:szCs w:val="20"/>
                              </w:rPr>
                              <m:t>2</m:t>
                            </m:r>
                          </m:sup>
                        </m:sSup>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sub>
                            </m:sSub>
                          </m:num>
                          <m:den>
                            <m:r>
                              <w:rPr>
                                <w:rFonts w:ascii="Cambria Math" w:hAnsi="Cambria Math" w:cs="Times New Roman"/>
                                <w:sz w:val="20"/>
                                <w:szCs w:val="20"/>
                              </w:rPr>
                              <m:t>2</m:t>
                            </m:r>
                          </m:den>
                        </m:f>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τ</m:t>
                                </m:r>
                              </m:e>
                            </m:d>
                          </m:e>
                          <m:sup>
                            <m:r>
                              <w:rPr>
                                <w:rFonts w:ascii="Cambria Math" w:hAnsi="Cambria Math" w:cs="Times New Roman"/>
                                <w:sz w:val="20"/>
                                <w:szCs w:val="20"/>
                              </w:rPr>
                              <m:t>2</m:t>
                            </m:r>
                          </m:sup>
                        </m:sSup>
                      </m:e>
                    </m:d>
                  </m:e>
                </m:nary>
                <m:r>
                  <w:rPr>
                    <w:rFonts w:ascii="Cambria Math" w:hAnsi="Cambria Math" w:cs="Times New Roman"/>
                    <w:sz w:val="20"/>
                    <w:szCs w:val="20"/>
                  </w:rPr>
                  <m:t>dτ+</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B,cost</m:t>
                        </m:r>
                      </m:sub>
                    </m:sSub>
                  </m:num>
                  <m:den>
                    <m:r>
                      <w:rPr>
                        <w:rFonts w:ascii="Cambria Math" w:hAnsi="Cambria Math" w:cs="Times New Roman"/>
                        <w:sz w:val="20"/>
                        <w:szCs w:val="20"/>
                      </w:rPr>
                      <m:t>2</m:t>
                    </m:r>
                  </m:den>
                </m:f>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t</m:t>
                        </m:r>
                      </m:e>
                    </m:d>
                  </m:e>
                  <m:sup>
                    <m:r>
                      <w:rPr>
                        <w:rFonts w:ascii="Cambria Math" w:hAnsi="Cambria Math" w:cs="Times New Roman"/>
                        <w:sz w:val="20"/>
                        <w:szCs w:val="20"/>
                      </w:rPr>
                      <m:t>2</m:t>
                    </m:r>
                  </m:sup>
                </m:s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e>
            </m:d>
          </m:e>
        </m:nary>
      </m:oMath>
      <w:r w:rsidR="00FB6661" w:rsidRPr="009668D3">
        <w:rPr>
          <w:rFonts w:ascii="Times New Roman" w:hAnsi="Times New Roman" w:cs="Times New Roman"/>
          <w:sz w:val="20"/>
          <w:szCs w:val="20"/>
        </w:rPr>
        <w:t xml:space="preserve">... Equation </w:t>
      </w:r>
      <w:r w:rsidR="008D6301" w:rsidRPr="009668D3">
        <w:rPr>
          <w:rFonts w:ascii="Times New Roman" w:hAnsi="Times New Roman" w:cs="Times New Roman"/>
          <w:sz w:val="20"/>
          <w:szCs w:val="20"/>
        </w:rPr>
        <w:t>9</w:t>
      </w:r>
      <w:r w:rsidR="002D621C" w:rsidRPr="009668D3">
        <w:rPr>
          <w:rFonts w:ascii="Times New Roman" w:hAnsi="Times New Roman" w:cs="Times New Roman"/>
          <w:sz w:val="20"/>
          <w:szCs w:val="20"/>
        </w:rPr>
        <w:t>,</w:t>
      </w:r>
    </w:p>
    <w:p w14:paraId="58C5E92D" w14:textId="33842BE4" w:rsidR="002D621C" w:rsidRPr="009668D3" w:rsidRDefault="002D621C" w:rsidP="002D21BC">
      <w:pPr>
        <w:spacing w:line="240" w:lineRule="auto"/>
        <w:jc w:val="both"/>
        <w:rPr>
          <w:rFonts w:ascii="Times New Roman" w:hAnsi="Times New Roman" w:cs="Times New Roman"/>
          <w:sz w:val="20"/>
          <w:szCs w:val="20"/>
        </w:rPr>
      </w:pPr>
      <w:r w:rsidRPr="001E6700">
        <w:rPr>
          <w:rFonts w:ascii="Times New Roman" w:eastAsiaTheme="minorEastAsia" w:hAnsi="Times New Roman" w:cs="Times New Roman"/>
          <w:sz w:val="20"/>
          <w:szCs w:val="20"/>
        </w:rPr>
        <w:t xml:space="preserve"> </w:t>
      </w:r>
      <w:r w:rsidR="001E5D4C" w:rsidRPr="001E6700">
        <w:rPr>
          <w:rFonts w:ascii="Times New Roman" w:eastAsiaTheme="minorEastAsia" w:hAnsi="Times New Roman" w:cs="Times New Roman"/>
          <w:sz w:val="20"/>
          <w:szCs w:val="20"/>
        </w:rPr>
        <w:t>where,</w:t>
      </w:r>
      <w:r w:rsidR="00FB6661" w:rsidRPr="009668D3">
        <w:rPr>
          <w:rFonts w:ascii="Times New Roman" w:hAnsi="Times New Roman" w:cs="Times New Roman"/>
          <w:sz w:val="20"/>
          <w:szCs w:val="20"/>
        </w:rPr>
        <w:t xml:space="preserve"> </w:t>
      </w:r>
      <m:oMath>
        <m:r>
          <w:rPr>
            <w:rFonts w:ascii="Cambria Math" w:hAnsi="Cambria Math" w:cs="Times New Roman"/>
            <w:sz w:val="20"/>
            <w:szCs w:val="20"/>
          </w:rPr>
          <m:t>0≤</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r>
          <w:rPr>
            <w:rFonts w:ascii="Cambria Math" w:hAnsi="Cambria Math" w:cs="Times New Roman"/>
            <w:sz w:val="20"/>
            <w:szCs w:val="20"/>
          </w:rPr>
          <m:t>,max,</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r>
          <w:rPr>
            <w:rFonts w:ascii="Cambria Math" w:hAnsi="Cambria Math" w:cs="Times New Roman"/>
            <w:sz w:val="20"/>
            <w:szCs w:val="20"/>
          </w:rPr>
          <m:t>(τ)≤</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r>
          <w:rPr>
            <w:rFonts w:ascii="Cambria Math" w:hAnsi="Cambria Math" w:cs="Times New Roman"/>
            <w:sz w:val="20"/>
            <w:szCs w:val="20"/>
          </w:rPr>
          <m:t>,max,</m:t>
        </m:r>
      </m:oMath>
      <w:r w:rsidRPr="009668D3">
        <w:rPr>
          <w:rFonts w:ascii="Times New Roman" w:hAnsi="Times New Roman" w:cs="Times New Roman"/>
          <w:sz w:val="20"/>
          <w:szCs w:val="20"/>
        </w:rPr>
        <w:t xml:space="preserve"> </w:t>
      </w:r>
      <m:oMath>
        <m:r>
          <w:rPr>
            <w:rFonts w:ascii="Cambria Math" w:hAnsi="Cambria Math" w:cs="Times New Roman"/>
            <w:sz w:val="20"/>
            <w:szCs w:val="20"/>
          </w:rPr>
          <m:t>0</m:t>
        </m:r>
        <m:r>
          <m:rPr>
            <m:sty m:val="p"/>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ctrlPr>
              <w:rPr>
                <w:rFonts w:ascii="Cambria Math" w:hAnsi="Cambria Math" w:cs="Times New Roman"/>
                <w:sz w:val="20"/>
                <w:szCs w:val="20"/>
              </w:rPr>
            </m:ctrlP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ctrlPr>
              <w:rPr>
                <w:rFonts w:ascii="Cambria Math" w:hAnsi="Cambria Math" w:cs="Times New Roman"/>
                <w:sz w:val="20"/>
                <w:szCs w:val="20"/>
              </w:rPr>
            </m:ctrlPr>
          </m:e>
          <m:sub>
            <m:r>
              <w:rPr>
                <w:rFonts w:ascii="Cambria Math" w:hAnsi="Cambria Math" w:cs="Times New Roman"/>
                <w:sz w:val="20"/>
                <w:szCs w:val="20"/>
              </w:rPr>
              <m:t>B,max</m:t>
            </m:r>
          </m:sub>
        </m:sSub>
        <m:r>
          <w:rPr>
            <w:rFonts w:ascii="Cambria Math" w:hAnsi="Cambria Math" w:cs="Times New Roman"/>
            <w:sz w:val="20"/>
            <w:szCs w:val="20"/>
          </w:rPr>
          <m:t>,max</m:t>
        </m:r>
      </m:oMath>
      <w:r w:rsidR="00C80A99" w:rsidRPr="001E6700">
        <w:rPr>
          <w:rFonts w:ascii="Times New Roman" w:eastAsiaTheme="minorEastAsia" w:hAnsi="Times New Roman" w:cs="Times New Roman"/>
          <w:sz w:val="20"/>
          <w:szCs w:val="20"/>
        </w:rPr>
        <w:t>...</w:t>
      </w:r>
      <w:r w:rsidR="00C80A99" w:rsidRPr="009668D3">
        <w:rPr>
          <w:rFonts w:ascii="Times New Roman" w:hAnsi="Times New Roman" w:cs="Times New Roman"/>
          <w:sz w:val="20"/>
          <w:szCs w:val="20"/>
        </w:rPr>
        <w:t>Eq</w:t>
      </w:r>
      <w:r w:rsidR="00253C4A" w:rsidRPr="009668D3">
        <w:rPr>
          <w:rFonts w:ascii="Times New Roman" w:hAnsi="Times New Roman" w:cs="Times New Roman"/>
          <w:sz w:val="20"/>
          <w:szCs w:val="20"/>
        </w:rPr>
        <w:t>uation 10</w:t>
      </w:r>
    </w:p>
    <w:p w14:paraId="40EBE7BE" w14:textId="4735E9CF" w:rsidR="002D621C" w:rsidRPr="009668D3" w:rsidRDefault="002D621C"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Here </w:t>
      </w:r>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oMath>
      <w:r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S</m:t>
            </m:r>
          </m:sub>
        </m:sSub>
      </m:oMath>
      <w:r w:rsidRPr="009668D3">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are the weights that penalise cumulative damage, current larval density, and terminal damage respectively.</w:t>
      </w:r>
      <w:r w:rsidR="00FC5975" w:rsidRPr="009668D3">
        <w:rPr>
          <w:rFonts w:ascii="Times New Roman" w:hAnsi="Times New Roman" w:cs="Times New Roman"/>
          <w:sz w:val="20"/>
          <w:szCs w:val="20"/>
        </w:rPr>
        <w:t xml:space="preserve"> Because D(τ) accumulates over the season, the running penalty </w:t>
      </w:r>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r>
          <w:rPr>
            <w:rFonts w:ascii="Cambria Math" w:hAnsi="Cambria Math" w:cs="Times New Roman"/>
            <w:sz w:val="20"/>
            <w:szCs w:val="20"/>
          </w:rPr>
          <m:t>D(τ</m:t>
        </m:r>
      </m:oMath>
      <w:r w:rsidR="00FC5975" w:rsidRPr="009668D3">
        <w:rPr>
          <w:rFonts w:ascii="Times New Roman" w:hAnsi="Times New Roman" w:cs="Times New Roman"/>
          <w:sz w:val="20"/>
          <w:szCs w:val="20"/>
        </w:rPr>
        <w:t>) assigns greater weight to damage sustained later in the season, reflecting the increasing physiological cost of prolonged defoliation.</w:t>
      </w:r>
      <w:r w:rsidRPr="009668D3">
        <w:rPr>
          <w:rFonts w:ascii="Times New Roman" w:hAnsi="Times New Roman" w:cs="Times New Roman"/>
          <w:sz w:val="20"/>
          <w:szCs w:val="20"/>
        </w:rPr>
        <w:t xml:space="preserve"> </w:t>
      </w:r>
      <w:r w:rsidR="009A31EC" w:rsidRPr="009668D3">
        <w:rPr>
          <w:rFonts w:ascii="Times New Roman" w:hAnsi="Times New Roman" w:cs="Times New Roman"/>
          <w:sz w:val="20"/>
          <w:szCs w:val="20"/>
        </w:rPr>
        <w:t>Ecologically</w:t>
      </w:r>
      <w:r w:rsidRPr="009668D3">
        <w:rPr>
          <w:rFonts w:ascii="Times New Roman" w:hAnsi="Times New Roman" w:cs="Times New Roman"/>
          <w:sz w:val="20"/>
          <w:szCs w:val="20"/>
        </w:rPr>
        <w:t xml:space="preserve">, these are the </w:t>
      </w:r>
      <w:r w:rsidR="00C80A99" w:rsidRPr="009668D3">
        <w:rPr>
          <w:rFonts w:ascii="Times New Roman" w:hAnsi="Times New Roman" w:cs="Times New Roman"/>
          <w:sz w:val="20"/>
          <w:szCs w:val="20"/>
        </w:rPr>
        <w:t>feedback to the carrying capacities for the beetle larvae through accumulation of canopy loss, accumulation of susceptibility to the infection from parasitoid, and accumulation of end-of-season</w:t>
      </w:r>
      <w:r w:rsidR="009A31EC" w:rsidRPr="009668D3">
        <w:rPr>
          <w:rFonts w:ascii="Times New Roman" w:hAnsi="Times New Roman" w:cs="Times New Roman"/>
          <w:sz w:val="20"/>
          <w:szCs w:val="20"/>
        </w:rPr>
        <w:t xml:space="preserve"> defoliation that reduces the chances of overwintering of the beetles.</w:t>
      </w:r>
      <w:r w:rsidR="004248F4" w:rsidRPr="001E6700">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P</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sub>
        </m:sSub>
        <m:r>
          <w:rPr>
            <w:rFonts w:ascii="Cambria Math" w:eastAsiaTheme="minorEastAsia" w:hAnsi="Cambria Math" w:cs="Times New Roman"/>
            <w:sz w:val="20"/>
            <w:szCs w:val="20"/>
          </w:rPr>
          <m:t>and</m:t>
        </m:r>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B,cost</m:t>
            </m:r>
          </m:sub>
        </m:sSub>
      </m:oMath>
      <w:r w:rsidR="009A31EC" w:rsidRPr="009668D3">
        <w:rPr>
          <w:rFonts w:ascii="Times New Roman" w:hAnsi="Times New Roman" w:cs="Times New Roman"/>
          <w:sz w:val="20"/>
          <w:szCs w:val="20"/>
        </w:rPr>
        <w:t xml:space="preserve"> are the unit </w:t>
      </w:r>
      <w:r w:rsidR="00C80A99" w:rsidRPr="009668D3">
        <w:rPr>
          <w:rFonts w:ascii="Times New Roman" w:hAnsi="Times New Roman" w:cs="Times New Roman"/>
          <w:sz w:val="20"/>
          <w:szCs w:val="20"/>
        </w:rPr>
        <w:t>costs</w:t>
      </w:r>
      <w:r w:rsidR="009A31EC" w:rsidRPr="009668D3">
        <w:rPr>
          <w:rFonts w:ascii="Times New Roman" w:hAnsi="Times New Roman" w:cs="Times New Roman"/>
          <w:sz w:val="20"/>
          <w:szCs w:val="20"/>
        </w:rPr>
        <w:t xml:space="preserve"> for the three respective processes: Unit cost of parasitoid attack on larvae to other forest economy, Unit cost of targeted removal of larvae, Unit cost of bird-habitat conservation. However, for the model</w:t>
      </w:r>
      <w:r w:rsidR="001164B3" w:rsidRPr="009668D3">
        <w:rPr>
          <w:rFonts w:ascii="Times New Roman" w:hAnsi="Times New Roman" w:cs="Times New Roman"/>
          <w:sz w:val="20"/>
          <w:szCs w:val="20"/>
        </w:rPr>
        <w:t xml:space="preserve"> retract</w:t>
      </w:r>
      <w:r w:rsidR="000407FB" w:rsidRPr="001E6700">
        <w:rPr>
          <w:rFonts w:ascii="Times New Roman" w:eastAsiaTheme="minorEastAsia" w:hAnsi="Times New Roman" w:cs="Times New Roman"/>
          <w:sz w:val="20"/>
          <w:szCs w:val="20"/>
        </w:rPr>
        <w:t>a</w:t>
      </w:r>
      <w:r w:rsidR="001164B3" w:rsidRPr="001E6700">
        <w:rPr>
          <w:rFonts w:ascii="Times New Roman" w:eastAsiaTheme="minorEastAsia" w:hAnsi="Times New Roman" w:cs="Times New Roman"/>
          <w:sz w:val="20"/>
          <w:szCs w:val="20"/>
        </w:rPr>
        <w:t>i</w:t>
      </w:r>
      <w:r w:rsidR="001164B3" w:rsidRPr="009668D3">
        <w:rPr>
          <w:rFonts w:ascii="Times New Roman" w:hAnsi="Times New Roman" w:cs="Times New Roman"/>
          <w:sz w:val="20"/>
          <w:szCs w:val="20"/>
        </w:rPr>
        <w:t>bility</w:t>
      </w:r>
      <w:r w:rsidR="009A31EC" w:rsidRPr="009668D3">
        <w:rPr>
          <w:rFonts w:ascii="Times New Roman" w:hAnsi="Times New Roman" w:cs="Times New Roman"/>
          <w:sz w:val="20"/>
          <w:szCs w:val="20"/>
        </w:rPr>
        <w:t xml:space="preserve">, we consider these costs as </w:t>
      </w:r>
      <w:r w:rsidR="00C80A99" w:rsidRPr="009668D3">
        <w:rPr>
          <w:rFonts w:ascii="Times New Roman" w:hAnsi="Times New Roman" w:cs="Times New Roman"/>
          <w:sz w:val="20"/>
          <w:szCs w:val="20"/>
        </w:rPr>
        <w:t xml:space="preserve">a fraction of the </w:t>
      </w:r>
      <w:r w:rsidR="009A31EC" w:rsidRPr="009668D3">
        <w:rPr>
          <w:rFonts w:ascii="Times New Roman" w:hAnsi="Times New Roman" w:cs="Times New Roman"/>
          <w:sz w:val="20"/>
          <w:szCs w:val="20"/>
        </w:rPr>
        <w:t>forest management budget</w:t>
      </w:r>
      <w:r w:rsidR="00C80A99" w:rsidRPr="009668D3">
        <w:rPr>
          <w:rFonts w:ascii="Times New Roman" w:hAnsi="Times New Roman" w:cs="Times New Roman"/>
          <w:sz w:val="20"/>
          <w:szCs w:val="20"/>
        </w:rPr>
        <w:t xml:space="preserve"> and, therefore,</w:t>
      </w:r>
      <w:r w:rsidR="009A31EC" w:rsidRPr="009668D3">
        <w:rPr>
          <w:rFonts w:ascii="Times New Roman" w:hAnsi="Times New Roman" w:cs="Times New Roman"/>
          <w:sz w:val="20"/>
          <w:szCs w:val="20"/>
        </w:rPr>
        <w:t xml:space="preserve"> dimensionless.</w:t>
      </w:r>
    </w:p>
    <w:p w14:paraId="705E2B33" w14:textId="0D00A7D2" w:rsidR="009A31EC" w:rsidRPr="009668D3" w:rsidRDefault="009A31EC"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Then</w:t>
      </w:r>
      <w:r w:rsidR="0029509E" w:rsidRPr="001E6700">
        <w:rPr>
          <w:rFonts w:ascii="Times New Roman" w:eastAsiaTheme="minorEastAsia" w:hAnsi="Times New Roman" w:cs="Times New Roman"/>
          <w:sz w:val="20"/>
          <w:szCs w:val="20"/>
        </w:rPr>
        <w:t>,</w:t>
      </w:r>
      <w:r w:rsidRPr="009668D3">
        <w:rPr>
          <w:rFonts w:ascii="Times New Roman" w:hAnsi="Times New Roman" w:cs="Times New Roman"/>
          <w:sz w:val="20"/>
          <w:szCs w:val="20"/>
        </w:rPr>
        <w:t xml:space="preserve"> we also use a function to capture </w:t>
      </w:r>
      <w:r w:rsidR="00C80A99" w:rsidRPr="009668D3">
        <w:rPr>
          <w:rFonts w:ascii="Times New Roman" w:hAnsi="Times New Roman" w:cs="Times New Roman"/>
          <w:sz w:val="20"/>
          <w:szCs w:val="20"/>
        </w:rPr>
        <w:t xml:space="preserve">the </w:t>
      </w:r>
      <w:r w:rsidRPr="009668D3">
        <w:rPr>
          <w:rFonts w:ascii="Times New Roman" w:hAnsi="Times New Roman" w:cs="Times New Roman"/>
          <w:sz w:val="20"/>
          <w:szCs w:val="20"/>
        </w:rPr>
        <w:t xml:space="preserve">central quantity for the stability analysis as the parasitoid invasion regime threshold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m:t>
        </m:r>
      </m:oMath>
      <w:r w:rsidRPr="009668D3">
        <w:rPr>
          <w:rFonts w:ascii="Times New Roman" w:hAnsi="Times New Roman" w:cs="Times New Roman"/>
          <w:sz w:val="20"/>
          <w:szCs w:val="20"/>
        </w:rPr>
        <w:t xml:space="preserve"> In the hybrid seasonal-annual architecture of this model,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is defined operationally as the dominant eigenvalue (spectral radius) of the parasitoid update linearised around the parasitoid-free fixed point of the annual map, rather than from the within-season ODE equilibria alone. This definition follows the next-generation approach for compartmental models (van den Driessche and Watmough, 2002) adapted to the hybrid structure via the Poincaré (stroboscopic) map framework (Kuznetsov, 2004).</w:t>
      </w:r>
      <w:r w:rsidR="00683C2B" w:rsidRPr="009668D3">
        <w:rPr>
          <w:rFonts w:ascii="Times New Roman" w:hAnsi="Times New Roman" w:cs="Times New Roman"/>
          <w:sz w:val="20"/>
          <w:szCs w:val="20"/>
        </w:rPr>
        <w:t xml:space="preserve"> At the parasitoid-free annual fixed point </w:t>
      </w:r>
      <m:oMath>
        <m:r>
          <w:rPr>
            <w:rFonts w:ascii="Cambria Math" w:eastAsiaTheme="minorEastAsia" w:hAnsi="Cambria Math" w:cs="Times New Roman"/>
            <w:sz w:val="20"/>
            <w:szCs w:val="20"/>
          </w:rPr>
          <m:t>x₁*</m:t>
        </m:r>
        <m:r>
          <w:rPr>
            <w:rFonts w:ascii="Cambria Math" w:hAnsi="Cambria Math" w:cs="Times New Roman"/>
            <w:sz w:val="20"/>
            <w:szCs w:val="20"/>
          </w:rPr>
          <m:t xml:space="preserve"> = (</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 xml:space="preserve">, 0,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rPr>
              <m:t>*</m:t>
            </m:r>
          </m:sup>
        </m:sSup>
        <m:r>
          <w:rPr>
            <w:rFonts w:ascii="Cambria Math" w:hAnsi="Cambria Math" w:cs="Times New Roman"/>
            <w:sz w:val="20"/>
            <w:szCs w:val="20"/>
          </w:rPr>
          <m:t>)</m:t>
        </m:r>
      </m:oMath>
      <w:r w:rsidR="00683C2B" w:rsidRPr="009668D3">
        <w:rPr>
          <w:rFonts w:ascii="Times New Roman" w:hAnsi="Times New Roman" w:cs="Times New Roman"/>
          <w:sz w:val="20"/>
          <w:szCs w:val="20"/>
        </w:rPr>
        <w:t>, the parasitoid component F is absent</w:t>
      </w:r>
      <w:r w:rsidR="00C80A99" w:rsidRPr="009668D3">
        <w:rPr>
          <w:rFonts w:ascii="Times New Roman" w:hAnsi="Times New Roman" w:cs="Times New Roman"/>
          <w:sz w:val="20"/>
          <w:szCs w:val="20"/>
        </w:rPr>
        <w:t>,</w:t>
      </w:r>
      <w:r w:rsidR="00683C2B" w:rsidRPr="009668D3">
        <w:rPr>
          <w:rFonts w:ascii="Times New Roman" w:hAnsi="Times New Roman" w:cs="Times New Roman"/>
          <w:sz w:val="20"/>
          <w:szCs w:val="20"/>
        </w:rPr>
        <w:t xml:space="preserve"> and the beetle–foliage subsystem is at its resident equilibrium. The capacity of a small parasitoid introduction to grow across one full </w:t>
      </w:r>
      <w:r w:rsidR="00C80A99" w:rsidRPr="009668D3">
        <w:rPr>
          <w:rFonts w:ascii="Times New Roman" w:hAnsi="Times New Roman" w:cs="Times New Roman"/>
          <w:sz w:val="20"/>
          <w:szCs w:val="20"/>
        </w:rPr>
        <w:t>seasonal</w:t>
      </w:r>
      <w:r w:rsidR="00683C2B" w:rsidRPr="009668D3">
        <w:rPr>
          <w:rFonts w:ascii="Times New Roman" w:hAnsi="Times New Roman" w:cs="Times New Roman"/>
          <w:sz w:val="20"/>
          <w:szCs w:val="20"/>
        </w:rPr>
        <w:t xml:space="preserve"> cycle is:</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t+1</m:t>
                </m:r>
              </m:sub>
            </m:sSub>
          </m:num>
          <m:den>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den>
        </m:f>
        <m:sSub>
          <m:sSubPr>
            <m:ctrlPr>
              <w:rPr>
                <w:rFonts w:ascii="Cambria Math" w:hAnsi="Cambria Math" w:cs="Times New Roman"/>
                <w:i/>
                <w:sz w:val="20"/>
                <w:szCs w:val="20"/>
              </w:rPr>
            </m:ctrlPr>
          </m:sSubPr>
          <m:e>
            <m:d>
              <m:dPr>
                <m:begChr m:val=""/>
                <m:endChr m:val="|"/>
                <m:ctrlPr>
                  <w:rPr>
                    <w:rFonts w:ascii="Cambria Math" w:hAnsi="Cambria Math" w:cs="Times New Roman"/>
                    <w:i/>
                    <w:sz w:val="20"/>
                    <w:szCs w:val="20"/>
                  </w:rPr>
                </m:ctrlPr>
              </m:dPr>
              <m:e>
                <m:r>
                  <w:rPr>
                    <w:rFonts w:ascii="Cambria Math" w:hAnsi="Cambria Math" w:cs="Times New Roman"/>
                    <w:sz w:val="20"/>
                    <w:szCs w:val="20"/>
                  </w:rPr>
                  <m:t>​</m:t>
                </m:r>
              </m:e>
            </m:d>
          </m:e>
          <m:sub>
            <m:sSubSup>
              <m:sSubSupPr>
                <m:ctrlPr>
                  <w:rPr>
                    <w:rFonts w:ascii="Cambria Math" w:hAnsi="Cambria Math" w:cs="Times New Roman"/>
                    <w:i/>
                    <w:sz w:val="20"/>
                    <w:szCs w:val="20"/>
                  </w:rPr>
                </m:ctrlPr>
              </m:sSubSupPr>
              <m:e>
                <m:r>
                  <w:rPr>
                    <w:rFonts w:ascii="Cambria Math" w:hAnsi="Cambria Math" w:cs="Times New Roman"/>
                    <w:sz w:val="20"/>
                    <w:szCs w:val="20"/>
                  </w:rPr>
                  <m:t>x</m:t>
                </m:r>
              </m:e>
              <m:sub>
                <m:r>
                  <w:rPr>
                    <w:rFonts w:ascii="Cambria Math" w:hAnsi="Cambria Math" w:cs="Times New Roman"/>
                    <w:sz w:val="20"/>
                    <w:szCs w:val="20"/>
                  </w:rPr>
                  <m:t>1</m:t>
                </m:r>
              </m:sub>
              <m:sup>
                <m:r>
                  <w:rPr>
                    <w:rFonts w:ascii="Cambria Math" w:hAnsi="Cambria Math" w:cs="Times New Roman"/>
                    <w:sz w:val="20"/>
                    <w:szCs w:val="20"/>
                  </w:rPr>
                  <m:t>*</m:t>
                </m:r>
              </m:sup>
            </m:sSubSup>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num>
          <m:den>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0</m:t>
                </m:r>
              </m:e>
            </m:d>
          </m:den>
        </m:f>
        <m:sSub>
          <m:sSubPr>
            <m:ctrlPr>
              <w:rPr>
                <w:rFonts w:ascii="Cambria Math" w:hAnsi="Cambria Math" w:cs="Times New Roman"/>
                <w:i/>
                <w:sz w:val="20"/>
                <w:szCs w:val="20"/>
              </w:rPr>
            </m:ctrlPr>
          </m:sSubPr>
          <m:e>
            <m:d>
              <m:dPr>
                <m:begChr m:val=""/>
                <m:endChr m:val="|"/>
                <m:ctrlPr>
                  <w:rPr>
                    <w:rFonts w:ascii="Cambria Math" w:hAnsi="Cambria Math" w:cs="Times New Roman"/>
                    <w:i/>
                    <w:sz w:val="20"/>
                    <w:szCs w:val="20"/>
                  </w:rPr>
                </m:ctrlPr>
              </m:dPr>
              <m:e>
                <m:r>
                  <w:rPr>
                    <w:rFonts w:ascii="Cambria Math" w:hAnsi="Cambria Math" w:cs="Times New Roman"/>
                    <w:sz w:val="20"/>
                    <w:szCs w:val="20"/>
                  </w:rPr>
                  <m:t>​</m:t>
                </m:r>
              </m:e>
            </m:d>
          </m:e>
          <m:sub>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m:t>
            </m:r>
            <m:acc>
              <m:accPr>
                <m:ctrlPr>
                  <w:rPr>
                    <w:rFonts w:ascii="Cambria Math" w:hAnsi="Cambria Math" w:cs="Times New Roman"/>
                    <w:i/>
                    <w:sz w:val="20"/>
                    <w:szCs w:val="20"/>
                  </w:rPr>
                </m:ctrlPr>
              </m:accPr>
              <m:e>
                <m:r>
                  <w:rPr>
                    <w:rFonts w:ascii="Cambria Math" w:hAnsi="Cambria Math" w:cs="Times New Roman"/>
                    <w:sz w:val="20"/>
                    <w:szCs w:val="20"/>
                  </w:rPr>
                  <m:t>S</m:t>
                </m:r>
              </m:e>
            </m:acc>
            <m:r>
              <w:rPr>
                <w:rFonts w:ascii="Cambria Math" w:hAnsi="Cambria Math" w:cs="Times New Roman"/>
                <w:sz w:val="20"/>
                <w:szCs w:val="20"/>
              </w:rPr>
              <m:t>, I</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=0, F</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 xml:space="preserve">=0 </m:t>
            </m:r>
          </m:sub>
        </m:sSub>
      </m:oMath>
      <w:r w:rsidR="00683C2B" w:rsidRPr="009668D3">
        <w:rPr>
          <w:rFonts w:ascii="Times New Roman" w:hAnsi="Times New Roman" w:cs="Times New Roman"/>
          <w:sz w:val="20"/>
          <w:szCs w:val="20"/>
        </w:rPr>
        <w:t>... Equation 11</w:t>
      </w:r>
    </w:p>
    <w:p w14:paraId="247771F4" w14:textId="71F3C4EC" w:rsidR="004036B2" w:rsidRPr="009668D3" w:rsidRDefault="00683C2B" w:rsidP="002D21BC">
      <w:pPr>
        <w:spacing w:line="240" w:lineRule="auto"/>
        <w:jc w:val="both"/>
        <w:rPr>
          <w:rFonts w:ascii="Times New Roman" w:hAnsi="Times New Roman" w:cs="Times New Roman"/>
          <w:i/>
          <w:sz w:val="20"/>
          <w:szCs w:val="20"/>
        </w:rPr>
      </w:pPr>
      <w:r w:rsidRPr="009668D3">
        <w:rPr>
          <w:rFonts w:ascii="Times New Roman" w:hAnsi="Times New Roman" w:cs="Times New Roman"/>
          <w:sz w:val="20"/>
          <w:szCs w:val="20"/>
        </w:rPr>
        <w:t xml:space="preserve">Here </w:t>
      </w:r>
      <m:oMath>
        <m:f>
          <m:fPr>
            <m:ctrlPr>
              <w:rPr>
                <w:rFonts w:ascii="Cambria Math" w:hAnsi="Cambria Math" w:cs="Times New Roman"/>
                <w:i/>
                <w:sz w:val="20"/>
                <w:szCs w:val="20"/>
              </w:rPr>
            </m:ctrlPr>
          </m:fPr>
          <m:num>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0</m:t>
                </m:r>
              </m:e>
            </m:d>
          </m:den>
        </m:f>
      </m:oMath>
      <w:r w:rsidRPr="009668D3">
        <w:rPr>
          <w:rFonts w:ascii="Times New Roman" w:hAnsi="Times New Roman" w:cs="Times New Roman"/>
          <w:sz w:val="20"/>
          <w:szCs w:val="20"/>
        </w:rPr>
        <w:t xml:space="preserve"> is the partial derivative obtained from the variational (sensitivity) equations of within season ODE. When the within-season dynamics are evaluated at constant S</w:t>
      </w:r>
      <w:r w:rsidR="008A38BF" w:rsidRPr="001E6700">
        <w:rPr>
          <w:rFonts w:ascii="Times New Roman" w:eastAsiaTheme="minorEastAsia" w:hAnsi="Times New Roman" w:cs="Times New Roman"/>
          <w:sz w:val="20"/>
          <w:szCs w:val="20"/>
        </w:rPr>
        <w:t>(0)</w:t>
      </w:r>
      <w:r w:rsidRPr="001E6700">
        <w:rPr>
          <w:rFonts w:ascii="Times New Roman" w:eastAsiaTheme="minorEastAsia" w:hAnsi="Times New Roman" w:cs="Times New Roman"/>
          <w:sz w:val="20"/>
          <w:szCs w:val="20"/>
        </w:rPr>
        <w:t xml:space="preserve"> ≈</w:t>
      </w:r>
      <w:r w:rsidR="00E731F7" w:rsidRPr="001E6700">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 xml:space="preserve"> </m:t>
        </m:r>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S</m:t>
            </m:r>
          </m:e>
        </m:acc>
      </m:oMath>
      <w:r w:rsidRPr="001E6700">
        <w:rPr>
          <w:rFonts w:ascii="Times New Roman" w:eastAsiaTheme="minorEastAsia" w:hAnsi="Times New Roman" w:cs="Times New Roman"/>
          <w:sz w:val="20"/>
          <w:szCs w:val="20"/>
        </w:rPr>
        <w:t xml:space="preserve"> </w:t>
      </w:r>
      <w:r w:rsidRPr="009668D3">
        <w:rPr>
          <w:rFonts w:ascii="Times New Roman" w:hAnsi="Times New Roman" w:cs="Times New Roman"/>
          <w:sz w:val="20"/>
          <w:szCs w:val="20"/>
        </w:rPr>
        <w:t xml:space="preserve"> and constant bird pressure </w:t>
      </w: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m:t>
        </m:r>
      </m:oMath>
      <w:r w:rsidRPr="009668D3">
        <w:rPr>
          <w:rFonts w:ascii="Times New Roman" w:hAnsi="Times New Roman" w:cs="Times New Roman"/>
          <w:sz w:val="20"/>
          <w:szCs w:val="20"/>
        </w:rPr>
        <w:t xml:space="preserve"> </w:t>
      </w:r>
      <w:r w:rsidR="00165E61" w:rsidRPr="001E6700">
        <w:rPr>
          <w:rFonts w:ascii="Times New Roman" w:eastAsiaTheme="minorEastAsia" w:hAnsi="Times New Roman" w:cs="Times New Roman"/>
          <w:sz w:val="20"/>
          <w:szCs w:val="20"/>
        </w:rPr>
        <w:t xml:space="preserve">We reduce </w:t>
      </w:r>
      <w:r w:rsidR="00165E61" w:rsidRPr="001E6700">
        <w:rPr>
          <w:rFonts w:ascii="Times New Roman" w:eastAsiaTheme="minorEastAsia" w:hAnsi="Times New Roman" w:cs="Times New Roman"/>
          <w:sz w:val="20"/>
          <w:szCs w:val="20"/>
        </w:rPr>
        <w:lastRenderedPageBreak/>
        <w:t>this</w:t>
      </w:r>
      <w:r w:rsidRPr="009668D3">
        <w:rPr>
          <w:rFonts w:ascii="Times New Roman" w:hAnsi="Times New Roman" w:cs="Times New Roman"/>
          <w:sz w:val="20"/>
          <w:szCs w:val="20"/>
        </w:rPr>
        <w:t xml:space="preserve"> rigorous definition </w:t>
      </w:r>
      <w:r w:rsidR="00FB510D" w:rsidRPr="001E6700">
        <w:rPr>
          <w:rFonts w:ascii="Times New Roman" w:eastAsiaTheme="minorEastAsia" w:hAnsi="Times New Roman" w:cs="Times New Roman"/>
          <w:sz w:val="20"/>
          <w:szCs w:val="20"/>
        </w:rPr>
        <w:t xml:space="preserve">reduces </w:t>
      </w:r>
      <w:r w:rsidRPr="009668D3">
        <w:rPr>
          <w:rFonts w:ascii="Times New Roman" w:hAnsi="Times New Roman" w:cs="Times New Roman"/>
          <w:sz w:val="20"/>
          <w:szCs w:val="20"/>
        </w:rPr>
        <w:t>to the interpretable approximation:</w:t>
      </w:r>
      <w:r w:rsidR="00E82C6D" w:rsidRPr="009668D3">
        <w:rPr>
          <w:rFonts w:ascii="Times New Roman" w:hAnsi="Times New Roman" w:cs="Times New Roman"/>
          <w:i/>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m:rPr>
            <m:sty m:val="p"/>
          </m:rPr>
          <w:rPr>
            <w:rFonts w:ascii="Cambria Math" w:hAnsi="Cambria Math" w:cs="Times New Roman"/>
            <w:sz w:val="20"/>
            <w:szCs w:val="20"/>
          </w:rPr>
          <m:t>≈</m:t>
        </m:r>
        <m:f>
          <m:fPr>
            <m:ctrlPr>
              <w:rPr>
                <w:rFonts w:ascii="Cambria Math" w:eastAsiaTheme="minorEastAsia" w:hAnsi="Cambria Math" w:cs="Times New Roman"/>
                <w:sz w:val="20"/>
                <w:szCs w:val="20"/>
              </w:rPr>
            </m:ctrlPr>
          </m:fPr>
          <m:num>
            <m:r>
              <w:rPr>
                <w:rFonts w:ascii="Cambria Math" w:eastAsiaTheme="minorEastAsia" w:hAnsi="Cambria Math" w:cs="Times New Roman"/>
                <w:sz w:val="20"/>
                <w:szCs w:val="20"/>
              </w:rPr>
              <m:t>η δ β </m:t>
            </m:r>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S</m:t>
                </m:r>
              </m:e>
            </m:acc>
            <m:ctrlPr>
              <w:rPr>
                <w:rFonts w:ascii="Cambria Math" w:eastAsiaTheme="minorEastAsia" w:hAnsi="Cambria Math" w:cs="Times New Roman"/>
                <w:i/>
                <w:sz w:val="20"/>
                <w:szCs w:val="20"/>
              </w:rPr>
            </m:ctrlPr>
          </m:num>
          <m:den>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r>
                  <w:rPr>
                    <w:rFonts w:ascii="Cambria Math" w:eastAsiaTheme="minorEastAsia" w:hAnsi="Cambria Math" w:cs="Times New Roman"/>
                    <w:sz w:val="20"/>
                    <w:szCs w:val="20"/>
                  </w:rPr>
                  <m:t>h</m:t>
                </m:r>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S</m:t>
                    </m:r>
                  </m:e>
                </m:acc>
              </m:e>
            </m:d>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ctrlPr>
                  <w:rPr>
                    <w:rFonts w:ascii="Cambria Math" w:eastAsiaTheme="minorEastAsia" w:hAnsi="Cambria Math" w:cs="Times New Roman"/>
                    <w:sz w:val="20"/>
                    <w:szCs w:val="20"/>
                  </w:rPr>
                </m:ctrlPr>
              </m:e>
              <m:sub>
                <m:r>
                  <w:rPr>
                    <w:rFonts w:ascii="Cambria Math" w:eastAsiaTheme="minorEastAsia" w:hAnsi="Cambria Math" w:cs="Times New Roman"/>
                    <w:sz w:val="20"/>
                    <w:szCs w:val="20"/>
                  </w:rPr>
                  <m:t>F</m:t>
                </m:r>
              </m:sub>
            </m:sSub>
            <m:r>
              <m:rPr>
                <m:sty m:val="p"/>
              </m:rPr>
              <w:rPr>
                <w:rFonts w:ascii="Cambria Math" w:eastAsiaTheme="minorEastAsia" w:hAnsi="Cambria Math" w:cs="Times New Roman"/>
                <w:sz w:val="20"/>
                <w:szCs w:val="20"/>
              </w:rPr>
              <m:t>⋅</m:t>
            </m:r>
            <m:d>
              <m:dPr>
                <m:ctrlPr>
                  <w:rPr>
                    <w:rFonts w:ascii="Cambria Math" w:eastAsiaTheme="minorEastAsia" w:hAnsi="Cambria Math" w:cs="Times New Roman"/>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+δ+</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m:t>
                </m:r>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t</m:t>
                        </m:r>
                      </m:sub>
                    </m:sSub>
                    <m:ctrlPr>
                      <w:rPr>
                        <w:rFonts w:ascii="Cambria Math" w:eastAsiaTheme="minorEastAsia" w:hAnsi="Cambria Math" w:cs="Times New Roman"/>
                        <w:i/>
                        <w:sz w:val="20"/>
                        <w:szCs w:val="20"/>
                      </w:rPr>
                    </m:ctrlPr>
                  </m:num>
                  <m:den>
                    <m:r>
                      <w:rPr>
                        <w:rFonts w:ascii="Cambria Math" w:eastAsiaTheme="minorEastAsia" w:hAnsi="Cambria Math" w:cs="Times New Roman"/>
                        <w:sz w:val="20"/>
                        <w:szCs w:val="20"/>
                      </w:rPr>
                      <m:t>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 </m:t>
                    </m:r>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S</m:t>
                        </m:r>
                      </m:e>
                    </m:acc>
                    <m:ctrlPr>
                      <w:rPr>
                        <w:rFonts w:ascii="Cambria Math" w:eastAsiaTheme="minorEastAsia" w:hAnsi="Cambria Math" w:cs="Times New Roman"/>
                        <w:i/>
                        <w:sz w:val="20"/>
                        <w:szCs w:val="20"/>
                      </w:rPr>
                    </m:ctrlPr>
                  </m:den>
                </m:f>
                <m:ctrlPr>
                  <w:rPr>
                    <w:rFonts w:ascii="Cambria Math" w:eastAsiaTheme="minorEastAsia" w:hAnsi="Cambria Math" w:cs="Times New Roman"/>
                    <w:i/>
                    <w:sz w:val="20"/>
                    <w:szCs w:val="20"/>
                  </w:rPr>
                </m:ctrlPr>
              </m:e>
            </m:d>
            <m:ctrlPr>
              <w:rPr>
                <w:rFonts w:ascii="Cambria Math" w:eastAsiaTheme="minorEastAsia" w:hAnsi="Cambria Math" w:cs="Times New Roman"/>
                <w:i/>
                <w:sz w:val="20"/>
                <w:szCs w:val="20"/>
              </w:rPr>
            </m:ctrlPr>
          </m:den>
        </m:f>
      </m:oMath>
      <w:r w:rsidR="0092146F" w:rsidRPr="009668D3">
        <w:rPr>
          <w:rFonts w:ascii="Times New Roman" w:hAnsi="Times New Roman" w:cs="Times New Roman"/>
          <w:i/>
          <w:sz w:val="20"/>
          <w:szCs w:val="20"/>
        </w:rPr>
        <w:t xml:space="preserve">. </w:t>
      </w:r>
      <w:r w:rsidR="004036B2" w:rsidRPr="009668D3">
        <w:rPr>
          <w:rFonts w:ascii="Times New Roman" w:hAnsi="Times New Roman" w:cs="Times New Roman"/>
          <w:sz w:val="20"/>
          <w:szCs w:val="20"/>
        </w:rPr>
        <w:t xml:space="preserve">Here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&lt;1</m:t>
        </m:r>
      </m:oMath>
      <w:r w:rsidR="004036B2" w:rsidRPr="009668D3">
        <w:rPr>
          <w:rFonts w:ascii="Times New Roman" w:hAnsi="Times New Roman" w:cs="Times New Roman"/>
          <w:sz w:val="20"/>
          <w:szCs w:val="20"/>
        </w:rPr>
        <w:t xml:space="preserve"> denotes parasitoid dies out eventually in a regime</w:t>
      </w:r>
      <w:r w:rsidR="00C80A99" w:rsidRPr="009668D3">
        <w:rPr>
          <w:rFonts w:ascii="Times New Roman" w:hAnsi="Times New Roman" w:cs="Times New Roman"/>
          <w:sz w:val="20"/>
          <w:szCs w:val="20"/>
        </w:rPr>
        <w:t>, and the equilibrium would be parasite-free</w:t>
      </w:r>
      <w:r w:rsidR="004036B2"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&gt; 1</m:t>
        </m:r>
      </m:oMath>
      <w:r w:rsidR="004036B2" w:rsidRPr="009668D3">
        <w:rPr>
          <w:rFonts w:ascii="Times New Roman" w:hAnsi="Times New Roman" w:cs="Times New Roman"/>
          <w:sz w:val="20"/>
          <w:szCs w:val="20"/>
        </w:rPr>
        <w:t xml:space="preserve"> means the parasitoid can invade and persist, and it represents </w:t>
      </w:r>
      <w:r w:rsidR="00C80A99" w:rsidRPr="009668D3">
        <w:rPr>
          <w:rFonts w:ascii="Times New Roman" w:hAnsi="Times New Roman" w:cs="Times New Roman"/>
          <w:sz w:val="20"/>
          <w:szCs w:val="20"/>
        </w:rPr>
        <w:t xml:space="preserve">the </w:t>
      </w:r>
      <w:r w:rsidR="004036B2" w:rsidRPr="009668D3">
        <w:rPr>
          <w:rFonts w:ascii="Times New Roman" w:hAnsi="Times New Roman" w:cs="Times New Roman"/>
          <w:sz w:val="20"/>
          <w:szCs w:val="20"/>
        </w:rPr>
        <w:t>present endemic parasitism regime where biological control is effective. Therefore</w:t>
      </w:r>
      <w:r w:rsidR="00E731F7" w:rsidRPr="001E6700">
        <w:rPr>
          <w:rFonts w:ascii="Times New Roman" w:eastAsiaTheme="minorEastAsia" w:hAnsi="Times New Roman" w:cs="Times New Roman"/>
          <w:sz w:val="20"/>
          <w:szCs w:val="20"/>
        </w:rPr>
        <w:t>,</w:t>
      </w:r>
      <w:r w:rsidR="004036B2"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1</m:t>
        </m:r>
      </m:oMath>
      <w:r w:rsidR="004036B2" w:rsidRPr="009668D3">
        <w:rPr>
          <w:rFonts w:ascii="Times New Roman" w:hAnsi="Times New Roman" w:cs="Times New Roman"/>
          <w:sz w:val="20"/>
          <w:szCs w:val="20"/>
        </w:rPr>
        <w:t xml:space="preserve"> is the transcritical bifurcation boundary, where we can observe </w:t>
      </w:r>
      <w:r w:rsidR="00C80A99" w:rsidRPr="009668D3">
        <w:rPr>
          <w:rFonts w:ascii="Times New Roman" w:hAnsi="Times New Roman" w:cs="Times New Roman"/>
          <w:sz w:val="20"/>
          <w:szCs w:val="20"/>
        </w:rPr>
        <w:t xml:space="preserve">a </w:t>
      </w:r>
      <w:r w:rsidR="004036B2" w:rsidRPr="009668D3">
        <w:rPr>
          <w:rFonts w:ascii="Times New Roman" w:hAnsi="Times New Roman" w:cs="Times New Roman"/>
          <w:sz w:val="20"/>
          <w:szCs w:val="20"/>
        </w:rPr>
        <w:t xml:space="preserve">regime shift. The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1</m:t>
        </m:r>
      </m:oMath>
      <w:r w:rsidR="004036B2" w:rsidRPr="009668D3">
        <w:rPr>
          <w:rFonts w:ascii="Times New Roman" w:hAnsi="Times New Roman" w:cs="Times New Roman"/>
          <w:sz w:val="20"/>
          <w:szCs w:val="20"/>
        </w:rPr>
        <w:t xml:space="preserve"> is searched by controlling the following model parameters: β</w:t>
      </w:r>
      <m:oMath>
        <m:r>
          <w:rPr>
            <w:rFonts w:ascii="Cambria Math" w:hAnsi="Cambria Math" w:cs="Times New Roman"/>
            <w:sz w:val="20"/>
            <w:szCs w:val="20"/>
          </w:rPr>
          <m:t xml:space="preserve">, η, </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F</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oMath>
      <w:r w:rsidR="004036B2" w:rsidRPr="009668D3">
        <w:rPr>
          <w:rFonts w:ascii="Times New Roman" w:hAnsi="Times New Roman" w:cs="Times New Roman"/>
          <w:sz w:val="20"/>
          <w:szCs w:val="20"/>
        </w:rPr>
        <w:t xml:space="preserve">. </w:t>
      </w:r>
      <w:r w:rsidR="00C80A99" w:rsidRPr="009668D3">
        <w:rPr>
          <w:rFonts w:ascii="Times New Roman" w:hAnsi="Times New Roman" w:cs="Times New Roman"/>
          <w:sz w:val="20"/>
          <w:szCs w:val="20"/>
        </w:rPr>
        <w:t>The rest</w:t>
      </w:r>
      <w:r w:rsidR="004036B2" w:rsidRPr="009668D3">
        <w:rPr>
          <w:rFonts w:ascii="Times New Roman" w:hAnsi="Times New Roman" w:cs="Times New Roman"/>
          <w:sz w:val="20"/>
          <w:szCs w:val="20"/>
        </w:rPr>
        <w:t xml:space="preserve"> of the model parameters are obtained from the literature and listed in </w:t>
      </w:r>
      <w:r w:rsidR="00AA2E71" w:rsidRPr="009668D3">
        <w:rPr>
          <w:rFonts w:ascii="Times New Roman" w:hAnsi="Times New Roman" w:cs="Times New Roman"/>
          <w:sz w:val="20"/>
          <w:szCs w:val="20"/>
        </w:rPr>
        <w:t>Annex</w:t>
      </w:r>
      <w:r w:rsidR="004036B2" w:rsidRPr="009668D3">
        <w:rPr>
          <w:rFonts w:ascii="Times New Roman" w:hAnsi="Times New Roman" w:cs="Times New Roman"/>
          <w:sz w:val="20"/>
          <w:szCs w:val="20"/>
        </w:rPr>
        <w:t xml:space="preserve"> 1.</w:t>
      </w:r>
    </w:p>
    <w:p w14:paraId="1CDC9908" w14:textId="65115F41" w:rsidR="000E2FF5" w:rsidRPr="009668D3" w:rsidRDefault="007717A7" w:rsidP="009668D3">
      <w:pPr>
        <w:pStyle w:val="ListParagraph"/>
        <w:numPr>
          <w:ilvl w:val="0"/>
          <w:numId w:val="7"/>
        </w:num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Phenological scenarios and parameter mapping</w:t>
      </w:r>
    </w:p>
    <w:p w14:paraId="79F3DC6F" w14:textId="382C76F6" w:rsidR="00A8673D" w:rsidRPr="009668D3" w:rsidRDefault="00A8673D" w:rsidP="000E2FF5">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 </w:t>
      </w:r>
      <w:r w:rsidR="007717A7" w:rsidRPr="009668D3">
        <w:rPr>
          <w:rFonts w:ascii="Times New Roman" w:hAnsi="Times New Roman" w:cs="Times New Roman"/>
          <w:sz w:val="20"/>
          <w:szCs w:val="20"/>
        </w:rPr>
        <w:t xml:space="preserve">The nine phenological scenarios described in the Introduction are represented in the model through variation of specific parameters. Table </w:t>
      </w:r>
      <w:r w:rsidR="000A3B97" w:rsidRPr="009668D3">
        <w:rPr>
          <w:rFonts w:ascii="Times New Roman" w:hAnsi="Times New Roman" w:cs="Times New Roman"/>
          <w:sz w:val="20"/>
          <w:szCs w:val="20"/>
        </w:rPr>
        <w:t>S1</w:t>
      </w:r>
      <w:r w:rsidR="007717A7" w:rsidRPr="009668D3">
        <w:rPr>
          <w:rFonts w:ascii="Times New Roman" w:hAnsi="Times New Roman" w:cs="Times New Roman"/>
          <w:sz w:val="20"/>
          <w:szCs w:val="20"/>
        </w:rPr>
        <w:t xml:space="preserve"> maps each scenario to its climate driver, the affected model parameter(s), the baseline value, and the perturbed range. Each range is justified by published literature or biologically constrained priors (Annex 1). In the numerical analyses, the effect of each scenario is first assessed individually (one-at-a-time variation holding other parameters at baseline) to isolate the contribution of each phenology, and then jointly through full Latin Hypercube Sampling across all parameter ranges to capture interactions among scenarios.</w:t>
      </w:r>
    </w:p>
    <w:p w14:paraId="34201884" w14:textId="6D98D106" w:rsidR="004036B2" w:rsidRPr="009668D3" w:rsidRDefault="004036B2"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2.</w:t>
      </w:r>
      <w:r w:rsidR="00757681" w:rsidRPr="009668D3">
        <w:rPr>
          <w:rFonts w:ascii="Times New Roman" w:hAnsi="Times New Roman" w:cs="Times New Roman"/>
          <w:b/>
          <w:sz w:val="20"/>
          <w:szCs w:val="20"/>
        </w:rPr>
        <w:t>3</w:t>
      </w:r>
      <w:r w:rsidRPr="009668D3">
        <w:rPr>
          <w:rFonts w:ascii="Times New Roman" w:hAnsi="Times New Roman" w:cs="Times New Roman"/>
          <w:b/>
          <w:sz w:val="20"/>
          <w:szCs w:val="20"/>
        </w:rPr>
        <w:t xml:space="preserve"> Stability Analyses</w:t>
      </w:r>
    </w:p>
    <w:p w14:paraId="27D85E33" w14:textId="66ABEB72" w:rsidR="004036B2" w:rsidRPr="009668D3" w:rsidRDefault="00AE0201"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 long-term stability of this system is determined by the annual recurrence map rather than by the within-season ordinary differential equation (ODE) considered in isolation. The within-season ODE (Equations 1</w:t>
      </w:r>
      <w:r w:rsidR="0092146F" w:rsidRPr="009668D3">
        <w:rPr>
          <w:rFonts w:ascii="Times New Roman" w:hAnsi="Times New Roman" w:cs="Times New Roman"/>
          <w:sz w:val="20"/>
          <w:szCs w:val="20"/>
        </w:rPr>
        <w:t>-</w:t>
      </w:r>
      <w:r w:rsidRPr="009668D3">
        <w:rPr>
          <w:rFonts w:ascii="Times New Roman" w:hAnsi="Times New Roman" w:cs="Times New Roman"/>
          <w:sz w:val="20"/>
          <w:szCs w:val="20"/>
        </w:rPr>
        <w:t xml:space="preserve">4) </w:t>
      </w:r>
      <w:r w:rsidR="00AA2E71" w:rsidRPr="009668D3">
        <w:rPr>
          <w:rFonts w:ascii="Times New Roman" w:hAnsi="Times New Roman" w:cs="Times New Roman"/>
          <w:sz w:val="20"/>
          <w:szCs w:val="20"/>
        </w:rPr>
        <w:t>characterises</w:t>
      </w:r>
      <w:r w:rsidRPr="009668D3">
        <w:rPr>
          <w:rFonts w:ascii="Times New Roman" w:hAnsi="Times New Roman" w:cs="Times New Roman"/>
          <w:sz w:val="20"/>
          <w:szCs w:val="20"/>
        </w:rPr>
        <w:t xml:space="preserve"> loss and accumulation processes over a finite interval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Setting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dS</m:t>
            </m:r>
          </m:num>
          <m:den>
            <m:r>
              <w:rPr>
                <w:rFonts w:ascii="Cambria Math" w:eastAsiaTheme="minorEastAsia" w:hAnsi="Cambria Math" w:cs="Times New Roman"/>
                <w:sz w:val="20"/>
                <w:szCs w:val="20"/>
              </w:rPr>
              <m:t>dτ</m:t>
            </m:r>
          </m:den>
        </m:f>
        <m:r>
          <w:rPr>
            <w:rFonts w:ascii="Cambria Math" w:hAnsi="Cambria Math" w:cs="Times New Roman"/>
            <w:sz w:val="20"/>
            <w:szCs w:val="20"/>
          </w:rPr>
          <m:t xml:space="preserve"> =</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dI</m:t>
            </m:r>
          </m:num>
          <m:den>
            <m:r>
              <w:rPr>
                <w:rFonts w:ascii="Cambria Math" w:eastAsiaTheme="minorEastAsia" w:hAnsi="Cambria Math" w:cs="Times New Roman"/>
                <w:sz w:val="20"/>
                <w:szCs w:val="20"/>
              </w:rPr>
              <m:t>dτ</m:t>
            </m:r>
          </m:den>
        </m:f>
        <m:r>
          <w:rPr>
            <w:rFonts w:ascii="Cambria Math"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dF</m:t>
            </m:r>
          </m:num>
          <m:den>
            <m:r>
              <w:rPr>
                <w:rFonts w:ascii="Cambria Math" w:eastAsiaTheme="minorEastAsia" w:hAnsi="Cambria Math" w:cs="Times New Roman"/>
                <w:sz w:val="20"/>
                <w:szCs w:val="20"/>
              </w:rPr>
              <m:t>dτ</m:t>
            </m:r>
          </m:den>
        </m:f>
        <m:r>
          <w:rPr>
            <w:rFonts w:ascii="Cambria Math" w:hAnsi="Cambria Math" w:cs="Times New Roman"/>
            <w:sz w:val="20"/>
            <w:szCs w:val="20"/>
          </w:rPr>
          <m:t>= 0</m:t>
        </m:r>
      </m:oMath>
      <w:r w:rsidRPr="009668D3">
        <w:rPr>
          <w:rFonts w:ascii="Times New Roman" w:hAnsi="Times New Roman" w:cs="Times New Roman"/>
          <w:sz w:val="20"/>
          <w:szCs w:val="20"/>
        </w:rPr>
        <w:t xml:space="preserve"> produces within-season pseudo-equilibria, which do not represent ecologically relevant steady states, since the system is reset annually through recruitment, overwinter survival, and foliage recovery equations (5</w:t>
      </w:r>
      <w:r w:rsidR="0092146F" w:rsidRPr="009668D3">
        <w:rPr>
          <w:rFonts w:ascii="Times New Roman" w:hAnsi="Times New Roman" w:cs="Times New Roman"/>
          <w:sz w:val="20"/>
          <w:szCs w:val="20"/>
        </w:rPr>
        <w:t>-</w:t>
      </w:r>
      <w:r w:rsidRPr="009668D3">
        <w:rPr>
          <w:rFonts w:ascii="Times New Roman" w:hAnsi="Times New Roman" w:cs="Times New Roman"/>
          <w:sz w:val="20"/>
          <w:szCs w:val="20"/>
        </w:rPr>
        <w:t xml:space="preserve">8). Multi-year dynamics, including outbreak recurrence, parasitoid persistence, and tipping risk, are governed by the annual map. The stability analysis is analytically well-posed </w:t>
      </w:r>
      <w:r w:rsidR="000C1AD6" w:rsidRPr="001E6700">
        <w:rPr>
          <w:rFonts w:ascii="Times New Roman" w:eastAsiaTheme="minorEastAsia" w:hAnsi="Times New Roman" w:cs="Times New Roman"/>
          <w:sz w:val="20"/>
          <w:szCs w:val="20"/>
        </w:rPr>
        <w:t xml:space="preserve">for our model </w:t>
      </w:r>
      <w:r w:rsidRPr="009668D3">
        <w:rPr>
          <w:rFonts w:ascii="Times New Roman" w:hAnsi="Times New Roman" w:cs="Times New Roman"/>
          <w:sz w:val="20"/>
          <w:szCs w:val="20"/>
        </w:rPr>
        <w:t xml:space="preserve">but does not admit a closed-form solution. Specifically, the annual map G and its structure, existence conditions for fixed points, the Jacobian </w:t>
      </w:r>
      <m:oMath>
        <m:sSub>
          <m:sSubPr>
            <m:ctrlPr>
              <w:rPr>
                <w:rFonts w:ascii="Cambria Math" w:hAnsi="Cambria Math" w:cs="Times New Roman"/>
                <w:i/>
                <w:sz w:val="20"/>
                <w:szCs w:val="20"/>
              </w:rPr>
            </m:ctrlPr>
          </m:sSubPr>
          <m:e>
            <m:r>
              <w:rPr>
                <w:rFonts w:ascii="Cambria Math" w:hAnsi="Cambria Math" w:cs="Times New Roman"/>
                <w:sz w:val="20"/>
                <w:szCs w:val="20"/>
              </w:rPr>
              <m:t>J</m:t>
            </m:r>
          </m:e>
          <m:sub>
            <m:r>
              <w:rPr>
                <w:rFonts w:ascii="Cambria Math" w:hAnsi="Cambria Math" w:cs="Times New Roman"/>
                <w:sz w:val="20"/>
                <w:szCs w:val="20"/>
              </w:rPr>
              <m:t>G</m:t>
            </m:r>
          </m:sub>
        </m:sSub>
      </m:oMath>
      <w:r w:rsidRPr="009668D3">
        <w:rPr>
          <w:rFonts w:ascii="Times New Roman" w:hAnsi="Times New Roman" w:cs="Times New Roman"/>
          <w:sz w:val="20"/>
          <w:szCs w:val="20"/>
        </w:rPr>
        <w:t xml:space="preserve"> of the annual map (derived via the chain rule and variational equations), the parasitoid invasion threshold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as the dominant eigenvalue of </w:t>
      </w:r>
      <m:oMath>
        <m:sSub>
          <m:sSubPr>
            <m:ctrlPr>
              <w:rPr>
                <w:rFonts w:ascii="Cambria Math" w:hAnsi="Cambria Math" w:cs="Times New Roman"/>
                <w:i/>
                <w:sz w:val="20"/>
                <w:szCs w:val="20"/>
              </w:rPr>
            </m:ctrlPr>
          </m:sSubPr>
          <m:e>
            <m:r>
              <w:rPr>
                <w:rFonts w:ascii="Cambria Math" w:hAnsi="Cambria Math" w:cs="Times New Roman"/>
                <w:sz w:val="20"/>
                <w:szCs w:val="20"/>
              </w:rPr>
              <m:t>J</m:t>
            </m:r>
          </m:e>
          <m:sub>
            <m:r>
              <w:rPr>
                <w:rFonts w:ascii="Cambria Math" w:hAnsi="Cambria Math" w:cs="Times New Roman"/>
                <w:sz w:val="20"/>
                <w:szCs w:val="20"/>
              </w:rPr>
              <m:t>G</m:t>
            </m:r>
          </m:sub>
        </m:sSub>
      </m:oMath>
      <w:r w:rsidRPr="009668D3">
        <w:rPr>
          <w:rFonts w:ascii="Times New Roman" w:hAnsi="Times New Roman" w:cs="Times New Roman"/>
          <w:sz w:val="20"/>
          <w:szCs w:val="20"/>
        </w:rPr>
        <w:t xml:space="preserve">, local stability criteria (spectral radius less than one), and bifurcation conditions (eigenvalue crossing the unit circle) are all derived analytically. In contrast, the seasonal flow </w:t>
      </w:r>
      <m:oMath>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and its derivatives are evaluated numerically, as the Holling Type II functional responses render the within-season ODE nonlinear and analytically intractable. This approach, which combines analytic stability conditions with numerical evaluation of the seasonal flow, is standard and mathematically rigorous for hybrid eco-epidemic models (Kot, 2001; Kuznetsov, 2004). The analysis proceeds through </w:t>
      </w:r>
      <w:r w:rsidR="004543AC" w:rsidRPr="009668D3">
        <w:rPr>
          <w:rFonts w:ascii="Times New Roman" w:hAnsi="Times New Roman" w:cs="Times New Roman"/>
          <w:sz w:val="20"/>
          <w:szCs w:val="20"/>
        </w:rPr>
        <w:t>a 10-step framework: 1. Definition</w:t>
      </w:r>
      <w:r w:rsidRPr="009668D3">
        <w:rPr>
          <w:rFonts w:ascii="Times New Roman" w:hAnsi="Times New Roman" w:cs="Times New Roman"/>
          <w:sz w:val="20"/>
          <w:szCs w:val="20"/>
        </w:rPr>
        <w:t xml:space="preserve"> the annual state and the seasonal flow operator, 2. Construction of the annual recurrence map 3. Identification of fixed points (annual equilibria) of the map 4. Assessing local stability of annual fixed points via the Jacobian of the annual map 5. Derivation of the seasonal flow via variational (sensitivity) equations. 6. Calculation of Parasitoid invasion threshold from the annual map 7.</w:t>
      </w:r>
      <w:r w:rsidR="00507442" w:rsidRPr="009668D3">
        <w:rPr>
          <w:rFonts w:ascii="Times New Roman" w:hAnsi="Times New Roman" w:cs="Times New Roman"/>
          <w:sz w:val="20"/>
          <w:szCs w:val="20"/>
        </w:rPr>
        <w:t xml:space="preserve"> Identification of tipping points as bifurcation boundaries of the annual map. 8. Assessing Optimal control via Pontryagin's Maximum Principle and the </w:t>
      </w:r>
      <w:r w:rsidR="004543AC" w:rsidRPr="009668D3">
        <w:rPr>
          <w:rFonts w:ascii="Times New Roman" w:hAnsi="Times New Roman" w:cs="Times New Roman"/>
          <w:sz w:val="20"/>
          <w:szCs w:val="20"/>
        </w:rPr>
        <w:t>forward-backwards</w:t>
      </w:r>
      <w:r w:rsidR="00507442" w:rsidRPr="009668D3">
        <w:rPr>
          <w:rFonts w:ascii="Times New Roman" w:hAnsi="Times New Roman" w:cs="Times New Roman"/>
          <w:sz w:val="20"/>
          <w:szCs w:val="20"/>
        </w:rPr>
        <w:t xml:space="preserve"> sweep method </w:t>
      </w:r>
      <w:r w:rsidR="00D34DD3" w:rsidRPr="009668D3">
        <w:rPr>
          <w:rFonts w:ascii="Times New Roman" w:hAnsi="Times New Roman" w:cs="Times New Roman"/>
          <w:sz w:val="20"/>
          <w:szCs w:val="20"/>
        </w:rPr>
        <w:t>9</w:t>
      </w:r>
      <w:r w:rsidR="00507442" w:rsidRPr="009668D3">
        <w:rPr>
          <w:rFonts w:ascii="Times New Roman" w:hAnsi="Times New Roman" w:cs="Times New Roman"/>
          <w:sz w:val="20"/>
          <w:szCs w:val="20"/>
        </w:rPr>
        <w:t xml:space="preserve">. Searching Tipping under optimal control </w:t>
      </w:r>
      <w:r w:rsidR="00D34DD3" w:rsidRPr="009668D3">
        <w:rPr>
          <w:rFonts w:ascii="Times New Roman" w:hAnsi="Times New Roman" w:cs="Times New Roman"/>
          <w:sz w:val="20"/>
          <w:szCs w:val="20"/>
        </w:rPr>
        <w:t>10</w:t>
      </w:r>
      <w:r w:rsidR="00507442" w:rsidRPr="009668D3">
        <w:rPr>
          <w:rFonts w:ascii="Times New Roman" w:hAnsi="Times New Roman" w:cs="Times New Roman"/>
          <w:sz w:val="20"/>
          <w:szCs w:val="20"/>
        </w:rPr>
        <w:t xml:space="preserve">. Assessing robustness under parameter uncertainty. The detailed calculation of these steps </w:t>
      </w:r>
      <w:r w:rsidR="004543AC" w:rsidRPr="009668D3">
        <w:rPr>
          <w:rFonts w:ascii="Times New Roman" w:hAnsi="Times New Roman" w:cs="Times New Roman"/>
          <w:sz w:val="20"/>
          <w:szCs w:val="20"/>
        </w:rPr>
        <w:t>is</w:t>
      </w:r>
      <w:r w:rsidR="00507442" w:rsidRPr="009668D3">
        <w:rPr>
          <w:rFonts w:ascii="Times New Roman" w:hAnsi="Times New Roman" w:cs="Times New Roman"/>
          <w:sz w:val="20"/>
          <w:szCs w:val="20"/>
        </w:rPr>
        <w:t xml:space="preserve"> in Annex 2, and has been generated via Mathematica, MathCad, and manual calculation.</w:t>
      </w:r>
    </w:p>
    <w:p w14:paraId="723756CB" w14:textId="7D197543" w:rsidR="00684C73" w:rsidRPr="009668D3" w:rsidRDefault="00684C73"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stability analysis addresses the three study objectives through a stepwise analytical structure. For Objective 1 (O1), all ecologically distinct fixed points of the annual map are identified (Step 3). Their local stability is classified using the Jacobian eigenvalues (Step 4). The parasitoid invasion threshold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is then computed (Step 6). The analysis scans the full parameter space to determine the frequency of each equilibrium type across phenological scenarios. The equilibrium with the highest frequency is designated as the most probable equilibrium. Objective 2 (O2) is addressed by tracking eigenvalue magnitudes and bifurcation boundaries across parameter space (Step 7). The regime shift probability is computed as the fraction of sampled parameter sets converging to an alternative equilibrium. Parameters are ranked by their influence on bifurcation proximity using the PRCC of the dominant eigenvalue magnitude (Step 10). Parameters identified as drivers of instability become candidate early warning signals if the corresponding phenology is empirically observable and its variation matches the destabilising parameter direction. Objective 3 (O3) is addressed by optimal control analysis (Step 8) and a three-scenario comparison (Step 9). This compares resistance, resilience, stability, and cost outcomes across parasitoid-only, combined parasitoid-and-bird, and full integrated control, applying a lexicographic decision rule: feasibility first, then minimum cost.</w:t>
      </w:r>
    </w:p>
    <w:p w14:paraId="031DDEBC" w14:textId="03EFF483" w:rsidR="00D578B6" w:rsidRPr="009668D3" w:rsidRDefault="00757681"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2.4 </w:t>
      </w:r>
      <w:r w:rsidR="000875CC" w:rsidRPr="009668D3">
        <w:rPr>
          <w:rFonts w:ascii="Times New Roman" w:hAnsi="Times New Roman" w:cs="Times New Roman"/>
          <w:b/>
          <w:sz w:val="20"/>
          <w:szCs w:val="20"/>
        </w:rPr>
        <w:t>Definitions of resistance, resilience, and tipping during stability analyses</w:t>
      </w:r>
      <w:r w:rsidR="000875CC" w:rsidRPr="009668D3">
        <w:rPr>
          <w:rFonts w:ascii="Times New Roman" w:hAnsi="Times New Roman" w:cs="Times New Roman"/>
          <w:sz w:val="20"/>
          <w:szCs w:val="20"/>
        </w:rPr>
        <w:t xml:space="preserve"> </w:t>
      </w:r>
    </w:p>
    <w:p w14:paraId="105B0185" w14:textId="6C2CFAE0" w:rsidR="00F9663D" w:rsidRPr="009668D3" w:rsidRDefault="00F9663D"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In this study, the framework of Van Meerbeek et al. (2021) is used to structure the interpretation of stability, not to replace the model-specific metrics required by the present eco-epidemic system. Their synthesis treats </w:t>
      </w:r>
      <w:r w:rsidRPr="009668D3">
        <w:rPr>
          <w:rFonts w:ascii="Times New Roman" w:hAnsi="Times New Roman" w:cs="Times New Roman"/>
          <w:sz w:val="20"/>
          <w:szCs w:val="20"/>
        </w:rPr>
        <w:lastRenderedPageBreak/>
        <w:t>ecological stability as a set of complementary properties that describe how a system responds to perturbation relative to a reference condition and its domain of attraction. We therefore map those general properties onto the quantities generated by our annual map.</w:t>
      </w:r>
      <w:r w:rsidR="002F0864" w:rsidRPr="009668D3">
        <w:rPr>
          <w:rFonts w:ascii="Times New Roman" w:hAnsi="Times New Roman" w:cs="Times New Roman"/>
          <w:sz w:val="20"/>
          <w:szCs w:val="20"/>
        </w:rPr>
        <w:t xml:space="preserve"> Resistance is represented by suppression of outbreak intensity, measured through equilibrium defoliation and peak larval load; resilience is represented by the rate of return to the annual equilibrium, measured through the dominant eigenvalue magnitude and return time; and tipping is evaluated from loss of local stability and from ecologically relevant functional thresholds.</w:t>
      </w:r>
      <w:r w:rsidRPr="009668D3">
        <w:rPr>
          <w:rFonts w:ascii="Times New Roman" w:hAnsi="Times New Roman" w:cs="Times New Roman"/>
          <w:sz w:val="20"/>
          <w:szCs w:val="20"/>
        </w:rPr>
        <w:t xml:space="preserve"> The parasitoid invasion threshold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is included as a complementary regime-structure metric for Objective 2, rather than as a direct Van Meerbeek stability component</w:t>
      </w:r>
      <w:r w:rsidR="007717A7" w:rsidRPr="009668D3">
        <w:rPr>
          <w:rFonts w:ascii="Times New Roman" w:hAnsi="Times New Roman" w:cs="Times New Roman"/>
          <w:sz w:val="20"/>
          <w:szCs w:val="20"/>
        </w:rPr>
        <w:t>.</w:t>
      </w:r>
    </w:p>
    <w:p w14:paraId="0F1E1B8F" w14:textId="0EA94512" w:rsidR="007742C1" w:rsidRPr="009668D3" w:rsidRDefault="007717A7"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 We operationalise the first </w:t>
      </w:r>
      <w:r w:rsidR="002F0864" w:rsidRPr="009668D3">
        <w:rPr>
          <w:rFonts w:ascii="Times New Roman" w:hAnsi="Times New Roman" w:cs="Times New Roman"/>
          <w:sz w:val="20"/>
          <w:szCs w:val="20"/>
        </w:rPr>
        <w:t>two</w:t>
      </w:r>
      <w:r w:rsidRPr="009668D3">
        <w:rPr>
          <w:rFonts w:ascii="Times New Roman" w:hAnsi="Times New Roman" w:cs="Times New Roman"/>
          <w:sz w:val="20"/>
          <w:szCs w:val="20"/>
        </w:rPr>
        <w:t xml:space="preserve"> components for the hybrid seasonal</w:t>
      </w:r>
      <w:r w:rsidR="0092146F" w:rsidRPr="009668D3">
        <w:rPr>
          <w:rFonts w:ascii="Times New Roman" w:hAnsi="Times New Roman" w:cs="Times New Roman"/>
          <w:sz w:val="20"/>
          <w:szCs w:val="20"/>
        </w:rPr>
        <w:t>-</w:t>
      </w:r>
      <w:r w:rsidRPr="009668D3">
        <w:rPr>
          <w:rFonts w:ascii="Times New Roman" w:hAnsi="Times New Roman" w:cs="Times New Roman"/>
          <w:sz w:val="20"/>
          <w:szCs w:val="20"/>
        </w:rPr>
        <w:t xml:space="preserve">annual model as follows. All metrics are standardised against a reference state and bounded between −1 and 1, enabling comparison across phenological scenarios. We apply these standardised metrics to model-simulated trajectories from the annual recurrence map, treating </w:t>
      </w:r>
      <w:r w:rsidR="002F0864" w:rsidRPr="009668D3">
        <w:rPr>
          <w:rFonts w:ascii="Times New Roman" w:hAnsi="Times New Roman" w:cs="Times New Roman"/>
          <w:sz w:val="20"/>
          <w:szCs w:val="20"/>
        </w:rPr>
        <w:t xml:space="preserve">the map output as the system time series from which the reference value and perturbation response are extracted. </w:t>
      </w:r>
      <w:r w:rsidRPr="009668D3">
        <w:rPr>
          <w:rFonts w:ascii="Times New Roman" w:hAnsi="Times New Roman" w:cs="Times New Roman"/>
          <w:sz w:val="20"/>
          <w:szCs w:val="20"/>
        </w:rPr>
        <w:t xml:space="preserve">Reference state. For each system variable, the reference state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oMath>
      <w:r w:rsidRPr="009668D3">
        <w:rPr>
          <w:rFonts w:ascii="Times New Roman" w:hAnsi="Times New Roman" w:cs="Times New Roman"/>
          <w:sz w:val="20"/>
          <w:szCs w:val="20"/>
        </w:rPr>
        <w:t xml:space="preserve"> is defined as its value at the annual fixed point </w:t>
      </w:r>
      <m:oMath>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r>
          <w:rPr>
            <w:rFonts w:ascii="Cambria Math" w:hAnsi="Cambria Math" w:cs="Times New Roman"/>
            <w:sz w:val="20"/>
            <w:szCs w:val="20"/>
          </w:rPr>
          <m:t xml:space="preserve">= </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 xml:space="preserve">, </m:t>
            </m:r>
            <m:sSup>
              <m:sSupPr>
                <m:ctrlPr>
                  <w:rPr>
                    <w:rFonts w:ascii="Cambria Math" w:hAnsi="Cambria Math" w:cs="Times New Roman"/>
                    <w:i/>
                    <w:sz w:val="20"/>
                    <w:szCs w:val="20"/>
                  </w:rPr>
                </m:ctrlPr>
              </m:sSupPr>
              <m:e>
                <m:r>
                  <w:rPr>
                    <w:rFonts w:ascii="Cambria Math" w:hAnsi="Cambria Math" w:cs="Times New Roman"/>
                    <w:sz w:val="20"/>
                    <w:szCs w:val="20"/>
                  </w:rPr>
                  <m:t>F</m:t>
                </m:r>
              </m:e>
              <m:sup>
                <m:r>
                  <w:rPr>
                    <w:rFonts w:ascii="Cambria Math" w:hAnsi="Cambria Math" w:cs="Times New Roman"/>
                    <w:sz w:val="20"/>
                    <w:szCs w:val="20"/>
                  </w:rPr>
                  <m:t>*</m:t>
                </m:r>
              </m:sup>
            </m:sSup>
            <m:r>
              <w:rPr>
                <w:rFonts w:ascii="Cambria Math" w:hAnsi="Cambria Math" w:cs="Times New Roman"/>
                <w:sz w:val="20"/>
                <w:szCs w:val="20"/>
              </w:rPr>
              <m:t xml:space="preserve">, </m:t>
            </m:r>
            <m:sSup>
              <m:sSupPr>
                <m:ctrlPr>
                  <w:rPr>
                    <w:rFonts w:ascii="Cambria Math" w:hAnsi="Cambria Math" w:cs="Times New Roman"/>
                    <w:i/>
                    <w:sz w:val="20"/>
                    <w:szCs w:val="20"/>
                  </w:rPr>
                </m:ctrlPr>
              </m:sSupPr>
              <m:e>
                <m:r>
                  <w:rPr>
                    <w:rFonts w:ascii="Cambria Math" w:hAnsi="Cambria Math" w:cs="Times New Roman"/>
                    <w:sz w:val="20"/>
                    <w:szCs w:val="20"/>
                  </w:rPr>
                  <m:t>K</m:t>
                </m:r>
              </m:e>
              <m:sup>
                <m:r>
                  <w:rPr>
                    <w:rFonts w:ascii="Cambria Math" w:hAnsi="Cambria Math" w:cs="Times New Roman"/>
                    <w:sz w:val="20"/>
                    <w:szCs w:val="20"/>
                  </w:rPr>
                  <m:t>*</m:t>
                </m:r>
              </m:sup>
            </m:sSup>
          </m:e>
        </m:d>
      </m:oMath>
      <w:r w:rsidRPr="009668D3">
        <w:rPr>
          <w:rFonts w:ascii="Times New Roman" w:hAnsi="Times New Roman" w:cs="Times New Roman"/>
          <w:sz w:val="20"/>
          <w:szCs w:val="20"/>
        </w:rPr>
        <w:t xml:space="preserve">. Specifically, resistance is assessed using cumulative defoliation </w:t>
      </w:r>
      <w:r w:rsidR="00FB510D" w:rsidRPr="001E6700">
        <w:rPr>
          <w:rFonts w:ascii="Times New Roman" w:eastAsiaTheme="minorEastAsia" w:hAnsi="Times New Roman" w:cs="Times New Roman"/>
          <w:sz w:val="20"/>
          <w:szCs w:val="20"/>
        </w:rPr>
        <w:t>D</w:t>
      </w:r>
      <w:r w:rsidRPr="009668D3">
        <w:rPr>
          <w:rFonts w:ascii="Times New Roman" w:hAnsi="Times New Roman" w:cs="Times New Roman"/>
          <w:sz w:val="20"/>
          <w:szCs w:val="20"/>
        </w:rPr>
        <w:t xml:space="preserve"> as the system variable, with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 </m:t>
        </m:r>
        <m:sSup>
          <m:sSupPr>
            <m:ctrlPr>
              <w:rPr>
                <w:rFonts w:ascii="Cambria Math" w:hAnsi="Cambria Math" w:cs="Times New Roman"/>
                <w:i/>
                <w:sz w:val="20"/>
                <w:szCs w:val="20"/>
              </w:rPr>
            </m:ctrlPr>
          </m:sSupPr>
          <m:e>
            <m:r>
              <w:rPr>
                <w:rFonts w:ascii="Cambria Math" w:hAnsi="Cambria Math" w:cs="Times New Roman"/>
                <w:sz w:val="20"/>
                <w:szCs w:val="20"/>
              </w:rPr>
              <m:t>D</m:t>
            </m: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 (equilibrium defoliation</w:t>
      </w:r>
      <w:r w:rsidR="00F3266B" w:rsidRPr="001E6700">
        <w:rPr>
          <w:rFonts w:ascii="Times New Roman" w:eastAsiaTheme="minorEastAsia" w:hAnsi="Times New Roman" w:cs="Times New Roman"/>
          <w:sz w:val="20"/>
          <w:szCs w:val="20"/>
        </w:rPr>
        <w:t xml:space="preserve"> defined by </w:t>
      </w:r>
      <w:r w:rsidR="00C951BD" w:rsidRPr="001E6700">
        <w:rPr>
          <w:rFonts w:ascii="Times New Roman" w:eastAsiaTheme="minorEastAsia" w:hAnsi="Times New Roman" w:cs="Times New Roman"/>
          <w:sz w:val="20"/>
          <w:szCs w:val="20"/>
        </w:rPr>
        <w:t>mean</w:t>
      </w:r>
      <w:r w:rsidR="00F3266B" w:rsidRPr="001E6700">
        <w:rPr>
          <w:rFonts w:ascii="Times New Roman" w:eastAsiaTheme="minorEastAsia" w:hAnsi="Times New Roman" w:cs="Times New Roman"/>
          <w:sz w:val="20"/>
          <w:szCs w:val="20"/>
        </w:rPr>
        <w:t xml:space="preserve"> of simulated recurrent defoliation over</w:t>
      </w:r>
      <w:r w:rsidR="00F3266B" w:rsidRPr="009668D3">
        <w:rPr>
          <w:rFonts w:ascii="Times New Roman" w:hAnsi="Times New Roman" w:cs="Times New Roman"/>
          <w:sz w:val="20"/>
          <w:szCs w:val="20"/>
        </w:rPr>
        <w:t xml:space="preserve"> the </w:t>
      </w:r>
      <w:r w:rsidR="00F3266B" w:rsidRPr="001E6700">
        <w:rPr>
          <w:rFonts w:ascii="Times New Roman" w:eastAsiaTheme="minorEastAsia" w:hAnsi="Times New Roman" w:cs="Times New Roman"/>
          <w:sz w:val="20"/>
          <w:szCs w:val="20"/>
        </w:rPr>
        <w:t>year</w:t>
      </w:r>
      <w:r w:rsidRPr="001E6700">
        <w:rPr>
          <w:rFonts w:ascii="Times New Roman" w:eastAsiaTheme="minorEastAsia" w:hAnsi="Times New Roman" w:cs="Times New Roman"/>
          <w:sz w:val="20"/>
          <w:szCs w:val="20"/>
        </w:rPr>
        <w:t xml:space="preserve">); resilience is assessed using carrying capacity K as the </w:t>
      </w:r>
      <w:r w:rsidRPr="009668D3">
        <w:rPr>
          <w:rFonts w:ascii="Times New Roman" w:hAnsi="Times New Roman" w:cs="Times New Roman"/>
          <w:sz w:val="20"/>
          <w:szCs w:val="20"/>
        </w:rPr>
        <w:t xml:space="preserve">system variable, with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p>
          <m:sSupPr>
            <m:ctrlPr>
              <w:rPr>
                <w:rFonts w:ascii="Cambria Math" w:hAnsi="Cambria Math" w:cs="Times New Roman"/>
                <w:sz w:val="20"/>
                <w:szCs w:val="20"/>
              </w:rPr>
            </m:ctrlPr>
          </m:sSupPr>
          <m:e>
            <m:r>
              <w:rPr>
                <w:rFonts w:ascii="Cambria Math" w:hAnsi="Cambria Math" w:cs="Times New Roman"/>
                <w:sz w:val="20"/>
                <w:szCs w:val="20"/>
              </w:rPr>
              <m:t>K</m:t>
            </m:r>
            <m:ctrlPr>
              <w:rPr>
                <w:rFonts w:ascii="Cambria Math" w:hAnsi="Cambria Math" w:cs="Times New Roman"/>
                <w:i/>
                <w:sz w:val="20"/>
                <w:szCs w:val="20"/>
              </w:rPr>
            </m:ctrlP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 (equilibrium carrying capacity). Different system variables may have different reference states, consistent with the multidimensional treatment of stability (Donohue et al., 2016; Hillebrand et al., 2018). Resistance is the capacity of the system to withstand change during a perturbation (Van Meerbeek et al., 2021). It is measured by the standardised index: </w:t>
      </w:r>
      <m:oMath>
        <m:r>
          <w:rPr>
            <w:rFonts w:ascii="Cambria Math" w:hAnsi="Cambria Math" w:cs="Times New Roman"/>
            <w:sz w:val="20"/>
            <w:szCs w:val="20"/>
          </w:rPr>
          <m:t>Resistance = 1 -</m:t>
        </m:r>
        <m:f>
          <m:fPr>
            <m:ctrlPr>
              <w:rPr>
                <w:rFonts w:ascii="Cambria Math" w:hAnsi="Cambria Math" w:cs="Times New Roman"/>
                <w:i/>
                <w:sz w:val="20"/>
                <w:szCs w:val="20"/>
              </w:rPr>
            </m:ctrlPr>
          </m:fPr>
          <m:num>
            <m:r>
              <w:rPr>
                <w:rFonts w:ascii="Cambria Math" w:hAnsi="Cambria Math" w:cs="Times New Roman"/>
                <w:sz w:val="20"/>
                <w:szCs w:val="20"/>
              </w:rPr>
              <m:t>2</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X</m:t>
                    </m:r>
                  </m:sub>
                </m:sSub>
              </m:e>
            </m:d>
          </m:num>
          <m:den>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X</m:t>
                    </m:r>
                  </m:sub>
                </m:sSub>
              </m:e>
            </m:d>
          </m:den>
        </m:f>
      </m:oMath>
      <w:r w:rsidRPr="009668D3">
        <w:rPr>
          <w:rFonts w:ascii="Times New Roman" w:hAnsi="Times New Roman" w:cs="Times New Roman"/>
          <w:sz w:val="20"/>
          <w:szCs w:val="20"/>
        </w:rPr>
        <w:t xml:space="preserve">(R1), where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X</m:t>
            </m:r>
          </m:sub>
        </m:sSub>
      </m:oMath>
      <w:r w:rsidRPr="009668D3">
        <w:rPr>
          <w:rFonts w:ascii="Times New Roman" w:hAnsi="Times New Roman" w:cs="Times New Roman"/>
          <w:sz w:val="20"/>
          <w:szCs w:val="20"/>
        </w:rPr>
        <w:t xml:space="preserve"> is the value of the system variable at maximum deviation following a standardised pulse perturbation to the annual map (displacement of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by ±</w:t>
      </w:r>
      <w:r w:rsidR="0092146F" w:rsidRPr="009668D3">
        <w:rPr>
          <w:rFonts w:ascii="Times New Roman" w:hAnsi="Times New Roman" w:cs="Times New Roman"/>
          <w:sz w:val="20"/>
          <w:szCs w:val="20"/>
        </w:rPr>
        <w:t xml:space="preserve"> </w:t>
      </w:r>
      <w:r w:rsidRPr="009668D3">
        <w:rPr>
          <w:rFonts w:ascii="Times New Roman" w:hAnsi="Times New Roman" w:cs="Times New Roman"/>
          <w:sz w:val="20"/>
          <w:szCs w:val="20"/>
        </w:rPr>
        <w:t xml:space="preserve">δ% of </w:t>
      </w:r>
      <m:oMath>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 with δ = 20% as the baseline perturbation magnitude). A resistance value of 1 indicates no deviation from the reference; 0 indicates deviation equal to the reference value. As complementary indicators, we also report the equilibrium cumulative defoliation D* and the peak within-season total larval density </w:t>
      </w:r>
      <m:oMath>
        <m:r>
          <w:rPr>
            <w:rFonts w:ascii="Cambria Math" w:hAnsi="Cambria Math" w:cs="Times New Roman"/>
            <w:sz w:val="20"/>
            <w:szCs w:val="20"/>
          </w:rPr>
          <m:t>ma</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τ</m:t>
            </m:r>
          </m:sub>
        </m:sSub>
        <m:r>
          <w:rPr>
            <w:rFonts w:ascii="Cambria Math" w:hAnsi="Cambria Math" w:cs="Times New Roman"/>
            <w:sz w:val="20"/>
            <w:szCs w:val="20"/>
          </w:rPr>
          <m:t xml:space="preserve">[S(τ)+I(τ)] </m:t>
        </m:r>
      </m:oMath>
      <w:r w:rsidRPr="009668D3">
        <w:rPr>
          <w:rFonts w:ascii="Times New Roman" w:hAnsi="Times New Roman" w:cs="Times New Roman"/>
          <w:sz w:val="20"/>
          <w:szCs w:val="20"/>
        </w:rPr>
        <w:t xml:space="preserve">along the seasonal trajectory starting from fixed-point initial conditions. Resilience is the rate at which the system returns to its reference state after a perturbation (Van Meerbeek et al., 2021; Pimm, 1984). It is measured by the standardised index: </w:t>
      </w:r>
      <m:oMath>
        <m:r>
          <w:rPr>
            <w:rFonts w:ascii="Cambria Math" w:hAnsi="Cambria Math" w:cs="Times New Roman"/>
            <w:sz w:val="20"/>
            <w:szCs w:val="20"/>
          </w:rPr>
          <m:t>Resilience =</m:t>
        </m:r>
        <m:f>
          <m:fPr>
            <m:ctrlPr>
              <w:rPr>
                <w:rFonts w:ascii="Cambria Math" w:hAnsi="Cambria Math" w:cs="Times New Roman"/>
                <w:i/>
                <w:sz w:val="20"/>
                <w:szCs w:val="20"/>
              </w:rPr>
            </m:ctrlPr>
          </m:fPr>
          <m:num>
            <m:r>
              <w:rPr>
                <w:rFonts w:ascii="Cambria Math" w:hAnsi="Cambria Math" w:cs="Times New Roman"/>
                <w:sz w:val="20"/>
                <w:szCs w:val="20"/>
              </w:rPr>
              <m:t>2</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e>
            </m:d>
          </m:num>
          <m:den>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Y</m:t>
                    </m:r>
                  </m:sub>
                </m:sSub>
              </m:e>
            </m:d>
          </m:den>
        </m:f>
        <m:r>
          <w:rPr>
            <w:rFonts w:ascii="Cambria Math" w:hAnsi="Cambria Math" w:cs="Times New Roman"/>
            <w:sz w:val="20"/>
            <w:szCs w:val="20"/>
          </w:rPr>
          <m:t>- 1</m:t>
        </m:r>
      </m:oMath>
      <w:r w:rsidRPr="009668D3">
        <w:rPr>
          <w:rFonts w:ascii="Times New Roman" w:hAnsi="Times New Roman" w:cs="Times New Roman"/>
          <w:sz w:val="20"/>
          <w:szCs w:val="20"/>
        </w:rPr>
        <w:t xml:space="preserve"> (R2), where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oMath>
      <w:r w:rsidRPr="009668D3">
        <w:rPr>
          <w:rFonts w:ascii="Times New Roman" w:hAnsi="Times New Roman" w:cs="Times New Roman"/>
          <w:sz w:val="20"/>
          <w:szCs w:val="20"/>
        </w:rPr>
        <w:t xml:space="preserve"> is the value of the system variable at maximum deviation from the reference (i.e.,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X</m:t>
            </m:r>
          </m:sub>
        </m:sSub>
      </m:oMath>
      <w:r w:rsidRPr="009668D3">
        <w:rPr>
          <w:rFonts w:ascii="Times New Roman" w:hAnsi="Times New Roman" w:cs="Times New Roman"/>
          <w:sz w:val="20"/>
          <w:szCs w:val="20"/>
        </w:rPr>
        <w:t xml:space="preserve"> from the resistance measurement),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Y</m:t>
            </m:r>
          </m:sub>
        </m:sSub>
      </m:oMath>
      <w:r w:rsidRPr="009668D3">
        <w:rPr>
          <w:rFonts w:ascii="Times New Roman" w:hAnsi="Times New Roman" w:cs="Times New Roman"/>
          <w:sz w:val="20"/>
          <w:szCs w:val="20"/>
        </w:rPr>
        <w:t xml:space="preserve"> is the value after Y annual iterations following the perturbation. We set Y = 5 annual cycles as the standardised recovery window, corresponding to a management-relevant planning horizon. A resilience value of 1 indicates full recovery within Y iterations; 0 indicates no net recovery. As complementary indicators, we report the dominant eigenvalue magnitude </w:t>
      </w:r>
      <m:oMath>
        <m:sSup>
          <m:sSupPr>
            <m:ctrlPr>
              <w:rPr>
                <w:rFonts w:ascii="Cambria Math" w:hAnsi="Cambria Math" w:cs="Times New Roman"/>
                <w:i/>
                <w:sz w:val="20"/>
                <w:szCs w:val="20"/>
              </w:rPr>
            </m:ctrlPr>
          </m:sSupPr>
          <m:e>
            <m:r>
              <w:rPr>
                <w:rFonts w:ascii="Cambria Math" w:hAnsi="Cambria Math" w:cs="Times New Roman"/>
                <w:sz w:val="20"/>
                <w:szCs w:val="20"/>
              </w:rPr>
              <m:t>ρ</m:t>
            </m:r>
          </m:e>
          <m:sup>
            <m:r>
              <w:rPr>
                <w:rFonts w:ascii="Cambria Math" w:hAnsi="Cambria Math" w:cs="Times New Roman"/>
                <w:sz w:val="20"/>
                <w:szCs w:val="20"/>
              </w:rPr>
              <m:t>*</m:t>
            </m:r>
          </m:sup>
        </m:sSup>
        <m:r>
          <w:rPr>
            <w:rFonts w:ascii="Cambria Math" w:hAnsi="Cambria Math" w:cs="Times New Roman"/>
            <w:sz w:val="20"/>
            <w:szCs w:val="20"/>
          </w:rPr>
          <m:t xml:space="preserve"> = ma</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i</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J</m:t>
                    </m:r>
                  </m:e>
                  <m:sub>
                    <m:r>
                      <w:rPr>
                        <w:rFonts w:ascii="Cambria Math" w:hAnsi="Cambria Math" w:cs="Times New Roman"/>
                        <w:sz w:val="20"/>
                        <w:szCs w:val="20"/>
                      </w:rPr>
                      <m:t>G</m:t>
                    </m:r>
                  </m:sub>
                </m:sSub>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e>
                </m:d>
              </m:e>
            </m:d>
          </m:e>
        </m:d>
        <m:r>
          <w:rPr>
            <w:rFonts w:ascii="Cambria Math" w:hAnsi="Cambria Math" w:cs="Times New Roman"/>
            <w:sz w:val="20"/>
            <w:szCs w:val="20"/>
          </w:rPr>
          <m:t xml:space="preserve"> </m:t>
        </m:r>
      </m:oMath>
      <w:r w:rsidRPr="009668D3">
        <w:rPr>
          <w:rFonts w:ascii="Times New Roman" w:hAnsi="Times New Roman" w:cs="Times New Roman"/>
          <w:sz w:val="20"/>
          <w:szCs w:val="20"/>
        </w:rPr>
        <w:t xml:space="preserve">of the annual-map Jacobian at the fixed point and the characteristic return time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return</m:t>
            </m:r>
          </m:sub>
        </m:sSub>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ln</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ρ</m:t>
                    </m:r>
                  </m:e>
                  <m:sup>
                    <m:r>
                      <w:rPr>
                        <w:rFonts w:ascii="Cambria Math" w:hAnsi="Cambria Math" w:cs="Times New Roman"/>
                        <w:sz w:val="20"/>
                        <w:szCs w:val="20"/>
                      </w:rPr>
                      <m:t>*</m:t>
                    </m:r>
                  </m:sup>
                </m:sSup>
              </m:e>
            </m:d>
          </m:den>
        </m:f>
      </m:oMath>
      <w:r w:rsidRPr="009668D3">
        <w:rPr>
          <w:rFonts w:ascii="Times New Roman" w:hAnsi="Times New Roman" w:cs="Times New Roman"/>
          <w:sz w:val="20"/>
          <w:szCs w:val="20"/>
        </w:rPr>
        <w:t xml:space="preserve">, which captures asymptotic (linearised) resilience. Eigenvalue-based and trajectory-based resilience provide complementary information: the former reflects the local linear return rate, while the latter captures nonlinear dynamics far from the fixed point </w:t>
      </w:r>
      <w:r w:rsidR="00583262" w:rsidRPr="009668D3">
        <w:rPr>
          <w:rFonts w:ascii="Times New Roman" w:hAnsi="Times New Roman" w:cs="Times New Roman"/>
          <w:sz w:val="20"/>
          <w:szCs w:val="20"/>
        </w:rPr>
        <w:t>(Arnoldi et al., 2016; Medeiros et al., 2021</w:t>
      </w:r>
      <w:r w:rsidR="007742C1" w:rsidRPr="009668D3">
        <w:rPr>
          <w:rFonts w:ascii="Times New Roman" w:hAnsi="Times New Roman" w:cs="Times New Roman"/>
          <w:sz w:val="20"/>
          <w:szCs w:val="20"/>
        </w:rPr>
        <w:t>)</w:t>
      </w:r>
      <w:r w:rsidRPr="009668D3">
        <w:rPr>
          <w:rFonts w:ascii="Times New Roman" w:hAnsi="Times New Roman" w:cs="Times New Roman"/>
          <w:sz w:val="20"/>
          <w:szCs w:val="20"/>
        </w:rPr>
        <w:t xml:space="preserve">. </w:t>
      </w:r>
    </w:p>
    <w:p w14:paraId="7754FFCF" w14:textId="57956FE1" w:rsidR="00DE1444" w:rsidRPr="009668D3" w:rsidRDefault="00DE1444"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two metric sets differ in their mathematical domain of validity. The eigenvalue-based indicators ρ* and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return</m:t>
            </m:r>
          </m:sub>
        </m:sSub>
        <m:r>
          <w:rPr>
            <w:rFonts w:ascii="Cambria Math" w:hAnsi="Cambria Math" w:cs="Times New Roman"/>
            <w:sz w:val="20"/>
            <w:szCs w:val="20"/>
          </w:rPr>
          <m:t>= -</m:t>
        </m:r>
        <m:f>
          <m:fPr>
            <m:ctrlPr>
              <w:rPr>
                <w:rFonts w:ascii="Cambria Math" w:hAnsi="Cambria Math" w:cs="Times New Roman"/>
                <w:i/>
                <w:sz w:val="20"/>
                <w:szCs w:val="20"/>
              </w:rPr>
            </m:ctrlPr>
          </m:fPr>
          <m:num>
            <m:r>
              <w:rPr>
                <w:rFonts w:ascii="Cambria Math" w:hAnsi="Cambria Math" w:cs="Times New Roman"/>
                <w:sz w:val="20"/>
                <w:szCs w:val="20"/>
              </w:rPr>
              <m:t>1</m:t>
            </m:r>
          </m:num>
          <m:den>
            <m:func>
              <m:funcPr>
                <m:ctrlPr>
                  <w:rPr>
                    <w:rFonts w:ascii="Cambria Math" w:hAnsi="Cambria Math" w:cs="Times New Roman"/>
                    <w:sz w:val="20"/>
                    <w:szCs w:val="20"/>
                  </w:rPr>
                </m:ctrlPr>
              </m:funcPr>
              <m:fName>
                <m:r>
                  <m:rPr>
                    <m:sty m:val="p"/>
                  </m:rPr>
                  <w:rPr>
                    <w:rFonts w:ascii="Cambria Math" w:hAnsi="Cambria Math" w:cs="Times New Roman"/>
                    <w:sz w:val="20"/>
                    <w:szCs w:val="20"/>
                  </w:rPr>
                  <m:t>ln</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ρ*</m:t>
                    </m:r>
                  </m:e>
                </m:d>
              </m:e>
            </m:func>
          </m:den>
        </m:f>
      </m:oMath>
      <w:r w:rsidRPr="009668D3">
        <w:rPr>
          <w:rFonts w:ascii="Times New Roman" w:hAnsi="Times New Roman" w:cs="Times New Roman"/>
          <w:sz w:val="20"/>
          <w:szCs w:val="20"/>
        </w:rPr>
        <w:t xml:space="preserve"> are properties of the Jacobian </w:t>
      </w:r>
      <m:oMath>
        <m:sSub>
          <m:sSubPr>
            <m:ctrlPr>
              <w:rPr>
                <w:rFonts w:ascii="Cambria Math" w:hAnsi="Cambria Math" w:cs="Times New Roman"/>
                <w:i/>
                <w:sz w:val="20"/>
                <w:szCs w:val="20"/>
              </w:rPr>
            </m:ctrlPr>
          </m:sSubPr>
          <m:e>
            <m:r>
              <w:rPr>
                <w:rFonts w:ascii="Cambria Math" w:hAnsi="Cambria Math" w:cs="Times New Roman"/>
                <w:sz w:val="20"/>
                <w:szCs w:val="20"/>
              </w:rPr>
              <m:t>J</m:t>
            </m:r>
          </m:e>
          <m:sub>
            <m:r>
              <w:rPr>
                <w:rFonts w:ascii="Cambria Math" w:hAnsi="Cambria Math" w:cs="Times New Roman"/>
                <w:sz w:val="20"/>
                <w:szCs w:val="20"/>
              </w:rPr>
              <m:t>G</m:t>
            </m:r>
          </m:sub>
        </m:sSub>
      </m:oMath>
      <w:r w:rsidRPr="009668D3">
        <w:rPr>
          <w:rFonts w:ascii="Times New Roman" w:hAnsi="Times New Roman" w:cs="Times New Roman"/>
          <w:sz w:val="20"/>
          <w:szCs w:val="20"/>
        </w:rPr>
        <w:t xml:space="preserve"> evaluated at the fixed point x*; they characterise the linearised return rate and are therefore valid only for infinitesimally small perturbations within the immediate neighbourhood of x*. In contrast, R1 and R2 are computed from the full nonlinear annual map iterated from a finite-amplitude perturbation (±20% displacement of A_t). Because the Holling Type II functional responses in Equations 1-2 introduce curvature that the Jacobian cannot capture, the nonlinear trajectory may deviate substantially from the linearised prediction when the perturbation is large or when the system state approaches a basin boundary. Consequently, ρ* and R2 need not rank parameter scenarios identically: a fixed point with ρ* close to unity (slow linearised return) may nonetheless exhibit adequate finite-time recovery if the nonlinear restoring forces are stronger than the linearisation predicts, while a fixed point with small ρ* (fast linearised return) may yield low R2 if the perturbation places the trajectory near a separatrix between basins of attraction. Including both metric sets, therefore, ensures that stability assessment is not an artefact of the linearisation domain.</w:t>
      </w:r>
    </w:p>
    <w:p w14:paraId="0A4F2E7B" w14:textId="77777777" w:rsidR="006A1945" w:rsidRDefault="00FB510D" w:rsidP="00CC2139">
      <w:pPr>
        <w:spacing w:line="240" w:lineRule="auto"/>
        <w:jc w:val="both"/>
        <w:rPr>
          <w:rFonts w:ascii="Times New Roman" w:hAnsi="Times New Roman" w:cs="Times New Roman"/>
          <w:sz w:val="20"/>
          <w:szCs w:val="20"/>
        </w:rPr>
      </w:p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crit</m:t>
            </m:r>
          </m:sub>
        </m:sSub>
        <m:r>
          <w:rPr>
            <w:rFonts w:ascii="Cambria Math" w:eastAsiaTheme="minorEastAsia" w:hAnsi="Cambria Math" w:cs="Times New Roman"/>
            <w:sz w:val="20"/>
            <w:szCs w:val="20"/>
          </w:rPr>
          <m:t>= 0.5</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t</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min</m:t>
            </m:r>
          </m:sub>
        </m:sSub>
        <m:r>
          <w:rPr>
            <w:rFonts w:ascii="Cambria Math" w:eastAsiaTheme="minorEastAsia" w:hAnsi="Cambria Math" w:cs="Times New Roman"/>
            <w:sz w:val="20"/>
            <w:szCs w:val="20"/>
          </w:rPr>
          <m:t xml:space="preserve"> = 0.5</m:t>
        </m:r>
        <m:r>
          <w:rPr>
            <w:rFonts w:ascii="Cambria Math" w:eastAsiaTheme="minorEastAsia" w:hAnsi="Cambria Math" w:cs="Times New Roman"/>
            <w:sz w:val="20"/>
            <w:szCs w:val="20"/>
          </w:rPr>
          <m:t>K</m:t>
        </m:r>
        <m:r>
          <w:rPr>
            <w:rFonts w:ascii="Cambria Math" w:eastAsiaTheme="minorEastAsia" w:hAnsi="Cambria Math" w:cs="Times New Roman"/>
            <w:sz w:val="20"/>
            <w:szCs w:val="20"/>
          </w:rPr>
          <m:t>₀</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ma</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λ</m:t>
                </m:r>
              </m:e>
              <m:sub>
                <m:r>
                  <w:rPr>
                    <w:rFonts w:ascii="Cambria Math" w:eastAsiaTheme="minorEastAsia" w:hAnsi="Cambria Math" w:cs="Times New Roman"/>
                    <w:sz w:val="20"/>
                    <w:szCs w:val="20"/>
                  </w:rPr>
                  <m:t>i</m:t>
                </m:r>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e>
            </m:d>
          </m:e>
        </m:d>
        <m:r>
          <w:rPr>
            <w:rFonts w:ascii="Cambria Math" w:eastAsiaTheme="minorEastAsia" w:hAnsi="Cambria Math" w:cs="Times New Roman"/>
            <w:sz w:val="20"/>
            <w:szCs w:val="20"/>
          </w:rPr>
          <m:t xml:space="preserve"> = 1</m:t>
        </m:r>
      </m:oMath>
      <w:r w:rsidRPr="001E6700">
        <w:rPr>
          <w:rFonts w:ascii="Times New Roman" w:hAnsi="Times New Roman" w:cs="Times New Roman"/>
          <w:sz w:val="20"/>
          <w:szCs w:val="20"/>
        </w:rPr>
        <w:t>In</w:t>
      </w:r>
      <w:r w:rsidR="007717A7" w:rsidRPr="009668D3">
        <w:rPr>
          <w:rFonts w:ascii="Times New Roman" w:hAnsi="Times New Roman" w:cs="Times New Roman"/>
          <w:sz w:val="20"/>
          <w:szCs w:val="20"/>
        </w:rPr>
        <w:t xml:space="preserve"> a system with alternative stable states, a perturbation that pushes the system into a different basin of attraction will yield recovery near 0 or negative; a perturbation from which the system returns to x* yields recovery = 1. Latitude is the maximum perturbation magnitude the system can absorb before losing its ability to recover (Walker et al., 2004; Van Meerbeek et al., 2021). It is computed by progressively increasing the perturbation magnitude δ until the annual map fails to return to the original equilibrium within a specified horizon (50 annual iterations). The critical δ at which the system transitions to an alternative attractor defines the latitude boundary. This is related to the basin stability concept of Menck et al. (2013). Adaptive stability. We define adaptive stability as the capacity of the system to maintain ecological </w:t>
      </w:r>
      <w:r w:rsidR="007717A7" w:rsidRPr="009668D3">
        <w:rPr>
          <w:rFonts w:ascii="Times New Roman" w:hAnsi="Times New Roman" w:cs="Times New Roman"/>
          <w:sz w:val="20"/>
          <w:szCs w:val="20"/>
        </w:rPr>
        <w:lastRenderedPageBreak/>
        <w:t xml:space="preserve">function through the joint action of within-season resistance and annual resilience, where the balance between resistance and resilience adapts to phenological conditions. Unlike engineering resilience (a single return-rate measure; Pimm, 1984), ecological resilience (a basin-of-attraction measure; Holling, 1973), or adaptive capacity (a social-ecological management concept; Folke et al., 2005), adaptive stability captures the multi-timescale interplay in which within-season resistance to outbreak damage and annual recovery of canopy condition jointly determine whether the system persists in a functional regime. </w:t>
      </w:r>
      <w:r w:rsidR="000407FB" w:rsidRPr="001E6700">
        <w:rPr>
          <w:rFonts w:ascii="Times New Roman" w:hAnsi="Times New Roman" w:cs="Times New Roman"/>
          <w:sz w:val="20"/>
          <w:szCs w:val="20"/>
        </w:rPr>
        <w:t>Here, “adaptive stability” is used as a descriptive</w:t>
      </w:r>
      <w:r w:rsidR="007717A7" w:rsidRPr="009668D3">
        <w:rPr>
          <w:rFonts w:ascii="Times New Roman" w:hAnsi="Times New Roman" w:cs="Times New Roman"/>
          <w:sz w:val="20"/>
          <w:szCs w:val="20"/>
        </w:rPr>
        <w:t xml:space="preserve"> term </w:t>
      </w:r>
      <w:r w:rsidR="000407FB" w:rsidRPr="001E6700">
        <w:rPr>
          <w:rFonts w:ascii="Times New Roman" w:hAnsi="Times New Roman" w:cs="Times New Roman"/>
          <w:sz w:val="20"/>
          <w:szCs w:val="20"/>
        </w:rPr>
        <w:t xml:space="preserve">representing </w:t>
      </w:r>
      <w:r w:rsidR="007717A7" w:rsidRPr="009668D3">
        <w:rPr>
          <w:rFonts w:ascii="Times New Roman" w:hAnsi="Times New Roman" w:cs="Times New Roman"/>
          <w:sz w:val="20"/>
          <w:szCs w:val="20"/>
        </w:rPr>
        <w:t xml:space="preserve">the joint </w:t>
      </w:r>
      <w:r w:rsidR="000407FB" w:rsidRPr="001E6700">
        <w:rPr>
          <w:rFonts w:ascii="Times New Roman" w:hAnsi="Times New Roman" w:cs="Times New Roman"/>
          <w:sz w:val="20"/>
          <w:szCs w:val="20"/>
        </w:rPr>
        <w:t>behaviour</w:t>
      </w:r>
      <w:r w:rsidR="007717A7" w:rsidRPr="009668D3">
        <w:rPr>
          <w:rFonts w:ascii="Times New Roman" w:hAnsi="Times New Roman" w:cs="Times New Roman"/>
          <w:sz w:val="20"/>
          <w:szCs w:val="20"/>
        </w:rPr>
        <w:t xml:space="preserve"> of resistance (R1)</w:t>
      </w:r>
      <w:r w:rsidR="004543AC" w:rsidRPr="009668D3">
        <w:rPr>
          <w:rFonts w:ascii="Times New Roman" w:hAnsi="Times New Roman" w:cs="Times New Roman"/>
          <w:sz w:val="20"/>
          <w:szCs w:val="20"/>
        </w:rPr>
        <w:t xml:space="preserve"> </w:t>
      </w:r>
      <w:r w:rsidR="00B06361" w:rsidRPr="009668D3">
        <w:rPr>
          <w:rFonts w:ascii="Times New Roman" w:hAnsi="Times New Roman" w:cs="Times New Roman"/>
          <w:sz w:val="20"/>
          <w:szCs w:val="20"/>
        </w:rPr>
        <w:t>and</w:t>
      </w:r>
      <w:r w:rsidR="007717A7" w:rsidRPr="009668D3">
        <w:rPr>
          <w:rFonts w:ascii="Times New Roman" w:hAnsi="Times New Roman" w:cs="Times New Roman"/>
          <w:sz w:val="20"/>
          <w:szCs w:val="20"/>
        </w:rPr>
        <w:t xml:space="preserve"> resilience (R</w:t>
      </w:r>
      <w:r w:rsidR="00B06361" w:rsidRPr="009668D3">
        <w:rPr>
          <w:rFonts w:ascii="Times New Roman" w:hAnsi="Times New Roman" w:cs="Times New Roman"/>
          <w:sz w:val="20"/>
          <w:szCs w:val="20"/>
        </w:rPr>
        <w:t>2</w:t>
      </w:r>
      <w:r w:rsidR="000407FB" w:rsidRPr="001E6700">
        <w:rPr>
          <w:rFonts w:ascii="Times New Roman" w:hAnsi="Times New Roman" w:cs="Times New Roman"/>
          <w:sz w:val="20"/>
          <w:szCs w:val="20"/>
        </w:rPr>
        <w:t>),</w:t>
      </w:r>
      <w:r w:rsidR="007717A7" w:rsidRPr="009668D3">
        <w:rPr>
          <w:rFonts w:ascii="Times New Roman" w:hAnsi="Times New Roman" w:cs="Times New Roman"/>
          <w:sz w:val="20"/>
          <w:szCs w:val="20"/>
        </w:rPr>
        <w:t xml:space="preserve"> rather than </w:t>
      </w:r>
      <w:r w:rsidR="000407FB" w:rsidRPr="001E6700">
        <w:rPr>
          <w:rFonts w:ascii="Times New Roman" w:hAnsi="Times New Roman" w:cs="Times New Roman"/>
          <w:sz w:val="20"/>
          <w:szCs w:val="20"/>
        </w:rPr>
        <w:t>a formally distinct theoretical construct.</w:t>
      </w:r>
      <w:r w:rsidR="007717A7" w:rsidRPr="009668D3">
        <w:rPr>
          <w:rFonts w:ascii="Times New Roman" w:hAnsi="Times New Roman" w:cs="Times New Roman"/>
          <w:sz w:val="20"/>
          <w:szCs w:val="20"/>
        </w:rPr>
        <w:t xml:space="preserve"> </w:t>
      </w:r>
    </w:p>
    <w:p w14:paraId="54EAABB7" w14:textId="100AD30C" w:rsidR="00CC2139" w:rsidRPr="001E6700" w:rsidRDefault="00CC2139" w:rsidP="00CC2139">
      <w:pPr>
        <w:spacing w:line="240" w:lineRule="auto"/>
        <w:jc w:val="both"/>
        <w:rPr>
          <w:rFonts w:ascii="Times New Roman" w:eastAsiaTheme="minorEastAsia" w:hAnsi="Times New Roman" w:cs="Times New Roman"/>
          <w:sz w:val="20"/>
          <w:szCs w:val="20"/>
        </w:rPr>
      </w:pPr>
      <w:r w:rsidRPr="001E6700">
        <w:rPr>
          <w:rFonts w:ascii="Times New Roman" w:eastAsiaTheme="minorEastAsia" w:hAnsi="Times New Roman" w:cs="Times New Roman"/>
          <w:sz w:val="20"/>
          <w:szCs w:val="20"/>
        </w:rPr>
        <w:t xml:space="preserve">The model contains two mathematically distinct bifurcation structures. The within-season ODE (Equations 1–4) is a continuous-time system whose local stability requires Re(λᵢ) &lt; 0 for all eigenvalues of its Jacobian, with bifurcation boundaries on the imaginary axis (Kuznetsov, 2004). The annual recurrence map G (Equations 5–8) is a discrete-time system constructed as the Poincaré return map of the seasonally forced flow (Kot, 2001; Wiggins, 2003); its local stability requires |λᵢ| &lt; 1 for all eigenvalues of the annual Jacobian J_G, with bifurcation boundaries on the unit circle in the complex plane. Because the within-season state is reset each year by overwinter survival, recruitment, and foliage recovery (Equations 5–8), within-season ODE pseudo-equilibria are not ecologically interpretable as steady states (Elaydi, 2005). All ecologically meaningful tipping in this study is therefore defined on the discrete-time annual map; the continuous-time flow enters only through its contribution to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G</m:t>
            </m:r>
          </m:sub>
        </m:sSub>
      </m:oMath>
      <w:r w:rsidRPr="001E6700">
        <w:rPr>
          <w:rFonts w:ascii="Times New Roman" w:eastAsiaTheme="minorEastAsia" w:hAnsi="Times New Roman" w:cs="Times New Roman"/>
          <w:sz w:val="20"/>
          <w:szCs w:val="20"/>
        </w:rPr>
        <w:t xml:space="preserve"> via the variational equations (Annex 2, Step 5).</w:t>
      </w:r>
      <w:r w:rsidR="00C207F5" w:rsidRPr="001E6700">
        <w:rPr>
          <w:rFonts w:ascii="Times New Roman" w:eastAsiaTheme="minorEastAsia" w:hAnsi="Times New Roman" w:cs="Times New Roman"/>
          <w:sz w:val="20"/>
          <w:szCs w:val="20"/>
        </w:rPr>
        <w:t xml:space="preserve"> </w:t>
      </w:r>
      <w:r w:rsidR="00C207F5" w:rsidRPr="009668D3">
        <w:rPr>
          <w:rFonts w:ascii="Times New Roman" w:hAnsi="Times New Roman" w:cs="Times New Roman"/>
          <w:sz w:val="20"/>
          <w:szCs w:val="20"/>
        </w:rPr>
        <w:t xml:space="preserve">We </w:t>
      </w:r>
      <w:r w:rsidRPr="009668D3">
        <w:rPr>
          <w:rFonts w:ascii="Times New Roman" w:hAnsi="Times New Roman" w:cs="Times New Roman"/>
          <w:sz w:val="20"/>
          <w:szCs w:val="20"/>
        </w:rPr>
        <w:t>distinguish three levels of stability loss that may or may not coincide (</w:t>
      </w:r>
      <w:r w:rsidRPr="001E6700">
        <w:rPr>
          <w:rFonts w:ascii="Times New Roman" w:eastAsiaTheme="minorEastAsia" w:hAnsi="Times New Roman" w:cs="Times New Roman"/>
          <w:sz w:val="20"/>
          <w:szCs w:val="20"/>
        </w:rPr>
        <w:t xml:space="preserve">Scheffer et al., 2001; </w:t>
      </w:r>
      <w:r w:rsidRPr="009668D3">
        <w:rPr>
          <w:rFonts w:ascii="Times New Roman" w:hAnsi="Times New Roman" w:cs="Times New Roman"/>
          <w:sz w:val="20"/>
          <w:szCs w:val="20"/>
        </w:rPr>
        <w:t>Van Meerbeek et al., 2021</w:t>
      </w:r>
      <w:r w:rsidRPr="001E6700">
        <w:rPr>
          <w:rFonts w:ascii="Times New Roman" w:eastAsiaTheme="minorEastAsia" w:hAnsi="Times New Roman" w:cs="Times New Roman"/>
          <w:sz w:val="20"/>
          <w:szCs w:val="20"/>
        </w:rPr>
        <w:t>):</w:t>
      </w:r>
    </w:p>
    <w:p w14:paraId="49CA5E5A" w14:textId="62C52DBF" w:rsidR="00CC2139" w:rsidRPr="001E6700" w:rsidRDefault="00CC2139" w:rsidP="00CC2139">
      <w:pPr>
        <w:spacing w:line="240" w:lineRule="auto"/>
        <w:jc w:val="both"/>
        <w:rPr>
          <w:rFonts w:ascii="Times New Roman" w:eastAsiaTheme="minorEastAsia" w:hAnsi="Times New Roman" w:cs="Times New Roman"/>
          <w:sz w:val="20"/>
          <w:szCs w:val="20"/>
        </w:rPr>
      </w:pPr>
      <w:r w:rsidRPr="009668D3">
        <w:rPr>
          <w:rFonts w:ascii="Times New Roman" w:hAnsi="Times New Roman" w:cs="Times New Roman"/>
          <w:i/>
          <w:sz w:val="20"/>
          <w:szCs w:val="20"/>
        </w:rPr>
        <w:t>(i) Loss of local asymptotic stability</w:t>
      </w:r>
      <w:r w:rsidRPr="001E6700">
        <w:rPr>
          <w:rFonts w:ascii="Times New Roman" w:eastAsiaTheme="minorEastAsia" w:hAnsi="Times New Roman" w:cs="Times New Roman"/>
          <w:i/>
          <w:iCs/>
          <w:sz w:val="20"/>
          <w:szCs w:val="20"/>
        </w:rPr>
        <w:t xml:space="preserve"> </w:t>
      </w:r>
      <w:r w:rsidR="00C207F5" w:rsidRPr="001E6700">
        <w:rPr>
          <w:rFonts w:ascii="Times New Roman" w:eastAsiaTheme="minorEastAsia" w:hAnsi="Times New Roman" w:cs="Times New Roman"/>
          <w:i/>
          <w:iCs/>
          <w:sz w:val="20"/>
          <w:szCs w:val="20"/>
        </w:rPr>
        <w:t>(</w:t>
      </w:r>
      <w:r w:rsidRPr="001E6700">
        <w:rPr>
          <w:rFonts w:ascii="Times New Roman" w:eastAsiaTheme="minorEastAsia" w:hAnsi="Times New Roman" w:cs="Times New Roman"/>
          <w:i/>
          <w:iCs/>
          <w:sz w:val="20"/>
          <w:szCs w:val="20"/>
        </w:rPr>
        <w:t>discrete-time bifurcation of the annual map</w:t>
      </w:r>
      <w:r w:rsidR="00C207F5" w:rsidRPr="001E6700">
        <w:rPr>
          <w:rFonts w:ascii="Times New Roman" w:eastAsiaTheme="minorEastAsia" w:hAnsi="Times New Roman" w:cs="Times New Roman"/>
          <w:i/>
          <w:iCs/>
          <w:sz w:val="20"/>
          <w:szCs w:val="20"/>
        </w:rPr>
        <w:t>):</w:t>
      </w:r>
      <w:r w:rsidRPr="001E6700">
        <w:rPr>
          <w:rFonts w:ascii="Times New Roman" w:eastAsiaTheme="minorEastAsia" w:hAnsi="Times New Roman" w:cs="Times New Roman"/>
          <w:sz w:val="20"/>
          <w:szCs w:val="20"/>
        </w:rPr>
        <w:t xml:space="preserve"> The</w:t>
      </w:r>
      <w:r w:rsidRPr="009668D3">
        <w:rPr>
          <w:rFonts w:ascii="Times New Roman" w:hAnsi="Times New Roman" w:cs="Times New Roman"/>
          <w:sz w:val="20"/>
          <w:szCs w:val="20"/>
        </w:rPr>
        <w:t xml:space="preserve"> dominant eigenvalue magnitude </w:t>
      </w:r>
      <m:oMath>
        <m:r>
          <w:rPr>
            <w:rFonts w:ascii="Cambria Math" w:eastAsiaTheme="minorEastAsia" w:hAnsi="Cambria Math" w:cs="Times New Roman"/>
            <w:sz w:val="20"/>
            <w:szCs w:val="20"/>
          </w:rPr>
          <m:t>ρ* = maxᵢ |λᵢ(</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G</m:t>
            </m:r>
          </m:sub>
        </m:sSub>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m:t>
        </m:r>
      </m:oMath>
      <w:r w:rsidRPr="001E6700">
        <w:rPr>
          <w:rFonts w:ascii="Times New Roman" w:eastAsiaTheme="minorEastAsia" w:hAnsi="Times New Roman" w:cs="Times New Roman"/>
          <w:sz w:val="20"/>
          <w:szCs w:val="20"/>
        </w:rPr>
        <w:t xml:space="preserve"> at the </w:t>
      </w:r>
      <w:r w:rsidRPr="009668D3">
        <w:rPr>
          <w:rFonts w:ascii="Times New Roman" w:hAnsi="Times New Roman" w:cs="Times New Roman"/>
          <w:sz w:val="20"/>
          <w:szCs w:val="20"/>
        </w:rPr>
        <w:t xml:space="preserve">fixed point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m:t>
            </m:r>
          </m:sup>
        </m:sSup>
      </m:oMath>
      <w:r w:rsidRPr="001E6700">
        <w:rPr>
          <w:rFonts w:ascii="Times New Roman" w:eastAsiaTheme="minorEastAsia" w:hAnsi="Times New Roman" w:cs="Times New Roman"/>
          <w:sz w:val="20"/>
          <w:szCs w:val="20"/>
        </w:rPr>
        <w:t xml:space="preserve">crosses the unit circle (ρ* → 1), and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m:t>
            </m:r>
          </m:sup>
        </m:sSup>
      </m:oMath>
      <w:r w:rsidR="00C207F5" w:rsidRPr="001E6700">
        <w:rPr>
          <w:rFonts w:ascii="Times New Roman" w:eastAsiaTheme="minorEastAsia" w:hAnsi="Times New Roman" w:cs="Times New Roman"/>
          <w:sz w:val="20"/>
          <w:szCs w:val="20"/>
        </w:rPr>
        <w:t xml:space="preserve"> </w:t>
      </w:r>
      <w:r w:rsidRPr="009668D3">
        <w:rPr>
          <w:rFonts w:ascii="Times New Roman" w:hAnsi="Times New Roman" w:cs="Times New Roman"/>
          <w:sz w:val="20"/>
          <w:szCs w:val="20"/>
        </w:rPr>
        <w:t>loses its local attracting property.</w:t>
      </w:r>
      <w:r w:rsidRPr="001E6700">
        <w:rPr>
          <w:rFonts w:ascii="Times New Roman" w:eastAsiaTheme="minorEastAsia" w:hAnsi="Times New Roman" w:cs="Times New Roman"/>
          <w:sz w:val="20"/>
          <w:szCs w:val="20"/>
        </w:rPr>
        <w:t xml:space="preserve"> The type of bifurcation follows from the direction of</w:t>
      </w:r>
      <w:r w:rsidRPr="009668D3">
        <w:rPr>
          <w:rFonts w:ascii="Times New Roman" w:hAnsi="Times New Roman" w:cs="Times New Roman"/>
          <w:sz w:val="20"/>
          <w:szCs w:val="20"/>
        </w:rPr>
        <w:t xml:space="preserve"> crossing</w:t>
      </w:r>
      <w:r w:rsidRPr="001E6700">
        <w:rPr>
          <w:rFonts w:ascii="Times New Roman" w:eastAsiaTheme="minorEastAsia" w:hAnsi="Times New Roman" w:cs="Times New Roman"/>
          <w:sz w:val="20"/>
          <w:szCs w:val="20"/>
        </w:rPr>
        <w:t>: a real eigenvalue through +1 is a saddle-node (fold), a real eigenvalue through −1 is a flip (period-doubling), and a complex-conjugate pair</w:t>
      </w:r>
      <w:r w:rsidRPr="009668D3">
        <w:rPr>
          <w:rFonts w:ascii="Times New Roman" w:hAnsi="Times New Roman" w:cs="Times New Roman"/>
          <w:sz w:val="20"/>
          <w:szCs w:val="20"/>
        </w:rPr>
        <w:t xml:space="preserve"> crossing </w:t>
      </w:r>
      <w:r w:rsidRPr="001E6700">
        <w:rPr>
          <w:rFonts w:ascii="Times New Roman" w:eastAsiaTheme="minorEastAsia" w:hAnsi="Times New Roman" w:cs="Times New Roman"/>
          <w:sz w:val="20"/>
          <w:szCs w:val="20"/>
        </w:rPr>
        <w:t>|λ| = 1 is a Neimark–Sacker bifurcation (Kuznetsov, 2004; Annex 2, Step 7). These discrete-time criteria are strictly distinct from the continuous-time imaginary-axis crossings that would apply to the within-season ODE if considered in isolation</w:t>
      </w:r>
      <w:r w:rsidRPr="009668D3">
        <w:rPr>
          <w:rFonts w:ascii="Times New Roman" w:hAnsi="Times New Roman" w:cs="Times New Roman"/>
          <w:sz w:val="20"/>
          <w:szCs w:val="20"/>
        </w:rPr>
        <w:t xml:space="preserve">; the latter </w:t>
      </w:r>
      <w:r w:rsidRPr="001E6700">
        <w:rPr>
          <w:rFonts w:ascii="Times New Roman" w:eastAsiaTheme="minorEastAsia" w:hAnsi="Times New Roman" w:cs="Times New Roman"/>
          <w:sz w:val="20"/>
          <w:szCs w:val="20"/>
        </w:rPr>
        <w:t>are not used as tipping diagnostics here because the ODE is reset annually.</w:t>
      </w:r>
    </w:p>
    <w:p w14:paraId="7392787C" w14:textId="5E431361" w:rsidR="00CC2139" w:rsidRPr="001E6700" w:rsidRDefault="00CC2139" w:rsidP="00CC2139">
      <w:pPr>
        <w:spacing w:line="240" w:lineRule="auto"/>
        <w:jc w:val="both"/>
        <w:rPr>
          <w:rFonts w:ascii="Times New Roman" w:eastAsiaTheme="minorEastAsia" w:hAnsi="Times New Roman" w:cs="Times New Roman"/>
          <w:sz w:val="20"/>
          <w:szCs w:val="20"/>
        </w:rPr>
      </w:pPr>
      <w:r w:rsidRPr="009668D3">
        <w:rPr>
          <w:rFonts w:ascii="Times New Roman" w:hAnsi="Times New Roman" w:cs="Times New Roman"/>
          <w:i/>
          <w:sz w:val="20"/>
          <w:szCs w:val="20"/>
        </w:rPr>
        <w:t>(ii) Functional threshold crossing</w:t>
      </w:r>
      <w:r w:rsidR="00A12CA2" w:rsidRPr="009668D3">
        <w:rPr>
          <w:rFonts w:ascii="Times New Roman" w:hAnsi="Times New Roman" w:cs="Times New Roman"/>
          <w:i/>
          <w:sz w:val="20"/>
          <w:szCs w:val="20"/>
        </w:rPr>
        <w:t>:</w:t>
      </w:r>
      <w:r w:rsidRPr="009668D3">
        <w:rPr>
          <w:rFonts w:ascii="Times New Roman" w:hAnsi="Times New Roman" w:cs="Times New Roman"/>
          <w:sz w:val="20"/>
          <w:szCs w:val="20"/>
        </w:rPr>
        <w:t xml:space="preserve"> </w:t>
      </w:r>
      <w:r w:rsidRPr="001E6700">
        <w:rPr>
          <w:rFonts w:ascii="Times New Roman" w:eastAsiaTheme="minorEastAsia" w:hAnsi="Times New Roman" w:cs="Times New Roman"/>
          <w:sz w:val="20"/>
          <w:szCs w:val="20"/>
        </w:rPr>
        <w:t>T</w:t>
      </w:r>
      <w:r w:rsidRPr="009668D3">
        <w:rPr>
          <w:rFonts w:ascii="Times New Roman" w:hAnsi="Times New Roman" w:cs="Times New Roman"/>
          <w:sz w:val="20"/>
          <w:szCs w:val="20"/>
        </w:rPr>
        <w:t xml:space="preserve">he system </w:t>
      </w:r>
      <w:r w:rsidR="00FB510D" w:rsidRPr="001E6700">
        <w:rPr>
          <w:rFonts w:ascii="Times New Roman" w:hAnsi="Times New Roman" w:cs="Times New Roman"/>
          <w:sz w:val="20"/>
          <w:szCs w:val="20"/>
        </w:rPr>
        <w:t xml:space="preserve">variable </w:t>
      </w:r>
      <w:r w:rsidRPr="009668D3">
        <w:rPr>
          <w:rFonts w:ascii="Times New Roman" w:hAnsi="Times New Roman" w:cs="Times New Roman"/>
          <w:sz w:val="20"/>
          <w:szCs w:val="20"/>
        </w:rPr>
        <w:t>enters a functionally unacceptable range</w:t>
      </w:r>
      <w:r w:rsidRPr="001E6700">
        <w:rPr>
          <w:rFonts w:ascii="Times New Roman" w:eastAsiaTheme="minorEastAsia" w:hAnsi="Times New Roman" w:cs="Times New Roman"/>
          <w:sz w:val="20"/>
          <w:szCs w:val="20"/>
        </w:rPr>
        <w:t xml:space="preserve"> independent of any mathematical bifurcation:</w:t>
      </w:r>
      <w:r w:rsidRPr="009668D3">
        <w:rPr>
          <w:rFonts w:ascii="Times New Roman" w:hAnsi="Times New Roman" w:cs="Times New Roman"/>
          <w:sz w:val="20"/>
          <w:szCs w:val="20"/>
        </w:rPr>
        <w:t xml:space="preserve"> the long-run mean defoliation exceeds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crit</m:t>
            </m:r>
          </m:sub>
        </m:sSub>
        <m:r>
          <w:rPr>
            <w:rFonts w:ascii="Cambria Math" w:eastAsiaTheme="minorEastAsia" w:hAnsi="Cambria Math" w:cs="Times New Roman"/>
            <w:sz w:val="20"/>
            <w:szCs w:val="20"/>
          </w:rPr>
          <m:t xml:space="preserve"> = 0.5</m:t>
        </m:r>
      </m:oMath>
      <w:r w:rsidRPr="009668D3">
        <w:rPr>
          <w:rFonts w:ascii="Times New Roman" w:hAnsi="Times New Roman" w:cs="Times New Roman"/>
          <w:sz w:val="20"/>
          <w:szCs w:val="20"/>
        </w:rPr>
        <w:t xml:space="preserve"> (corresponding to 50% seasonal defoliation; Ferretti et al., 2021), or the carrying capacity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t</m:t>
            </m:r>
          </m:sub>
        </m:sSub>
      </m:oMath>
      <w:r w:rsidRPr="009668D3">
        <w:rPr>
          <w:rFonts w:ascii="Times New Roman" w:hAnsi="Times New Roman" w:cs="Times New Roman"/>
          <w:sz w:val="20"/>
          <w:szCs w:val="20"/>
        </w:rPr>
        <w:t xml:space="preserve"> falls below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min</m:t>
            </m:r>
          </m:sub>
        </m:sSub>
        <m:r>
          <w:rPr>
            <w:rFonts w:ascii="Cambria Math" w:eastAsiaTheme="minorEastAsia" w:hAnsi="Cambria Math" w:cs="Times New Roman"/>
            <w:sz w:val="20"/>
            <w:szCs w:val="20"/>
          </w:rPr>
          <m:t xml:space="preserve"> = 0.5</m:t>
        </m:r>
      </m:oMath>
      <w:r w:rsidRPr="001E6700">
        <w:rPr>
          <w:rFonts w:ascii="Times New Roman" w:eastAsiaTheme="minorEastAsia" w:hAnsi="Times New Roman" w:cs="Times New Roman"/>
          <w:sz w:val="20"/>
          <w:szCs w:val="20"/>
        </w:rPr>
        <w:t xml:space="preserve"> K₀</w:t>
      </w:r>
      <w:r w:rsidRPr="009668D3">
        <w:rPr>
          <w:rFonts w:ascii="Times New Roman" w:hAnsi="Times New Roman" w:cs="Times New Roman"/>
          <w:sz w:val="20"/>
          <w:szCs w:val="20"/>
        </w:rPr>
        <w:t xml:space="preserve"> for three or more consecutive years, indicating persistent canopy degradation</w:t>
      </w:r>
      <w:r w:rsidRPr="001E6700">
        <w:rPr>
          <w:rFonts w:ascii="Times New Roman" w:eastAsiaTheme="minorEastAsia" w:hAnsi="Times New Roman" w:cs="Times New Roman"/>
          <w:sz w:val="20"/>
          <w:szCs w:val="20"/>
        </w:rPr>
        <w:t xml:space="preserve">. The system may satisfy this criterion </w:t>
      </w:r>
      <w:r w:rsidRPr="009668D3">
        <w:rPr>
          <w:rFonts w:ascii="Times New Roman" w:hAnsi="Times New Roman" w:cs="Times New Roman"/>
          <w:sz w:val="20"/>
          <w:szCs w:val="20"/>
        </w:rPr>
        <w:t xml:space="preserve">while </w:t>
      </w:r>
      <w:r w:rsidRPr="001E6700">
        <w:rPr>
          <w:rFonts w:ascii="Times New Roman" w:eastAsiaTheme="minorEastAsia" w:hAnsi="Times New Roman" w:cs="Times New Roman"/>
          <w:sz w:val="20"/>
          <w:szCs w:val="20"/>
        </w:rPr>
        <w:t>still retaining ρ* &lt; 1, because functional thresholds depend on the magnitude of the state, not on the topology of the attractor.</w:t>
      </w:r>
    </w:p>
    <w:p w14:paraId="55252C6D" w14:textId="3DDEA719" w:rsidR="00CC2139" w:rsidRPr="001E6700" w:rsidRDefault="00CC2139" w:rsidP="00CC2139">
      <w:pPr>
        <w:spacing w:line="240" w:lineRule="auto"/>
        <w:jc w:val="both"/>
        <w:rPr>
          <w:rFonts w:ascii="Times New Roman" w:eastAsiaTheme="minorEastAsia" w:hAnsi="Times New Roman" w:cs="Times New Roman"/>
          <w:sz w:val="20"/>
          <w:szCs w:val="20"/>
        </w:rPr>
      </w:pPr>
      <w:r w:rsidRPr="009668D3">
        <w:rPr>
          <w:rFonts w:ascii="Times New Roman" w:hAnsi="Times New Roman" w:cs="Times New Roman"/>
          <w:i/>
          <w:sz w:val="20"/>
          <w:szCs w:val="20"/>
        </w:rPr>
        <w:t>(iii) Regime shift</w:t>
      </w:r>
      <w:r w:rsidRPr="001E6700">
        <w:rPr>
          <w:rFonts w:ascii="Times New Roman" w:eastAsiaTheme="minorEastAsia" w:hAnsi="Times New Roman" w:cs="Times New Roman"/>
          <w:i/>
          <w:iCs/>
          <w:sz w:val="20"/>
          <w:szCs w:val="20"/>
        </w:rPr>
        <w:t xml:space="preserve"> </w:t>
      </w:r>
      <w:r w:rsidR="00A12CA2" w:rsidRPr="001E6700">
        <w:rPr>
          <w:rFonts w:ascii="Times New Roman" w:eastAsiaTheme="minorEastAsia" w:hAnsi="Times New Roman" w:cs="Times New Roman"/>
          <w:i/>
          <w:iCs/>
          <w:sz w:val="20"/>
          <w:szCs w:val="20"/>
        </w:rPr>
        <w:t>(</w:t>
      </w:r>
      <w:r w:rsidRPr="001E6700">
        <w:rPr>
          <w:rFonts w:ascii="Times New Roman" w:eastAsiaTheme="minorEastAsia" w:hAnsi="Times New Roman" w:cs="Times New Roman"/>
          <w:i/>
          <w:iCs/>
          <w:sz w:val="20"/>
          <w:szCs w:val="20"/>
        </w:rPr>
        <w:t>basin-crossing event in</w:t>
      </w:r>
      <w:r w:rsidRPr="009668D3">
        <w:rPr>
          <w:rFonts w:ascii="Times New Roman" w:hAnsi="Times New Roman" w:cs="Times New Roman"/>
          <w:i/>
          <w:sz w:val="20"/>
          <w:szCs w:val="20"/>
        </w:rPr>
        <w:t xml:space="preserve"> the </w:t>
      </w:r>
      <w:r w:rsidRPr="001E6700">
        <w:rPr>
          <w:rFonts w:ascii="Times New Roman" w:eastAsiaTheme="minorEastAsia" w:hAnsi="Times New Roman" w:cs="Times New Roman"/>
          <w:i/>
          <w:iCs/>
          <w:sz w:val="20"/>
          <w:szCs w:val="20"/>
        </w:rPr>
        <w:t>discrete-time map</w:t>
      </w:r>
      <w:r w:rsidR="00A12CA2" w:rsidRPr="001E6700">
        <w:rPr>
          <w:rFonts w:ascii="Times New Roman" w:eastAsiaTheme="minorEastAsia" w:hAnsi="Times New Roman" w:cs="Times New Roman"/>
          <w:i/>
          <w:iCs/>
          <w:sz w:val="20"/>
          <w:szCs w:val="20"/>
        </w:rPr>
        <w:t>):</w:t>
      </w:r>
      <w:r w:rsidRPr="001E6700">
        <w:rPr>
          <w:rFonts w:ascii="Times New Roman" w:eastAsiaTheme="minorEastAsia" w:hAnsi="Times New Roman" w:cs="Times New Roman"/>
          <w:sz w:val="20"/>
          <w:szCs w:val="20"/>
        </w:rPr>
        <w:t xml:space="preserve"> The annual-map trajectory</w:t>
      </w:r>
      <w:r w:rsidRPr="009668D3">
        <w:rPr>
          <w:rFonts w:ascii="Times New Roman" w:hAnsi="Times New Roman" w:cs="Times New Roman"/>
          <w:sz w:val="20"/>
          <w:szCs w:val="20"/>
        </w:rPr>
        <w:t xml:space="preserve"> from </w:t>
      </w:r>
      <w:r w:rsidRPr="001E6700">
        <w:rPr>
          <w:rFonts w:ascii="Times New Roman" w:eastAsiaTheme="minorEastAsia" w:hAnsi="Times New Roman" w:cs="Times New Roman"/>
          <w:sz w:val="20"/>
          <w:szCs w:val="20"/>
        </w:rPr>
        <w:t xml:space="preserve">the current initial condition no longer converges to the reference </w:t>
      </w:r>
      <w:r w:rsidRPr="009668D3">
        <w:rPr>
          <w:rFonts w:ascii="Times New Roman" w:hAnsi="Times New Roman" w:cs="Times New Roman"/>
          <w:sz w:val="20"/>
          <w:szCs w:val="20"/>
        </w:rPr>
        <w:t xml:space="preserve">coexistence </w:t>
      </w:r>
      <w:r w:rsidRPr="001E6700">
        <w:rPr>
          <w:rFonts w:ascii="Times New Roman" w:eastAsiaTheme="minorEastAsia" w:hAnsi="Times New Roman" w:cs="Times New Roman"/>
          <w:sz w:val="20"/>
          <w:szCs w:val="20"/>
        </w:rPr>
        <w:t>fixed point x₂* but</w:t>
      </w:r>
      <w:r w:rsidRPr="009668D3">
        <w:rPr>
          <w:rFonts w:ascii="Times New Roman" w:hAnsi="Times New Roman" w:cs="Times New Roman"/>
          <w:sz w:val="20"/>
          <w:szCs w:val="20"/>
        </w:rPr>
        <w:t xml:space="preserve"> to a structurally different attractor</w:t>
      </w:r>
      <w:r w:rsidRPr="001E6700">
        <w:rPr>
          <w:rFonts w:ascii="Times New Roman" w:eastAsiaTheme="minorEastAsia" w:hAnsi="Times New Roman" w:cs="Times New Roman"/>
          <w:sz w:val="20"/>
          <w:szCs w:val="20"/>
        </w:rPr>
        <w:t xml:space="preserve"> of G</w:t>
      </w:r>
      <w:r w:rsidR="00A12CA2" w:rsidRPr="001E6700">
        <w:rPr>
          <w:rFonts w:ascii="Times New Roman" w:eastAsiaTheme="minorEastAsia" w:hAnsi="Times New Roman" w:cs="Times New Roman"/>
          <w:sz w:val="20"/>
          <w:szCs w:val="20"/>
        </w:rPr>
        <w:t>,</w:t>
      </w:r>
      <w:r w:rsidRPr="001E6700">
        <w:rPr>
          <w:rFonts w:ascii="Times New Roman" w:eastAsiaTheme="minorEastAsia" w:hAnsi="Times New Roman" w:cs="Times New Roman"/>
          <w:sz w:val="20"/>
          <w:szCs w:val="20"/>
        </w:rPr>
        <w:t xml:space="preserve"> the parasitoid-free fixed point x₁*, the canopy-only state x₀*, or a period-</w:t>
      </w:r>
      <w:r w:rsidRPr="001E6700">
        <w:rPr>
          <w:rFonts w:ascii="Times New Roman" w:eastAsiaTheme="minorEastAsia" w:hAnsi="Times New Roman" w:cs="Times New Roman"/>
          <w:i/>
          <w:iCs/>
          <w:sz w:val="20"/>
          <w:szCs w:val="20"/>
        </w:rPr>
        <w:t>k</w:t>
      </w:r>
      <w:r w:rsidRPr="001E6700">
        <w:rPr>
          <w:rFonts w:ascii="Times New Roman" w:eastAsiaTheme="minorEastAsia" w:hAnsi="Times New Roman" w:cs="Times New Roman"/>
          <w:sz w:val="20"/>
          <w:szCs w:val="20"/>
        </w:rPr>
        <w:t xml:space="preserve"> cycle arising from a flip or Neimark–Sacker bifurcation. Regime shift can occur either as a consequence of (i) when the basin of x₂* vanishes, or independently of (i) when a finite-amplitude perturbation or slow parameter drift moves the state across a basin boundary while x₂* retains local stability.</w:t>
      </w:r>
    </w:p>
    <w:p w14:paraId="0E262359" w14:textId="21BD3A7B" w:rsidR="00CC2139" w:rsidRPr="001E6700" w:rsidRDefault="00CC2139" w:rsidP="00CC2139">
      <w:pPr>
        <w:spacing w:line="240" w:lineRule="auto"/>
        <w:jc w:val="both"/>
        <w:rPr>
          <w:rFonts w:ascii="Times New Roman" w:eastAsiaTheme="minorEastAsia" w:hAnsi="Times New Roman" w:cs="Times New Roman"/>
          <w:sz w:val="20"/>
          <w:szCs w:val="20"/>
        </w:rPr>
      </w:pPr>
      <w:r w:rsidRPr="001E6700">
        <w:rPr>
          <w:rFonts w:ascii="Times New Roman" w:eastAsiaTheme="minorEastAsia" w:hAnsi="Times New Roman" w:cs="Times New Roman"/>
          <w:b/>
          <w:bCs/>
          <w:sz w:val="20"/>
          <w:szCs w:val="20"/>
        </w:rPr>
        <w:t>Dynamical tipping boundary.</w:t>
      </w:r>
      <w:r w:rsidRPr="009668D3">
        <w:rPr>
          <w:rFonts w:ascii="Times New Roman" w:hAnsi="Times New Roman" w:cs="Times New Roman"/>
          <w:sz w:val="20"/>
          <w:szCs w:val="20"/>
        </w:rPr>
        <w:t xml:space="preserve"> The dynamical tipping boundary is the critical parameter value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oMath>
      <w:r w:rsidRPr="001E6700">
        <w:rPr>
          <w:rFonts w:ascii="Times New Roman" w:eastAsiaTheme="minorEastAsia" w:hAnsi="Times New Roman" w:cs="Times New Roman"/>
          <w:sz w:val="20"/>
          <w:szCs w:val="20"/>
        </w:rPr>
        <w:t xml:space="preserve"> at which </w:t>
      </w:r>
      <m:oMath>
        <m:r>
          <w:rPr>
            <w:rFonts w:ascii="Cambria Math" w:eastAsiaTheme="minorEastAsia" w:hAnsi="Cambria Math" w:cs="Times New Roman"/>
            <w:sz w:val="20"/>
            <w:szCs w:val="20"/>
          </w:rPr>
          <m:t>ρ*(</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 = maxᵢ |λᵢ(</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 xml:space="preserve">)| = </m:t>
        </m:r>
      </m:oMath>
      <w:r w:rsidRPr="001E6700">
        <w:rPr>
          <w:rFonts w:ascii="Times New Roman" w:eastAsiaTheme="minorEastAsia" w:hAnsi="Times New Roman" w:cs="Times New Roman"/>
          <w:sz w:val="20"/>
          <w:szCs w:val="20"/>
        </w:rPr>
        <w:t>1 in the annual map (Equation 19). The functional tipping criterion (ii) is evaluated relative to this boundary to determine whether ecological collapse precedes or follows mathematical destabilisation.</w:t>
      </w:r>
    </w:p>
    <w:p w14:paraId="671D1B44" w14:textId="6826C753" w:rsidR="00684C73" w:rsidRPr="009668D3" w:rsidRDefault="007717A7" w:rsidP="002D21BC">
      <w:pPr>
        <w:spacing w:line="240" w:lineRule="auto"/>
        <w:jc w:val="both"/>
        <w:rPr>
          <w:rFonts w:ascii="Times New Roman" w:hAnsi="Times New Roman" w:cs="Times New Roman"/>
          <w:sz w:val="20"/>
          <w:szCs w:val="20"/>
        </w:rPr>
      </w:pPr>
      <w:r w:rsidRPr="001E6700">
        <w:rPr>
          <w:rFonts w:ascii="Times New Roman" w:eastAsiaTheme="minorEastAsia" w:hAnsi="Times New Roman" w:cs="Times New Roman"/>
          <w:sz w:val="20"/>
          <w:szCs w:val="20"/>
        </w:rPr>
        <w:t xml:space="preserve"> . The dynamical tipping boundary is the critical parameter value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oMath>
      <w:r w:rsidRPr="001E6700">
        <w:rPr>
          <w:rFonts w:ascii="Times New Roman" w:eastAsiaTheme="minorEastAsia" w:hAnsi="Times New Roman" w:cs="Times New Roman"/>
          <w:sz w:val="20"/>
          <w:szCs w:val="20"/>
        </w:rPr>
        <w:t xml:space="preserve"> at which </w:t>
      </w:r>
      <m:oMath>
        <m:r>
          <w:rPr>
            <w:rFonts w:ascii="Cambria Math" w:eastAsiaTheme="minorEastAsia" w:hAnsi="Cambria Math" w:cs="Times New Roman"/>
            <w:sz w:val="20"/>
            <w:szCs w:val="20"/>
          </w:rPr>
          <m:t>ma</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λ</m:t>
                </m:r>
              </m:e>
              <m:sub>
                <m:r>
                  <w:rPr>
                    <w:rFonts w:ascii="Cambria Math" w:eastAsiaTheme="minorEastAsia" w:hAnsi="Cambria Math" w:cs="Times New Roman"/>
                    <w:sz w:val="20"/>
                    <w:szCs w:val="20"/>
                  </w:rPr>
                  <m:t>i</m:t>
                </m:r>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c</m:t>
                    </m:r>
                  </m:sub>
                </m:sSub>
              </m:e>
            </m:d>
          </m:e>
        </m:d>
        <m:r>
          <w:rPr>
            <w:rFonts w:ascii="Cambria Math" w:eastAsiaTheme="minorEastAsia" w:hAnsi="Cambria Math" w:cs="Times New Roman"/>
            <w:sz w:val="20"/>
            <w:szCs w:val="20"/>
          </w:rPr>
          <m:t xml:space="preserve"> = 1</m:t>
        </m:r>
      </m:oMath>
      <w:r w:rsidRPr="001E6700">
        <w:rPr>
          <w:rFonts w:ascii="Times New Roman" w:eastAsiaTheme="minorEastAsia" w:hAnsi="Times New Roman" w:cs="Times New Roman"/>
          <w:sz w:val="20"/>
          <w:szCs w:val="20"/>
        </w:rPr>
        <w:t xml:space="preserve"> (Equation 19).</w:t>
      </w:r>
      <w:r w:rsidRPr="009668D3">
        <w:rPr>
          <w:rFonts w:ascii="Times New Roman" w:hAnsi="Times New Roman" w:cs="Times New Roman"/>
          <w:sz w:val="20"/>
          <w:szCs w:val="20"/>
        </w:rPr>
        <w:t xml:space="preserve"> The functional tipping criterion is evaluated relative to the dynamical boundary to determine whether ecological collapse precedes or follows the loss of mathematical stability.</w:t>
      </w:r>
    </w:p>
    <w:p w14:paraId="426ED1C9" w14:textId="7B9C6708" w:rsidR="007717A7" w:rsidRPr="009668D3" w:rsidRDefault="007717A7"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Regime shift probability and parametric drivers of instability for O2. The probability of regime shift is defined as the fraction of N LHS-sampled parameter sets (Step 10) for which the annual map converges to an equilibrium qualitatively different from the coexistence fixed point </w:t>
      </w:r>
      <m:oMath>
        <m:sSubSup>
          <m:sSubSupPr>
            <m:ctrlPr>
              <w:rPr>
                <w:rFonts w:ascii="Cambria Math" w:hAnsi="Cambria Math" w:cs="Times New Roman"/>
                <w:i/>
                <w:sz w:val="20"/>
                <w:szCs w:val="20"/>
              </w:rPr>
            </m:ctrlPr>
          </m:sSubSupPr>
          <m:e>
            <m:r>
              <w:rPr>
                <w:rFonts w:ascii="Cambria Math" w:hAnsi="Cambria Math" w:cs="Times New Roman"/>
                <w:sz w:val="20"/>
                <w:szCs w:val="20"/>
              </w:rPr>
              <m:t>x</m:t>
            </m:r>
          </m:e>
          <m:sub>
            <m:r>
              <w:rPr>
                <w:rFonts w:ascii="Cambria Math" w:hAnsi="Cambria Math" w:cs="Times New Roman"/>
                <w:sz w:val="20"/>
                <w:szCs w:val="20"/>
              </w:rPr>
              <m:t>2</m:t>
            </m:r>
          </m:sub>
          <m:sup>
            <m:r>
              <w:rPr>
                <w:rFonts w:ascii="Cambria Math" w:hAnsi="Cambria Math" w:cs="Times New Roman"/>
                <w:sz w:val="20"/>
                <w:szCs w:val="20"/>
              </w:rPr>
              <m:t>*</m:t>
            </m:r>
          </m:sup>
        </m:sSubSup>
      </m:oMath>
      <w:r w:rsidRPr="009668D3">
        <w:rPr>
          <w:rFonts w:ascii="Times New Roman" w:hAnsi="Times New Roman" w:cs="Times New Roman"/>
          <w:sz w:val="20"/>
          <w:szCs w:val="20"/>
        </w:rPr>
        <w:t xml:space="preserve">. Formally,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shift</m:t>
            </m:r>
          </m:sub>
        </m:sSub>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alt</m:t>
                </m:r>
              </m:sub>
            </m:sSub>
          </m:num>
          <m:den>
            <m:r>
              <w:rPr>
                <w:rFonts w:ascii="Cambria Math" w:hAnsi="Cambria Math" w:cs="Times New Roman"/>
                <w:sz w:val="20"/>
                <w:szCs w:val="20"/>
              </w:rPr>
              <m:t>N</m:t>
            </m:r>
          </m:den>
        </m:f>
      </m:oMath>
      <w:r w:rsidRPr="009668D3">
        <w:rPr>
          <w:rFonts w:ascii="Times New Roman" w:hAnsi="Times New Roman" w:cs="Times New Roman"/>
          <w:sz w:val="20"/>
          <w:szCs w:val="20"/>
        </w:rPr>
        <w:t xml:space="preserve">, where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alt</m:t>
            </m:r>
          </m:sub>
        </m:sSub>
      </m:oMath>
      <w:r w:rsidRPr="009668D3">
        <w:rPr>
          <w:rFonts w:ascii="Times New Roman" w:hAnsi="Times New Roman" w:cs="Times New Roman"/>
          <w:sz w:val="20"/>
          <w:szCs w:val="20"/>
        </w:rPr>
        <w:t xml:space="preserve"> is the number of sampled parameter sets yielding a parasitoid-free or trivial equilibrium. This probability is conditional on the assumed uniform distributions over the parameter ranges in Annex 1 and is reported with 95% bootstrap confidence intervals. Parametric drivers of instability are identified by computing PRCC between each model parameter and the dominant eigenvalue magnitude ρ* across the LHS sample. Parameters with </w:t>
      </w:r>
      <m:oMath>
        <m:r>
          <w:rPr>
            <w:rFonts w:ascii="Cambria Math" w:hAnsi="Cambria Math" w:cs="Times New Roman"/>
            <w:sz w:val="20"/>
            <w:szCs w:val="20"/>
          </w:rPr>
          <m:t>|PRCC| &gt; 0.25</m:t>
        </m:r>
      </m:oMath>
      <w:r w:rsidRPr="009668D3">
        <w:rPr>
          <w:rFonts w:ascii="Times New Roman" w:hAnsi="Times New Roman" w:cs="Times New Roman"/>
          <w:sz w:val="20"/>
          <w:szCs w:val="20"/>
        </w:rPr>
        <w:t xml:space="preserve"> that drive ρ* toward unity are classified as parametric drivers of instability. These parametric drivers can be translated to candidate early warning signals when the phenological process providing ecological meaning to the parameter is empirically observable</w:t>
      </w:r>
      <w:r w:rsidR="003215C3" w:rsidRPr="009668D3">
        <w:rPr>
          <w:rFonts w:ascii="Times New Roman" w:hAnsi="Times New Roman" w:cs="Times New Roman"/>
          <w:sz w:val="20"/>
          <w:szCs w:val="20"/>
        </w:rPr>
        <w:t>,</w:t>
      </w:r>
      <w:r w:rsidRPr="009668D3">
        <w:rPr>
          <w:rFonts w:ascii="Times New Roman" w:hAnsi="Times New Roman" w:cs="Times New Roman"/>
          <w:sz w:val="20"/>
          <w:szCs w:val="20"/>
        </w:rPr>
        <w:t xml:space="preserve"> and its direction of variation under climatic change matches the destabilising </w:t>
      </w:r>
      <w:r w:rsidRPr="009668D3">
        <w:rPr>
          <w:rFonts w:ascii="Times New Roman" w:hAnsi="Times New Roman" w:cs="Times New Roman"/>
          <w:sz w:val="20"/>
          <w:szCs w:val="20"/>
        </w:rPr>
        <w:lastRenderedPageBreak/>
        <w:t xml:space="preserve">direction identified by the model. For example, if the model identifies overwinter beetle survival </w:t>
      </w:r>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Pr="009668D3">
        <w:rPr>
          <w:rFonts w:ascii="Times New Roman" w:hAnsi="Times New Roman" w:cs="Times New Roman"/>
          <w:sz w:val="20"/>
          <w:szCs w:val="20"/>
        </w:rPr>
        <w:t xml:space="preserve"> as a parametric driver whose increase destabilises coexistence, and if milder winters observably increase </w:t>
      </w:r>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8C375D" w:rsidRPr="009668D3">
        <w:rPr>
          <w:rFonts w:ascii="Times New Roman" w:hAnsi="Times New Roman" w:cs="Times New Roman"/>
          <w:sz w:val="20"/>
          <w:szCs w:val="20"/>
        </w:rPr>
        <w:t xml:space="preserve"> </w:t>
      </w:r>
      <w:r w:rsidR="003215C3" w:rsidRPr="009668D3">
        <w:rPr>
          <w:rFonts w:ascii="Times New Roman" w:hAnsi="Times New Roman" w:cs="Times New Roman"/>
          <w:sz w:val="20"/>
          <w:szCs w:val="20"/>
        </w:rPr>
        <w:t>Then,</w:t>
      </w:r>
      <w:r w:rsidRPr="009668D3">
        <w:rPr>
          <w:rFonts w:ascii="Times New Roman" w:hAnsi="Times New Roman" w:cs="Times New Roman"/>
          <w:sz w:val="20"/>
          <w:szCs w:val="20"/>
        </w:rPr>
        <w:t xml:space="preserve"> declining winter severity constitutes a candidate early warning signal for regime shift. As a focused analysis within O2, we compute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across the full range of the bird pressure index </w:t>
      </w:r>
      <m:oMath>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 xml:space="preserve"> ∈ [0.5, 2.0]</m:t>
        </m:r>
      </m:oMath>
      <w:r w:rsidRPr="009668D3">
        <w:rPr>
          <w:rFonts w:ascii="Times New Roman" w:hAnsi="Times New Roman" w:cs="Times New Roman"/>
          <w:sz w:val="20"/>
          <w:szCs w:val="20"/>
        </w:rPr>
        <w:t xml:space="preserve"> at the calibrated baseline, and across the </w:t>
      </w:r>
      <m:oMath>
        <m:r>
          <w:rPr>
            <w:rFonts w:ascii="Cambria Math" w:hAnsi="Cambria Math" w:cs="Times New Roman"/>
            <w:sz w:val="20"/>
            <w:szCs w:val="20"/>
          </w:rPr>
          <m:t xml:space="preserve">(β, </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w:rPr>
            <w:rFonts w:ascii="Cambria Math" w:hAnsi="Cambria Math" w:cs="Times New Roman"/>
            <w:sz w:val="20"/>
            <w:szCs w:val="20"/>
          </w:rPr>
          <m:t>)</m:t>
        </m:r>
      </m:oMath>
      <w:r w:rsidRPr="009668D3">
        <w:rPr>
          <w:rFonts w:ascii="Times New Roman" w:hAnsi="Times New Roman" w:cs="Times New Roman"/>
          <w:sz w:val="20"/>
          <w:szCs w:val="20"/>
        </w:rPr>
        <w:t xml:space="preserve"> parameter plane, to map the transcritical bifurcation boundary separating the coexistence and parasitoid-free regimes.</w:t>
      </w:r>
    </w:p>
    <w:p w14:paraId="5427FDCD" w14:textId="49BEEB68" w:rsidR="00507442" w:rsidRPr="009668D3" w:rsidRDefault="0094245B" w:rsidP="002D21BC">
      <w:p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2.5</w:t>
      </w:r>
      <w:r w:rsidR="0074256D" w:rsidRPr="009668D3">
        <w:rPr>
          <w:rFonts w:ascii="Times New Roman" w:hAnsi="Times New Roman" w:cs="Times New Roman"/>
          <w:b/>
          <w:sz w:val="20"/>
          <w:szCs w:val="20"/>
        </w:rPr>
        <w:t xml:space="preserve"> </w:t>
      </w:r>
      <w:r w:rsidR="00507442" w:rsidRPr="009668D3">
        <w:rPr>
          <w:rFonts w:ascii="Times New Roman" w:hAnsi="Times New Roman" w:cs="Times New Roman"/>
          <w:b/>
          <w:sz w:val="20"/>
          <w:szCs w:val="20"/>
        </w:rPr>
        <w:t>Numerical analyses</w:t>
      </w:r>
    </w:p>
    <w:p w14:paraId="18353E8D" w14:textId="63F6C791" w:rsidR="0074256D" w:rsidRPr="009668D3" w:rsidRDefault="00A8673D"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numerical analyses are conducted across all nine phenological scenarios (Table </w:t>
      </w:r>
      <w:r w:rsidR="008C375D" w:rsidRPr="009668D3">
        <w:rPr>
          <w:rFonts w:ascii="Times New Roman" w:hAnsi="Times New Roman" w:cs="Times New Roman"/>
          <w:sz w:val="20"/>
          <w:szCs w:val="20"/>
        </w:rPr>
        <w:t>S1</w:t>
      </w:r>
      <w:r w:rsidRPr="009668D3">
        <w:rPr>
          <w:rFonts w:ascii="Times New Roman" w:hAnsi="Times New Roman" w:cs="Times New Roman"/>
          <w:sz w:val="20"/>
          <w:szCs w:val="20"/>
        </w:rPr>
        <w:t>), first by one-at-a-time parameter variation to isolate the effect of each scenario, and then by joint Latin Hypercube Sampling</w:t>
      </w:r>
      <w:r w:rsidR="008C375D" w:rsidRPr="009668D3">
        <w:rPr>
          <w:rFonts w:ascii="Times New Roman" w:hAnsi="Times New Roman" w:cs="Times New Roman"/>
          <w:sz w:val="20"/>
          <w:szCs w:val="20"/>
        </w:rPr>
        <w:t xml:space="preserve"> (JLHS)</w:t>
      </w:r>
      <w:r w:rsidRPr="009668D3">
        <w:rPr>
          <w:rFonts w:ascii="Times New Roman" w:hAnsi="Times New Roman" w:cs="Times New Roman"/>
          <w:sz w:val="20"/>
          <w:szCs w:val="20"/>
        </w:rPr>
        <w:t xml:space="preserve"> across all parameter ranges to capture interactions. </w:t>
      </w:r>
      <w:r w:rsidR="00507442" w:rsidRPr="009668D3">
        <w:rPr>
          <w:rFonts w:ascii="Times New Roman" w:hAnsi="Times New Roman" w:cs="Times New Roman"/>
          <w:sz w:val="20"/>
          <w:szCs w:val="20"/>
        </w:rPr>
        <w:t xml:space="preserve">The absence of long-term, site-specific time series for </w:t>
      </w:r>
      <w:r w:rsidR="00066319" w:rsidRPr="009668D3">
        <w:rPr>
          <w:rFonts w:ascii="Times New Roman" w:hAnsi="Times New Roman" w:cs="Times New Roman"/>
          <w:sz w:val="20"/>
          <w:szCs w:val="20"/>
        </w:rPr>
        <w:t>Beetle</w:t>
      </w:r>
      <w:r w:rsidR="00507442" w:rsidRPr="009668D3">
        <w:rPr>
          <w:rFonts w:ascii="Times New Roman" w:hAnsi="Times New Roman" w:cs="Times New Roman"/>
          <w:sz w:val="20"/>
          <w:szCs w:val="20"/>
        </w:rPr>
        <w:t xml:space="preserve"> outbreak density, M. mutabilis parasitism prevalence, and passerine kill rates on this beetle challenges only numerical simulation-based analyses. Therefore, we focus on the system characteristic through mapping the structural stability landscape of the system</w:t>
      </w:r>
      <w:r w:rsidR="0074256D" w:rsidRPr="009668D3">
        <w:rPr>
          <w:rFonts w:ascii="Times New Roman" w:hAnsi="Times New Roman" w:cs="Times New Roman"/>
          <w:sz w:val="20"/>
          <w:szCs w:val="20"/>
        </w:rPr>
        <w:t xml:space="preserve"> and calibration for </w:t>
      </w:r>
      <w:r w:rsidR="003F1BE8" w:rsidRPr="009668D3">
        <w:rPr>
          <w:rFonts w:ascii="Times New Roman" w:hAnsi="Times New Roman" w:cs="Times New Roman"/>
          <w:sz w:val="20"/>
          <w:szCs w:val="20"/>
        </w:rPr>
        <w:t>parameter</w:t>
      </w:r>
      <w:r w:rsidR="0074256D" w:rsidRPr="009668D3">
        <w:rPr>
          <w:rFonts w:ascii="Times New Roman" w:hAnsi="Times New Roman" w:cs="Times New Roman"/>
          <w:sz w:val="20"/>
          <w:szCs w:val="20"/>
        </w:rPr>
        <w:t xml:space="preserve"> ranges per regime. This technique allows us</w:t>
      </w:r>
      <w:r w:rsidR="00507442" w:rsidRPr="009668D3">
        <w:rPr>
          <w:rFonts w:ascii="Times New Roman" w:hAnsi="Times New Roman" w:cs="Times New Roman"/>
          <w:sz w:val="20"/>
          <w:szCs w:val="20"/>
        </w:rPr>
        <w:t xml:space="preserve"> </w:t>
      </w:r>
      <w:r w:rsidR="0074256D" w:rsidRPr="009668D3">
        <w:rPr>
          <w:rFonts w:ascii="Times New Roman" w:hAnsi="Times New Roman" w:cs="Times New Roman"/>
          <w:sz w:val="20"/>
          <w:szCs w:val="20"/>
        </w:rPr>
        <w:t>to</w:t>
      </w:r>
      <w:r w:rsidR="00507442" w:rsidRPr="009668D3">
        <w:rPr>
          <w:rFonts w:ascii="Times New Roman" w:hAnsi="Times New Roman" w:cs="Times New Roman"/>
          <w:sz w:val="20"/>
          <w:szCs w:val="20"/>
        </w:rPr>
        <w:t xml:space="preserve"> identif</w:t>
      </w:r>
      <w:r w:rsidR="0074256D" w:rsidRPr="009668D3">
        <w:rPr>
          <w:rFonts w:ascii="Times New Roman" w:hAnsi="Times New Roman" w:cs="Times New Roman"/>
          <w:sz w:val="20"/>
          <w:szCs w:val="20"/>
        </w:rPr>
        <w:t>y</w:t>
      </w:r>
      <w:r w:rsidR="00507442" w:rsidRPr="009668D3">
        <w:rPr>
          <w:rFonts w:ascii="Times New Roman" w:hAnsi="Times New Roman" w:cs="Times New Roman"/>
          <w:sz w:val="20"/>
          <w:szCs w:val="20"/>
        </w:rPr>
        <w:t xml:space="preserve"> parameter combinations and control allocations that support a stable low-damage equilibri</w:t>
      </w:r>
      <w:r w:rsidR="0074256D" w:rsidRPr="009668D3">
        <w:rPr>
          <w:rFonts w:ascii="Times New Roman" w:hAnsi="Times New Roman" w:cs="Times New Roman"/>
          <w:sz w:val="20"/>
          <w:szCs w:val="20"/>
        </w:rPr>
        <w:t>a:</w:t>
      </w:r>
      <w:r w:rsidR="00507442" w:rsidRPr="009668D3">
        <w:rPr>
          <w:rFonts w:ascii="Times New Roman" w:hAnsi="Times New Roman" w:cs="Times New Roman"/>
          <w:sz w:val="20"/>
          <w:szCs w:val="20"/>
        </w:rPr>
        <w:t xml:space="preserve"> those that induce tipping, and the response of the parasitoid invasion threshold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00507442" w:rsidRPr="009668D3">
        <w:rPr>
          <w:rFonts w:ascii="Times New Roman" w:hAnsi="Times New Roman" w:cs="Times New Roman"/>
          <w:sz w:val="20"/>
          <w:szCs w:val="20"/>
        </w:rPr>
        <w:t xml:space="preserve"> to intraguild predation and control effort. </w:t>
      </w:r>
      <w:r w:rsidR="0074256D" w:rsidRPr="009668D3">
        <w:rPr>
          <w:rFonts w:ascii="Times New Roman" w:hAnsi="Times New Roman" w:cs="Times New Roman"/>
          <w:sz w:val="20"/>
          <w:szCs w:val="20"/>
        </w:rPr>
        <w:t>However, this</w:t>
      </w:r>
      <w:r w:rsidR="00507442" w:rsidRPr="009668D3">
        <w:rPr>
          <w:rFonts w:ascii="Times New Roman" w:hAnsi="Times New Roman" w:cs="Times New Roman"/>
          <w:sz w:val="20"/>
          <w:szCs w:val="20"/>
        </w:rPr>
        <w:t xml:space="preserve"> analysis </w:t>
      </w:r>
      <w:r w:rsidR="0074256D" w:rsidRPr="009668D3">
        <w:rPr>
          <w:rFonts w:ascii="Times New Roman" w:hAnsi="Times New Roman" w:cs="Times New Roman"/>
          <w:sz w:val="20"/>
          <w:szCs w:val="20"/>
        </w:rPr>
        <w:t xml:space="preserve">therefore </w:t>
      </w:r>
      <w:r w:rsidR="003215C3" w:rsidRPr="009668D3">
        <w:rPr>
          <w:rFonts w:ascii="Times New Roman" w:hAnsi="Times New Roman" w:cs="Times New Roman"/>
          <w:sz w:val="20"/>
          <w:szCs w:val="20"/>
        </w:rPr>
        <w:t>restricts us from aiming to predict site-specific outbreak timing or magnitude without site-specific</w:t>
      </w:r>
      <w:r w:rsidR="0074256D" w:rsidRPr="009668D3">
        <w:rPr>
          <w:rFonts w:ascii="Times New Roman" w:hAnsi="Times New Roman" w:cs="Times New Roman"/>
          <w:sz w:val="20"/>
          <w:szCs w:val="20"/>
        </w:rPr>
        <w:t xml:space="preserve"> time series data</w:t>
      </w:r>
      <w:r w:rsidR="00507442" w:rsidRPr="009668D3">
        <w:rPr>
          <w:rFonts w:ascii="Times New Roman" w:hAnsi="Times New Roman" w:cs="Times New Roman"/>
          <w:sz w:val="20"/>
          <w:szCs w:val="20"/>
        </w:rPr>
        <w:t>. Stability properties, including fixed-point existence, eigenvalue conditions, and bifurcation type, are determined by the structure of the annual map and the qualitative nature of the functional responses</w:t>
      </w:r>
      <w:r w:rsidR="0074256D" w:rsidRPr="009668D3">
        <w:rPr>
          <w:rFonts w:ascii="Times New Roman" w:hAnsi="Times New Roman" w:cs="Times New Roman"/>
          <w:sz w:val="20"/>
          <w:szCs w:val="20"/>
        </w:rPr>
        <w:t xml:space="preserve"> in our simulation for a range of plausible values based on stability analyses in annex 2 and known parameter values in annex 1</w:t>
      </w:r>
      <w:r w:rsidR="00507442" w:rsidRPr="009668D3">
        <w:rPr>
          <w:rFonts w:ascii="Times New Roman" w:hAnsi="Times New Roman" w:cs="Times New Roman"/>
          <w:sz w:val="20"/>
          <w:szCs w:val="20"/>
        </w:rPr>
        <w:t xml:space="preserve">. </w:t>
      </w:r>
      <w:r w:rsidR="0074256D" w:rsidRPr="009668D3">
        <w:rPr>
          <w:rFonts w:ascii="Times New Roman" w:hAnsi="Times New Roman" w:cs="Times New Roman"/>
          <w:sz w:val="20"/>
          <w:szCs w:val="20"/>
        </w:rPr>
        <w:t>We follow this parameter range for simulation</w:t>
      </w:r>
      <w:r w:rsidR="00507442" w:rsidRPr="009668D3">
        <w:rPr>
          <w:rFonts w:ascii="Times New Roman" w:hAnsi="Times New Roman" w:cs="Times New Roman"/>
          <w:sz w:val="20"/>
          <w:szCs w:val="20"/>
        </w:rPr>
        <w:t xml:space="preserve"> in</w:t>
      </w:r>
      <w:r w:rsidR="0074256D" w:rsidRPr="009668D3">
        <w:rPr>
          <w:rFonts w:ascii="Times New Roman" w:hAnsi="Times New Roman" w:cs="Times New Roman"/>
          <w:sz w:val="20"/>
          <w:szCs w:val="20"/>
        </w:rPr>
        <w:t xml:space="preserve"> </w:t>
      </w:r>
      <w:r w:rsidR="003215C3" w:rsidRPr="009668D3">
        <w:rPr>
          <w:rFonts w:ascii="Times New Roman" w:hAnsi="Times New Roman" w:cs="Times New Roman"/>
          <w:sz w:val="20"/>
          <w:szCs w:val="20"/>
        </w:rPr>
        <w:t>the standardised protocol in theoretical eco-epidemic modelling,</w:t>
      </w:r>
      <w:r w:rsidR="00507442" w:rsidRPr="009668D3">
        <w:rPr>
          <w:rFonts w:ascii="Times New Roman" w:hAnsi="Times New Roman" w:cs="Times New Roman"/>
          <w:sz w:val="20"/>
          <w:szCs w:val="20"/>
        </w:rPr>
        <w:t xml:space="preserve"> </w:t>
      </w:r>
      <w:r w:rsidR="0074256D" w:rsidRPr="009668D3">
        <w:rPr>
          <w:rFonts w:ascii="Times New Roman" w:hAnsi="Times New Roman" w:cs="Times New Roman"/>
          <w:sz w:val="20"/>
          <w:szCs w:val="20"/>
        </w:rPr>
        <w:t xml:space="preserve">as it is in </w:t>
      </w:r>
      <w:r w:rsidR="00507442" w:rsidRPr="009668D3">
        <w:rPr>
          <w:rFonts w:ascii="Times New Roman" w:hAnsi="Times New Roman" w:cs="Times New Roman"/>
          <w:sz w:val="20"/>
          <w:szCs w:val="20"/>
        </w:rPr>
        <w:t>Chattopadhyay and Arino, 1999; Hethcote et al., 2004</w:t>
      </w:r>
      <w:r w:rsidR="0074256D" w:rsidRPr="009668D3">
        <w:rPr>
          <w:rFonts w:ascii="Times New Roman" w:hAnsi="Times New Roman" w:cs="Times New Roman"/>
          <w:sz w:val="20"/>
          <w:szCs w:val="20"/>
        </w:rPr>
        <w:t>.</w:t>
      </w:r>
      <w:r w:rsidR="00507442" w:rsidRPr="009668D3">
        <w:rPr>
          <w:rFonts w:ascii="Times New Roman" w:hAnsi="Times New Roman" w:cs="Times New Roman"/>
          <w:sz w:val="20"/>
          <w:szCs w:val="20"/>
        </w:rPr>
        <w:t xml:space="preserve"> </w:t>
      </w:r>
    </w:p>
    <w:p w14:paraId="3E449B89" w14:textId="41379A7F" w:rsidR="002F14EA" w:rsidRPr="009668D3" w:rsidRDefault="002F14EA"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During numerical analyses, parameters were divided into four classes: biological baseline parameters, calibrated structural parameters, bounded management controls, and objective-function weights. Biological parameters were assigned from empirical studies, cross-system proxies, or biologically constrained priors as summarised in Annex 1. Structural parameters lacking direct estimates but required for scale consistency or threshold behaviour, including </w:t>
      </w:r>
      <m:oMath>
        <m:r>
          <w:rPr>
            <w:rFonts w:ascii="Cambria Math" w:hAnsi="Cambria Math" w:cs="Times New Roman"/>
            <w:sz w:val="20"/>
            <w:szCs w:val="20"/>
          </w:rPr>
          <m:t>β</m:t>
        </m:r>
      </m:oMath>
      <w:r w:rsidRPr="009668D3">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sub>
        </m:sSub>
      </m:oMath>
      <w:r w:rsidRPr="009668D3">
        <w:rPr>
          <w:rFonts w:ascii="Times New Roman" w:hAnsi="Times New Roman" w:cs="Times New Roman"/>
          <w:sz w:val="20"/>
          <w:szCs w:val="20"/>
        </w:rPr>
        <w:t xml:space="preserve">, and </w:t>
      </w:r>
      <m:oMath>
        <m:r>
          <w:rPr>
            <w:rFonts w:ascii="Cambria Math" w:hAnsi="Cambria Math" w:cs="Times New Roman"/>
            <w:sz w:val="20"/>
            <w:szCs w:val="20"/>
          </w:rPr>
          <m:t>κ</m:t>
        </m:r>
      </m:oMath>
      <w:r w:rsidRPr="009668D3">
        <w:rPr>
          <w:rFonts w:ascii="Times New Roman" w:hAnsi="Times New Roman" w:cs="Times New Roman"/>
          <w:sz w:val="20"/>
          <w:szCs w:val="20"/>
        </w:rPr>
        <w:t xml:space="preserve">, were calibrated so that the model reproduced plausible baseline parasitism, daily bird predation, and proportional defoliation. The management variables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d>
          <m:dPr>
            <m:ctrlPr>
              <w:rPr>
                <w:rFonts w:ascii="Cambria Math" w:hAnsi="Cambria Math" w:cs="Times New Roman"/>
                <w:i/>
                <w:sz w:val="20"/>
                <w:szCs w:val="20"/>
              </w:rPr>
            </m:ctrlPr>
          </m:dPr>
          <m:e>
            <m:r>
              <w:rPr>
                <w:rFonts w:ascii="Cambria Math" w:hAnsi="Cambria Math" w:cs="Times New Roman"/>
                <w:sz w:val="20"/>
                <w:szCs w:val="20"/>
              </w:rPr>
              <m:t>τ</m:t>
            </m:r>
          </m:e>
        </m:d>
      </m:oMath>
      <w:r w:rsidRPr="009668D3">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d>
          <m:dPr>
            <m:ctrlPr>
              <w:rPr>
                <w:rFonts w:ascii="Cambria Math" w:hAnsi="Cambria Math" w:cs="Times New Roman"/>
                <w:i/>
                <w:sz w:val="20"/>
                <w:szCs w:val="20"/>
              </w:rPr>
            </m:ctrlPr>
          </m:dPr>
          <m:e>
            <m:r>
              <w:rPr>
                <w:rFonts w:ascii="Cambria Math" w:hAnsi="Cambria Math" w:cs="Times New Roman"/>
                <w:sz w:val="20"/>
                <w:szCs w:val="20"/>
              </w:rPr>
              <m:t>τ</m:t>
            </m:r>
          </m:e>
        </m:d>
      </m:oMath>
      <w:r w:rsidRPr="009668D3">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t</m:t>
            </m:r>
          </m:e>
        </m:d>
      </m:oMath>
      <w:r w:rsidRPr="009668D3">
        <w:rPr>
          <w:rFonts w:ascii="Times New Roman" w:hAnsi="Times New Roman" w:cs="Times New Roman"/>
          <w:sz w:val="20"/>
          <w:szCs w:val="20"/>
        </w:rPr>
        <w:t>were not treated as ecological constants, but as bounded decision variables with baseline value zero. The weights in the objective functional were treated as scenario-dependent management preferences rather than empirically fixed ecological parameters.</w:t>
      </w:r>
    </w:p>
    <w:p w14:paraId="0CC9F201" w14:textId="47412499" w:rsidR="00507442" w:rsidRPr="009668D3" w:rsidRDefault="00507442"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To address the lack of precise parameter estimates, the analysis employs two complementary safeguards. First, all uncertain parameters are represented as intervals, as specified in the parameter tables of </w:t>
      </w:r>
      <w:r w:rsidR="0074256D" w:rsidRPr="009668D3">
        <w:rPr>
          <w:rFonts w:ascii="Times New Roman" w:hAnsi="Times New Roman" w:cs="Times New Roman"/>
          <w:sz w:val="20"/>
          <w:szCs w:val="20"/>
        </w:rPr>
        <w:t>Annex 1</w:t>
      </w:r>
      <w:r w:rsidRPr="009668D3">
        <w:rPr>
          <w:rFonts w:ascii="Times New Roman" w:hAnsi="Times New Roman" w:cs="Times New Roman"/>
          <w:sz w:val="20"/>
          <w:szCs w:val="20"/>
        </w:rPr>
        <w:t xml:space="preserve">, with empirically justified ranges. As a result, stability and control outcomes are reported as robust regions within parameter space rather than as point estimates. Conclusions are accepted only if they are valid across the entire range of each uncertain parameter. Second, structural robustness is assessed by replacing the baseline functional forms with </w:t>
      </w:r>
      <w:r w:rsidR="003F1BE8" w:rsidRPr="009668D3">
        <w:rPr>
          <w:rFonts w:ascii="Times New Roman" w:hAnsi="Times New Roman" w:cs="Times New Roman"/>
          <w:sz w:val="20"/>
          <w:szCs w:val="20"/>
        </w:rPr>
        <w:t>ecologically plausible alternatives: Beverton</w:t>
      </w:r>
      <w:r w:rsidR="00FA7DD2" w:rsidRPr="009668D3">
        <w:rPr>
          <w:rFonts w:ascii="Times New Roman" w:hAnsi="Times New Roman" w:cs="Times New Roman"/>
          <w:sz w:val="20"/>
          <w:szCs w:val="20"/>
        </w:rPr>
        <w:t>-</w:t>
      </w:r>
      <w:r w:rsidR="003F1BE8" w:rsidRPr="009668D3">
        <w:rPr>
          <w:rFonts w:ascii="Times New Roman" w:hAnsi="Times New Roman" w:cs="Times New Roman"/>
          <w:sz w:val="20"/>
          <w:szCs w:val="20"/>
        </w:rPr>
        <w:t xml:space="preserve">Holt versus </w:t>
      </w:r>
      <w:r w:rsidR="00FA7DD2" w:rsidRPr="009668D3">
        <w:rPr>
          <w:rFonts w:ascii="Times New Roman" w:hAnsi="Times New Roman" w:cs="Times New Roman"/>
          <w:sz w:val="20"/>
          <w:szCs w:val="20"/>
        </w:rPr>
        <w:t>Ricker recruitment</w:t>
      </w:r>
      <w:r w:rsidRPr="009668D3">
        <w:rPr>
          <w:rFonts w:ascii="Times New Roman" w:hAnsi="Times New Roman" w:cs="Times New Roman"/>
          <w:sz w:val="20"/>
          <w:szCs w:val="20"/>
        </w:rPr>
        <w:t xml:space="preserve"> in Equation (5), Holling Type II versus linear functional response for bird predation, </w:t>
      </w:r>
      <w:r w:rsidR="00FF759C" w:rsidRPr="00097FF7">
        <w:rPr>
          <w:rFonts w:ascii="Times New Roman" w:hAnsi="Times New Roman" w:cs="Times New Roman"/>
          <w:color w:val="000000" w:themeColor="text1"/>
          <w:sz w:val="20"/>
          <w:szCs w:val="20"/>
        </w:rPr>
        <w:t>a</w:t>
      </w:r>
      <w:r w:rsidR="00FB510D" w:rsidRPr="00097FF7">
        <w:rPr>
          <w:rFonts w:ascii="Times New Roman" w:hAnsi="Times New Roman" w:cs="Times New Roman"/>
          <w:color w:val="000000" w:themeColor="text1"/>
          <w:sz w:val="20"/>
          <w:szCs w:val="20"/>
          <w:u w:val="single"/>
        </w:rPr>
        <w:t>nd S → I compartmental parasitism versus direct parasitoid-induced mortality. In particular, substituting Ricker recruitment S(0) = A exp(r(1 − A/K)) for the Beverton–Holt baseline preserved all three qualitative</w:t>
      </w:r>
      <w:r w:rsidR="00A8673D" w:rsidRPr="00097FF7">
        <w:rPr>
          <w:rFonts w:ascii="Times New Roman" w:hAnsi="Times New Roman" w:cs="Times New Roman"/>
          <w:color w:val="000000" w:themeColor="text1"/>
          <w:sz w:val="20"/>
          <w:szCs w:val="20"/>
        </w:rPr>
        <w:t xml:space="preserve"> </w:t>
      </w:r>
      <w:r w:rsidR="00A8673D" w:rsidRPr="009668D3">
        <w:rPr>
          <w:rFonts w:ascii="Times New Roman" w:hAnsi="Times New Roman" w:cs="Times New Roman"/>
          <w:sz w:val="20"/>
          <w:szCs w:val="20"/>
        </w:rPr>
        <w:t>conclusions</w:t>
      </w:r>
      <w:r w:rsidR="00AF5FD7" w:rsidRPr="001E6700">
        <w:rPr>
          <w:rFonts w:ascii="Times New Roman" w:eastAsiaTheme="minorEastAsia" w:hAnsi="Times New Roman" w:cs="Times New Roman"/>
          <w:sz w:val="20"/>
          <w:szCs w:val="20"/>
        </w:rPr>
        <w:t xml:space="preserve">, </w:t>
      </w:r>
      <w:r w:rsidR="00A8673D" w:rsidRPr="009668D3">
        <w:rPr>
          <w:rFonts w:ascii="Times New Roman" w:hAnsi="Times New Roman" w:cs="Times New Roman"/>
          <w:sz w:val="20"/>
          <w:szCs w:val="20"/>
        </w:rPr>
        <w:t>specifically, which equilibrium is most probable (O1), whether the regime shift probability exceeds a policy-relevant threshold (O2), and which strategy is minimal-effort feasible (O3)</w:t>
      </w:r>
      <w:r w:rsidR="00FA7DD2" w:rsidRPr="009668D3">
        <w:rPr>
          <w:rFonts w:ascii="Times New Roman" w:hAnsi="Times New Roman" w:cs="Times New Roman"/>
          <w:sz w:val="20"/>
          <w:szCs w:val="20"/>
        </w:rPr>
        <w:t xml:space="preserve"> </w:t>
      </w:r>
      <w:r w:rsidR="00A8673D" w:rsidRPr="009668D3">
        <w:rPr>
          <w:rFonts w:ascii="Times New Roman" w:hAnsi="Times New Roman" w:cs="Times New Roman"/>
          <w:sz w:val="20"/>
          <w:szCs w:val="20"/>
        </w:rPr>
        <w:t>remain consistent under both parametric and structural perturbations, these results are interpreted as intrinsic properties of the tri-trophic interaction architecture rather than artefacts of specific modelling assumptions</w:t>
      </w:r>
      <w:r w:rsidRPr="009668D3">
        <w:rPr>
          <w:rFonts w:ascii="Times New Roman" w:hAnsi="Times New Roman" w:cs="Times New Roman"/>
          <w:sz w:val="20"/>
          <w:szCs w:val="20"/>
        </w:rPr>
        <w:t>.</w:t>
      </w:r>
    </w:p>
    <w:p w14:paraId="4466103A" w14:textId="56464AEB" w:rsidR="00977094" w:rsidRPr="009668D3" w:rsidRDefault="00977094"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For each equilibrium and each control scenario, we compute the resistance metrics </w:t>
      </w:r>
      <m:oMath>
        <m:sSup>
          <m:sSupPr>
            <m:ctrlPr>
              <w:rPr>
                <w:rFonts w:ascii="Cambria Math" w:hAnsi="Cambria Math" w:cs="Times New Roman"/>
                <w:sz w:val="20"/>
                <w:szCs w:val="20"/>
              </w:rPr>
            </m:ctrlPr>
          </m:sSupPr>
          <m:e>
            <m:r>
              <w:rPr>
                <w:rFonts w:ascii="Cambria Math" w:hAnsi="Cambria Math" w:cs="Times New Roman"/>
                <w:sz w:val="20"/>
                <w:szCs w:val="20"/>
              </w:rPr>
              <m:t>D</m:t>
            </m: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max</m:t>
            </m:r>
          </m:e>
          <m:sub>
            <m:r>
              <w:rPr>
                <w:rFonts w:ascii="Cambria Math" w:hAnsi="Cambria Math" w:cs="Times New Roman"/>
                <w:sz w:val="20"/>
                <w:szCs w:val="20"/>
              </w:rPr>
              <m:t>τ</m:t>
            </m:r>
          </m:sub>
        </m:sSub>
        <m:d>
          <m:dPr>
            <m:begChr m:val="["/>
            <m:endChr m:val="]"/>
            <m:ctrlPr>
              <w:rPr>
                <w:rFonts w:ascii="Cambria Math" w:hAnsi="Cambria Math" w:cs="Times New Roman"/>
                <w:i/>
                <w:sz w:val="20"/>
                <w:szCs w:val="20"/>
              </w:rPr>
            </m:ctrlPr>
          </m:dPr>
          <m:e>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τ</m:t>
                </m:r>
              </m:e>
            </m:d>
          </m:e>
        </m:d>
      </m:oMath>
      <w:r w:rsidRPr="009668D3">
        <w:rPr>
          <w:rFonts w:ascii="Times New Roman" w:hAnsi="Times New Roman" w:cs="Times New Roman"/>
          <w:sz w:val="20"/>
          <w:szCs w:val="20"/>
        </w:rPr>
        <w:t xml:space="preserve">, the resilience metrics </w:t>
      </w:r>
      <m:oMath>
        <m:sSup>
          <m:sSupPr>
            <m:ctrlPr>
              <w:rPr>
                <w:rFonts w:ascii="Cambria Math" w:hAnsi="Cambria Math" w:cs="Times New Roman"/>
                <w:sz w:val="20"/>
                <w:szCs w:val="20"/>
              </w:rPr>
            </m:ctrlPr>
          </m:sSupPr>
          <m:e>
            <m:r>
              <w:rPr>
                <w:rFonts w:ascii="Cambria Math" w:hAnsi="Cambria Math" w:cs="Times New Roman"/>
                <w:sz w:val="20"/>
                <w:szCs w:val="20"/>
              </w:rPr>
              <m:t>ρ</m:t>
            </m:r>
          </m:e>
          <m:sup>
            <m:r>
              <w:rPr>
                <w:rFonts w:ascii="Cambria Math" w:hAnsi="Cambria Math" w:cs="Times New Roman"/>
                <w:sz w:val="20"/>
                <w:szCs w:val="20"/>
              </w:rPr>
              <m:t>*</m:t>
            </m:r>
          </m:sup>
        </m:sSup>
      </m:oMath>
      <w:r w:rsidRPr="009668D3">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return</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ctrlPr>
              <w:rPr>
                <w:rFonts w:ascii="Cambria Math" w:hAnsi="Cambria Math" w:cs="Times New Roman"/>
                <w:i/>
                <w:sz w:val="20"/>
                <w:szCs w:val="20"/>
              </w:rPr>
            </m:ctrlPr>
          </m:num>
          <m:den>
            <m:func>
              <m:funcPr>
                <m:ctrlPr>
                  <w:rPr>
                    <w:rFonts w:ascii="Cambria Math" w:hAnsi="Cambria Math" w:cs="Times New Roman"/>
                    <w:i/>
                    <w:sz w:val="20"/>
                    <w:szCs w:val="20"/>
                  </w:rPr>
                </m:ctrlPr>
              </m:funcPr>
              <m:fName>
                <m:r>
                  <m:rPr>
                    <m:sty m:val="p"/>
                  </m:rPr>
                  <w:rPr>
                    <w:rFonts w:ascii="Cambria Math" w:hAnsi="Cambria Math" w:cs="Times New Roman"/>
                    <w:sz w:val="20"/>
                    <w:szCs w:val="20"/>
                  </w:rPr>
                  <m:t>ln</m:t>
                </m:r>
                <m:ctrlPr>
                  <w:rPr>
                    <w:rFonts w:ascii="Cambria Math" w:hAnsi="Cambria Math" w:cs="Times New Roman"/>
                    <w:sz w:val="20"/>
                    <w:szCs w:val="20"/>
                  </w:rPr>
                </m:ctrlPr>
              </m:fName>
              <m:e>
                <m:d>
                  <m:dPr>
                    <m:ctrlPr>
                      <w:rPr>
                        <w:rFonts w:ascii="Cambria Math" w:hAnsi="Cambria Math" w:cs="Times New Roman"/>
                        <w:i/>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ρ</m:t>
                        </m:r>
                      </m:e>
                      <m:sup>
                        <m:r>
                          <w:rPr>
                            <w:rFonts w:ascii="Cambria Math" w:hAnsi="Cambria Math" w:cs="Times New Roman"/>
                            <w:sz w:val="20"/>
                            <w:szCs w:val="20"/>
                          </w:rPr>
                          <m:t>*</m:t>
                        </m:r>
                      </m:sup>
                    </m:sSup>
                  </m:e>
                </m:d>
              </m:e>
            </m:func>
          </m:den>
        </m:f>
      </m:oMath>
      <w:r w:rsidRPr="009668D3">
        <w:rPr>
          <w:rFonts w:ascii="Times New Roman" w:hAnsi="Times New Roman" w:cs="Times New Roman"/>
          <w:sz w:val="20"/>
          <w:szCs w:val="20"/>
        </w:rPr>
        <w:t xml:space="preserve">, and </w:t>
      </w:r>
      <w:r w:rsidR="00C8521D" w:rsidRPr="009668D3">
        <w:rPr>
          <w:rFonts w:ascii="Times New Roman" w:hAnsi="Times New Roman" w:cs="Times New Roman"/>
          <w:sz w:val="20"/>
          <w:szCs w:val="20"/>
        </w:rPr>
        <w:t xml:space="preserve">cumulative control cost </w:t>
      </w:r>
      <m:oMath>
        <m:r>
          <w:rPr>
            <w:rFonts w:ascii="Cambria Math" w:hAnsi="Cambria Math" w:cs="Times New Roman"/>
            <w:sz w:val="20"/>
            <w:szCs w:val="20"/>
          </w:rPr>
          <m:t>J</m:t>
        </m:r>
      </m:oMath>
      <w:r w:rsidR="00C8521D" w:rsidRPr="009668D3">
        <w:rPr>
          <w:rFonts w:ascii="Times New Roman" w:hAnsi="Times New Roman" w:cs="Times New Roman"/>
          <w:sz w:val="20"/>
          <w:szCs w:val="20"/>
        </w:rPr>
        <w:t xml:space="preserve"> </w:t>
      </w:r>
      <w:r w:rsidRPr="009668D3">
        <w:rPr>
          <w:rFonts w:ascii="Times New Roman" w:hAnsi="Times New Roman" w:cs="Times New Roman"/>
          <w:sz w:val="20"/>
          <w:szCs w:val="20"/>
        </w:rPr>
        <w:t>where relevant</w:t>
      </w:r>
      <w:r w:rsidR="00C8521D" w:rsidRPr="009668D3">
        <w:rPr>
          <w:rFonts w:ascii="Times New Roman" w:hAnsi="Times New Roman" w:cs="Times New Roman"/>
          <w:sz w:val="20"/>
          <w:szCs w:val="20"/>
        </w:rPr>
        <w:t>.</w:t>
      </w:r>
      <w:r w:rsidRPr="009668D3">
        <w:rPr>
          <w:rFonts w:ascii="Times New Roman" w:hAnsi="Times New Roman" w:cs="Times New Roman"/>
          <w:sz w:val="20"/>
          <w:szCs w:val="20"/>
        </w:rPr>
        <w:t xml:space="preserve"> </w:t>
      </w:r>
      <w:r w:rsidR="00C8521D" w:rsidRPr="009668D3">
        <w:rPr>
          <w:rFonts w:ascii="Times New Roman" w:hAnsi="Times New Roman" w:cs="Times New Roman"/>
          <w:sz w:val="20"/>
          <w:szCs w:val="20"/>
        </w:rPr>
        <w:t>A</w:t>
      </w:r>
      <w:r w:rsidRPr="009668D3">
        <w:rPr>
          <w:rFonts w:ascii="Times New Roman" w:hAnsi="Times New Roman" w:cs="Times New Roman"/>
          <w:sz w:val="20"/>
          <w:szCs w:val="20"/>
        </w:rPr>
        <w:t xml:space="preserve"> perturbation-recovery time obtained by iterating the annual map from a standardised displacement of the fixed </w:t>
      </w:r>
      <w:r w:rsidR="00FA7DD2" w:rsidRPr="009668D3">
        <w:rPr>
          <w:rFonts w:ascii="Times New Roman" w:hAnsi="Times New Roman" w:cs="Times New Roman"/>
          <w:sz w:val="20"/>
          <w:szCs w:val="20"/>
        </w:rPr>
        <w:t>point</w:t>
      </w:r>
      <w:r w:rsidR="00C8521D" w:rsidRPr="009668D3">
        <w:rPr>
          <w:rFonts w:ascii="Times New Roman" w:hAnsi="Times New Roman" w:cs="Times New Roman"/>
          <w:sz w:val="20"/>
          <w:szCs w:val="20"/>
        </w:rPr>
        <w:t>, so that the relative performance of parasitoid-only and combined control strategies can be compared on resistance, resilience, and cost grounds.</w:t>
      </w:r>
    </w:p>
    <w:p w14:paraId="0083AABE" w14:textId="77777777" w:rsidR="00814654" w:rsidRPr="009668D3" w:rsidRDefault="00B8166E" w:rsidP="002D21BC">
      <w:pPr>
        <w:pStyle w:val="ListParagraph"/>
        <w:numPr>
          <w:ilvl w:val="0"/>
          <w:numId w:val="7"/>
        </w:num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Result</w:t>
      </w:r>
      <w:r w:rsidR="0094245B" w:rsidRPr="009668D3">
        <w:rPr>
          <w:rFonts w:ascii="Times New Roman" w:hAnsi="Times New Roman" w:cs="Times New Roman"/>
          <w:b/>
          <w:sz w:val="20"/>
          <w:szCs w:val="20"/>
        </w:rPr>
        <w:t>s</w:t>
      </w:r>
    </w:p>
    <w:p w14:paraId="368F840B" w14:textId="06081E6B" w:rsidR="00FA7DD2" w:rsidRPr="009668D3" w:rsidRDefault="00497BE6" w:rsidP="00814654">
      <w:pPr>
        <w:spacing w:line="240" w:lineRule="auto"/>
        <w:jc w:val="both"/>
        <w:rPr>
          <w:rFonts w:ascii="Times New Roman" w:hAnsi="Times New Roman" w:cs="Times New Roman"/>
          <w:b/>
          <w:sz w:val="20"/>
          <w:szCs w:val="20"/>
        </w:rPr>
      </w:pPr>
      <w:r w:rsidRPr="009668D3">
        <w:rPr>
          <w:rFonts w:ascii="Times New Roman" w:hAnsi="Times New Roman" w:cs="Times New Roman"/>
          <w:sz w:val="20"/>
          <w:szCs w:val="20"/>
        </w:rPr>
        <w:t>The results of this study are grouped by each objective. Each subsection from 3.1</w:t>
      </w:r>
      <w:r w:rsidR="00FA7DD2" w:rsidRPr="009668D3">
        <w:rPr>
          <w:rFonts w:ascii="Times New Roman" w:hAnsi="Times New Roman" w:cs="Times New Roman"/>
          <w:sz w:val="20"/>
          <w:szCs w:val="20"/>
        </w:rPr>
        <w:t xml:space="preserve"> to </w:t>
      </w:r>
      <w:r w:rsidRPr="009668D3">
        <w:rPr>
          <w:rFonts w:ascii="Times New Roman" w:hAnsi="Times New Roman" w:cs="Times New Roman"/>
          <w:sz w:val="20"/>
          <w:szCs w:val="20"/>
        </w:rPr>
        <w:t xml:space="preserve">3.3 reports the metrics that directly test the corresponding hypothesis. </w:t>
      </w:r>
    </w:p>
    <w:p w14:paraId="08BD9FB6" w14:textId="00EF3DC5" w:rsidR="003937AD" w:rsidRPr="009668D3" w:rsidRDefault="003937AD" w:rsidP="002D21BC">
      <w:p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 xml:space="preserve">3.1 </w:t>
      </w:r>
      <w:r w:rsidR="008A5F26" w:rsidRPr="009668D3">
        <w:rPr>
          <w:rFonts w:ascii="Times New Roman" w:hAnsi="Times New Roman" w:cs="Times New Roman"/>
          <w:b/>
          <w:sz w:val="20"/>
          <w:szCs w:val="20"/>
        </w:rPr>
        <w:t xml:space="preserve">Meeting objective </w:t>
      </w:r>
      <w:r w:rsidR="000E2FF5" w:rsidRPr="009668D3">
        <w:rPr>
          <w:rFonts w:ascii="Times New Roman" w:hAnsi="Times New Roman" w:cs="Times New Roman"/>
          <w:b/>
          <w:sz w:val="20"/>
          <w:szCs w:val="20"/>
        </w:rPr>
        <w:t>1</w:t>
      </w:r>
    </w:p>
    <w:p w14:paraId="054AB28D" w14:textId="228595C0" w:rsidR="00CB764F" w:rsidRPr="009668D3" w:rsidRDefault="00FB510D" w:rsidP="002D21BC">
      <w:pPr>
        <w:keepNext/>
        <w:spacing w:line="240" w:lineRule="auto"/>
        <w:jc w:val="both"/>
        <w:rPr>
          <w:rFonts w:ascii="Times New Roman" w:hAnsi="Times New Roman" w:cs="Times New Roman"/>
          <w:sz w:val="20"/>
          <w:szCs w:val="20"/>
        </w:rPr>
      </w:pPr>
      <w:r w:rsidRPr="001E6700">
        <w:rPr>
          <w:rFonts w:ascii="Times New Roman" w:eastAsiaTheme="minorEastAsia" w:hAnsi="Times New Roman" w:cs="Times New Roman"/>
          <w:noProof/>
          <w:sz w:val="20"/>
          <w:szCs w:val="20"/>
        </w:rPr>
        <w:lastRenderedPageBreak/>
        <w:drawing>
          <wp:inline distT="0" distB="0" distL="0" distR="0" wp14:anchorId="30FBBAF4" wp14:editId="443FFDD4">
            <wp:extent cx="5731510" cy="2257108"/>
            <wp:effectExtent l="0" t="0" r="2540" b="0"/>
            <wp:docPr id="807424083" name="Picture 1" descr="The image appears to be a bar chart or a set of bar graphs illustrating various probabilities or percentages, possibly in a study or statistical analysis. Each bar or group of bars represents different categories or combinations of variables (e.g., X0, X1, X2, X1+X2, etc.) and their associated probabilities or frequencies (e.g., 84%, 38%, 21%, etc.). The data could be related to the presence, absence, or combination of certain attributes in a sample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47024" name="Picture 1" descr="The image appears to be a bar chart or a set of bar graphs illustrating various probabilities or percentages, possibly in a study or statistical analysis. Each bar or group of bars represents different categories or combinations of variables (e.g., X0, X1, X2, X1+X2, etc.) and their associated probabilities or frequencies (e.g., 84%, 38%, 21%, etc.). The data could be related to the presence, absence, or combination of certain attributes in a sample population.&#10;&#10;AI-generated content may be incorrect."/>
                    <pic:cNvPicPr/>
                  </pic:nvPicPr>
                  <pic:blipFill>
                    <a:blip r:embed="rId8"/>
                    <a:srcRect t="1863"/>
                    <a:stretch>
                      <a:fillRect/>
                    </a:stretch>
                  </pic:blipFill>
                  <pic:spPr bwMode="auto">
                    <a:xfrm>
                      <a:off x="0" y="0"/>
                      <a:ext cx="5731510" cy="2257108"/>
                    </a:xfrm>
                    <a:prstGeom prst="rect">
                      <a:avLst/>
                    </a:prstGeom>
                    <a:ln>
                      <a:noFill/>
                    </a:ln>
                    <a:extLst>
                      <a:ext uri="{53640926-AAD7-44D8-BBD7-CCE9431645EC}">
                        <a14:shadowObscured xmlns:a14="http://schemas.microsoft.com/office/drawing/2010/main"/>
                      </a:ext>
                    </a:extLst>
                  </pic:spPr>
                </pic:pic>
              </a:graphicData>
            </a:graphic>
          </wp:inline>
        </w:drawing>
      </w:r>
    </w:p>
    <w:p w14:paraId="56254881" w14:textId="4A4F7053" w:rsidR="008A5F26" w:rsidRPr="009668D3" w:rsidRDefault="00CB764F" w:rsidP="002D21BC">
      <w:pPr>
        <w:pStyle w:val="Caption"/>
        <w:jc w:val="both"/>
        <w:rPr>
          <w:rFonts w:ascii="Times New Roman" w:hAnsi="Times New Roman" w:cs="Times New Roman"/>
          <w:i w:val="0"/>
          <w:sz w:val="20"/>
          <w:szCs w:val="20"/>
        </w:rPr>
      </w:pPr>
      <w:r w:rsidRPr="009668D3">
        <w:rPr>
          <w:rFonts w:ascii="Times New Roman" w:hAnsi="Times New Roman" w:cs="Times New Roman"/>
          <w:i w:val="0"/>
          <w:sz w:val="20"/>
          <w:szCs w:val="20"/>
        </w:rPr>
        <w:t xml:space="preserve">Figure </w:t>
      </w:r>
      <w:r w:rsidRPr="009668D3">
        <w:rPr>
          <w:rFonts w:ascii="Times New Roman" w:hAnsi="Times New Roman" w:cs="Times New Roman"/>
          <w:i w:val="0"/>
          <w:sz w:val="20"/>
          <w:szCs w:val="20"/>
        </w:rPr>
        <w:fldChar w:fldCharType="begin"/>
      </w:r>
      <w:r w:rsidRPr="009668D3">
        <w:rPr>
          <w:rFonts w:ascii="Times New Roman" w:hAnsi="Times New Roman" w:cs="Times New Roman"/>
          <w:i w:val="0"/>
          <w:sz w:val="20"/>
          <w:szCs w:val="20"/>
        </w:rPr>
        <w:instrText xml:space="preserve"> SEQ Figure \* ARABIC </w:instrText>
      </w:r>
      <w:r w:rsidRPr="009668D3">
        <w:rPr>
          <w:rFonts w:ascii="Times New Roman" w:hAnsi="Times New Roman" w:cs="Times New Roman"/>
          <w:i w:val="0"/>
          <w:sz w:val="20"/>
          <w:szCs w:val="20"/>
        </w:rPr>
        <w:fldChar w:fldCharType="separate"/>
      </w:r>
      <w:r w:rsidR="003E58BB" w:rsidRPr="009668D3">
        <w:rPr>
          <w:rFonts w:ascii="Times New Roman" w:hAnsi="Times New Roman" w:cs="Times New Roman"/>
          <w:i w:val="0"/>
          <w:sz w:val="20"/>
          <w:szCs w:val="20"/>
        </w:rPr>
        <w:t>1</w:t>
      </w:r>
      <w:r w:rsidRPr="009668D3">
        <w:rPr>
          <w:rFonts w:ascii="Times New Roman" w:hAnsi="Times New Roman" w:cs="Times New Roman"/>
          <w:i w:val="0"/>
          <w:sz w:val="20"/>
          <w:szCs w:val="20"/>
        </w:rPr>
        <w:fldChar w:fldCharType="end"/>
      </w:r>
      <w:r w:rsidRPr="009668D3">
        <w:rPr>
          <w:rFonts w:ascii="Times New Roman" w:hAnsi="Times New Roman" w:cs="Times New Roman"/>
          <w:i w:val="0"/>
          <w:sz w:val="20"/>
          <w:szCs w:val="20"/>
        </w:rPr>
        <w:t xml:space="preserve">: </w:t>
      </w:r>
      <w:r w:rsidR="00602B9A" w:rsidRPr="009668D3">
        <w:rPr>
          <w:rFonts w:ascii="Times New Roman" w:hAnsi="Times New Roman" w:cs="Times New Roman"/>
          <w:i w:val="0"/>
          <w:sz w:val="20"/>
          <w:szCs w:val="20"/>
        </w:rPr>
        <w:t xml:space="preserve">Equilibrium </w:t>
      </w:r>
      <w:r w:rsidR="0010751B" w:rsidRPr="009668D3">
        <w:rPr>
          <w:rFonts w:ascii="Times New Roman" w:hAnsi="Times New Roman" w:cs="Times New Roman"/>
          <w:i w:val="0"/>
          <w:sz w:val="20"/>
          <w:szCs w:val="20"/>
        </w:rPr>
        <w:t>landscape</w:t>
      </w:r>
      <w:r w:rsidR="00602B9A" w:rsidRPr="009668D3">
        <w:rPr>
          <w:rFonts w:ascii="Times New Roman" w:hAnsi="Times New Roman" w:cs="Times New Roman"/>
          <w:i w:val="0"/>
          <w:sz w:val="20"/>
          <w:szCs w:val="20"/>
        </w:rPr>
        <w:t xml:space="preserve"> across the phenological parameter space. </w:t>
      </w:r>
      <m:oMath>
        <m:sSubSup>
          <m:sSubSupPr>
            <m:ctrlPr>
              <w:rPr>
                <w:rFonts w:ascii="Cambria Math" w:hAnsi="Cambria Math" w:cs="Times New Roman"/>
                <w:sz w:val="20"/>
                <w:szCs w:val="20"/>
              </w:rPr>
            </m:ctrlPr>
          </m:sSubSupPr>
          <m:e>
            <m:r>
              <w:rPr>
                <w:rFonts w:ascii="Cambria Math" w:hAnsi="Cambria Math" w:cs="Times New Roman"/>
                <w:sz w:val="20"/>
                <w:szCs w:val="20"/>
              </w:rPr>
              <m:t>x</m:t>
            </m:r>
          </m:e>
          <m:sub>
            <m:r>
              <w:rPr>
                <w:rFonts w:ascii="Cambria Math" w:hAnsi="Cambria Math" w:cs="Times New Roman"/>
                <w:sz w:val="20"/>
                <w:szCs w:val="20"/>
              </w:rPr>
              <m:t>0</m:t>
            </m:r>
          </m:sub>
          <m:sup>
            <m:r>
              <w:rPr>
                <w:rFonts w:ascii="Cambria Math" w:hAnsi="Cambria Math" w:cs="Times New Roman"/>
                <w:sz w:val="20"/>
                <w:szCs w:val="20"/>
              </w:rPr>
              <m:t>*</m:t>
            </m:r>
          </m:sup>
        </m:sSubSup>
        <m: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x</m:t>
            </m:r>
          </m:e>
          <m:sub>
            <m:r>
              <w:rPr>
                <w:rFonts w:ascii="Cambria Math" w:hAnsi="Cambria Math" w:cs="Times New Roman"/>
                <w:sz w:val="20"/>
                <w:szCs w:val="20"/>
              </w:rPr>
              <m:t>1</m:t>
            </m:r>
          </m:sub>
          <m:sup>
            <m:r>
              <w:rPr>
                <w:rFonts w:ascii="Cambria Math" w:hAnsi="Cambria Math" w:cs="Times New Roman"/>
                <w:sz w:val="20"/>
                <w:szCs w:val="20"/>
              </w:rPr>
              <m:t>*</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x</m:t>
            </m:r>
          </m:e>
          <m:sub>
            <m:r>
              <w:rPr>
                <w:rFonts w:ascii="Cambria Math" w:hAnsi="Cambria Math" w:cs="Times New Roman"/>
                <w:sz w:val="20"/>
                <w:szCs w:val="20"/>
              </w:rPr>
              <m:t>2</m:t>
            </m:r>
          </m:sub>
          <m:sup>
            <m:r>
              <w:rPr>
                <w:rFonts w:ascii="Cambria Math" w:hAnsi="Cambria Math" w:cs="Times New Roman"/>
                <w:sz w:val="20"/>
                <w:szCs w:val="20"/>
              </w:rPr>
              <m:t>*</m:t>
            </m:r>
          </m:sup>
        </m:sSubSup>
      </m:oMath>
      <w:r w:rsidR="00D22CA7" w:rsidRPr="009668D3">
        <w:rPr>
          <w:rFonts w:ascii="Times New Roman" w:hAnsi="Times New Roman" w:cs="Times New Roman"/>
          <w:i w:val="0"/>
          <w:sz w:val="20"/>
          <w:szCs w:val="20"/>
        </w:rPr>
        <w:t>are canopy-</w:t>
      </w:r>
      <w:r w:rsidR="00E82C6D" w:rsidRPr="009668D3">
        <w:rPr>
          <w:rFonts w:ascii="Times New Roman" w:hAnsi="Times New Roman" w:cs="Times New Roman"/>
          <w:i w:val="0"/>
          <w:sz w:val="20"/>
          <w:szCs w:val="20"/>
        </w:rPr>
        <w:t>only,</w:t>
      </w:r>
      <w:r w:rsidR="00D22CA7" w:rsidRPr="009668D3">
        <w:rPr>
          <w:rFonts w:ascii="Times New Roman" w:hAnsi="Times New Roman" w:cs="Times New Roman"/>
          <w:i w:val="0"/>
          <w:sz w:val="20"/>
          <w:szCs w:val="20"/>
        </w:rPr>
        <w:t xml:space="preserve"> parasitoid-free, and coexistence equilibria</w:t>
      </w:r>
      <w:r w:rsidR="005040EF" w:rsidRPr="009668D3">
        <w:rPr>
          <w:rFonts w:ascii="Times New Roman" w:hAnsi="Times New Roman" w:cs="Times New Roman"/>
          <w:i w:val="0"/>
          <w:sz w:val="20"/>
          <w:szCs w:val="20"/>
        </w:rPr>
        <w:t>. No degraded equilibria (i.e., carrying capacity below half the threshold value) were found</w:t>
      </w:r>
      <w:r w:rsidR="00FA7DD2" w:rsidRPr="009668D3">
        <w:rPr>
          <w:rFonts w:ascii="Times New Roman" w:hAnsi="Times New Roman" w:cs="Times New Roman"/>
          <w:i w:val="0"/>
          <w:sz w:val="20"/>
          <w:szCs w:val="20"/>
        </w:rPr>
        <w:t>.</w:t>
      </w:r>
      <w:r w:rsidR="00D22CA7" w:rsidRPr="009668D3">
        <w:rPr>
          <w:rFonts w:ascii="Times New Roman" w:hAnsi="Times New Roman" w:cs="Times New Roman"/>
          <w:i w:val="0"/>
          <w:sz w:val="20"/>
          <w:szCs w:val="20"/>
        </w:rPr>
        <w:t xml:space="preserve"> </w:t>
      </w:r>
      <w:r w:rsidR="00602B9A" w:rsidRPr="009668D3">
        <w:rPr>
          <w:rFonts w:ascii="Times New Roman" w:hAnsi="Times New Roman" w:cs="Times New Roman"/>
          <w:i w:val="0"/>
          <w:sz w:val="20"/>
          <w:szCs w:val="20"/>
        </w:rPr>
        <w:t>(A) Baseline fixed points of the annual map at calibrated parameters; bar length indicates equilibrium beetle density A*, with spectral radius ρ* and stability status annotated. (B) Fraction of the Latin Hypercube–sampled parameter space in which each equilibrium class exists as a locally stable fixed point; bars can exceed unity in sum due to multistability. (C) Dominant-attractor frequency: the fraction of sampled parameter sets for which the annual map trajectory converges to each class from the coexistence reference initial condition; multistability rate annotated.</w:t>
      </w:r>
    </w:p>
    <w:p w14:paraId="41286441" w14:textId="4AE0350B" w:rsidR="00CB764F" w:rsidRPr="009668D3" w:rsidRDefault="004E0271" w:rsidP="002D21BC">
      <w:pPr>
        <w:keepNext/>
        <w:spacing w:line="240" w:lineRule="auto"/>
        <w:jc w:val="both"/>
        <w:rPr>
          <w:rFonts w:ascii="Times New Roman" w:hAnsi="Times New Roman" w:cs="Times New Roman"/>
          <w:sz w:val="20"/>
          <w:szCs w:val="20"/>
        </w:rPr>
      </w:pPr>
      <w:r w:rsidRPr="004E0271">
        <w:rPr>
          <w:rFonts w:ascii="Times New Roman" w:hAnsi="Times New Roman" w:cs="Times New Roman"/>
          <w:sz w:val="20"/>
          <w:szCs w:val="20"/>
        </w:rPr>
        <w:t xml:space="preserve">Figure 1 shows 3 outputs from stability analyses: Annual equilibria identified as fixed points of the yearly recurrence map (Step 3), their local stability classified from the Jacobian eigenvalues of that annual map (Step 4), and the frequency of each equilibrium occurs across Latin Hypercube Sampling under parameter space (Step 10). Figure 1A reports the stable-presence probability, i.e., the fraction of sampled parameter sets for which a given equilibrium exists as a locally stable fixed point of the annual map. In this sense, the parasitoid-free equilibrium canopy-only is the most frequent stable regime across parameter space, whereas the coexistence equilibrium parasitoid-free is the least frequent stable regime found across the parameter space. The stable presence probability of the parasitoid-free equilibria is closest to the coexistence equilibria. Therefore, under continuous variable phenology, the phenological mismatch can lead to a parasitoid-free equilibrium where the beetle outbreak is regulated by birds, and eventually the system is likely to jump into a stable equilibrium where the beetle is also absent. This result indicates rejection of the H1: under all variability in phenologies, the system is likely to converge to a desirable coexistence equilibrium, defined by the presence of a canopy, bird, and parasitoid that can </w:t>
      </w:r>
      <w:r w:rsidRPr="004E0271">
        <w:rPr>
          <w:rFonts w:ascii="Times New Roman" w:hAnsi="Times New Roman" w:cs="Times New Roman"/>
          <w:sz w:val="20"/>
          <w:szCs w:val="20"/>
        </w:rPr>
        <w:lastRenderedPageBreak/>
        <w:t>prevent future beetle outbreaks if reintroduced.</w:t>
      </w:r>
      <w:r w:rsidR="00BE0894" w:rsidRPr="001E6700">
        <w:rPr>
          <w:rFonts w:ascii="Times New Roman" w:hAnsi="Times New Roman" w:cs="Times New Roman"/>
          <w:noProof/>
          <w:sz w:val="20"/>
          <w:szCs w:val="20"/>
        </w:rPr>
        <w:drawing>
          <wp:inline distT="0" distB="0" distL="0" distR="0" wp14:anchorId="50859A8A" wp14:editId="07AF0238">
            <wp:extent cx="5731510" cy="4958080"/>
            <wp:effectExtent l="0" t="0" r="2540" b="0"/>
            <wp:docPr id="2075905365" name="Picture 1" descr="The image appears to be a multi-variable chart illustrating various factors affecting a biological system, such as defoliation levels, seasonal length, survival rates, emergence rates, and mortality rates, likely in a study of insect or plant dynam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5365" name="Picture 1" descr="The image appears to be a multi-variable chart illustrating various factors affecting a biological system, such as defoliation levels, seasonal length, survival rates, emergence rates, and mortality rates, likely in a study of insect or plant dynamic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958080"/>
                    </a:xfrm>
                    <a:prstGeom prst="rect">
                      <a:avLst/>
                    </a:prstGeom>
                  </pic:spPr>
                </pic:pic>
              </a:graphicData>
            </a:graphic>
          </wp:inline>
        </w:drawing>
      </w:r>
    </w:p>
    <w:p w14:paraId="747C3C33" w14:textId="77777777" w:rsidR="004E0271" w:rsidRDefault="00CB764F" w:rsidP="00163EB0">
      <w:pPr>
        <w:pStyle w:val="Caption"/>
        <w:jc w:val="both"/>
        <w:rPr>
          <w:rFonts w:ascii="Times New Roman" w:hAnsi="Times New Roman" w:cs="Times New Roman"/>
          <w:sz w:val="20"/>
          <w:szCs w:val="20"/>
        </w:rPr>
      </w:pPr>
      <w:r w:rsidRPr="009668D3">
        <w:rPr>
          <w:rFonts w:ascii="Times New Roman" w:hAnsi="Times New Roman" w:cs="Times New Roman"/>
          <w:sz w:val="20"/>
          <w:szCs w:val="20"/>
        </w:rPr>
        <w:t xml:space="preserve">Figure </w:t>
      </w:r>
      <w:r w:rsidRPr="009668D3">
        <w:rPr>
          <w:rFonts w:ascii="Times New Roman" w:hAnsi="Times New Roman" w:cs="Times New Roman"/>
          <w:sz w:val="20"/>
          <w:szCs w:val="20"/>
        </w:rPr>
        <w:fldChar w:fldCharType="begin"/>
      </w:r>
      <w:r w:rsidRPr="009668D3">
        <w:rPr>
          <w:rFonts w:ascii="Times New Roman" w:hAnsi="Times New Roman" w:cs="Times New Roman"/>
          <w:sz w:val="20"/>
          <w:szCs w:val="20"/>
        </w:rPr>
        <w:instrText xml:space="preserve"> SEQ Figure \* ARABIC </w:instrText>
      </w:r>
      <w:r w:rsidRPr="009668D3">
        <w:rPr>
          <w:rFonts w:ascii="Times New Roman" w:hAnsi="Times New Roman" w:cs="Times New Roman"/>
          <w:sz w:val="20"/>
          <w:szCs w:val="20"/>
        </w:rPr>
        <w:fldChar w:fldCharType="separate"/>
      </w:r>
      <w:r w:rsidR="003E58BB" w:rsidRPr="009668D3">
        <w:rPr>
          <w:rFonts w:ascii="Times New Roman" w:hAnsi="Times New Roman" w:cs="Times New Roman"/>
          <w:sz w:val="20"/>
          <w:szCs w:val="20"/>
        </w:rPr>
        <w:t>2</w:t>
      </w:r>
      <w:r w:rsidRPr="009668D3">
        <w:rPr>
          <w:rFonts w:ascii="Times New Roman" w:hAnsi="Times New Roman" w:cs="Times New Roman"/>
          <w:sz w:val="20"/>
          <w:szCs w:val="20"/>
        </w:rPr>
        <w:fldChar w:fldCharType="end"/>
      </w:r>
      <w:r w:rsidR="00602B9A" w:rsidRPr="009668D3">
        <w:rPr>
          <w:rFonts w:ascii="Times New Roman" w:hAnsi="Times New Roman" w:cs="Times New Roman"/>
          <w:color w:val="FAF9F5"/>
          <w:kern w:val="0"/>
          <w:sz w:val="20"/>
          <w:szCs w:val="20"/>
          <w:bdr w:val="single" w:sz="2" w:space="0" w:color="DEDCD1" w:frame="1"/>
          <w14:ligatures w14:val="none"/>
        </w:rPr>
        <w:t xml:space="preserve"> </w:t>
      </w:r>
      <w:r w:rsidR="00407F07" w:rsidRPr="009668D3">
        <w:rPr>
          <w:rFonts w:ascii="Times New Roman" w:hAnsi="Times New Roman" w:cs="Times New Roman"/>
          <w:sz w:val="20"/>
          <w:szCs w:val="20"/>
        </w:rPr>
        <w:t xml:space="preserve">Equilibrium transition boundaries across all nine phenological scenarios and the pairwise </w:t>
      </w:r>
      <m:oMath>
        <m:r>
          <w:rPr>
            <w:rFonts w:ascii="Cambria Math" w:hAnsi="Cambria Math" w:cs="Times New Roman"/>
            <w:sz w:val="20"/>
            <w:szCs w:val="20"/>
          </w:rPr>
          <m:t xml:space="preserve">β × </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00407F07" w:rsidRPr="009668D3">
        <w:rPr>
          <w:rFonts w:ascii="Times New Roman" w:hAnsi="Times New Roman" w:cs="Times New Roman"/>
          <w:sz w:val="20"/>
          <w:szCs w:val="20"/>
        </w:rPr>
        <w:t xml:space="preserve"> parameter plane. Panels A-I show equilibrium damage D* at the stable fixed point of the annual map as each phenological parameter is varied individually across its plausible range (one-at-a-time scans; all other parameters held at the calibrated baseline). Green squares: coexistence equilibria; pink circles: parasitoid-free equilibria; blue diamonds: canopy-only (beetle-free) equilibria; teal triangles: coexistence non-fixed-point attractors. Connecting lines trace the equilibrium branch within each class. The horizontal dotted line marks the functional damage threshold</w:t>
      </w: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crit</m:t>
            </m:r>
          </m:sub>
        </m:sSub>
        <m:r>
          <w:rPr>
            <w:rFonts w:ascii="Cambria Math" w:hAnsi="Cambria Math" w:cs="Times New Roman"/>
            <w:sz w:val="20"/>
            <w:szCs w:val="20"/>
          </w:rPr>
          <m:t>= 0.5</m:t>
        </m:r>
      </m:oMath>
      <w:r w:rsidR="00407F07" w:rsidRPr="009668D3">
        <w:rPr>
          <w:rFonts w:ascii="Times New Roman" w:hAnsi="Times New Roman" w:cs="Times New Roman"/>
          <w:sz w:val="20"/>
          <w:szCs w:val="20"/>
        </w:rPr>
        <w:t xml:space="preserve">. (A) Season duration T. (B) Beetle overwinter survival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8C375D" w:rsidRPr="009668D3">
        <w:rPr>
          <w:rFonts w:ascii="Times New Roman" w:hAnsi="Times New Roman" w:cs="Times New Roman"/>
          <w:sz w:val="20"/>
          <w:szCs w:val="20"/>
        </w:rPr>
        <w:t xml:space="preserve"> </w:t>
      </w:r>
      <w:r w:rsidR="00407F07" w:rsidRPr="009668D3">
        <w:rPr>
          <w:rFonts w:ascii="Times New Roman" w:hAnsi="Times New Roman" w:cs="Times New Roman"/>
          <w:sz w:val="20"/>
          <w:szCs w:val="20"/>
        </w:rPr>
        <w:t xml:space="preserve">. (C) Parasitoid overwinter survival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oMath>
      <w:r w:rsidR="00407F07" w:rsidRPr="009668D3">
        <w:rPr>
          <w:rFonts w:ascii="Times New Roman" w:hAnsi="Times New Roman" w:cs="Times New Roman"/>
          <w:sz w:val="20"/>
          <w:szCs w:val="20"/>
        </w:rPr>
        <w:t xml:space="preserve">. (D) Parasitoid emergence rate δ. (E) Susceptible larval mortality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00407F07" w:rsidRPr="009668D3">
        <w:rPr>
          <w:rFonts w:ascii="Times New Roman" w:hAnsi="Times New Roman" w:cs="Times New Roman"/>
          <w:sz w:val="20"/>
          <w:szCs w:val="20"/>
        </w:rPr>
        <w:t xml:space="preserve">. (F) Passerine bird pressure index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00407F07" w:rsidRPr="009668D3">
        <w:rPr>
          <w:rFonts w:ascii="Times New Roman" w:hAnsi="Times New Roman" w:cs="Times New Roman"/>
          <w:sz w:val="20"/>
          <w:szCs w:val="20"/>
        </w:rPr>
        <w:t xml:space="preserve">. (G) Damage-to-capacity penalty </w:t>
      </w:r>
      <m:oMath>
        <m:r>
          <w:rPr>
            <w:rFonts w:ascii="Cambria Math" w:hAnsi="Cambria Math" w:cs="Times New Roman"/>
            <w:sz w:val="20"/>
            <w:szCs w:val="20"/>
          </w:rPr>
          <m:t>φ</m:t>
        </m:r>
      </m:oMath>
      <w:r w:rsidR="00407F07" w:rsidRPr="009668D3">
        <w:rPr>
          <w:rFonts w:ascii="Times New Roman" w:hAnsi="Times New Roman" w:cs="Times New Roman"/>
          <w:sz w:val="20"/>
          <w:szCs w:val="20"/>
        </w:rPr>
        <w:t xml:space="preserve">. (H) Parasitoid attack rate β. (I) Beetle annual reproduction ratio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w:r w:rsidR="00407F07" w:rsidRPr="009668D3">
        <w:rPr>
          <w:rFonts w:ascii="Times New Roman" w:hAnsi="Times New Roman" w:cs="Times New Roman"/>
          <w:sz w:val="20"/>
          <w:szCs w:val="20"/>
        </w:rPr>
        <w:t>.</w:t>
      </w:r>
    </w:p>
    <w:p w14:paraId="53342A51" w14:textId="77777777" w:rsidR="002D6C8F" w:rsidRDefault="00407F07" w:rsidP="00163EB0">
      <w:pPr>
        <w:pStyle w:val="Caption"/>
        <w:jc w:val="both"/>
        <w:rPr>
          <w:rFonts w:ascii="Times New Roman" w:hAnsi="Times New Roman" w:cs="Times New Roman"/>
          <w:i w:val="0"/>
          <w:iCs w:val="0"/>
          <w:sz w:val="22"/>
          <w:szCs w:val="22"/>
        </w:rPr>
      </w:pPr>
      <w:r w:rsidRPr="009668D3">
        <w:rPr>
          <w:rFonts w:ascii="Times New Roman" w:hAnsi="Times New Roman" w:cs="Times New Roman"/>
          <w:sz w:val="20"/>
          <w:szCs w:val="20"/>
        </w:rPr>
        <w:t xml:space="preserve"> </w:t>
      </w:r>
      <w:r w:rsidR="002D6C8F" w:rsidRPr="00FE7AAC">
        <w:rPr>
          <w:rFonts w:ascii="Times New Roman" w:hAnsi="Times New Roman" w:cs="Times New Roman"/>
          <w:i w:val="0"/>
          <w:iCs w:val="0"/>
          <w:sz w:val="22"/>
          <w:szCs w:val="22"/>
        </w:rPr>
        <w:t xml:space="preserve">Following the rejection of H1, Figure 2 presents the predicted stable fixed point of the annual map and the equilibrium damage </w:t>
      </w:r>
      <m:oMath>
        <m:sSup>
          <m:sSupPr>
            <m:ctrlPr>
              <w:rPr>
                <w:rFonts w:ascii="Cambria Math" w:hAnsi="Cambria Math" w:cs="Times New Roman"/>
                <w:iCs w:val="0"/>
                <w:sz w:val="22"/>
                <w:szCs w:val="22"/>
              </w:rPr>
            </m:ctrlPr>
          </m:sSupPr>
          <m:e>
            <m:r>
              <w:rPr>
                <w:rFonts w:ascii="Cambria Math" w:hAnsi="Cambria Math" w:cs="Times New Roman"/>
                <w:sz w:val="22"/>
                <w:szCs w:val="22"/>
              </w:rPr>
              <m:t>D</m:t>
            </m:r>
          </m:e>
          <m:sup>
            <m:r>
              <w:rPr>
                <w:rFonts w:ascii="Cambria Math" w:hAnsi="Cambria Math" w:cs="Times New Roman"/>
                <w:sz w:val="22"/>
                <w:szCs w:val="22"/>
              </w:rPr>
              <m:t>*</m:t>
            </m:r>
          </m:sup>
        </m:sSup>
      </m:oMath>
      <w:r w:rsidR="002D6C8F" w:rsidRPr="00FE7AAC">
        <w:rPr>
          <w:rFonts w:ascii="Times New Roman" w:hAnsi="Times New Roman" w:cs="Times New Roman"/>
          <w:i w:val="0"/>
          <w:iCs w:val="0"/>
          <w:sz w:val="22"/>
          <w:szCs w:val="22"/>
        </w:rPr>
        <w:t xml:space="preserve"> at the coexistence equilibrium. The results are displayed as a function of individual parameter variability, excluding parasitoid invasion risk as a stability driver. This analysis demonstrates the persistence of coexistence across different phenology variability ranges. Although most phenologies and associated parameters covary in natural systems, examining individual variation reveals the system's maximum potential. Among nine one-at-a-time parameter scans, seven parameters altered the equilibrium class. Bird pressure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002D6C8F">
        <w:rPr>
          <w:rFonts w:ascii="Times New Roman" w:hAnsi="Times New Roman" w:cs="Times New Roman"/>
          <w:i w:val="0"/>
          <w:iCs w:val="0"/>
          <w:sz w:val="22"/>
          <w:szCs w:val="22"/>
        </w:rPr>
        <w:t xml:space="preserve"> </w:t>
      </w:r>
      <w:r w:rsidR="002D6C8F" w:rsidRPr="00FE7AAC">
        <w:rPr>
          <w:rFonts w:ascii="Times New Roman" w:hAnsi="Times New Roman" w:cs="Times New Roman"/>
          <w:i w:val="0"/>
          <w:iCs w:val="0"/>
          <w:sz w:val="22"/>
          <w:szCs w:val="22"/>
        </w:rPr>
        <w:t>) and the foliage-memory penalty (ϕ) did not induce regime shifts within the scanned range. Season length (T) influenced defoliation damage but did not transition the system to alternative equilibria within the examined range. Nevertheless, because defoliation damage responds rapidly to chan</w:t>
      </w:r>
      <w:r w:rsidR="002D6C8F">
        <w:rPr>
          <w:rFonts w:ascii="Times New Roman" w:hAnsi="Times New Roman" w:cs="Times New Roman"/>
          <w:i w:val="0"/>
          <w:iCs w:val="0"/>
          <w:sz w:val="22"/>
          <w:szCs w:val="22"/>
        </w:rPr>
        <w:t>ge</w:t>
      </w:r>
      <w:r w:rsidR="002D6C8F" w:rsidRPr="00FE7AAC">
        <w:rPr>
          <w:rFonts w:ascii="Times New Roman" w:hAnsi="Times New Roman" w:cs="Times New Roman"/>
          <w:i w:val="0"/>
          <w:iCs w:val="0"/>
          <w:sz w:val="22"/>
          <w:szCs w:val="22"/>
        </w:rPr>
        <w:t xml:space="preserve">s in T, a regime shift may occur over a longer temporal scale. Notably, reducing the parasitoid attack rate </w:t>
      </w:r>
      <m:oMath>
        <m:r>
          <w:rPr>
            <w:rFonts w:ascii="Cambria Math" w:hAnsi="Cambria Math" w:cs="Times New Roman"/>
            <w:sz w:val="22"/>
            <w:szCs w:val="22"/>
          </w:rPr>
          <m:t>β</m:t>
        </m:r>
      </m:oMath>
      <w:r w:rsidR="002D6C8F" w:rsidRPr="00FE7AAC">
        <w:rPr>
          <w:rFonts w:ascii="Times New Roman" w:hAnsi="Times New Roman" w:cs="Times New Roman"/>
          <w:i w:val="0"/>
          <w:iCs w:val="0"/>
          <w:sz w:val="22"/>
          <w:szCs w:val="22"/>
        </w:rPr>
        <w:t>, parasitoid overwinter survival</w:t>
      </w:r>
      <m:oMath>
        <m:sSub>
          <m:sSubPr>
            <m:ctrlPr>
              <w:rPr>
                <w:rFonts w:ascii="Cambria Math" w:hAnsi="Cambria Math" w:cs="Times New Roman"/>
                <w:iCs w:val="0"/>
                <w:sz w:val="22"/>
                <w:szCs w:val="22"/>
              </w:rPr>
            </m:ctrlPr>
          </m:sSubPr>
          <m:e>
            <m:r>
              <w:rPr>
                <w:rFonts w:ascii="Cambria Math" w:hAnsi="Cambria Math" w:cs="Times New Roman"/>
                <w:sz w:val="22"/>
                <w:szCs w:val="22"/>
              </w:rPr>
              <m:t xml:space="preserve"> σ</m:t>
            </m:r>
            <m:ctrlPr>
              <w:rPr>
                <w:rFonts w:ascii="Cambria Math" w:hAnsi="Cambria Math" w:cs="Times New Roman"/>
                <w:i w:val="0"/>
                <w:iCs w:val="0"/>
                <w:sz w:val="22"/>
                <w:szCs w:val="22"/>
              </w:rPr>
            </m:ctrlPr>
          </m:e>
          <m:sub>
            <m:r>
              <w:rPr>
                <w:rFonts w:ascii="Cambria Math" w:hAnsi="Cambria Math" w:cs="Times New Roman"/>
                <w:sz w:val="22"/>
                <w:szCs w:val="22"/>
              </w:rPr>
              <m:t>F</m:t>
            </m:r>
          </m:sub>
        </m:sSub>
      </m:oMath>
      <w:r w:rsidR="002D6C8F" w:rsidRPr="00FE7AAC">
        <w:rPr>
          <w:rFonts w:ascii="Times New Roman" w:hAnsi="Times New Roman" w:cs="Times New Roman"/>
          <w:i w:val="0"/>
          <w:iCs w:val="0"/>
          <w:sz w:val="22"/>
          <w:szCs w:val="22"/>
        </w:rPr>
        <w:t xml:space="preserve">, or the parasitoid emergence rate </w:t>
      </w:r>
      <m:oMath>
        <m:r>
          <w:rPr>
            <w:rFonts w:ascii="Cambria Math" w:hAnsi="Cambria Math" w:cs="Times New Roman"/>
            <w:sz w:val="22"/>
            <w:szCs w:val="22"/>
          </w:rPr>
          <m:t>δ</m:t>
        </m:r>
      </m:oMath>
      <w:r w:rsidR="002D6C8F" w:rsidRPr="00FE7AAC">
        <w:rPr>
          <w:rFonts w:ascii="Times New Roman" w:hAnsi="Times New Roman" w:cs="Times New Roman"/>
          <w:i w:val="0"/>
          <w:iCs w:val="0"/>
          <w:sz w:val="22"/>
          <w:szCs w:val="22"/>
        </w:rPr>
        <w:t xml:space="preserve"> each caused a transition from coexistence to herbivore dominance, whereas increasing </w:t>
      </w:r>
      <w:r w:rsidR="002D6C8F" w:rsidRPr="00FE7AAC">
        <w:rPr>
          <w:rFonts w:ascii="Times New Roman" w:hAnsi="Times New Roman" w:cs="Times New Roman"/>
          <w:i w:val="0"/>
          <w:iCs w:val="0"/>
          <w:sz w:val="22"/>
          <w:szCs w:val="22"/>
        </w:rPr>
        <w:lastRenderedPageBreak/>
        <w:t xml:space="preserve">the beetle reproduction ratio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002D6C8F" w:rsidRPr="00FE7AAC">
        <w:rPr>
          <w:rFonts w:ascii="Times New Roman" w:hAnsi="Times New Roman" w:cs="Times New Roman"/>
          <w:i w:val="0"/>
          <w:iCs w:val="0"/>
          <w:sz w:val="22"/>
          <w:szCs w:val="22"/>
        </w:rPr>
        <w:t xml:space="preserve"> facilitated parasitoid invasion, directly affecting system stability and the resulting equilibrium class.</w:t>
      </w:r>
    </w:p>
    <w:p w14:paraId="39713B0F" w14:textId="20C8B904" w:rsidR="003E58BB" w:rsidRPr="004E0271" w:rsidRDefault="00602B9A" w:rsidP="00163EB0">
      <w:pPr>
        <w:pStyle w:val="Caption"/>
        <w:jc w:val="both"/>
        <w:rPr>
          <w:rFonts w:ascii="Times New Roman" w:hAnsi="Times New Roman" w:cs="Times New Roman"/>
          <w:i w:val="0"/>
          <w:color w:val="auto"/>
          <w:sz w:val="20"/>
          <w:szCs w:val="20"/>
        </w:rPr>
      </w:pPr>
      <w:r w:rsidRPr="009668D3">
        <w:rPr>
          <w:rFonts w:ascii="Times New Roman" w:hAnsi="Times New Roman" w:cs="Times New Roman"/>
          <w:i w:val="0"/>
          <w:color w:val="auto"/>
          <w:sz w:val="20"/>
          <w:szCs w:val="20"/>
        </w:rPr>
        <w:t> </w:t>
      </w:r>
      <w:r w:rsidR="003E58BB" w:rsidRPr="001E6700">
        <w:rPr>
          <w:rFonts w:ascii="Times New Roman" w:hAnsi="Times New Roman" w:cs="Times New Roman"/>
          <w:i w:val="0"/>
          <w:iCs w:val="0"/>
          <w:noProof/>
          <w:sz w:val="20"/>
          <w:szCs w:val="20"/>
        </w:rPr>
        <w:drawing>
          <wp:inline distT="0" distB="0" distL="0" distR="0" wp14:anchorId="136F5B93" wp14:editId="35CED77B">
            <wp:extent cx="5731510" cy="4441825"/>
            <wp:effectExtent l="0" t="0" r="2540" b="0"/>
            <wp:docPr id="570171526" name="Picture 2" descr="The image illustrates a graph depicting the relationship between the parasitoid attack rate (ￃﾟ) and various regimes, including coexistence and non-fixed-point scenarios, with a transcritical boundary at Rp =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71526" name="Picture 2" descr="The image illustrates a graph depicting the relationship between the parasitoid attack rate (ￃﾟ) and various regimes, including coexistence and non-fixed-point scenarios, with a transcritical boundary at Rp = 1.&#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41825"/>
                    </a:xfrm>
                    <a:prstGeom prst="rect">
                      <a:avLst/>
                    </a:prstGeom>
                  </pic:spPr>
                </pic:pic>
              </a:graphicData>
            </a:graphic>
          </wp:inline>
        </w:drawing>
      </w:r>
      <w:r w:rsidR="003E58BB" w:rsidRPr="001E6700">
        <w:rPr>
          <w:rFonts w:ascii="Times New Roman" w:hAnsi="Times New Roman" w:cs="Times New Roman"/>
          <w:sz w:val="20"/>
          <w:szCs w:val="20"/>
        </w:rPr>
        <w:t xml:space="preserve">Figure </w:t>
      </w:r>
      <w:r w:rsidR="003E58BB" w:rsidRPr="001E6700">
        <w:rPr>
          <w:rFonts w:ascii="Times New Roman" w:hAnsi="Times New Roman" w:cs="Times New Roman"/>
          <w:sz w:val="20"/>
          <w:szCs w:val="20"/>
        </w:rPr>
        <w:fldChar w:fldCharType="begin"/>
      </w:r>
      <w:r w:rsidR="003E58BB" w:rsidRPr="001E6700">
        <w:rPr>
          <w:rFonts w:ascii="Times New Roman" w:hAnsi="Times New Roman" w:cs="Times New Roman"/>
          <w:sz w:val="20"/>
          <w:szCs w:val="20"/>
        </w:rPr>
        <w:instrText xml:space="preserve"> SEQ Figure \* ARABIC </w:instrText>
      </w:r>
      <w:r w:rsidR="003E58BB"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3</w:t>
      </w:r>
      <w:r w:rsidR="003E58BB" w:rsidRPr="001E6700">
        <w:rPr>
          <w:rFonts w:ascii="Times New Roman" w:hAnsi="Times New Roman" w:cs="Times New Roman"/>
          <w:sz w:val="20"/>
          <w:szCs w:val="20"/>
        </w:rPr>
        <w:fldChar w:fldCharType="end"/>
      </w:r>
      <w:r w:rsidR="009106DE" w:rsidRPr="001E6700">
        <w:rPr>
          <w:rFonts w:ascii="Times New Roman" w:hAnsi="Times New Roman" w:cs="Times New Roman"/>
          <w:sz w:val="20"/>
          <w:szCs w:val="20"/>
        </w:rPr>
        <w:t xml:space="preserve">: Pairwise phase plane in the β ×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sidR="009106DE" w:rsidRPr="001E6700">
        <w:rPr>
          <w:rFonts w:ascii="Times New Roman" w:hAnsi="Times New Roman" w:cs="Times New Roman"/>
          <w:sz w:val="20"/>
          <w:szCs w:val="20"/>
        </w:rPr>
        <w:t xml:space="preserve"> parameter space. Grey contours indicate values of the parasitoid invasion threshold</w:t>
      </w:r>
      <w:r w:rsidR="006B3399" w:rsidRPr="001E670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009106DE" w:rsidRPr="001E6700">
        <w:rPr>
          <w:rFonts w:ascii="Times New Roman" w:hAnsi="Times New Roman" w:cs="Times New Roman"/>
          <w:sz w:val="20"/>
          <w:szCs w:val="20"/>
        </w:rPr>
        <w:t xml:space="preserve">; the bold black curve marks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1</m:t>
        </m:r>
      </m:oMath>
      <w:r w:rsidR="009106DE" w:rsidRPr="001E6700">
        <w:rPr>
          <w:rFonts w:ascii="Times New Roman" w:hAnsi="Times New Roman" w:cs="Times New Roman"/>
          <w:sz w:val="20"/>
          <w:szCs w:val="20"/>
        </w:rPr>
        <w:t>, the transcritical bifurcation boundary separating the coexistence regime (lower-right) from the parasitoid-free regime (upper-left). Green squares: coexistence equilibria; pink circles: parasitoid-free equilibria; teal triangles: coexistence non-fixed-point attractors. The diagonal orientation of the boundary reflects the intraguild predation mechanism; increasing bird pressure progressively raises the parasitoid attack rate required for parasitoid invasion.</w:t>
      </w:r>
    </w:p>
    <w:p w14:paraId="7FBED976" w14:textId="4FF3D6FF" w:rsidR="00533F15" w:rsidRPr="009668D3" w:rsidRDefault="00231FEF" w:rsidP="002D21BC">
      <w:pPr>
        <w:pStyle w:val="Caption"/>
        <w:jc w:val="both"/>
        <w:rPr>
          <w:rFonts w:ascii="Times New Roman" w:hAnsi="Times New Roman" w:cs="Times New Roman"/>
          <w:i w:val="0"/>
          <w:sz w:val="20"/>
          <w:szCs w:val="20"/>
        </w:rPr>
      </w:pPr>
      <w:r w:rsidRPr="009668D3">
        <w:rPr>
          <w:rFonts w:ascii="Times New Roman" w:hAnsi="Times New Roman" w:cs="Times New Roman"/>
          <w:i w:val="0"/>
          <w:sz w:val="20"/>
          <w:szCs w:val="20"/>
        </w:rPr>
        <w:t xml:space="preserve">The most pronounced regime shift is driven by the parasitoid attack rate β. As β increases, system outcomes transition from the absence of parasitoids to coexistence, accompanied by a rapid reduction in equilibrium damage. The beetle reproduction ratio </w:t>
      </w:r>
      <m:oMath>
        <m:sSub>
          <m:sSubPr>
            <m:ctrlPr>
              <w:rPr>
                <w:rFonts w:ascii="Cambria Math" w:hAnsi="Cambria Math" w:cs="Times New Roman"/>
                <w:iCs w:val="0"/>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w:r w:rsidRPr="009668D3">
        <w:rPr>
          <w:rFonts w:ascii="Times New Roman" w:hAnsi="Times New Roman" w:cs="Times New Roman"/>
          <w:i w:val="0"/>
          <w:sz w:val="20"/>
          <w:szCs w:val="20"/>
        </w:rPr>
        <w:t xml:space="preserve"> delineates three distinct regimes: at low</w:t>
      </w:r>
      <w:r w:rsidR="00FB510D" w:rsidRPr="001E6700">
        <w:rPr>
          <w:rFonts w:ascii="Times New Roman" w:hAnsi="Times New Roman" w:cs="Times New Roman"/>
          <w:i w:val="0"/>
          <w:sz w:val="20"/>
          <w:szCs w:val="20"/>
        </w:rPr>
        <w:t>,</w:t>
      </w:r>
      <w:r w:rsidRPr="009668D3">
        <w:rPr>
          <w:rFonts w:ascii="Times New Roman" w:hAnsi="Times New Roman" w:cs="Times New Roman"/>
          <w:i w:val="0"/>
          <w:sz w:val="20"/>
          <w:szCs w:val="20"/>
        </w:rPr>
        <w:t xml:space="preserve"> beetles are unable to persist</w:t>
      </w:r>
      <w:r w:rsidR="00512A32">
        <w:rPr>
          <w:rFonts w:ascii="Times New Roman" w:hAnsi="Times New Roman" w:cs="Times New Roman"/>
          <w:i w:val="0"/>
          <w:sz w:val="20"/>
          <w:szCs w:val="20"/>
        </w:rPr>
        <w:t>,</w:t>
      </w:r>
      <w:r w:rsidRPr="009668D3">
        <w:rPr>
          <w:rFonts w:ascii="Times New Roman" w:hAnsi="Times New Roman" w:cs="Times New Roman"/>
          <w:i w:val="0"/>
          <w:sz w:val="20"/>
          <w:szCs w:val="20"/>
        </w:rPr>
        <w:t xml:space="preserve"> and only trees remain; at intermediate</w:t>
      </w:r>
      <w:r w:rsidR="00FB510D" w:rsidRPr="001E6700">
        <w:rPr>
          <w:rFonts w:ascii="Times New Roman" w:hAnsi="Times New Roman" w:cs="Times New Roman"/>
          <w:i w:val="0"/>
          <w:sz w:val="20"/>
          <w:szCs w:val="20"/>
        </w:rPr>
        <w:t>,</w:t>
      </w:r>
      <w:r w:rsidRPr="009668D3">
        <w:rPr>
          <w:rFonts w:ascii="Times New Roman" w:hAnsi="Times New Roman" w:cs="Times New Roman"/>
          <w:i w:val="0"/>
          <w:sz w:val="20"/>
          <w:szCs w:val="20"/>
        </w:rPr>
        <w:t xml:space="preserve"> beetles persist without parasitoids and inflict canopy damage; at high</w:t>
      </w:r>
      <w:r w:rsidR="00FB510D" w:rsidRPr="001E6700">
        <w:rPr>
          <w:rFonts w:ascii="Times New Roman" w:hAnsi="Times New Roman" w:cs="Times New Roman"/>
          <w:i w:val="0"/>
          <w:sz w:val="20"/>
          <w:szCs w:val="20"/>
        </w:rPr>
        <w:t>,</w:t>
      </w:r>
      <w:r w:rsidRPr="009668D3">
        <w:rPr>
          <w:rFonts w:ascii="Times New Roman" w:hAnsi="Times New Roman" w:cs="Times New Roman"/>
          <w:i w:val="0"/>
          <w:sz w:val="20"/>
          <w:szCs w:val="20"/>
        </w:rPr>
        <w:t xml:space="preserve"> host density supports parasitoid establishment, resulting in stable coexistence. Increasing susceptible larval mortality </w:t>
      </w:r>
      <m:oMath>
        <m:sSub>
          <m:sSubPr>
            <m:ctrlPr>
              <w:rPr>
                <w:rFonts w:ascii="Cambria Math" w:hAnsi="Cambria Math" w:cs="Times New Roman"/>
                <w:iCs w:val="0"/>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Pr="009668D3">
        <w:rPr>
          <w:rFonts w:ascii="Times New Roman" w:hAnsi="Times New Roman" w:cs="Times New Roman"/>
          <w:i w:val="0"/>
          <w:sz w:val="20"/>
          <w:szCs w:val="20"/>
        </w:rPr>
        <w:t xml:space="preserve"> initially disrupts parasitoid persistence by limiting host availability, and at higher values, beetles are eliminated, restoring the system to an intact canopy. Thresholds for regime shifts are also observed in beetle overwinter survival </w:t>
      </w:r>
      <m:oMath>
        <m:sSub>
          <m:sSubPr>
            <m:ctrlPr>
              <w:rPr>
                <w:rFonts w:ascii="Cambria Math" w:hAnsi="Cambria Math" w:cs="Times New Roman"/>
                <w:iCs w:val="0"/>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Pr="009668D3">
        <w:rPr>
          <w:rFonts w:ascii="Times New Roman" w:hAnsi="Times New Roman" w:cs="Times New Roman"/>
          <w:i w:val="0"/>
          <w:sz w:val="20"/>
          <w:szCs w:val="20"/>
        </w:rPr>
        <w:t xml:space="preserve"> and parasitoid survival</w:t>
      </w:r>
      <w:r w:rsidR="00FB510D" w:rsidRPr="001E6700">
        <w:rPr>
          <w:rFonts w:ascii="Times New Roman" w:hAnsi="Times New Roman" w:cs="Times New Roman"/>
          <w:i w:val="0"/>
          <w:sz w:val="20"/>
          <w:szCs w:val="20"/>
        </w:rPr>
        <w:t>,</w:t>
      </w:r>
      <w:r w:rsidRPr="009668D3">
        <w:rPr>
          <w:rFonts w:ascii="Times New Roman" w:hAnsi="Times New Roman" w:cs="Times New Roman"/>
          <w:i w:val="0"/>
          <w:sz w:val="20"/>
          <w:szCs w:val="20"/>
        </w:rPr>
        <w:t xml:space="preserve"> with coexistence possible only above critical values. For the parasitoid emergence rate δ, coexistence is maintained only above a specific threshold; otherwise, the system remains parasitoid-free. Increasing bird pressure Bt does not create regime boundaries but alters equilibrium beetle and damage levels. Birds suppress beetle populations, reducing damage, and remove parasitised larvae, thereby weakening parasitoids. Consequently, their net effect modifies quantitative but not qualitative equilibrium classes within the scanned range. The phase plane illustrates how attack rate and bird predation influence equilibria (Figure </w:t>
      </w:r>
      <w:r w:rsidR="00444BAA" w:rsidRPr="001E6700">
        <w:rPr>
          <w:rFonts w:ascii="Times New Roman" w:hAnsi="Times New Roman" w:cs="Times New Roman"/>
          <w:i w:val="0"/>
          <w:iCs w:val="0"/>
          <w:sz w:val="20"/>
          <w:szCs w:val="20"/>
        </w:rPr>
        <w:t>3</w:t>
      </w:r>
      <w:r w:rsidRPr="001E6700">
        <w:rPr>
          <w:rFonts w:ascii="Times New Roman" w:hAnsi="Times New Roman" w:cs="Times New Roman"/>
          <w:i w:val="0"/>
          <w:iCs w:val="0"/>
          <w:sz w:val="20"/>
          <w:szCs w:val="20"/>
        </w:rPr>
        <w:t>).</w:t>
      </w:r>
      <w:r w:rsidRPr="009668D3">
        <w:rPr>
          <w:rFonts w:ascii="Times New Roman" w:hAnsi="Times New Roman" w:cs="Times New Roman"/>
          <w:i w:val="0"/>
          <w:sz w:val="20"/>
          <w:szCs w:val="20"/>
        </w:rPr>
        <w:t xml:space="preserve"> Higher bird predation increases the attack rate required for coexistence, which predominantly occurs at high attack rates and low-to-moderate predation (71% of the grid). The parasitoid-free regime is observed at low attack rates or high predation (27% of the grid). Coexistence is achieved when parasitoid attack rate, winter survival, emergence rate, beetle reproduction and survival are high, larval mortality is low, and passerine predation is moderate, assuming other phenologies are held constant</w:t>
      </w:r>
      <w:r w:rsidR="00533F15" w:rsidRPr="009668D3">
        <w:rPr>
          <w:rFonts w:ascii="Times New Roman" w:hAnsi="Times New Roman" w:cs="Times New Roman"/>
          <w:i w:val="0"/>
          <w:color w:val="auto"/>
          <w:sz w:val="20"/>
          <w:szCs w:val="20"/>
        </w:rPr>
        <w:t xml:space="preserve">. </w:t>
      </w:r>
    </w:p>
    <w:p w14:paraId="486CB927" w14:textId="77777777" w:rsidR="00533F15" w:rsidRPr="009668D3" w:rsidRDefault="00533F15" w:rsidP="002D21BC">
      <w:pPr>
        <w:keepNext/>
        <w:spacing w:line="240" w:lineRule="auto"/>
        <w:jc w:val="both"/>
        <w:rPr>
          <w:rFonts w:ascii="Times New Roman" w:hAnsi="Times New Roman" w:cs="Times New Roman"/>
          <w:sz w:val="20"/>
          <w:szCs w:val="20"/>
        </w:rPr>
      </w:pPr>
      <w:r w:rsidRPr="009668D3">
        <w:rPr>
          <w:rFonts w:ascii="Times New Roman" w:hAnsi="Times New Roman" w:cs="Times New Roman"/>
          <w:noProof/>
          <w:sz w:val="20"/>
          <w:szCs w:val="20"/>
        </w:rPr>
        <w:lastRenderedPageBreak/>
        <w:drawing>
          <wp:inline distT="0" distB="0" distL="0" distR="0" wp14:anchorId="2D2B8C17" wp14:editId="474D19E7">
            <wp:extent cx="5731510" cy="4398645"/>
            <wp:effectExtent l="0" t="0" r="2540" b="1905"/>
            <wp:docPr id="1252757373" name="Picture 7" descr="The image appears to be a complex multi-variable graph, likely representing ecological or biological data, showing various factors such as season length (T), beetle and parasitoid overwintering (o_A and o_F), emergence rate (6), larval mortality (u_S), bird pressure (B), and other variables (R P) plotted against a scale that includes time, percentage, and other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57373" name="Picture 7" descr="The image appears to be a complex multi-variable graph, likely representing ecological or biological data, showing various factors such as season length (T), beetle and parasitoid overwintering (o_A and o_F), emergence rate (6), larval mortality (u_S), bird pressure (B), and other variables (R P) plotted against a scale that includes time, percentage, and other measuremen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398645"/>
                    </a:xfrm>
                    <a:prstGeom prst="rect">
                      <a:avLst/>
                    </a:prstGeom>
                  </pic:spPr>
                </pic:pic>
              </a:graphicData>
            </a:graphic>
          </wp:inline>
        </w:drawing>
      </w:r>
    </w:p>
    <w:p w14:paraId="5717EEB3" w14:textId="17104167" w:rsidR="00533F15" w:rsidRPr="009668D3" w:rsidRDefault="00533F15" w:rsidP="002D21BC">
      <w:pPr>
        <w:pStyle w:val="Caption"/>
        <w:jc w:val="both"/>
        <w:rPr>
          <w:rFonts w:ascii="Times New Roman" w:hAnsi="Times New Roman" w:cs="Times New Roman"/>
          <w:sz w:val="20"/>
          <w:szCs w:val="20"/>
        </w:rPr>
      </w:pPr>
      <w:r w:rsidRPr="001E6700">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4</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Pr="009668D3">
        <w:rPr>
          <w:rFonts w:ascii="Times New Roman" w:hAnsi="Times New Roman" w:cs="Times New Roman"/>
          <w:sz w:val="20"/>
          <w:szCs w:val="20"/>
        </w:rPr>
        <w:t xml:space="preserve"> Parasitoid invasion threshold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as a function of each phenological parameter. Each panel shows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oMath>
      <w:r w:rsidRPr="009668D3">
        <w:rPr>
          <w:rFonts w:ascii="Times New Roman" w:hAnsi="Times New Roman" w:cs="Times New Roman"/>
          <w:sz w:val="20"/>
          <w:szCs w:val="20"/>
        </w:rPr>
        <w:t xml:space="preserve"> evaluated at the parasitoid-free fixed point of the annual map while varying one parameter across its plausible range (Table </w:t>
      </w:r>
      <w:r w:rsidR="009D6EBA" w:rsidRPr="009668D3">
        <w:rPr>
          <w:rFonts w:ascii="Times New Roman" w:hAnsi="Times New Roman" w:cs="Times New Roman"/>
          <w:sz w:val="20"/>
          <w:szCs w:val="20"/>
        </w:rPr>
        <w:t>S1</w:t>
      </w:r>
      <w:r w:rsidRPr="009668D3">
        <w:rPr>
          <w:rFonts w:ascii="Times New Roman" w:hAnsi="Times New Roman" w:cs="Times New Roman"/>
          <w:sz w:val="20"/>
          <w:szCs w:val="20"/>
        </w:rPr>
        <w:t xml:space="preserve">), with all other parameters held at the calibrated baseline. The dashed red line marks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1</m:t>
        </m:r>
      </m:oMath>
      <w:r w:rsidR="00F7489D" w:rsidRPr="009668D3">
        <w:rPr>
          <w:rFonts w:ascii="Times New Roman" w:hAnsi="Times New Roman" w:cs="Times New Roman"/>
          <w:sz w:val="20"/>
          <w:szCs w:val="20"/>
        </w:rPr>
        <w:t>. Above this boundary, the parasitoid can invade and persist (coexistence regime); below it,</w:t>
      </w:r>
      <w:r w:rsidRPr="009668D3">
        <w:rPr>
          <w:rFonts w:ascii="Times New Roman" w:hAnsi="Times New Roman" w:cs="Times New Roman"/>
          <w:sz w:val="20"/>
          <w:szCs w:val="20"/>
        </w:rPr>
        <w:t xml:space="preserve"> the parasitoid declines to extinction (parasitoid-free regime). Vertical dotted lines indicate the approximate parameter value at which the threshold crossing occurs.</w:t>
      </w:r>
    </w:p>
    <w:p w14:paraId="0FEF00D9" w14:textId="428042D0" w:rsidR="0040714D" w:rsidRPr="00C01730" w:rsidRDefault="0040714D" w:rsidP="002D21BC">
      <w:pPr>
        <w:spacing w:line="240" w:lineRule="auto"/>
        <w:jc w:val="both"/>
        <w:rPr>
          <w:rFonts w:ascii="Times New Roman" w:hAnsi="Times New Roman" w:cs="Times New Roman"/>
          <w:color w:val="0E2841" w:themeColor="text2"/>
          <w:sz w:val="22"/>
          <w:szCs w:val="22"/>
        </w:rPr>
      </w:pPr>
      <w:r w:rsidRPr="00FE7AAC">
        <w:rPr>
          <w:rFonts w:ascii="Times New Roman" w:hAnsi="Times New Roman" w:cs="Times New Roman"/>
          <w:color w:val="0E2841" w:themeColor="text2"/>
          <w:sz w:val="22"/>
          <w:szCs w:val="22"/>
        </w:rPr>
        <w:t xml:space="preserve">Figure </w:t>
      </w:r>
      <w:r w:rsidR="00773963">
        <w:rPr>
          <w:rFonts w:ascii="Times New Roman" w:hAnsi="Times New Roman" w:cs="Times New Roman"/>
          <w:color w:val="0E2841" w:themeColor="text2"/>
          <w:sz w:val="22"/>
          <w:szCs w:val="22"/>
        </w:rPr>
        <w:t xml:space="preserve">4 </w:t>
      </w:r>
      <w:r w:rsidRPr="00FE7AAC">
        <w:rPr>
          <w:rFonts w:ascii="Times New Roman" w:hAnsi="Times New Roman" w:cs="Times New Roman"/>
          <w:color w:val="0E2841" w:themeColor="text2"/>
          <w:sz w:val="22"/>
          <w:szCs w:val="22"/>
        </w:rPr>
        <w:t>evaluat</w:t>
      </w:r>
      <w:r w:rsidR="00773963">
        <w:rPr>
          <w:rFonts w:ascii="Times New Roman" w:hAnsi="Times New Roman" w:cs="Times New Roman"/>
          <w:color w:val="0E2841" w:themeColor="text2"/>
          <w:sz w:val="22"/>
          <w:szCs w:val="22"/>
        </w:rPr>
        <w:t>es</w:t>
      </w:r>
      <w:r w:rsidRPr="00FE7AAC">
        <w:rPr>
          <w:rFonts w:ascii="Times New Roman" w:hAnsi="Times New Roman" w:cs="Times New Roman"/>
          <w:color w:val="0E2841" w:themeColor="text2"/>
          <w:sz w:val="22"/>
          <w:szCs w:val="22"/>
        </w:rPr>
        <w:t xml:space="preserve"> the parasitoid invasion threshold,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at the parasitoid-free fixed point of the annual map, in contrast to the durability of the coexistence equilibrium.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measures the annual growth potential of a rare parasitoid at the boundary equilibrium.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exceeds 1, parasitoids can increase from rarity and drive the system toward coexistence;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is less than 1, they fail to establish, and the parasitoid-free state persists. The line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Pr="00FE7AAC">
        <w:rPr>
          <w:rFonts w:ascii="Times New Roman" w:hAnsi="Times New Roman" w:cs="Times New Roman"/>
          <w:color w:val="0E2841" w:themeColor="text2"/>
          <w:sz w:val="22"/>
          <w:szCs w:val="22"/>
        </w:rPr>
        <w:t xml:space="preserve"> marks the invasion boundary between these regimes. This threshold measures how many new adult parasitoids are produced for each added per year, calculated at the parasitoid-free equilibrium of the annual map across other parameter space (Step 6). Since H1 is rejected, the parasitoid-free state is likely. Thus,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is crucial for O2. If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&gt; 1</m:t>
        </m:r>
      </m:oMath>
      <w:r>
        <w:rPr>
          <w:rFonts w:ascii="Times New Roman" w:hAnsi="Times New Roman" w:cs="Times New Roman"/>
          <w:color w:val="0E2841" w:themeColor="text2"/>
          <w:sz w:val="22"/>
          <w:szCs w:val="22"/>
        </w:rPr>
        <w:t>, a</w:t>
      </w:r>
      <w:r w:rsidRPr="00FE7AAC">
        <w:rPr>
          <w:rFonts w:ascii="Times New Roman" w:hAnsi="Times New Roman" w:cs="Times New Roman"/>
          <w:color w:val="0E2841" w:themeColor="text2"/>
          <w:sz w:val="22"/>
          <w:szCs w:val="22"/>
        </w:rPr>
        <w:t xml:space="preserve"> few parasitoids can spread and push the system to coexistence. If </w:t>
      </w:r>
      <m:oMath>
        <m:sSub>
          <m:sSubPr>
            <m:ctrlPr>
              <w:rPr>
                <w:rFonts w:ascii="Cambria Math" w:eastAsiaTheme="minorEastAsia" w:hAnsi="Cambria Math" w:cs="Times New Roman"/>
                <w:i/>
                <w:color w:val="0E2841" w:themeColor="text2"/>
                <w:sz w:val="22"/>
                <w:szCs w:val="22"/>
              </w:rPr>
            </m:ctrlPr>
          </m:sSubPr>
          <m:e>
            <m:r>
              <w:rPr>
                <w:rFonts w:ascii="Cambria Math" w:eastAsiaTheme="minorEastAsia" w:hAnsi="Cambria Math" w:cs="Times New Roman"/>
                <w:color w:val="0E2841" w:themeColor="text2"/>
                <w:sz w:val="22"/>
                <w:szCs w:val="22"/>
              </w:rPr>
              <m:t>R</m:t>
            </m:r>
          </m:e>
          <m:sub>
            <m:r>
              <w:rPr>
                <w:rFonts w:ascii="Cambria Math" w:eastAsiaTheme="minorEastAsia" w:hAnsi="Cambria Math" w:cs="Times New Roman"/>
                <w:color w:val="0E2841" w:themeColor="text2"/>
                <w:sz w:val="22"/>
                <w:szCs w:val="22"/>
              </w:rPr>
              <m:t>P</m:t>
            </m:r>
          </m:sub>
        </m:sSub>
        <m:r>
          <w:rPr>
            <w:rFonts w:ascii="Cambria Math" w:eastAsiaTheme="minorEastAsia" w:hAnsi="Cambria Math" w:cs="Times New Roman"/>
            <w:color w:val="0E2841" w:themeColor="text2"/>
            <w:sz w:val="22"/>
            <w:szCs w:val="22"/>
          </w:rPr>
          <m:t xml:space="preserve"> &lt; 1</m:t>
        </m:r>
      </m:oMath>
      <w:r w:rsidRPr="00FE7AAC">
        <w:rPr>
          <w:rFonts w:ascii="Times New Roman" w:hAnsi="Times New Roman" w:cs="Times New Roman"/>
          <w:color w:val="0E2841" w:themeColor="text2"/>
          <w:sz w:val="22"/>
          <w:szCs w:val="22"/>
        </w:rPr>
        <w:t xml:space="preserve">, they die out, and the system remains parasitoid-free. The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Pr="00FE7AAC">
        <w:rPr>
          <w:rFonts w:ascii="Times New Roman" w:hAnsi="Times New Roman" w:cs="Times New Roman"/>
          <w:color w:val="0E2841" w:themeColor="text2"/>
          <w:sz w:val="22"/>
          <w:szCs w:val="22"/>
        </w:rPr>
        <w:t xml:space="preserve"> line marks where the main shift between these two states occurs. Seven of nine parameters cross the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r>
          <w:rPr>
            <w:rFonts w:ascii="Cambria Math" w:hAnsi="Cambria Math" w:cs="Times New Roman"/>
            <w:color w:val="0E2841" w:themeColor="text2"/>
            <w:sz w:val="22"/>
            <w:szCs w:val="22"/>
          </w:rPr>
          <m:t xml:space="preserve"> = 1</m:t>
        </m:r>
      </m:oMath>
      <w:r w:rsidRPr="00FE7AAC">
        <w:rPr>
          <w:rFonts w:ascii="Times New Roman" w:hAnsi="Times New Roman" w:cs="Times New Roman"/>
          <w:color w:val="0E2841" w:themeColor="text2"/>
          <w:sz w:val="22"/>
          <w:szCs w:val="22"/>
        </w:rPr>
        <w:t xml:space="preserve"> threshold. Raising the bird pressure index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B</m:t>
            </m:r>
          </m:e>
          <m:sub>
            <m:r>
              <w:rPr>
                <w:rFonts w:ascii="Cambria Math" w:hAnsi="Cambria Math" w:cs="Times New Roman"/>
                <w:color w:val="0E2841" w:themeColor="text2"/>
                <w:sz w:val="22"/>
                <w:szCs w:val="22"/>
              </w:rPr>
              <m:t>t</m:t>
            </m:r>
          </m:sub>
        </m:sSub>
      </m:oMath>
      <w:r w:rsidRPr="00FE7AAC">
        <w:rPr>
          <w:rFonts w:ascii="Times New Roman" w:hAnsi="Times New Roman" w:cs="Times New Roman"/>
          <w:color w:val="0E2841" w:themeColor="text2"/>
          <w:sz w:val="22"/>
          <w:szCs w:val="22"/>
        </w:rPr>
        <w:t xml:space="preserve"> quickly lowers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and crosses the threshold. Increasing the susceptible larval death rate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μ</m:t>
            </m:r>
          </m:e>
          <m:sub>
            <m:r>
              <w:rPr>
                <w:rFonts w:ascii="Cambria Math" w:hAnsi="Cambria Math" w:cs="Times New Roman"/>
                <w:color w:val="0E2841" w:themeColor="text2"/>
                <w:sz w:val="22"/>
                <w:szCs w:val="22"/>
              </w:rPr>
              <m:t>S</m:t>
            </m:r>
          </m:sub>
        </m:sSub>
      </m:oMath>
      <w:r w:rsidRPr="00FE7AAC">
        <w:rPr>
          <w:rFonts w:ascii="Times New Roman" w:hAnsi="Times New Roman" w:cs="Times New Roman"/>
          <w:color w:val="0E2841" w:themeColor="text2"/>
          <w:sz w:val="22"/>
          <w:szCs w:val="22"/>
        </w:rPr>
        <w:t xml:space="preserve"> also lowers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and crosses the threshold. Conversely, increasing the parasitoid attack rate β raises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and crosses the threshold. Higher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B</m:t>
            </m:r>
          </m:sub>
        </m:sSub>
      </m:oMath>
      <w:r w:rsidRPr="00FE7AAC">
        <w:rPr>
          <w:rFonts w:ascii="Times New Roman" w:hAnsi="Times New Roman" w:cs="Times New Roman"/>
          <w:color w:val="0E2841" w:themeColor="text2"/>
          <w:sz w:val="22"/>
          <w:szCs w:val="22"/>
        </w:rPr>
        <w:t xml:space="preserve"> increases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with persistence around the threshold value of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B</m:t>
            </m:r>
          </m:sub>
        </m:sSub>
      </m:oMath>
      <w:r w:rsidRPr="00FE7AAC">
        <w:rPr>
          <w:rFonts w:ascii="Times New Roman" w:hAnsi="Times New Roman" w:cs="Times New Roman"/>
          <w:color w:val="0E2841" w:themeColor="text2"/>
          <w:sz w:val="22"/>
          <w:szCs w:val="22"/>
        </w:rPr>
        <w:t xml:space="preserve"> from Figure </w:t>
      </w:r>
      <w:r w:rsidR="00773963">
        <w:rPr>
          <w:rFonts w:ascii="Times New Roman" w:hAnsi="Times New Roman" w:cs="Times New Roman"/>
          <w:color w:val="0E2841" w:themeColor="text2"/>
          <w:sz w:val="22"/>
          <w:szCs w:val="22"/>
        </w:rPr>
        <w:t>2</w:t>
      </w:r>
      <w:r w:rsidRPr="00FE7AAC">
        <w:rPr>
          <w:rFonts w:ascii="Times New Roman" w:hAnsi="Times New Roman" w:cs="Times New Roman"/>
          <w:color w:val="0E2841" w:themeColor="text2"/>
          <w:sz w:val="22"/>
          <w:szCs w:val="22"/>
        </w:rPr>
        <w:t xml:space="preserve">. Beetle overwinter survival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σ</m:t>
            </m:r>
          </m:e>
          <m:sub>
            <m:r>
              <w:rPr>
                <w:rFonts w:ascii="Cambria Math" w:hAnsi="Cambria Math" w:cs="Times New Roman"/>
                <w:color w:val="0E2841" w:themeColor="text2"/>
                <w:sz w:val="22"/>
                <w:szCs w:val="22"/>
              </w:rPr>
              <m:t>A</m:t>
            </m:r>
          </m:sub>
        </m:sSub>
      </m:oMath>
      <w:r w:rsidRPr="00FE7AAC">
        <w:rPr>
          <w:rFonts w:ascii="Times New Roman" w:hAnsi="Times New Roman" w:cs="Times New Roman"/>
          <w:color w:val="0E2841" w:themeColor="text2"/>
          <w:sz w:val="22"/>
          <w:szCs w:val="22"/>
        </w:rPr>
        <w:t xml:space="preserve">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B), parasitoid overwinter survival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σ</m:t>
            </m:r>
          </m:e>
          <m:sub>
            <m:r>
              <w:rPr>
                <w:rFonts w:ascii="Cambria Math" w:hAnsi="Cambria Math" w:cs="Times New Roman"/>
                <w:color w:val="0E2841" w:themeColor="text2"/>
                <w:sz w:val="22"/>
                <w:szCs w:val="22"/>
              </w:rPr>
              <m:t>F</m:t>
            </m:r>
          </m:sub>
        </m:sSub>
      </m:oMath>
      <w:r w:rsidRPr="00FE7AAC">
        <w:rPr>
          <w:rFonts w:ascii="Times New Roman" w:hAnsi="Times New Roman" w:cs="Times New Roman"/>
          <w:color w:val="0E2841" w:themeColor="text2"/>
          <w:sz w:val="22"/>
          <w:szCs w:val="22"/>
        </w:rPr>
        <w:t xml:space="preserve">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C) and increasing parasitoid emergence rate δ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D) each </w:t>
      </w:r>
      <w:r>
        <w:rPr>
          <w:rFonts w:ascii="Times New Roman" w:hAnsi="Times New Roman" w:cs="Times New Roman"/>
          <w:color w:val="0E2841" w:themeColor="text2"/>
          <w:sz w:val="22"/>
          <w:szCs w:val="22"/>
        </w:rPr>
        <w:t>raises</w:t>
      </w:r>
      <w:r w:rsidRPr="00FE7AAC">
        <w:rPr>
          <w:rFonts w:ascii="Times New Roman" w:hAnsi="Times New Roman" w:cs="Times New Roman"/>
          <w:color w:val="0E2841" w:themeColor="text2"/>
          <w:sz w:val="22"/>
          <w:szCs w:val="22"/>
        </w:rPr>
        <w:t xml:space="preserve">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Each threshold crossing shows the parameter value needed for persistence. Season duration T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 increases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so longer seasons lower but do not eliminate parasitoid persistence at baseline. The defoliation </w:t>
      </w:r>
      <w:r>
        <w:rPr>
          <w:rFonts w:ascii="Times New Roman" w:hAnsi="Times New Roman" w:cs="Times New Roman"/>
          <w:color w:val="0E2841" w:themeColor="text2"/>
          <w:sz w:val="22"/>
          <w:szCs w:val="22"/>
        </w:rPr>
        <w:t>damages</w:t>
      </w:r>
      <w:r w:rsidRPr="00FE7AAC">
        <w:rPr>
          <w:rFonts w:ascii="Times New Roman" w:hAnsi="Times New Roman" w:cs="Times New Roman"/>
          <w:color w:val="0E2841" w:themeColor="text2"/>
          <w:sz w:val="22"/>
          <w:szCs w:val="22"/>
        </w:rPr>
        <w:t xml:space="preserve"> memory-based vernal growth </w:t>
      </w:r>
      <m:oMath>
        <m:r>
          <w:rPr>
            <w:rFonts w:ascii="Cambria Math" w:hAnsi="Cambria Math" w:cs="Times New Roman"/>
            <w:color w:val="0E2841" w:themeColor="text2"/>
            <w:sz w:val="22"/>
            <w:szCs w:val="22"/>
          </w:rPr>
          <m:t>φ</m:t>
        </m:r>
      </m:oMath>
      <w:r w:rsidRPr="00FE7AAC">
        <w:rPr>
          <w:rFonts w:ascii="Times New Roman" w:hAnsi="Times New Roman" w:cs="Times New Roman"/>
          <w:color w:val="0E2841" w:themeColor="text2"/>
          <w:sz w:val="22"/>
          <w:szCs w:val="22"/>
        </w:rPr>
        <w:t xml:space="preserve">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G), which defines carrying capacity, slightly decreases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This shows that foliage-memory feedback has minimal impact on parasitoid invasion. Therefore, Figure </w:t>
      </w:r>
      <w:r w:rsidR="000A3E17">
        <w:rPr>
          <w:rFonts w:ascii="Times New Roman" w:hAnsi="Times New Roman" w:cs="Times New Roman"/>
          <w:color w:val="0E2841" w:themeColor="text2"/>
          <w:sz w:val="22"/>
          <w:szCs w:val="22"/>
        </w:rPr>
        <w:t>4</w:t>
      </w:r>
      <w:r w:rsidRPr="00FE7AAC">
        <w:rPr>
          <w:rFonts w:ascii="Times New Roman" w:hAnsi="Times New Roman" w:cs="Times New Roman"/>
          <w:color w:val="0E2841" w:themeColor="text2"/>
          <w:sz w:val="22"/>
          <w:szCs w:val="22"/>
        </w:rPr>
        <w:t xml:space="preserve"> reveals that moving </w:t>
      </w:r>
      <w:r w:rsidRPr="00FE7AAC">
        <w:rPr>
          <w:rFonts w:ascii="Times New Roman" w:hAnsi="Times New Roman" w:cs="Times New Roman"/>
          <w:color w:val="0E2841" w:themeColor="text2"/>
          <w:sz w:val="22"/>
          <w:szCs w:val="22"/>
        </w:rPr>
        <w:lastRenderedPageBreak/>
        <w:t xml:space="preserve">from coexisting equilibria by decreasing </w:t>
      </w:r>
      <m:oMath>
        <m:sSub>
          <m:sSubPr>
            <m:ctrlPr>
              <w:rPr>
                <w:rFonts w:ascii="Cambria Math" w:hAnsi="Cambria Math" w:cs="Times New Roman"/>
                <w:i/>
                <w:color w:val="0E2841" w:themeColor="text2"/>
                <w:sz w:val="22"/>
                <w:szCs w:val="22"/>
              </w:rPr>
            </m:ctrlPr>
          </m:sSubPr>
          <m:e>
            <m:r>
              <w:rPr>
                <w:rFonts w:ascii="Cambria Math" w:hAnsi="Cambria Math" w:cs="Times New Roman"/>
                <w:color w:val="0E2841" w:themeColor="text2"/>
                <w:sz w:val="22"/>
                <w:szCs w:val="22"/>
              </w:rPr>
              <m:t>R</m:t>
            </m:r>
          </m:e>
          <m:sub>
            <m:r>
              <w:rPr>
                <w:rFonts w:ascii="Cambria Math" w:hAnsi="Cambria Math" w:cs="Times New Roman"/>
                <w:color w:val="0E2841" w:themeColor="text2"/>
                <w:sz w:val="22"/>
                <w:szCs w:val="22"/>
              </w:rPr>
              <m:t>P</m:t>
            </m:r>
          </m:sub>
        </m:sSub>
      </m:oMath>
      <w:r w:rsidRPr="00FE7AAC">
        <w:rPr>
          <w:rFonts w:ascii="Times New Roman" w:hAnsi="Times New Roman" w:cs="Times New Roman"/>
          <w:color w:val="0E2841" w:themeColor="text2"/>
          <w:sz w:val="22"/>
          <w:szCs w:val="22"/>
        </w:rPr>
        <w:t xml:space="preserve"> results from a lower attack rate, reduced beetle or parasitoid survival, or slower emergence. </w:t>
      </w:r>
    </w:p>
    <w:p w14:paraId="4838AD77" w14:textId="6F2F9834" w:rsidR="0094245B" w:rsidRPr="009668D3" w:rsidRDefault="0094245B" w:rsidP="002D21BC">
      <w:pPr>
        <w:spacing w:line="240" w:lineRule="auto"/>
        <w:jc w:val="both"/>
        <w:rPr>
          <w:rFonts w:ascii="Times New Roman" w:hAnsi="Times New Roman" w:cs="Times New Roman"/>
          <w:b/>
          <w:color w:val="0E2841" w:themeColor="text2"/>
          <w:sz w:val="20"/>
          <w:szCs w:val="20"/>
        </w:rPr>
      </w:pPr>
      <w:r w:rsidRPr="009668D3">
        <w:rPr>
          <w:rFonts w:ascii="Times New Roman" w:hAnsi="Times New Roman" w:cs="Times New Roman"/>
          <w:b/>
          <w:color w:val="0E2841" w:themeColor="text2"/>
          <w:sz w:val="20"/>
          <w:szCs w:val="20"/>
        </w:rPr>
        <w:t xml:space="preserve">3.2 </w:t>
      </w:r>
      <w:r w:rsidR="000E2FF5" w:rsidRPr="009668D3">
        <w:rPr>
          <w:rFonts w:ascii="Times New Roman" w:hAnsi="Times New Roman" w:cs="Times New Roman"/>
          <w:b/>
          <w:color w:val="0E2841" w:themeColor="text2"/>
          <w:sz w:val="20"/>
          <w:szCs w:val="20"/>
        </w:rPr>
        <w:t xml:space="preserve"> Meeting o</w:t>
      </w:r>
      <w:r w:rsidRPr="009668D3">
        <w:rPr>
          <w:rFonts w:ascii="Times New Roman" w:hAnsi="Times New Roman" w:cs="Times New Roman"/>
          <w:b/>
          <w:color w:val="0E2841" w:themeColor="text2"/>
          <w:sz w:val="20"/>
          <w:szCs w:val="20"/>
        </w:rPr>
        <w:t xml:space="preserve">bjective </w:t>
      </w:r>
      <w:r w:rsidR="000E2FF5" w:rsidRPr="009668D3">
        <w:rPr>
          <w:rFonts w:ascii="Times New Roman" w:hAnsi="Times New Roman" w:cs="Times New Roman"/>
          <w:b/>
          <w:color w:val="0E2841" w:themeColor="text2"/>
          <w:sz w:val="20"/>
          <w:szCs w:val="20"/>
        </w:rPr>
        <w:t>2</w:t>
      </w:r>
    </w:p>
    <w:p w14:paraId="5F197F80" w14:textId="77777777" w:rsidR="004478A5" w:rsidRPr="009668D3" w:rsidRDefault="004478A5" w:rsidP="002D21BC">
      <w:pPr>
        <w:pStyle w:val="Caption"/>
        <w:keepNext/>
        <w:jc w:val="both"/>
        <w:rPr>
          <w:rFonts w:ascii="Times New Roman" w:hAnsi="Times New Roman" w:cs="Times New Roman"/>
          <w:sz w:val="20"/>
          <w:szCs w:val="20"/>
        </w:rPr>
      </w:pPr>
      <w:r w:rsidRPr="009668D3">
        <w:rPr>
          <w:rFonts w:ascii="Times New Roman" w:hAnsi="Times New Roman" w:cs="Times New Roman"/>
          <w:i w:val="0"/>
          <w:noProof/>
          <w:sz w:val="20"/>
          <w:szCs w:val="20"/>
        </w:rPr>
        <w:drawing>
          <wp:inline distT="0" distB="0" distL="0" distR="0" wp14:anchorId="34B213A3" wp14:editId="32EFFB26">
            <wp:extent cx="5731510" cy="1773555"/>
            <wp:effectExtent l="0" t="0" r="2540" b="0"/>
            <wp:docPr id="1903093127" name="Picture 8" descr="The diagram illustrates a model of ecological interactions involving beetles, parasitoids, and birds, showing variables like mortality rates, reproduction, and environmental factors that affect the population dynamics and potential for regime shif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93127" name="Picture 8" descr="The diagram illustrates a model of ecological interactions involving beetles, parasitoids, and birds, showing variables like mortality rates, reproduction, and environmental factors that affect the population dynamics and potential for regime shif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73555"/>
                    </a:xfrm>
                    <a:prstGeom prst="rect">
                      <a:avLst/>
                    </a:prstGeom>
                  </pic:spPr>
                </pic:pic>
              </a:graphicData>
            </a:graphic>
          </wp:inline>
        </w:drawing>
      </w:r>
    </w:p>
    <w:p w14:paraId="51041D44" w14:textId="0B58D988" w:rsidR="00665518" w:rsidRPr="00665518" w:rsidRDefault="004478A5" w:rsidP="00665518">
      <w:pPr>
        <w:pStyle w:val="Caption"/>
        <w:jc w:val="both"/>
        <w:rPr>
          <w:rFonts w:ascii="Times New Roman" w:hAnsi="Times New Roman" w:cs="Times New Roman"/>
          <w:sz w:val="20"/>
          <w:szCs w:val="20"/>
        </w:rPr>
      </w:pPr>
      <w:r w:rsidRPr="009668D3">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5</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Pr="009668D3">
        <w:rPr>
          <w:rFonts w:ascii="Times New Roman" w:hAnsi="Times New Roman" w:cs="Times New Roman"/>
          <w:sz w:val="20"/>
          <w:szCs w:val="20"/>
        </w:rPr>
        <w:t xml:space="preserve"> Early-warning summary: parametric drivers, regime-shift probability, and adaptive-stability reference frame. (A) Partial rank correlation coefficients (PRCC) between each model parameter and the dominant eigenvalue magnitude ρ* across the Latin Hypercube sample; red bars indicate |PRCC| &gt; 0.25 (warning candidates). (B) Regime-shift probability per phenological scenario (one-at-a-time variation) and for the joint Latin Hypercube sample; horizontal bars show 95% bootstrap confidence intervals; colour indicates risk level. (C) All one-at-a-time scan points projected onto the resistance–resilience plane, where resistance = </w:t>
      </w:r>
      <m:oMath>
        <m:r>
          <w:rPr>
            <w:rFonts w:ascii="Cambria Math" w:hAnsi="Cambria Math" w:cs="Times New Roman"/>
            <w:sz w:val="20"/>
            <w:szCs w:val="20"/>
          </w:rPr>
          <m:t xml:space="preserve">1 - </m:t>
        </m:r>
        <m:f>
          <m:fPr>
            <m:ctrlPr>
              <w:rPr>
                <w:rFonts w:ascii="Cambria Math" w:hAnsi="Cambria Math" w:cs="Times New Roman"/>
                <w:sz w:val="20"/>
                <w:szCs w:val="20"/>
              </w:rPr>
            </m:ctrlPr>
          </m:fPr>
          <m:num>
            <m:r>
              <w:rPr>
                <w:rFonts w:ascii="Cambria Math" w:hAnsi="Cambria Math" w:cs="Times New Roman"/>
                <w:sz w:val="20"/>
                <w:szCs w:val="20"/>
              </w:rPr>
              <m:t>D</m:t>
            </m:r>
          </m:num>
          <m:den>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crit</m:t>
                </m:r>
              </m:sub>
            </m:sSub>
          </m:den>
        </m:f>
      </m:oMath>
      <w:r w:rsidRPr="009668D3">
        <w:rPr>
          <w:rFonts w:ascii="Times New Roman" w:hAnsi="Times New Roman" w:cs="Times New Roman"/>
          <w:sz w:val="20"/>
          <w:szCs w:val="20"/>
        </w:rPr>
        <w:t xml:space="preserve"> and resilience = 1 − ρ*</w:t>
      </w:r>
      <w:r w:rsidR="004611F6" w:rsidRPr="009668D3">
        <w:rPr>
          <w:rFonts w:ascii="Times New Roman" w:hAnsi="Times New Roman" w:cs="Times New Roman"/>
          <w:sz w:val="20"/>
          <w:szCs w:val="20"/>
        </w:rPr>
        <w:t xml:space="preserve"> (contrast to van Meerbeek et al. (2021) resistance and resilience)</w:t>
      </w:r>
      <w:r w:rsidRPr="009668D3">
        <w:rPr>
          <w:rFonts w:ascii="Times New Roman" w:hAnsi="Times New Roman" w:cs="Times New Roman"/>
          <w:sz w:val="20"/>
          <w:szCs w:val="20"/>
        </w:rPr>
        <w:t>; green circles denote coexistence outcomes, red crosses denote regime shifts.</w:t>
      </w:r>
    </w:p>
    <w:p w14:paraId="1AFF2E17" w14:textId="4E4BD380" w:rsidR="00842431" w:rsidRPr="00FE7AAC" w:rsidRDefault="00842431" w:rsidP="00842431">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Figure </w:t>
      </w:r>
      <w:r>
        <w:rPr>
          <w:rFonts w:ascii="Times New Roman" w:hAnsi="Times New Roman" w:cs="Times New Roman"/>
          <w:i w:val="0"/>
          <w:iCs w:val="0"/>
          <w:sz w:val="22"/>
          <w:szCs w:val="22"/>
        </w:rPr>
        <w:t>5</w:t>
      </w:r>
      <w:r w:rsidRPr="00FE7AAC">
        <w:rPr>
          <w:rFonts w:ascii="Times New Roman" w:hAnsi="Times New Roman" w:cs="Times New Roman"/>
          <w:i w:val="0"/>
          <w:iCs w:val="0"/>
          <w:sz w:val="22"/>
          <w:szCs w:val="22"/>
        </w:rPr>
        <w:t xml:space="preserve"> quantifies regime-shift risk and highlights the main drivers of parametric instability—variability in phenology (the timing of seasonal biological events). The partial rank correlation coefficient (PRCC) shows how sensitive system stability at coexistence is to each parameter. Stability is measured using the dominant eigenvalue magnitude ρ* (indicating how quickly the system returns to equilibrium after disturbance), based on the Latin Hypercube sample (Step 10) in Figure </w:t>
      </w:r>
      <w:r>
        <w:rPr>
          <w:rFonts w:ascii="Times New Roman" w:hAnsi="Times New Roman" w:cs="Times New Roman"/>
          <w:i w:val="0"/>
          <w:iCs w:val="0"/>
          <w:sz w:val="22"/>
          <w:szCs w:val="22"/>
        </w:rPr>
        <w:t>5</w:t>
      </w:r>
      <w:r w:rsidRPr="00FE7AAC">
        <w:rPr>
          <w:rFonts w:ascii="Times New Roman" w:hAnsi="Times New Roman" w:cs="Times New Roman"/>
          <w:i w:val="0"/>
          <w:iCs w:val="0"/>
          <w:sz w:val="22"/>
          <w:szCs w:val="22"/>
        </w:rPr>
        <w:t xml:space="preserve">A. Parameters with absolute PRCC above the threshold increase instability risk in ρ*. Only parasitoid attack rate β (the rate at which parasitoids attack hosts) and susceptible larval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(the death rate of larvae vulnerable to attack) surpass this threshold, but their effects differ; increasing β </w:t>
      </w:r>
      <w:r>
        <w:rPr>
          <w:rFonts w:ascii="Times New Roman" w:hAnsi="Times New Roman" w:cs="Times New Roman"/>
          <w:i w:val="0"/>
          <w:iCs w:val="0"/>
          <w:sz w:val="22"/>
          <w:szCs w:val="22"/>
        </w:rPr>
        <w:t>stabilises</w:t>
      </w:r>
      <w:r w:rsidRPr="00FE7AAC">
        <w:rPr>
          <w:rFonts w:ascii="Times New Roman" w:hAnsi="Times New Roman" w:cs="Times New Roman"/>
          <w:i w:val="0"/>
          <w:iCs w:val="0"/>
          <w:sz w:val="22"/>
          <w:szCs w:val="22"/>
        </w:rPr>
        <w:t xml:space="preserve"> coexistence (positive PRCC, higher ρ*), while increasing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lowers stability. Next most influential are parasitoid conversion efficiency </w:t>
      </w:r>
      <m:oMath>
        <m:r>
          <w:rPr>
            <w:rFonts w:ascii="Cambria Math" w:hAnsi="Cambria Math" w:cs="Times New Roman"/>
            <w:sz w:val="22"/>
            <w:szCs w:val="22"/>
          </w:rPr>
          <m:t>η</m:t>
        </m:r>
      </m:oMath>
      <w:r w:rsidRPr="00FE7AAC">
        <w:rPr>
          <w:rFonts w:ascii="Times New Roman" w:hAnsi="Times New Roman" w:cs="Times New Roman"/>
          <w:i w:val="0"/>
          <w:iCs w:val="0"/>
          <w:sz w:val="22"/>
          <w:szCs w:val="22"/>
        </w:rPr>
        <w:t xml:space="preserve"> (the efficiency with which parasitoids develop within hosts) and adult parasitoid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F</m:t>
            </m:r>
          </m:sub>
        </m:sSub>
      </m:oMath>
      <w:r w:rsidRPr="00FE7AAC">
        <w:rPr>
          <w:rFonts w:ascii="Times New Roman" w:hAnsi="Times New Roman" w:cs="Times New Roman"/>
          <w:i w:val="0"/>
          <w:iCs w:val="0"/>
          <w:sz w:val="22"/>
          <w:szCs w:val="22"/>
        </w:rPr>
        <w:t xml:space="preserve"> (the death rate of adult parasitoids), indicating demographic sensitivity. Other parameters, which shift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Pr="00FE7AAC">
        <w:rPr>
          <w:rFonts w:ascii="Times New Roman" w:hAnsi="Times New Roman" w:cs="Times New Roman"/>
          <w:i w:val="0"/>
          <w:iCs w:val="0"/>
          <w:sz w:val="22"/>
          <w:szCs w:val="22"/>
        </w:rPr>
        <w:t xml:space="preserve"> in Figure </w:t>
      </w:r>
      <w:r>
        <w:rPr>
          <w:rFonts w:ascii="Times New Roman" w:hAnsi="Times New Roman" w:cs="Times New Roman"/>
          <w:i w:val="0"/>
          <w:iCs w:val="0"/>
          <w:sz w:val="22"/>
          <w:szCs w:val="22"/>
        </w:rPr>
        <w:t>4</w:t>
      </w:r>
      <w:r w:rsidRPr="00FE7AAC">
        <w:rPr>
          <w:rFonts w:ascii="Times New Roman" w:hAnsi="Times New Roman" w:cs="Times New Roman"/>
          <w:i w:val="0"/>
          <w:iCs w:val="0"/>
          <w:sz w:val="22"/>
          <w:szCs w:val="22"/>
        </w:rPr>
        <w:t xml:space="preserve">, show moderate PRCC.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 xml:space="preserve"> </m:t>
        </m:r>
      </m:oMath>
      <w:r w:rsidRPr="00FE7AAC">
        <w:rPr>
          <w:rFonts w:ascii="Times New Roman" w:hAnsi="Times New Roman" w:cs="Times New Roman"/>
          <w:i w:val="0"/>
          <w:iCs w:val="0"/>
          <w:sz w:val="22"/>
          <w:szCs w:val="22"/>
        </w:rPr>
        <w:t>indicates potential for parasitoid invasion (whether a small number of parasitoids can successfully establish), while ρ* measures the speed of return to coexistence after disturbance.</w:t>
      </w:r>
    </w:p>
    <w:p w14:paraId="25E3AC32" w14:textId="073F0D7B" w:rsidR="00665518" w:rsidRPr="00FE7AAC" w:rsidRDefault="00665518" w:rsidP="00665518">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Figure</w:t>
      </w:r>
      <w:r w:rsidR="00842431">
        <w:rPr>
          <w:rFonts w:ascii="Times New Roman" w:hAnsi="Times New Roman" w:cs="Times New Roman"/>
          <w:i w:val="0"/>
          <w:iCs w:val="0"/>
          <w:sz w:val="22"/>
          <w:szCs w:val="22"/>
        </w:rPr>
        <w:t xml:space="preserve"> 5</w:t>
      </w:r>
      <w:r w:rsidRPr="00FE7AAC">
        <w:rPr>
          <w:rFonts w:ascii="Times New Roman" w:hAnsi="Times New Roman" w:cs="Times New Roman"/>
          <w:i w:val="0"/>
          <w:iCs w:val="0"/>
          <w:sz w:val="22"/>
          <w:szCs w:val="22"/>
        </w:rPr>
        <w:t xml:space="preserve">B displays the regime-shift probability for each phenological scenario as well as for joint Latin Hypercube sampling. When all parameters are varied simultaneously, 81.5% of parameter sets force the coexistence equilibrium to shift. Season duration and beetle reproduction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B</m:t>
            </m:r>
          </m:sub>
        </m:sSub>
      </m:oMath>
      <w:r w:rsidRPr="00FE7AAC">
        <w:rPr>
          <w:rFonts w:ascii="Times New Roman" w:hAnsi="Times New Roman" w:cs="Times New Roman"/>
          <w:i w:val="0"/>
          <w:iCs w:val="0"/>
          <w:sz w:val="22"/>
          <w:szCs w:val="22"/>
        </w:rPr>
        <w:t xml:space="preserve"> are the most likely parameters to induce a regime shift when all parameters vary. Note that season duration variation alone did not show the shift in objective 4. However, in reality, season duration is linked to most phenologies; the figure </w:t>
      </w:r>
      <w:r w:rsidR="007F3148">
        <w:rPr>
          <w:rFonts w:ascii="Times New Roman" w:hAnsi="Times New Roman" w:cs="Times New Roman"/>
          <w:i w:val="0"/>
          <w:iCs w:val="0"/>
          <w:sz w:val="22"/>
          <w:szCs w:val="22"/>
        </w:rPr>
        <w:t>5</w:t>
      </w:r>
      <w:r w:rsidRPr="00FE7AAC">
        <w:rPr>
          <w:rFonts w:ascii="Times New Roman" w:hAnsi="Times New Roman" w:cs="Times New Roman"/>
          <w:i w:val="0"/>
          <w:iCs w:val="0"/>
          <w:sz w:val="22"/>
          <w:szCs w:val="22"/>
        </w:rPr>
        <w:t xml:space="preserve">B observation is most likely in the real world. Beetle overwinter survival </w:t>
      </w:r>
      <m:oMath>
        <m:sSub>
          <m:sSubPr>
            <m:ctrlPr>
              <w:rPr>
                <w:rFonts w:ascii="Cambria Math" w:hAnsi="Cambria Math" w:cs="Times New Roman"/>
                <w:iCs w:val="0"/>
                <w:sz w:val="22"/>
                <w:szCs w:val="22"/>
              </w:rPr>
            </m:ctrlPr>
          </m:sSubPr>
          <m:e>
            <m:r>
              <w:rPr>
                <w:rFonts w:ascii="Cambria Math" w:hAnsi="Cambria Math" w:cs="Times New Roman"/>
                <w:sz w:val="22"/>
                <w:szCs w:val="22"/>
              </w:rPr>
              <m:t>σ</m:t>
            </m:r>
          </m:e>
          <m:sub>
            <m:r>
              <w:rPr>
                <w:rFonts w:ascii="Cambria Math" w:hAnsi="Cambria Math" w:cs="Times New Roman"/>
                <w:sz w:val="22"/>
                <w:szCs w:val="22"/>
              </w:rPr>
              <m:t>A</m:t>
            </m:r>
          </m:sub>
        </m:sSub>
      </m:oMath>
      <w:r w:rsidRPr="00FE7AAC">
        <w:rPr>
          <w:rFonts w:ascii="Times New Roman" w:hAnsi="Times New Roman" w:cs="Times New Roman"/>
          <w:i w:val="0"/>
          <w:iCs w:val="0"/>
          <w:sz w:val="22"/>
          <w:szCs w:val="22"/>
        </w:rPr>
        <w:t xml:space="preserve"> and susceptible larval mortality </w:t>
      </w:r>
      <m:oMath>
        <m:sSub>
          <m:sSubPr>
            <m:ctrlPr>
              <w:rPr>
                <w:rFonts w:ascii="Cambria Math" w:hAnsi="Cambria Math" w:cs="Times New Roman"/>
                <w:iCs w:val="0"/>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oMath>
      <w:r w:rsidRPr="00FE7AAC">
        <w:rPr>
          <w:rFonts w:ascii="Times New Roman" w:hAnsi="Times New Roman" w:cs="Times New Roman"/>
          <w:i w:val="0"/>
          <w:iCs w:val="0"/>
          <w:sz w:val="22"/>
          <w:szCs w:val="22"/>
        </w:rPr>
        <w:t xml:space="preserve"> also contribute significantly. In contrast, bird pressure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eastAsiaTheme="minorEastAsia" w:hAnsi="Cambria Math" w:cs="Times New Roman"/>
                <w:sz w:val="22"/>
                <w:szCs w:val="22"/>
              </w:rPr>
              <m:t>t</m:t>
            </m:r>
          </m:sub>
        </m:sSub>
      </m:oMath>
      <w:r w:rsidRPr="00FE7AAC">
        <w:rPr>
          <w:rFonts w:ascii="Times New Roman" w:hAnsi="Times New Roman" w:cs="Times New Roman"/>
          <w:i w:val="0"/>
          <w:iCs w:val="0"/>
          <w:sz w:val="22"/>
          <w:szCs w:val="22"/>
        </w:rPr>
        <w:t xml:space="preserve"> and foliage-memory </w:t>
      </w:r>
      <m:oMath>
        <m:r>
          <w:rPr>
            <w:rFonts w:ascii="Cambria Math" w:hAnsi="Cambria Math" w:cs="Times New Roman"/>
            <w:sz w:val="22"/>
            <w:szCs w:val="22"/>
          </w:rPr>
          <m:t>φ</m:t>
        </m:r>
      </m:oMath>
      <w:r w:rsidRPr="00FE7AAC">
        <w:rPr>
          <w:rFonts w:ascii="Times New Roman" w:hAnsi="Times New Roman" w:cs="Times New Roman"/>
          <w:i w:val="0"/>
          <w:iCs w:val="0"/>
          <w:sz w:val="22"/>
          <w:szCs w:val="22"/>
        </w:rPr>
        <w:t xml:space="preserve"> do not induce regime shifts across sampling, similar to Figure </w:t>
      </w:r>
      <w:r w:rsidR="00A34188">
        <w:rPr>
          <w:rFonts w:ascii="Times New Roman" w:hAnsi="Times New Roman" w:cs="Times New Roman"/>
          <w:i w:val="0"/>
          <w:iCs w:val="0"/>
          <w:sz w:val="22"/>
          <w:szCs w:val="22"/>
        </w:rPr>
        <w:t>4</w:t>
      </w:r>
      <w:r w:rsidRPr="00FE7AAC">
        <w:rPr>
          <w:rFonts w:ascii="Times New Roman" w:hAnsi="Times New Roman" w:cs="Times New Roman"/>
          <w:i w:val="0"/>
          <w:iCs w:val="0"/>
          <w:sz w:val="22"/>
          <w:szCs w:val="22"/>
        </w:rPr>
        <w:t xml:space="preserve">, where, upon varying alone, </w:t>
      </w:r>
      <m:oMath>
        <m:sSub>
          <m:sSubPr>
            <m:ctrlPr>
              <w:rPr>
                <w:rFonts w:ascii="Cambria Math" w:hAnsi="Cambria Math" w:cs="Times New Roman"/>
                <w:iCs w:val="0"/>
                <w:sz w:val="22"/>
                <w:szCs w:val="22"/>
              </w:rPr>
            </m:ctrlPr>
          </m:sSubPr>
          <m:e>
            <m:r>
              <w:rPr>
                <w:rFonts w:ascii="Cambria Math" w:hAnsi="Cambria Math" w:cs="Times New Roman"/>
                <w:sz w:val="22"/>
                <w:szCs w:val="22"/>
              </w:rPr>
              <m:t>B</m:t>
            </m:r>
          </m:e>
          <m:sub>
            <m:r>
              <w:rPr>
                <w:rFonts w:ascii="Cambria Math" w:hAnsi="Cambria Math" w:cs="Times New Roman"/>
                <w:sz w:val="22"/>
                <w:szCs w:val="22"/>
              </w:rPr>
              <m:t>t</m:t>
            </m:r>
          </m:sub>
        </m:sSub>
      </m:oMath>
      <w:r w:rsidRPr="00FE7AAC">
        <w:rPr>
          <w:rFonts w:ascii="Times New Roman" w:hAnsi="Times New Roman" w:cs="Times New Roman"/>
          <w:i w:val="0"/>
          <w:iCs w:val="0"/>
          <w:sz w:val="22"/>
          <w:szCs w:val="22"/>
        </w:rPr>
        <w:t xml:space="preserve"> does not cross the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r>
          <w:rPr>
            <w:rFonts w:ascii="Cambria Math" w:hAnsi="Cambria Math" w:cs="Times New Roman"/>
            <w:sz w:val="22"/>
            <w:szCs w:val="22"/>
          </w:rPr>
          <m:t>=1</m:t>
        </m:r>
      </m:oMath>
      <w:r w:rsidRPr="00FE7AAC">
        <w:rPr>
          <w:rFonts w:ascii="Times New Roman" w:hAnsi="Times New Roman" w:cs="Times New Roman"/>
          <w:i w:val="0"/>
          <w:iCs w:val="0"/>
          <w:sz w:val="22"/>
          <w:szCs w:val="22"/>
        </w:rPr>
        <w:t xml:space="preserve"> threshold from coexistence, and </w:t>
      </w:r>
      <m:oMath>
        <m:r>
          <w:rPr>
            <w:rFonts w:ascii="Cambria Math" w:hAnsi="Cambria Math" w:cs="Times New Roman"/>
            <w:sz w:val="22"/>
            <w:szCs w:val="22"/>
          </w:rPr>
          <m:t>φ</m:t>
        </m:r>
      </m:oMath>
      <w:r w:rsidRPr="00FE7AAC">
        <w:rPr>
          <w:rFonts w:ascii="Times New Roman" w:hAnsi="Times New Roman" w:cs="Times New Roman"/>
          <w:i w:val="0"/>
          <w:iCs w:val="0"/>
          <w:sz w:val="22"/>
          <w:szCs w:val="22"/>
        </w:rPr>
        <w:t xml:space="preserve"> has minimal impact on </w:t>
      </w:r>
      <m:oMath>
        <m:sSub>
          <m:sSubPr>
            <m:ctrlPr>
              <w:rPr>
                <w:rFonts w:ascii="Cambria Math" w:hAnsi="Cambria Math" w:cs="Times New Roman"/>
                <w:iCs w:val="0"/>
                <w:sz w:val="22"/>
                <w:szCs w:val="22"/>
              </w:rPr>
            </m:ctrlPr>
          </m:sSubPr>
          <m:e>
            <m:r>
              <w:rPr>
                <w:rFonts w:ascii="Cambria Math" w:hAnsi="Cambria Math" w:cs="Times New Roman"/>
                <w:sz w:val="22"/>
                <w:szCs w:val="22"/>
              </w:rPr>
              <m:t>R</m:t>
            </m:r>
          </m:e>
          <m:sub>
            <m:r>
              <w:rPr>
                <w:rFonts w:ascii="Cambria Math" w:hAnsi="Cambria Math" w:cs="Times New Roman"/>
                <w:sz w:val="22"/>
                <w:szCs w:val="22"/>
              </w:rPr>
              <m:t>P</m:t>
            </m:r>
          </m:sub>
        </m:sSub>
      </m:oMath>
      <w:r w:rsidRPr="00FE7AAC">
        <w:rPr>
          <w:rFonts w:ascii="Times New Roman" w:hAnsi="Times New Roman" w:cs="Times New Roman"/>
          <w:i w:val="0"/>
          <w:iCs w:val="0"/>
          <w:sz w:val="22"/>
          <w:szCs w:val="22"/>
        </w:rPr>
        <w:t>. The high joint shift probability, here all parameters vary jointly, the regime shift probability is relatively much higher than individual parameter values, which is an obvious assumption, but provides a comparison to individual parameter sensitivity.</w:t>
      </w:r>
    </w:p>
    <w:p w14:paraId="2A51C29F" w14:textId="5CFE95C8" w:rsidR="00665518" w:rsidRPr="00FE7AAC" w:rsidRDefault="00665518" w:rsidP="00665518">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 xml:space="preserve">Figure </w:t>
      </w:r>
      <w:r w:rsidR="00842431">
        <w:rPr>
          <w:rFonts w:ascii="Times New Roman" w:hAnsi="Times New Roman" w:cs="Times New Roman"/>
          <w:i w:val="0"/>
          <w:iCs w:val="0"/>
          <w:sz w:val="22"/>
          <w:szCs w:val="22"/>
        </w:rPr>
        <w:t>5</w:t>
      </w:r>
      <w:r w:rsidRPr="00FE7AAC">
        <w:rPr>
          <w:rFonts w:ascii="Times New Roman" w:hAnsi="Times New Roman" w:cs="Times New Roman"/>
          <w:i w:val="0"/>
          <w:iCs w:val="0"/>
          <w:sz w:val="22"/>
          <w:szCs w:val="22"/>
        </w:rPr>
        <w:t xml:space="preserve">C projects all single-parameter scan points onto the resistance–resilience plane. Here, resistance is </w:t>
      </w:r>
      <m:oMath>
        <m:r>
          <w:rPr>
            <w:rFonts w:ascii="Cambria Math" w:hAnsi="Cambria Math" w:cs="Times New Roman"/>
            <w:sz w:val="22"/>
            <w:szCs w:val="22"/>
          </w:rPr>
          <m:t xml:space="preserve">1 - </m:t>
        </m:r>
        <m:f>
          <m:fPr>
            <m:ctrlPr>
              <w:rPr>
                <w:rFonts w:ascii="Cambria Math" w:hAnsi="Cambria Math" w:cs="Times New Roman"/>
                <w:iCs w:val="0"/>
                <w:sz w:val="22"/>
                <w:szCs w:val="22"/>
              </w:rPr>
            </m:ctrlPr>
          </m:fPr>
          <m:num>
            <m:r>
              <w:rPr>
                <w:rFonts w:ascii="Cambria Math" w:hAnsi="Cambria Math" w:cs="Times New Roman"/>
                <w:sz w:val="22"/>
                <w:szCs w:val="22"/>
              </w:rPr>
              <m:t>D</m:t>
            </m:r>
          </m:num>
          <m:den>
            <m:sSub>
              <m:sSubPr>
                <m:ctrlPr>
                  <w:rPr>
                    <w:rFonts w:ascii="Cambria Math" w:hAnsi="Cambria Math" w:cs="Times New Roman"/>
                    <w:iCs w:val="0"/>
                    <w:sz w:val="22"/>
                    <w:szCs w:val="22"/>
                  </w:rPr>
                </m:ctrlPr>
              </m:sSubPr>
              <m:e>
                <m:r>
                  <w:rPr>
                    <w:rFonts w:ascii="Cambria Math" w:hAnsi="Cambria Math" w:cs="Times New Roman"/>
                    <w:sz w:val="22"/>
                    <w:szCs w:val="22"/>
                  </w:rPr>
                  <m:t>D</m:t>
                </m:r>
              </m:e>
              <m:sub>
                <m:r>
                  <w:rPr>
                    <w:rFonts w:ascii="Cambria Math" w:hAnsi="Cambria Math" w:cs="Times New Roman"/>
                    <w:sz w:val="22"/>
                    <w:szCs w:val="22"/>
                  </w:rPr>
                  <m:t>crit</m:t>
                </m:r>
              </m:sub>
            </m:sSub>
          </m:den>
        </m:f>
      </m:oMath>
      <w:r w:rsidRPr="00FE7AAC">
        <w:rPr>
          <w:rFonts w:ascii="Times New Roman" w:hAnsi="Times New Roman" w:cs="Times New Roman"/>
          <w:i w:val="0"/>
          <w:iCs w:val="0"/>
          <w:sz w:val="22"/>
          <w:szCs w:val="22"/>
        </w:rPr>
        <w:t xml:space="preserve"> and resilience is </w:t>
      </w:r>
      <m:oMath>
        <m:r>
          <w:rPr>
            <w:rFonts w:ascii="Cambria Math" w:hAnsi="Cambria Math" w:cs="Times New Roman"/>
            <w:sz w:val="22"/>
            <w:szCs w:val="22"/>
          </w:rPr>
          <m:t>1 - ρ*</m:t>
        </m:r>
      </m:oMath>
      <w:r w:rsidRPr="00FE7AAC">
        <w:rPr>
          <w:rFonts w:ascii="Times New Roman" w:eastAsiaTheme="minorEastAsia" w:hAnsi="Times New Roman" w:cs="Times New Roman"/>
          <w:i w:val="0"/>
          <w:iCs w:val="0"/>
          <w:sz w:val="22"/>
          <w:szCs w:val="22"/>
        </w:rPr>
        <w:t xml:space="preserve">, which contrasts the resistance and resilience sensu van Meerbeek </w:t>
      </w:r>
      <w:r w:rsidRPr="00FE7AAC">
        <w:rPr>
          <w:rFonts w:ascii="Times New Roman" w:eastAsiaTheme="minorEastAsia" w:hAnsi="Times New Roman" w:cs="Times New Roman"/>
          <w:i w:val="0"/>
          <w:iCs w:val="0"/>
          <w:sz w:val="22"/>
          <w:szCs w:val="22"/>
        </w:rPr>
        <w:lastRenderedPageBreak/>
        <w:t>et al (2021) tested in later Figure 5</w:t>
      </w:r>
      <w:r w:rsidRPr="00FE7AAC">
        <w:rPr>
          <w:rFonts w:ascii="Times New Roman" w:hAnsi="Times New Roman" w:cs="Times New Roman"/>
          <w:i w:val="0"/>
          <w:iCs w:val="0"/>
          <w:sz w:val="22"/>
          <w:szCs w:val="22"/>
        </w:rPr>
        <w:t xml:space="preserve">. Points representing coexistence equilibrium cluster within a region of positive resistance and moderate resilience. Points for parasitoid-free or canopy-only regimes are more scattered and often show higher resilience. This occurs because the parasitoid-free equilibrium can have a smaller ρ* (faster return rate) than coexistence. Thus, resilient systems can remain in undesirable parasitoid-free regimes. This reflects the adaptive behaviour of this system’s stability. </w:t>
      </w:r>
    </w:p>
    <w:p w14:paraId="08E71A29" w14:textId="0DCAA08C" w:rsidR="00540DB2" w:rsidRPr="00665518" w:rsidRDefault="00665518" w:rsidP="002D21BC">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t>Together, these plots support hypothesis H2 that changes in certain phenologies, or parameter values, may serve as early warning signals of a shift to an undesirable equilibrium that still maintains stability, and identify season duration and beetle reproduction rate as one of the major drivers of the steady state. These results also confirm the importance of Van Meerbeek’s definition of stability, that multiple stability metrics are needed to assess regime-shift risk. Based on these results</w:t>
      </w:r>
      <w:r>
        <w:rPr>
          <w:rFonts w:ascii="Times New Roman" w:hAnsi="Times New Roman" w:cs="Times New Roman"/>
          <w:i w:val="0"/>
          <w:iCs w:val="0"/>
          <w:sz w:val="22"/>
          <w:szCs w:val="22"/>
        </w:rPr>
        <w:t>,</w:t>
      </w:r>
      <w:r w:rsidRPr="00FE7AAC">
        <w:rPr>
          <w:rFonts w:ascii="Times New Roman" w:hAnsi="Times New Roman" w:cs="Times New Roman"/>
          <w:i w:val="0"/>
          <w:iCs w:val="0"/>
          <w:sz w:val="22"/>
          <w:szCs w:val="22"/>
        </w:rPr>
        <w:t xml:space="preserve"> we provide Table 1 that is likely to guide early warning signal detection based on the phenology variability measurement in the field and its likely direction of future regime, followed by Figure 5 that shows how these parameter variability adapts resistance and resilience in the system.</w:t>
      </w:r>
    </w:p>
    <w:p w14:paraId="550E72B9" w14:textId="0A13B047" w:rsidR="00540DB2" w:rsidRPr="009668D3" w:rsidRDefault="00540DB2" w:rsidP="002D21BC">
      <w:pPr>
        <w:pStyle w:val="Caption"/>
        <w:keepNext/>
        <w:jc w:val="both"/>
        <w:rPr>
          <w:rFonts w:ascii="Times New Roman" w:hAnsi="Times New Roman" w:cs="Times New Roman"/>
          <w:sz w:val="20"/>
          <w:szCs w:val="20"/>
        </w:rPr>
      </w:pPr>
      <w:r w:rsidRPr="009668D3">
        <w:rPr>
          <w:rFonts w:ascii="Times New Roman" w:hAnsi="Times New Roman" w:cs="Times New Roman"/>
          <w:sz w:val="20"/>
          <w:szCs w:val="20"/>
        </w:rPr>
        <w:t xml:space="preserve">Table </w:t>
      </w:r>
      <w:r w:rsidRPr="009668D3">
        <w:rPr>
          <w:rFonts w:ascii="Times New Roman" w:hAnsi="Times New Roman" w:cs="Times New Roman"/>
          <w:sz w:val="20"/>
          <w:szCs w:val="20"/>
        </w:rPr>
        <w:fldChar w:fldCharType="begin"/>
      </w:r>
      <w:r w:rsidRPr="009668D3">
        <w:rPr>
          <w:rFonts w:ascii="Times New Roman" w:hAnsi="Times New Roman" w:cs="Times New Roman"/>
          <w:sz w:val="20"/>
          <w:szCs w:val="20"/>
        </w:rPr>
        <w:instrText xml:space="preserve"> SEQ Table \* ARABIC </w:instrText>
      </w:r>
      <w:r w:rsidRPr="009668D3">
        <w:rPr>
          <w:rFonts w:ascii="Times New Roman" w:hAnsi="Times New Roman" w:cs="Times New Roman"/>
          <w:sz w:val="20"/>
          <w:szCs w:val="20"/>
        </w:rPr>
        <w:fldChar w:fldCharType="separate"/>
      </w:r>
      <w:r w:rsidR="00BE5C03" w:rsidRPr="009668D3">
        <w:rPr>
          <w:rFonts w:ascii="Times New Roman" w:hAnsi="Times New Roman" w:cs="Times New Roman"/>
          <w:sz w:val="20"/>
          <w:szCs w:val="20"/>
        </w:rPr>
        <w:t>1</w:t>
      </w:r>
      <w:r w:rsidRPr="009668D3">
        <w:rPr>
          <w:rFonts w:ascii="Times New Roman" w:hAnsi="Times New Roman" w:cs="Times New Roman"/>
          <w:sz w:val="20"/>
          <w:szCs w:val="20"/>
        </w:rPr>
        <w:fldChar w:fldCharType="end"/>
      </w:r>
      <w:r w:rsidRPr="009668D3">
        <w:rPr>
          <w:rFonts w:ascii="Times New Roman" w:hAnsi="Times New Roman" w:cs="Times New Roman"/>
          <w:sz w:val="20"/>
          <w:szCs w:val="20"/>
        </w:rPr>
        <w:t>: Candidate early-warning signal matrix for regime shift (Objective 2). Each phenological scenario is characterised by its regime-shift probability (one-at-a-time variation), PRCC with the dominant eigenvalue magnitude ρ*, the destabilising direction of the corresponding parameter, the likely alternative equilibrium, and whether the phenological change is empirically observable. Parameters with regime-shift probability &gt; 20% or |PRCC| &gt; 0.25 that are empirically observable are classified as early-warning candidates</w:t>
      </w:r>
    </w:p>
    <w:tbl>
      <w:tblPr>
        <w:tblW w:w="0" w:type="auto"/>
        <w:tblLook w:val="04A0" w:firstRow="1" w:lastRow="0" w:firstColumn="1" w:lastColumn="0" w:noHBand="0" w:noVBand="1"/>
      </w:tblPr>
      <w:tblGrid>
        <w:gridCol w:w="2370"/>
        <w:gridCol w:w="3432"/>
        <w:gridCol w:w="2794"/>
      </w:tblGrid>
      <w:tr w:rsidR="00540DB2" w:rsidRPr="001E6700" w14:paraId="6C6215ED" w14:textId="77777777" w:rsidTr="00AC027F">
        <w:trPr>
          <w:trHeight w:val="285"/>
        </w:trPr>
        <w:tc>
          <w:tcPr>
            <w:tcW w:w="0" w:type="auto"/>
            <w:tcBorders>
              <w:top w:val="nil"/>
              <w:left w:val="nil"/>
              <w:bottom w:val="single" w:sz="4" w:space="0" w:color="000000"/>
              <w:right w:val="nil"/>
            </w:tcBorders>
            <w:shd w:val="clear" w:color="000000" w:fill="2F5496"/>
            <w:vAlign w:val="center"/>
            <w:hideMark/>
          </w:tcPr>
          <w:p w14:paraId="3E84C264" w14:textId="77777777" w:rsidR="00540DB2" w:rsidRPr="009668D3" w:rsidRDefault="00540DB2" w:rsidP="002D21BC">
            <w:pPr>
              <w:spacing w:after="0" w:line="240" w:lineRule="auto"/>
              <w:jc w:val="both"/>
              <w:rPr>
                <w:rFonts w:ascii="Times New Roman" w:hAnsi="Times New Roman" w:cs="Times New Roman"/>
                <w:b/>
                <w:color w:val="FFFFFF"/>
                <w:kern w:val="0"/>
                <w:sz w:val="20"/>
                <w:szCs w:val="20"/>
                <w14:ligatures w14:val="none"/>
              </w:rPr>
            </w:pPr>
            <w:r w:rsidRPr="009668D3">
              <w:rPr>
                <w:rFonts w:ascii="Times New Roman" w:hAnsi="Times New Roman" w:cs="Times New Roman"/>
                <w:b/>
                <w:color w:val="FFFFFF"/>
                <w:kern w:val="0"/>
                <w:sz w:val="20"/>
                <w:szCs w:val="20"/>
                <w14:ligatures w14:val="none"/>
              </w:rPr>
              <w:t>Parameter</w:t>
            </w:r>
          </w:p>
        </w:tc>
        <w:tc>
          <w:tcPr>
            <w:tcW w:w="0" w:type="auto"/>
            <w:tcBorders>
              <w:top w:val="nil"/>
              <w:left w:val="nil"/>
              <w:bottom w:val="single" w:sz="4" w:space="0" w:color="000000"/>
              <w:right w:val="nil"/>
            </w:tcBorders>
            <w:shd w:val="clear" w:color="000000" w:fill="2F5496"/>
            <w:vAlign w:val="center"/>
            <w:hideMark/>
          </w:tcPr>
          <w:p w14:paraId="2EF00A73" w14:textId="5EC2EA7F" w:rsidR="00540DB2" w:rsidRPr="009668D3" w:rsidRDefault="00540DB2" w:rsidP="002D21BC">
            <w:pPr>
              <w:spacing w:after="0" w:line="240" w:lineRule="auto"/>
              <w:jc w:val="both"/>
              <w:rPr>
                <w:rFonts w:ascii="Times New Roman" w:hAnsi="Times New Roman" w:cs="Times New Roman"/>
                <w:b/>
                <w:color w:val="FFFFFF"/>
                <w:kern w:val="0"/>
                <w:sz w:val="20"/>
                <w:szCs w:val="20"/>
                <w14:ligatures w14:val="none"/>
              </w:rPr>
            </w:pPr>
            <w:r w:rsidRPr="009668D3">
              <w:rPr>
                <w:rFonts w:ascii="Times New Roman" w:hAnsi="Times New Roman" w:cs="Times New Roman"/>
                <w:b/>
                <w:color w:val="FFFFFF"/>
                <w:kern w:val="0"/>
                <w:sz w:val="20"/>
                <w:szCs w:val="20"/>
                <w14:ligatures w14:val="none"/>
              </w:rPr>
              <w:t>Potential early warning signals</w:t>
            </w:r>
          </w:p>
        </w:tc>
        <w:tc>
          <w:tcPr>
            <w:tcW w:w="0" w:type="auto"/>
            <w:tcBorders>
              <w:top w:val="nil"/>
              <w:left w:val="nil"/>
              <w:bottom w:val="single" w:sz="4" w:space="0" w:color="000000"/>
              <w:right w:val="nil"/>
            </w:tcBorders>
            <w:shd w:val="clear" w:color="000000" w:fill="2F5496"/>
            <w:vAlign w:val="center"/>
            <w:hideMark/>
          </w:tcPr>
          <w:p w14:paraId="49CD9B98" w14:textId="77777777" w:rsidR="00540DB2" w:rsidRPr="009668D3" w:rsidRDefault="00540DB2" w:rsidP="002D21BC">
            <w:pPr>
              <w:spacing w:after="0" w:line="240" w:lineRule="auto"/>
              <w:jc w:val="both"/>
              <w:rPr>
                <w:rFonts w:ascii="Times New Roman" w:hAnsi="Times New Roman" w:cs="Times New Roman"/>
                <w:b/>
                <w:color w:val="FFFFFF"/>
                <w:kern w:val="0"/>
                <w:sz w:val="20"/>
                <w:szCs w:val="20"/>
                <w14:ligatures w14:val="none"/>
              </w:rPr>
            </w:pPr>
            <w:r w:rsidRPr="009668D3">
              <w:rPr>
                <w:rFonts w:ascii="Times New Roman" w:hAnsi="Times New Roman" w:cs="Times New Roman"/>
                <w:b/>
                <w:color w:val="FFFFFF"/>
                <w:kern w:val="0"/>
                <w:sz w:val="20"/>
                <w:szCs w:val="20"/>
                <w14:ligatures w14:val="none"/>
              </w:rPr>
              <w:t>Likely alternative equilibrium</w:t>
            </w:r>
          </w:p>
        </w:tc>
      </w:tr>
      <w:tr w:rsidR="00540DB2" w:rsidRPr="001E6700" w14:paraId="17DB461F" w14:textId="77777777" w:rsidTr="00AC027F">
        <w:trPr>
          <w:trHeight w:val="285"/>
        </w:trPr>
        <w:tc>
          <w:tcPr>
            <w:tcW w:w="0" w:type="auto"/>
            <w:tcBorders>
              <w:top w:val="nil"/>
              <w:left w:val="nil"/>
              <w:bottom w:val="single" w:sz="4" w:space="0" w:color="D0D0D0"/>
              <w:right w:val="nil"/>
            </w:tcBorders>
            <w:noWrap/>
            <w:vAlign w:val="center"/>
            <w:hideMark/>
          </w:tcPr>
          <w:p w14:paraId="57EBA54F"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T (Season length)</w:t>
            </w:r>
          </w:p>
        </w:tc>
        <w:tc>
          <w:tcPr>
            <w:tcW w:w="0" w:type="auto"/>
            <w:tcBorders>
              <w:top w:val="nil"/>
              <w:left w:val="nil"/>
              <w:bottom w:val="single" w:sz="4" w:space="0" w:color="D0D0D0"/>
              <w:right w:val="nil"/>
            </w:tcBorders>
            <w:noWrap/>
            <w:vAlign w:val="center"/>
            <w:hideMark/>
          </w:tcPr>
          <w:p w14:paraId="1A8DB9B8" w14:textId="1470E6E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 xml:space="preserve">Longer season → lower </w:t>
            </w: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R</m:t>
                  </m:r>
                </m:e>
                <m:sub>
                  <m:r>
                    <w:rPr>
                      <w:rFonts w:ascii="Cambria Math" w:hAnsi="Cambria Math" w:cs="Times New Roman"/>
                      <w:kern w:val="0"/>
                      <w:sz w:val="20"/>
                      <w:szCs w:val="20"/>
                      <w14:ligatures w14:val="none"/>
                    </w:rPr>
                    <m:t>P</m:t>
                  </m:r>
                </m:sub>
              </m:sSub>
            </m:oMath>
          </w:p>
        </w:tc>
        <w:tc>
          <w:tcPr>
            <w:tcW w:w="0" w:type="auto"/>
            <w:tcBorders>
              <w:top w:val="nil"/>
              <w:left w:val="nil"/>
              <w:bottom w:val="single" w:sz="4" w:space="0" w:color="D0D0D0"/>
              <w:right w:val="nil"/>
            </w:tcBorders>
            <w:noWrap/>
            <w:vAlign w:val="center"/>
            <w:hideMark/>
          </w:tcPr>
          <w:p w14:paraId="4A1A81EA"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Parasitoid-free</w:t>
            </w:r>
          </w:p>
        </w:tc>
      </w:tr>
      <w:tr w:rsidR="00540DB2" w:rsidRPr="001E6700" w14:paraId="0DFD62E3" w14:textId="77777777" w:rsidTr="00AC027F">
        <w:trPr>
          <w:trHeight w:val="285"/>
        </w:trPr>
        <w:tc>
          <w:tcPr>
            <w:tcW w:w="0" w:type="auto"/>
            <w:tcBorders>
              <w:top w:val="nil"/>
              <w:left w:val="nil"/>
              <w:bottom w:val="single" w:sz="4" w:space="0" w:color="D0D0D0"/>
              <w:right w:val="nil"/>
            </w:tcBorders>
            <w:shd w:val="clear" w:color="000000" w:fill="D6E4F0"/>
            <w:noWrap/>
            <w:vAlign w:val="center"/>
            <w:hideMark/>
          </w:tcPr>
          <w:p w14:paraId="5F99C193" w14:textId="5E03CCAA" w:rsidR="00540DB2" w:rsidRPr="009668D3" w:rsidRDefault="00FB510D" w:rsidP="002D21BC">
            <w:pPr>
              <w:spacing w:after="0" w:line="240" w:lineRule="auto"/>
              <w:jc w:val="both"/>
              <w:rPr>
                <w:rFonts w:ascii="Times New Roman" w:hAnsi="Times New Roman" w:cs="Times New Roman"/>
                <w:kern w:val="0"/>
                <w:sz w:val="20"/>
                <w:szCs w:val="20"/>
                <w14:ligatures w14:val="none"/>
              </w:rPr>
            </w:pP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σ</m:t>
                  </m:r>
                </m:e>
                <m:sub>
                  <m:r>
                    <w:rPr>
                      <w:rFonts w:ascii="Cambria Math" w:hAnsi="Cambria Math" w:cs="Times New Roman"/>
                      <w:kern w:val="0"/>
                      <w:sz w:val="20"/>
                      <w:szCs w:val="20"/>
                      <w14:ligatures w14:val="none"/>
                    </w:rPr>
                    <m:t>A</m:t>
                  </m:r>
                </m:sub>
              </m:sSub>
            </m:oMath>
            <w:r w:rsidR="00540DB2" w:rsidRPr="009668D3">
              <w:rPr>
                <w:rFonts w:ascii="Times New Roman" w:hAnsi="Times New Roman" w:cs="Times New Roman"/>
                <w:kern w:val="0"/>
                <w:sz w:val="20"/>
                <w:szCs w:val="20"/>
                <w14:ligatures w14:val="none"/>
              </w:rPr>
              <w:t xml:space="preserve"> (Beetle overwinter)</w:t>
            </w:r>
          </w:p>
        </w:tc>
        <w:tc>
          <w:tcPr>
            <w:tcW w:w="0" w:type="auto"/>
            <w:tcBorders>
              <w:top w:val="nil"/>
              <w:left w:val="nil"/>
              <w:bottom w:val="single" w:sz="4" w:space="0" w:color="D0D0D0"/>
              <w:right w:val="nil"/>
            </w:tcBorders>
            <w:shd w:val="clear" w:color="000000" w:fill="D6E4F0"/>
            <w:noWrap/>
            <w:vAlign w:val="center"/>
            <w:hideMark/>
          </w:tcPr>
          <w:p w14:paraId="5696C41C"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Higher survival → higher beetle density</w:t>
            </w:r>
          </w:p>
        </w:tc>
        <w:tc>
          <w:tcPr>
            <w:tcW w:w="0" w:type="auto"/>
            <w:tcBorders>
              <w:top w:val="nil"/>
              <w:left w:val="nil"/>
              <w:bottom w:val="single" w:sz="4" w:space="0" w:color="D0D0D0"/>
              <w:right w:val="nil"/>
            </w:tcBorders>
            <w:shd w:val="clear" w:color="000000" w:fill="D6E4F0"/>
            <w:noWrap/>
            <w:vAlign w:val="center"/>
            <w:hideMark/>
          </w:tcPr>
          <w:p w14:paraId="70EE45B4"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Parasitoid-free</w:t>
            </w:r>
          </w:p>
        </w:tc>
      </w:tr>
      <w:tr w:rsidR="00540DB2" w:rsidRPr="001E6700" w14:paraId="42E1E0BB" w14:textId="77777777" w:rsidTr="00AC027F">
        <w:trPr>
          <w:trHeight w:val="285"/>
        </w:trPr>
        <w:tc>
          <w:tcPr>
            <w:tcW w:w="0" w:type="auto"/>
            <w:tcBorders>
              <w:top w:val="nil"/>
              <w:left w:val="nil"/>
              <w:bottom w:val="single" w:sz="4" w:space="0" w:color="D0D0D0"/>
              <w:right w:val="nil"/>
            </w:tcBorders>
            <w:noWrap/>
            <w:vAlign w:val="center"/>
            <w:hideMark/>
          </w:tcPr>
          <w:p w14:paraId="193732D7" w14:textId="795C565F" w:rsidR="00540DB2" w:rsidRPr="009668D3" w:rsidRDefault="00FB510D" w:rsidP="002D21BC">
            <w:pPr>
              <w:spacing w:after="0" w:line="240" w:lineRule="auto"/>
              <w:jc w:val="both"/>
              <w:rPr>
                <w:rFonts w:ascii="Times New Roman" w:hAnsi="Times New Roman" w:cs="Times New Roman"/>
                <w:kern w:val="0"/>
                <w:sz w:val="20"/>
                <w:szCs w:val="20"/>
                <w14:ligatures w14:val="none"/>
              </w:rPr>
            </w:pP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σ</m:t>
                  </m:r>
                </m:e>
                <m:sub>
                  <m:r>
                    <w:rPr>
                      <w:rFonts w:ascii="Cambria Math" w:hAnsi="Cambria Math" w:cs="Times New Roman"/>
                      <w:kern w:val="0"/>
                      <w:sz w:val="20"/>
                      <w:szCs w:val="20"/>
                      <w14:ligatures w14:val="none"/>
                    </w:rPr>
                    <m:t>F</m:t>
                  </m:r>
                </m:sub>
              </m:sSub>
            </m:oMath>
            <w:r w:rsidR="006450AD" w:rsidRPr="009668D3">
              <w:rPr>
                <w:rFonts w:ascii="Times New Roman" w:hAnsi="Times New Roman" w:cs="Times New Roman"/>
                <w:kern w:val="0"/>
                <w:sz w:val="20"/>
                <w:szCs w:val="20"/>
                <w14:ligatures w14:val="none"/>
              </w:rPr>
              <w:t xml:space="preserve"> </w:t>
            </w:r>
            <w:r w:rsidR="00540DB2" w:rsidRPr="009668D3">
              <w:rPr>
                <w:rFonts w:ascii="Times New Roman" w:hAnsi="Times New Roman" w:cs="Times New Roman"/>
                <w:kern w:val="0"/>
                <w:sz w:val="20"/>
                <w:szCs w:val="20"/>
                <w14:ligatures w14:val="none"/>
              </w:rPr>
              <w:t xml:space="preserve"> (Parasitoid overwinter)</w:t>
            </w:r>
          </w:p>
        </w:tc>
        <w:tc>
          <w:tcPr>
            <w:tcW w:w="0" w:type="auto"/>
            <w:tcBorders>
              <w:top w:val="nil"/>
              <w:left w:val="nil"/>
              <w:bottom w:val="single" w:sz="4" w:space="0" w:color="D0D0D0"/>
              <w:right w:val="nil"/>
            </w:tcBorders>
            <w:noWrap/>
            <w:vAlign w:val="center"/>
            <w:hideMark/>
          </w:tcPr>
          <w:p w14:paraId="18B36188"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Higher survival → higher parasitoid</w:t>
            </w:r>
          </w:p>
        </w:tc>
        <w:tc>
          <w:tcPr>
            <w:tcW w:w="0" w:type="auto"/>
            <w:tcBorders>
              <w:top w:val="nil"/>
              <w:left w:val="nil"/>
              <w:bottom w:val="single" w:sz="4" w:space="0" w:color="D0D0D0"/>
              <w:right w:val="nil"/>
            </w:tcBorders>
            <w:noWrap/>
            <w:vAlign w:val="center"/>
            <w:hideMark/>
          </w:tcPr>
          <w:p w14:paraId="34B16F2F"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Coexistence maintained</w:t>
            </w:r>
          </w:p>
        </w:tc>
      </w:tr>
      <w:tr w:rsidR="00540DB2" w:rsidRPr="001E6700" w14:paraId="0723A0EF" w14:textId="77777777" w:rsidTr="00AC027F">
        <w:trPr>
          <w:trHeight w:val="285"/>
        </w:trPr>
        <w:tc>
          <w:tcPr>
            <w:tcW w:w="0" w:type="auto"/>
            <w:tcBorders>
              <w:top w:val="nil"/>
              <w:left w:val="nil"/>
              <w:bottom w:val="single" w:sz="4" w:space="0" w:color="D0D0D0"/>
              <w:right w:val="nil"/>
            </w:tcBorders>
            <w:noWrap/>
            <w:vAlign w:val="center"/>
            <w:hideMark/>
          </w:tcPr>
          <w:p w14:paraId="0AD47B27" w14:textId="0B9ABD90" w:rsidR="00540DB2" w:rsidRPr="009668D3" w:rsidRDefault="00FB510D" w:rsidP="002D21BC">
            <w:pPr>
              <w:spacing w:after="0" w:line="240" w:lineRule="auto"/>
              <w:jc w:val="both"/>
              <w:rPr>
                <w:rFonts w:ascii="Times New Roman" w:hAnsi="Times New Roman" w:cs="Times New Roman"/>
                <w:kern w:val="0"/>
                <w:sz w:val="20"/>
                <w:szCs w:val="20"/>
                <w14:ligatures w14:val="none"/>
              </w:rPr>
            </w:pP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μ</m:t>
                  </m:r>
                </m:e>
                <m:sub>
                  <m:r>
                    <w:rPr>
                      <w:rFonts w:ascii="Cambria Math" w:hAnsi="Cambria Math" w:cs="Times New Roman"/>
                      <w:kern w:val="0"/>
                      <w:sz w:val="20"/>
                      <w:szCs w:val="20"/>
                      <w14:ligatures w14:val="none"/>
                    </w:rPr>
                    <m:t>S</m:t>
                  </m:r>
                </m:sub>
              </m:sSub>
            </m:oMath>
            <w:r w:rsidR="00540DB2" w:rsidRPr="009668D3">
              <w:rPr>
                <w:rFonts w:ascii="Times New Roman" w:hAnsi="Times New Roman" w:cs="Times New Roman"/>
                <w:kern w:val="0"/>
                <w:sz w:val="20"/>
                <w:szCs w:val="20"/>
                <w14:ligatures w14:val="none"/>
              </w:rPr>
              <w:t xml:space="preserve"> (Larval mortality)</w:t>
            </w:r>
          </w:p>
        </w:tc>
        <w:tc>
          <w:tcPr>
            <w:tcW w:w="0" w:type="auto"/>
            <w:tcBorders>
              <w:top w:val="nil"/>
              <w:left w:val="nil"/>
              <w:bottom w:val="single" w:sz="4" w:space="0" w:color="D0D0D0"/>
              <w:right w:val="nil"/>
            </w:tcBorders>
            <w:noWrap/>
            <w:vAlign w:val="center"/>
            <w:hideMark/>
          </w:tcPr>
          <w:p w14:paraId="0A0815AD" w14:textId="4FBDC703"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 xml:space="preserve">Lower </w:t>
            </w: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μ</m:t>
                  </m:r>
                </m:e>
                <m:sub>
                  <m:r>
                    <w:rPr>
                      <w:rFonts w:ascii="Cambria Math" w:hAnsi="Cambria Math" w:cs="Times New Roman"/>
                      <w:kern w:val="0"/>
                      <w:sz w:val="20"/>
                      <w:szCs w:val="20"/>
                      <w14:ligatures w14:val="none"/>
                    </w:rPr>
                    <m:t>S</m:t>
                  </m:r>
                </m:sub>
              </m:sSub>
            </m:oMath>
            <w:r w:rsidRPr="009668D3">
              <w:rPr>
                <w:rFonts w:ascii="Times New Roman" w:hAnsi="Times New Roman" w:cs="Times New Roman"/>
                <w:kern w:val="0"/>
                <w:sz w:val="20"/>
                <w:szCs w:val="20"/>
                <w14:ligatures w14:val="none"/>
              </w:rPr>
              <w:t xml:space="preserve"> → more larvae survive</w:t>
            </w:r>
          </w:p>
        </w:tc>
        <w:tc>
          <w:tcPr>
            <w:tcW w:w="0" w:type="auto"/>
            <w:tcBorders>
              <w:top w:val="nil"/>
              <w:left w:val="nil"/>
              <w:bottom w:val="single" w:sz="4" w:space="0" w:color="D0D0D0"/>
              <w:right w:val="nil"/>
            </w:tcBorders>
            <w:noWrap/>
            <w:vAlign w:val="center"/>
            <w:hideMark/>
          </w:tcPr>
          <w:p w14:paraId="7334321C"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Parasitoid-free</w:t>
            </w:r>
          </w:p>
        </w:tc>
      </w:tr>
      <w:tr w:rsidR="00540DB2" w:rsidRPr="001E6700" w14:paraId="65FEDF62" w14:textId="77777777" w:rsidTr="00AC027F">
        <w:trPr>
          <w:trHeight w:val="285"/>
        </w:trPr>
        <w:tc>
          <w:tcPr>
            <w:tcW w:w="0" w:type="auto"/>
            <w:tcBorders>
              <w:top w:val="nil"/>
              <w:left w:val="nil"/>
              <w:bottom w:val="single" w:sz="4" w:space="0" w:color="D0D0D0"/>
              <w:right w:val="nil"/>
            </w:tcBorders>
            <w:shd w:val="clear" w:color="000000" w:fill="D6E4F0"/>
            <w:noWrap/>
            <w:vAlign w:val="center"/>
            <w:hideMark/>
          </w:tcPr>
          <w:p w14:paraId="3CBB5230"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β (Parasitoid attack rate)</w:t>
            </w:r>
          </w:p>
        </w:tc>
        <w:tc>
          <w:tcPr>
            <w:tcW w:w="0" w:type="auto"/>
            <w:tcBorders>
              <w:top w:val="nil"/>
              <w:left w:val="nil"/>
              <w:bottom w:val="single" w:sz="4" w:space="0" w:color="D0D0D0"/>
              <w:right w:val="nil"/>
            </w:tcBorders>
            <w:shd w:val="clear" w:color="000000" w:fill="D6E4F0"/>
            <w:noWrap/>
            <w:vAlign w:val="center"/>
            <w:hideMark/>
          </w:tcPr>
          <w:p w14:paraId="63D27853"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Higher β → stronger parasitism</w:t>
            </w:r>
          </w:p>
        </w:tc>
        <w:tc>
          <w:tcPr>
            <w:tcW w:w="0" w:type="auto"/>
            <w:tcBorders>
              <w:top w:val="nil"/>
              <w:left w:val="nil"/>
              <w:bottom w:val="single" w:sz="4" w:space="0" w:color="D0D0D0"/>
              <w:right w:val="nil"/>
            </w:tcBorders>
            <w:shd w:val="clear" w:color="000000" w:fill="D6E4F0"/>
            <w:noWrap/>
            <w:vAlign w:val="center"/>
            <w:hideMark/>
          </w:tcPr>
          <w:p w14:paraId="1C5F0330"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Coexistence maintained</w:t>
            </w:r>
          </w:p>
        </w:tc>
      </w:tr>
      <w:tr w:rsidR="00540DB2" w:rsidRPr="001E6700" w14:paraId="3B2C8592" w14:textId="77777777" w:rsidTr="00AC027F">
        <w:trPr>
          <w:trHeight w:val="285"/>
        </w:trPr>
        <w:tc>
          <w:tcPr>
            <w:tcW w:w="0" w:type="auto"/>
            <w:tcBorders>
              <w:top w:val="nil"/>
              <w:left w:val="nil"/>
              <w:bottom w:val="single" w:sz="4" w:space="0" w:color="D0D0D0"/>
              <w:right w:val="nil"/>
            </w:tcBorders>
            <w:noWrap/>
            <w:vAlign w:val="center"/>
            <w:hideMark/>
          </w:tcPr>
          <w:p w14:paraId="30C37CB5" w14:textId="259086C6" w:rsidR="00540DB2" w:rsidRPr="009668D3" w:rsidRDefault="00FB510D" w:rsidP="002D21BC">
            <w:pPr>
              <w:spacing w:after="0" w:line="240" w:lineRule="auto"/>
              <w:jc w:val="both"/>
              <w:rPr>
                <w:rFonts w:ascii="Times New Roman" w:hAnsi="Times New Roman" w:cs="Times New Roman"/>
                <w:kern w:val="0"/>
                <w:sz w:val="20"/>
                <w:szCs w:val="20"/>
                <w14:ligatures w14:val="none"/>
              </w:rPr>
            </w:pP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R</m:t>
                  </m:r>
                </m:e>
                <m:sub>
                  <m:r>
                    <w:rPr>
                      <w:rFonts w:ascii="Cambria Math" w:hAnsi="Cambria Math" w:cs="Times New Roman"/>
                      <w:kern w:val="0"/>
                      <w:sz w:val="20"/>
                      <w:szCs w:val="20"/>
                      <w14:ligatures w14:val="none"/>
                    </w:rPr>
                    <m:t>B</m:t>
                  </m:r>
                </m:sub>
              </m:sSub>
            </m:oMath>
            <w:r w:rsidR="00540DB2" w:rsidRPr="009668D3">
              <w:rPr>
                <w:rFonts w:ascii="Times New Roman" w:hAnsi="Times New Roman" w:cs="Times New Roman"/>
                <w:kern w:val="0"/>
                <w:sz w:val="20"/>
                <w:szCs w:val="20"/>
                <w14:ligatures w14:val="none"/>
              </w:rPr>
              <w:t xml:space="preserve"> (Beetle reproduction)</w:t>
            </w:r>
          </w:p>
        </w:tc>
        <w:tc>
          <w:tcPr>
            <w:tcW w:w="0" w:type="auto"/>
            <w:tcBorders>
              <w:top w:val="nil"/>
              <w:left w:val="nil"/>
              <w:bottom w:val="single" w:sz="4" w:space="0" w:color="D0D0D0"/>
              <w:right w:val="nil"/>
            </w:tcBorders>
            <w:noWrap/>
            <w:vAlign w:val="center"/>
            <w:hideMark/>
          </w:tcPr>
          <w:p w14:paraId="3EBB477F" w14:textId="5D3E9F46"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 xml:space="preserve">Higher </w:t>
            </w:r>
            <m:oMath>
              <m:sSub>
                <m:sSubPr>
                  <m:ctrlPr>
                    <w:rPr>
                      <w:rFonts w:ascii="Cambria Math" w:hAnsi="Cambria Math" w:cs="Times New Roman"/>
                      <w:i/>
                      <w:kern w:val="0"/>
                      <w:sz w:val="20"/>
                      <w:szCs w:val="20"/>
                      <w14:ligatures w14:val="none"/>
                    </w:rPr>
                  </m:ctrlPr>
                </m:sSubPr>
                <m:e>
                  <m:r>
                    <w:rPr>
                      <w:rFonts w:ascii="Cambria Math" w:hAnsi="Cambria Math" w:cs="Times New Roman"/>
                      <w:kern w:val="0"/>
                      <w:sz w:val="20"/>
                      <w:szCs w:val="20"/>
                      <w14:ligatures w14:val="none"/>
                    </w:rPr>
                    <m:t>R</m:t>
                  </m:r>
                </m:e>
                <m:sub>
                  <m:r>
                    <w:rPr>
                      <w:rFonts w:ascii="Cambria Math" w:hAnsi="Cambria Math" w:cs="Times New Roman"/>
                      <w:kern w:val="0"/>
                      <w:sz w:val="20"/>
                      <w:szCs w:val="20"/>
                      <w14:ligatures w14:val="none"/>
                    </w:rPr>
                    <m:t>B</m:t>
                  </m:r>
                </m:sub>
              </m:sSub>
            </m:oMath>
            <w:r w:rsidRPr="009668D3">
              <w:rPr>
                <w:rFonts w:ascii="Times New Roman" w:hAnsi="Times New Roman" w:cs="Times New Roman"/>
                <w:kern w:val="0"/>
                <w:sz w:val="20"/>
                <w:szCs w:val="20"/>
                <w14:ligatures w14:val="none"/>
              </w:rPr>
              <w:t xml:space="preserve"> → stronger outbreaks</w:t>
            </w:r>
          </w:p>
        </w:tc>
        <w:tc>
          <w:tcPr>
            <w:tcW w:w="0" w:type="auto"/>
            <w:tcBorders>
              <w:top w:val="nil"/>
              <w:left w:val="nil"/>
              <w:bottom w:val="single" w:sz="4" w:space="0" w:color="D0D0D0"/>
              <w:right w:val="nil"/>
            </w:tcBorders>
            <w:noWrap/>
            <w:vAlign w:val="center"/>
            <w:hideMark/>
          </w:tcPr>
          <w:p w14:paraId="31B2A483" w14:textId="77777777" w:rsidR="00540DB2" w:rsidRPr="009668D3" w:rsidRDefault="00540DB2" w:rsidP="002D21BC">
            <w:pPr>
              <w:spacing w:after="0" w:line="240" w:lineRule="auto"/>
              <w:jc w:val="both"/>
              <w:rPr>
                <w:rFonts w:ascii="Times New Roman" w:hAnsi="Times New Roman" w:cs="Times New Roman"/>
                <w:kern w:val="0"/>
                <w:sz w:val="20"/>
                <w:szCs w:val="20"/>
                <w14:ligatures w14:val="none"/>
              </w:rPr>
            </w:pPr>
            <w:r w:rsidRPr="009668D3">
              <w:rPr>
                <w:rFonts w:ascii="Times New Roman" w:hAnsi="Times New Roman" w:cs="Times New Roman"/>
                <w:kern w:val="0"/>
                <w:sz w:val="20"/>
                <w:szCs w:val="20"/>
                <w14:ligatures w14:val="none"/>
              </w:rPr>
              <w:t>Parasitoid-free</w:t>
            </w:r>
          </w:p>
        </w:tc>
      </w:tr>
    </w:tbl>
    <w:p w14:paraId="4E7CCD77" w14:textId="0CDBC6D8" w:rsidR="00BE5C03" w:rsidRPr="009668D3" w:rsidRDefault="00FB510D" w:rsidP="002D21BC">
      <w:pPr>
        <w:pStyle w:val="Caption"/>
        <w:keepNext/>
        <w:jc w:val="both"/>
        <w:rPr>
          <w:rFonts w:ascii="Times New Roman" w:hAnsi="Times New Roman" w:cs="Times New Roman"/>
          <w:sz w:val="20"/>
          <w:szCs w:val="20"/>
        </w:rPr>
      </w:pPr>
      <w:r w:rsidRPr="001E6700">
        <w:rPr>
          <w:rFonts w:ascii="Times New Roman" w:hAnsi="Times New Roman" w:cs="Times New Roman"/>
          <w:i w:val="0"/>
          <w:iCs w:val="0"/>
          <w:noProof/>
          <w:sz w:val="20"/>
          <w:szCs w:val="20"/>
        </w:rPr>
        <w:drawing>
          <wp:inline distT="0" distB="0" distL="0" distR="0" wp14:anchorId="69B4012F" wp14:editId="399E5E03">
            <wp:extent cx="5954568" cy="3389786"/>
            <wp:effectExtent l="0" t="0" r="8255" b="1270"/>
            <wp:docPr id="743039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6574"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71371" cy="3399351"/>
                    </a:xfrm>
                    <a:prstGeom prst="rect">
                      <a:avLst/>
                    </a:prstGeom>
                    <a:noFill/>
                  </pic:spPr>
                </pic:pic>
              </a:graphicData>
            </a:graphic>
          </wp:inline>
        </w:drawing>
      </w:r>
    </w:p>
    <w:p w14:paraId="6AC2CD0C" w14:textId="13602177" w:rsidR="00533F15" w:rsidRPr="009668D3" w:rsidRDefault="00BE5C03" w:rsidP="002D21BC">
      <w:pPr>
        <w:pStyle w:val="Caption"/>
        <w:jc w:val="both"/>
        <w:rPr>
          <w:rFonts w:ascii="Times New Roman" w:hAnsi="Times New Roman" w:cs="Times New Roman"/>
          <w:i w:val="0"/>
          <w:sz w:val="20"/>
          <w:szCs w:val="20"/>
        </w:rPr>
      </w:pPr>
      <w:r w:rsidRPr="009668D3">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6</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Pr="009668D3">
        <w:rPr>
          <w:rFonts w:ascii="Times New Roman" w:hAnsi="Times New Roman" w:cs="Times New Roman"/>
          <w:sz w:val="20"/>
          <w:szCs w:val="20"/>
        </w:rPr>
        <w:t xml:space="preserve"> </w:t>
      </w:r>
      <w:r w:rsidR="001137CF" w:rsidRPr="001137CF">
        <w:rPr>
          <w:rFonts w:ascii="Times New Roman" w:hAnsi="Times New Roman" w:cs="Times New Roman"/>
          <w:sz w:val="20"/>
          <w:szCs w:val="20"/>
        </w:rPr>
        <w:t xml:space="preserve">Resistance (R1) and resilience (R2) across the six candidate early-warning parameters identified in Figures 3-4 and Table 1. (A) Season duration T. (B) Beetle overwinter survival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w:r w:rsidR="001137CF" w:rsidRPr="001137CF">
        <w:rPr>
          <w:rFonts w:ascii="Times New Roman" w:hAnsi="Times New Roman" w:cs="Times New Roman"/>
          <w:sz w:val="20"/>
          <w:szCs w:val="20"/>
        </w:rPr>
        <w:t xml:space="preserve">. (C) Susceptible larval mortality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w:r w:rsidR="001137CF" w:rsidRPr="001137CF">
        <w:rPr>
          <w:rFonts w:ascii="Times New Roman" w:hAnsi="Times New Roman" w:cs="Times New Roman"/>
          <w:sz w:val="20"/>
          <w:szCs w:val="20"/>
        </w:rPr>
        <w:t xml:space="preserve">. (D) Parasitoid attack rate β. (E) Beetle reproduction ratio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w:r w:rsidR="001137CF" w:rsidRPr="001137CF">
        <w:rPr>
          <w:rFonts w:ascii="Times New Roman" w:hAnsi="Times New Roman" w:cs="Times New Roman"/>
          <w:sz w:val="20"/>
          <w:szCs w:val="20"/>
        </w:rPr>
        <w:t xml:space="preserve">. (F) Parasitoid overwinter survival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oMath>
      <w:r w:rsidR="001137CF" w:rsidRPr="001137CF">
        <w:rPr>
          <w:rFonts w:ascii="Times New Roman" w:hAnsi="Times New Roman" w:cs="Times New Roman"/>
          <w:sz w:val="20"/>
          <w:szCs w:val="20"/>
        </w:rPr>
        <w:t>. Background shading indicates the equilibrium regime (green: coexistence; pink: parasitoid-free; blue: canopy-only); dashed vertical lines mark transcritical bifurcation boundaries from Figure 2</w:t>
      </w:r>
      <w:r w:rsidR="001137CF">
        <w:rPr>
          <w:rFonts w:ascii="Times New Roman" w:hAnsi="Times New Roman" w:cs="Times New Roman"/>
          <w:sz w:val="20"/>
          <w:szCs w:val="20"/>
        </w:rPr>
        <w:t>.</w:t>
      </w:r>
    </w:p>
    <w:p w14:paraId="6EF96B05" w14:textId="283215DA" w:rsidR="001137CF" w:rsidRPr="00FE7AAC" w:rsidRDefault="001137CF" w:rsidP="001137CF">
      <w:pPr>
        <w:pStyle w:val="Caption"/>
        <w:jc w:val="both"/>
        <w:rPr>
          <w:rFonts w:ascii="Times New Roman" w:hAnsi="Times New Roman" w:cs="Times New Roman"/>
          <w:i w:val="0"/>
          <w:iCs w:val="0"/>
          <w:sz w:val="22"/>
          <w:szCs w:val="22"/>
        </w:rPr>
      </w:pPr>
      <w:r w:rsidRPr="00FE7AAC">
        <w:rPr>
          <w:rFonts w:ascii="Times New Roman" w:hAnsi="Times New Roman" w:cs="Times New Roman"/>
          <w:i w:val="0"/>
          <w:iCs w:val="0"/>
          <w:sz w:val="22"/>
          <w:szCs w:val="22"/>
        </w:rPr>
        <w:lastRenderedPageBreak/>
        <w:t xml:space="preserve">Figure </w:t>
      </w:r>
      <w:r>
        <w:rPr>
          <w:rFonts w:ascii="Times New Roman" w:hAnsi="Times New Roman" w:cs="Times New Roman"/>
          <w:i w:val="0"/>
          <w:iCs w:val="0"/>
          <w:sz w:val="22"/>
          <w:szCs w:val="22"/>
        </w:rPr>
        <w:t>6</w:t>
      </w:r>
      <w:r w:rsidRPr="00FE7AAC">
        <w:rPr>
          <w:rFonts w:ascii="Times New Roman" w:hAnsi="Times New Roman" w:cs="Times New Roman"/>
          <w:i w:val="0"/>
          <w:iCs w:val="0"/>
          <w:sz w:val="22"/>
          <w:szCs w:val="22"/>
        </w:rPr>
        <w:t xml:space="preserve"> helps identify the distinct dynamics of resistance (R1) and resilience (R2) </w:t>
      </w:r>
      <w:r>
        <w:rPr>
          <w:rFonts w:ascii="Times New Roman" w:hAnsi="Times New Roman" w:cs="Times New Roman"/>
          <w:i w:val="0"/>
          <w:iCs w:val="0"/>
          <w:sz w:val="22"/>
          <w:szCs w:val="22"/>
        </w:rPr>
        <w:t xml:space="preserve">sensu Van Meerbeek (2021) </w:t>
      </w:r>
      <w:r w:rsidRPr="00FE7AAC">
        <w:rPr>
          <w:rFonts w:ascii="Times New Roman" w:hAnsi="Times New Roman" w:cs="Times New Roman"/>
          <w:i w:val="0"/>
          <w:iCs w:val="0"/>
          <w:sz w:val="22"/>
          <w:szCs w:val="22"/>
        </w:rPr>
        <w:t xml:space="preserve">across the six parameters identified as potential early warning signal detectors through their covariance. </w:t>
      </w:r>
      <w:r>
        <w:rPr>
          <w:rFonts w:ascii="Times New Roman" w:hAnsi="Times New Roman" w:cs="Times New Roman"/>
          <w:i w:val="0"/>
          <w:iCs w:val="0"/>
          <w:sz w:val="22"/>
          <w:szCs w:val="22"/>
        </w:rPr>
        <w:t>The main purpose of this result is to validate our previous resistance and resilience metric, which helps us validate the previous set of results in light of adaptive stability theory. Also, it provides a comparative aspect to the result. Within</w:t>
      </w:r>
      <w:r w:rsidRPr="00FE7AAC">
        <w:rPr>
          <w:rFonts w:ascii="Times New Roman" w:hAnsi="Times New Roman" w:cs="Times New Roman"/>
          <w:i w:val="0"/>
          <w:iCs w:val="0"/>
          <w:sz w:val="22"/>
          <w:szCs w:val="22"/>
        </w:rPr>
        <w:t xml:space="preserve"> the coexistence regime, R1 remains consistently high across all parameters. In contrast, R2 exhibits considerable variation within the same regime, indicating that the coexistence equilibrium can adapt to different resilience with the variability of these phenologies, while resistance can only change upon regime shift.  Variability in susceptible beetle mortality is the only case where resilience R1 collapses. This is again another obvious assumption, as resistance is only observed when a perturbation is present; however, it still shows the differential behaviour between stability components in this system. Observation of this obvious trend also helps validate our result from our model.</w:t>
      </w:r>
    </w:p>
    <w:p w14:paraId="10056931" w14:textId="291E90FA" w:rsidR="00FE7AAC" w:rsidRPr="009668D3" w:rsidRDefault="00FE7AAC" w:rsidP="002D21BC">
      <w:pPr>
        <w:jc w:val="both"/>
        <w:rPr>
          <w:rFonts w:ascii="Times New Roman" w:hAnsi="Times New Roman" w:cs="Times New Roman"/>
          <w:b/>
          <w:sz w:val="20"/>
          <w:szCs w:val="20"/>
        </w:rPr>
      </w:pPr>
      <w:r w:rsidRPr="009668D3">
        <w:rPr>
          <w:rFonts w:ascii="Times New Roman" w:hAnsi="Times New Roman" w:cs="Times New Roman"/>
          <w:b/>
          <w:sz w:val="20"/>
          <w:szCs w:val="20"/>
        </w:rPr>
        <w:t>3.3 Objective 3: Optimal Control Strategy Comparison</w:t>
      </w:r>
    </w:p>
    <w:p w14:paraId="26BFB071" w14:textId="5885165C" w:rsidR="00BE5C03" w:rsidRPr="009668D3" w:rsidRDefault="00BE5C03" w:rsidP="002D21BC">
      <w:pPr>
        <w:pStyle w:val="Caption"/>
        <w:keepNext/>
        <w:jc w:val="both"/>
        <w:rPr>
          <w:rFonts w:ascii="Times New Roman" w:hAnsi="Times New Roman" w:cs="Times New Roman"/>
          <w:sz w:val="20"/>
          <w:szCs w:val="20"/>
        </w:rPr>
      </w:pPr>
    </w:p>
    <w:p w14:paraId="764C9D95" w14:textId="77777777" w:rsidR="00BE5C03" w:rsidRPr="009668D3" w:rsidRDefault="00BE5C03" w:rsidP="002D21BC">
      <w:pPr>
        <w:keepNext/>
        <w:spacing w:line="240" w:lineRule="auto"/>
        <w:jc w:val="both"/>
        <w:rPr>
          <w:rFonts w:ascii="Times New Roman" w:hAnsi="Times New Roman" w:cs="Times New Roman"/>
          <w:sz w:val="20"/>
          <w:szCs w:val="20"/>
        </w:rPr>
      </w:pPr>
      <w:r w:rsidRPr="009668D3">
        <w:rPr>
          <w:rFonts w:ascii="Times New Roman" w:hAnsi="Times New Roman" w:cs="Times New Roman"/>
          <w:noProof/>
          <w:sz w:val="20"/>
          <w:szCs w:val="20"/>
        </w:rPr>
        <w:drawing>
          <wp:inline distT="0" distB="0" distL="0" distR="0" wp14:anchorId="15DA3B77" wp14:editId="2471D444">
            <wp:extent cx="5726364" cy="1593850"/>
            <wp:effectExtent l="0" t="0" r="8255" b="6350"/>
            <wp:docPr id="976958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8512"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6364" cy="1593850"/>
                    </a:xfrm>
                    <a:prstGeom prst="rect">
                      <a:avLst/>
                    </a:prstGeom>
                  </pic:spPr>
                </pic:pic>
              </a:graphicData>
            </a:graphic>
          </wp:inline>
        </w:drawing>
      </w:r>
    </w:p>
    <w:p w14:paraId="5A6C0AF0" w14:textId="2FF7CC85" w:rsidR="00BE5C03" w:rsidRPr="009668D3" w:rsidRDefault="00BE5C03" w:rsidP="002D21BC">
      <w:pPr>
        <w:pStyle w:val="Caption"/>
        <w:jc w:val="both"/>
        <w:rPr>
          <w:rFonts w:ascii="Times New Roman" w:hAnsi="Times New Roman" w:cs="Times New Roman"/>
          <w:sz w:val="20"/>
          <w:szCs w:val="20"/>
        </w:rPr>
      </w:pPr>
      <w:r w:rsidRPr="009668D3">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7</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00074F30">
        <w:rPr>
          <w:rFonts w:ascii="Times New Roman" w:hAnsi="Times New Roman" w:cs="Times New Roman"/>
          <w:sz w:val="20"/>
          <w:szCs w:val="20"/>
        </w:rPr>
        <w:t xml:space="preserve"> </w:t>
      </w:r>
      <w:r w:rsidR="00FB510D" w:rsidRPr="00074F30">
        <w:rPr>
          <w:rFonts w:ascii="Times New Roman" w:hAnsi="Times New Roman" w:cs="Times New Roman"/>
          <w:color w:val="auto"/>
          <w:sz w:val="20"/>
          <w:szCs w:val="20"/>
        </w:rPr>
        <w:t xml:space="preserve">Optimal control allocation under three management scenarios. (A) Terminal within-season parasitoid augmentation rate. (B) Terminal within-season direct larval removal rate; active only in Scenario C. (C) Annual mean control effort over the 8-year planning horizon: mean within-season parasitoid augmentation  (circles, solid), mean within-season direct removal  (squares, dashed), and annual bird habitat enhancement </w:t>
      </w:r>
      <w:r w:rsidRPr="00074F30">
        <w:rPr>
          <w:rFonts w:ascii="Times New Roman" w:hAnsi="Times New Roman" w:cs="Times New Roman"/>
          <w:color w:val="auto"/>
          <w:sz w:val="20"/>
          <w:szCs w:val="20"/>
        </w:rPr>
        <w:t xml:space="preserve"> (triangles, dotted).</w:t>
      </w:r>
    </w:p>
    <w:p w14:paraId="2467B4AA" w14:textId="676BE921" w:rsidR="00074F30" w:rsidRPr="00FE7AAC" w:rsidRDefault="00A674F1" w:rsidP="00074F30">
      <w:pPr>
        <w:spacing w:line="240" w:lineRule="auto"/>
        <w:jc w:val="both"/>
        <w:rPr>
          <w:rFonts w:ascii="Times New Roman" w:hAnsi="Times New Roman" w:cs="Times New Roman"/>
          <w:sz w:val="22"/>
          <w:szCs w:val="22"/>
        </w:rPr>
      </w:pPr>
      <w:r w:rsidRPr="009668D3">
        <w:rPr>
          <w:rFonts w:ascii="Times New Roman" w:hAnsi="Times New Roman" w:cs="Times New Roman"/>
          <w:sz w:val="20"/>
          <w:szCs w:val="20"/>
        </w:rPr>
        <w:t xml:space="preserve">Figure </w:t>
      </w:r>
      <w:r w:rsidR="00E478E3" w:rsidRPr="009668D3">
        <w:rPr>
          <w:rFonts w:ascii="Times New Roman" w:hAnsi="Times New Roman" w:cs="Times New Roman"/>
          <w:sz w:val="20"/>
          <w:szCs w:val="20"/>
        </w:rPr>
        <w:t>7</w:t>
      </w:r>
      <w:r w:rsidRPr="009668D3">
        <w:rPr>
          <w:rFonts w:ascii="Times New Roman" w:hAnsi="Times New Roman" w:cs="Times New Roman"/>
          <w:sz w:val="20"/>
          <w:szCs w:val="20"/>
        </w:rPr>
        <w:t xml:space="preserve"> </w:t>
      </w:r>
      <w:r w:rsidR="00074F30" w:rsidRPr="00FE7AAC">
        <w:rPr>
          <w:rFonts w:ascii="Times New Roman" w:hAnsi="Times New Roman" w:cs="Times New Roman"/>
          <w:sz w:val="22"/>
          <w:szCs w:val="22"/>
        </w:rPr>
        <w:t>shows how the timing and type of management affect cost savings in this eco-epidemic system to meet objective 3. Panels A and B show changes in control actions within each year. Panel C compares average effort per year per strategy.  Within each season, the three strategies differ in intervention focus and sequence. Strategy A relies solely on early parasitoid augmentation, i.e., the intentional release of parasitoid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P</m:t>
            </m:r>
          </m:sub>
        </m:sSub>
      </m:oMath>
      <w:r w:rsidR="00074F30">
        <w:rPr>
          <w:rFonts w:ascii="Times New Roman" w:hAnsi="Times New Roman" w:cs="Times New Roman"/>
          <w:sz w:val="22"/>
          <w:szCs w:val="22"/>
        </w:rPr>
        <w:t xml:space="preserve"> </w:t>
      </w:r>
      <w:r w:rsidR="00074F30" w:rsidRPr="00FE7AAC">
        <w:rPr>
          <w:rFonts w:ascii="Times New Roman" w:hAnsi="Times New Roman" w:cs="Times New Roman"/>
          <w:sz w:val="22"/>
          <w:szCs w:val="22"/>
        </w:rPr>
        <w:t xml:space="preserve">, Figure </w:t>
      </w:r>
      <w:r w:rsidR="00074F30">
        <w:rPr>
          <w:rFonts w:ascii="Times New Roman" w:hAnsi="Times New Roman" w:cs="Times New Roman"/>
          <w:sz w:val="22"/>
          <w:szCs w:val="22"/>
        </w:rPr>
        <w:t>7</w:t>
      </w:r>
      <w:r w:rsidR="00074F30" w:rsidRPr="00FE7AAC">
        <w:rPr>
          <w:rFonts w:ascii="Times New Roman" w:hAnsi="Times New Roman" w:cs="Times New Roman"/>
          <w:sz w:val="22"/>
          <w:szCs w:val="22"/>
        </w:rPr>
        <w:t xml:space="preserve">A) to maximise impact. Strategy B also begins with early parasitoid release, but later adds bird habitat enhancement, which reduces the need for additional augmentation. In contrast, Strategy C employs intensive early-season larval removal (Figure </w:t>
      </w:r>
      <w:r w:rsidR="00074F30">
        <w:rPr>
          <w:rFonts w:ascii="Times New Roman" w:hAnsi="Times New Roman" w:cs="Times New Roman"/>
          <w:sz w:val="22"/>
          <w:szCs w:val="22"/>
        </w:rPr>
        <w:t>7</w:t>
      </w:r>
      <w:r w:rsidR="00074F30" w:rsidRPr="00FE7AAC">
        <w:rPr>
          <w:rFonts w:ascii="Times New Roman" w:hAnsi="Times New Roman" w:cs="Times New Roman"/>
          <w:sz w:val="22"/>
          <w:szCs w:val="22"/>
        </w:rPr>
        <w:t xml:space="preserve">B), outperforming both parasitoid release and habitat improvements. Over multiple years (Figure </w:t>
      </w:r>
      <w:r w:rsidR="00074F30">
        <w:rPr>
          <w:rFonts w:ascii="Times New Roman" w:hAnsi="Times New Roman" w:cs="Times New Roman"/>
          <w:sz w:val="22"/>
          <w:szCs w:val="22"/>
        </w:rPr>
        <w:t>7</w:t>
      </w:r>
      <w:r w:rsidR="00074F30" w:rsidRPr="00FE7AAC">
        <w:rPr>
          <w:rFonts w:ascii="Times New Roman" w:hAnsi="Times New Roman" w:cs="Times New Roman"/>
          <w:sz w:val="22"/>
          <w:szCs w:val="22"/>
        </w:rPr>
        <w:t>C), effort allocation and cost trends diverge by strategy. All strategies have a peak within-season control in year 1, declining and stabilising as the managed equilibrium is approached. In Strategy B, bird habitat enhancement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B</m:t>
            </m:r>
          </m:sub>
        </m:sSub>
      </m:oMath>
      <w:r w:rsidR="00074F30" w:rsidRPr="00FE7AAC">
        <w:rPr>
          <w:rFonts w:ascii="Times New Roman" w:hAnsi="Times New Roman" w:cs="Times New Roman"/>
          <w:sz w:val="22"/>
          <w:szCs w:val="22"/>
        </w:rPr>
        <w:t xml:space="preserve">) is key: early, cost-effective suppression is enabled by initial investment, which transitions to low maintenance and reduces future costs. Strategy C instead uses moderate </w:t>
      </w:r>
      <m:oMath>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B</m:t>
            </m:r>
          </m:sub>
        </m:sSub>
      </m:oMath>
      <w:r w:rsidR="00074F30" w:rsidRPr="00FE7AAC">
        <w:rPr>
          <w:rFonts w:ascii="Times New Roman" w:hAnsi="Times New Roman" w:cs="Times New Roman"/>
          <w:sz w:val="22"/>
          <w:szCs w:val="22"/>
        </w:rPr>
        <w:t xml:space="preserve"> in year , but emphasises larval removal and parasitoid augmentation for short-term control, resulting in lower long-term maintenance costs once stabilised. Strategy A, in contrast, remains reliant on parasitoid release without bird habitat investment or intensive larval removal, leading to different cost dynamics over time. Each strategy’s approach to initial investment, maintenance, and intervention mix yields unique cost-saving patterns. This highlights how explicit choices in management strategy shape both short- and long-term cost efficiency.</w:t>
      </w:r>
    </w:p>
    <w:p w14:paraId="260C3967" w14:textId="398AAEFB" w:rsidR="00A674F1" w:rsidRPr="009668D3" w:rsidRDefault="00A674F1" w:rsidP="002D21BC">
      <w:pPr>
        <w:spacing w:line="240" w:lineRule="auto"/>
        <w:jc w:val="both"/>
        <w:rPr>
          <w:rFonts w:ascii="Times New Roman" w:hAnsi="Times New Roman" w:cs="Times New Roman"/>
          <w:sz w:val="20"/>
          <w:szCs w:val="20"/>
        </w:rPr>
      </w:pPr>
    </w:p>
    <w:p w14:paraId="6294667F" w14:textId="77777777" w:rsidR="00A674F1" w:rsidRPr="009668D3" w:rsidRDefault="00A674F1" w:rsidP="002D21BC">
      <w:pPr>
        <w:keepNext/>
        <w:spacing w:line="240" w:lineRule="auto"/>
        <w:jc w:val="both"/>
        <w:rPr>
          <w:rFonts w:ascii="Times New Roman" w:hAnsi="Times New Roman" w:cs="Times New Roman"/>
          <w:sz w:val="20"/>
          <w:szCs w:val="20"/>
        </w:rPr>
      </w:pPr>
      <w:r w:rsidRPr="009668D3">
        <w:rPr>
          <w:rFonts w:ascii="Times New Roman" w:hAnsi="Times New Roman" w:cs="Times New Roman"/>
          <w:noProof/>
          <w:sz w:val="20"/>
          <w:szCs w:val="20"/>
        </w:rPr>
        <w:lastRenderedPageBreak/>
        <w:drawing>
          <wp:inline distT="0" distB="0" distL="0" distR="0" wp14:anchorId="766660DB" wp14:editId="3D140D7A">
            <wp:extent cx="5731510" cy="2323465"/>
            <wp:effectExtent l="0" t="0" r="2540" b="635"/>
            <wp:docPr id="1935533267" name="Picture 12" descr="The image appears to be a graph illustrating the effects of different factors on a population over time, specifically showing how the presence of parasitoids, birds, and carrying capacity (K_t) and seasonal damage (D_t) influence population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3267" name="Picture 12" descr="The image appears to be a graph illustrating the effects of different factors on a population over time, specifically showing how the presence of parasitoids, birds, and carrying capacity (K_t) and seasonal damage (D_t) influence population siz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5ACB4E56" w14:textId="60B762D9" w:rsidR="00A674F1" w:rsidRPr="009668D3" w:rsidRDefault="00A674F1" w:rsidP="002D21BC">
      <w:pPr>
        <w:pStyle w:val="Caption"/>
        <w:jc w:val="both"/>
        <w:rPr>
          <w:rFonts w:ascii="Times New Roman" w:hAnsi="Times New Roman" w:cs="Times New Roman"/>
          <w:sz w:val="20"/>
          <w:szCs w:val="20"/>
        </w:rPr>
      </w:pPr>
      <w:r w:rsidRPr="001E6700">
        <w:rPr>
          <w:rFonts w:ascii="Times New Roman" w:hAnsi="Times New Roman" w:cs="Times New Roman"/>
          <w:sz w:val="20"/>
          <w:szCs w:val="20"/>
        </w:rPr>
        <w:t xml:space="preserve">Figure </w:t>
      </w:r>
      <w:r w:rsidRPr="001E6700">
        <w:rPr>
          <w:rFonts w:ascii="Times New Roman" w:hAnsi="Times New Roman" w:cs="Times New Roman"/>
          <w:sz w:val="20"/>
          <w:szCs w:val="20"/>
        </w:rPr>
        <w:fldChar w:fldCharType="begin"/>
      </w:r>
      <w:r w:rsidRPr="001E6700">
        <w:rPr>
          <w:rFonts w:ascii="Times New Roman" w:hAnsi="Times New Roman" w:cs="Times New Roman"/>
          <w:sz w:val="20"/>
          <w:szCs w:val="20"/>
        </w:rPr>
        <w:instrText xml:space="preserve"> SEQ Figure \* ARABIC </w:instrText>
      </w:r>
      <w:r w:rsidRPr="001E6700">
        <w:rPr>
          <w:rFonts w:ascii="Times New Roman" w:hAnsi="Times New Roman" w:cs="Times New Roman"/>
          <w:sz w:val="20"/>
          <w:szCs w:val="20"/>
        </w:rPr>
        <w:fldChar w:fldCharType="separate"/>
      </w:r>
      <w:r w:rsidR="003E58BB" w:rsidRPr="001E6700">
        <w:rPr>
          <w:rFonts w:ascii="Times New Roman" w:hAnsi="Times New Roman" w:cs="Times New Roman"/>
          <w:noProof/>
          <w:sz w:val="20"/>
          <w:szCs w:val="20"/>
        </w:rPr>
        <w:t>8</w:t>
      </w:r>
      <w:r w:rsidRPr="001E6700">
        <w:rPr>
          <w:rFonts w:ascii="Times New Roman" w:hAnsi="Times New Roman" w:cs="Times New Roman"/>
          <w:sz w:val="20"/>
          <w:szCs w:val="20"/>
        </w:rPr>
        <w:fldChar w:fldCharType="end"/>
      </w:r>
      <w:r w:rsidRPr="001E6700">
        <w:rPr>
          <w:rFonts w:ascii="Times New Roman" w:hAnsi="Times New Roman" w:cs="Times New Roman"/>
          <w:sz w:val="20"/>
          <w:szCs w:val="20"/>
        </w:rPr>
        <w:t>:</w:t>
      </w:r>
      <w:r w:rsidRPr="009668D3">
        <w:rPr>
          <w:rFonts w:ascii="Times New Roman" w:hAnsi="Times New Roman" w:cs="Times New Roman"/>
          <w:sz w:val="20"/>
          <w:szCs w:val="20"/>
        </w:rPr>
        <w:t xml:space="preserve"> Multi-year state trajectories under three management scenarios. (A) Seasonal cumulative defoliation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and (B) carrying capacity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over the planning horizon. Dashed horizontal line in (A) marks the damage threshold</w:t>
      </w:r>
      <w:r w:rsidR="00194469">
        <w:rPr>
          <w:rFonts w:ascii="Times New Roman" w:hAnsi="Times New Roman" w:cs="Times New Roman"/>
          <w:sz w:val="20"/>
          <w:szCs w:val="20"/>
        </w:rPr>
        <w:t>.</w:t>
      </w:r>
    </w:p>
    <w:p w14:paraId="59E89F72" w14:textId="4C732DDD" w:rsidR="00FE6C2F" w:rsidRPr="009668D3" w:rsidRDefault="00452EB0"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Figure </w:t>
      </w:r>
      <w:r w:rsidR="00E478E3" w:rsidRPr="009668D3">
        <w:rPr>
          <w:rFonts w:ascii="Times New Roman" w:hAnsi="Times New Roman" w:cs="Times New Roman"/>
          <w:sz w:val="20"/>
          <w:szCs w:val="20"/>
        </w:rPr>
        <w:t>8</w:t>
      </w:r>
      <w:r w:rsidRPr="009668D3">
        <w:rPr>
          <w:rFonts w:ascii="Times New Roman" w:hAnsi="Times New Roman" w:cs="Times New Roman"/>
          <w:sz w:val="20"/>
          <w:szCs w:val="20"/>
        </w:rPr>
        <w:t xml:space="preserve"> presents multi-year ecological outcomes for each management strategy, beginning from an outbreak state. Panel A shows seasonal cumulative defoliation </w:t>
      </w:r>
      <w:r w:rsidR="00FB510D" w:rsidRPr="001E6700">
        <w:rPr>
          <w:rFonts w:ascii="Times New Roman" w:hAnsi="Times New Roman" w:cs="Times New Roman"/>
          <w:sz w:val="20"/>
          <w:szCs w:val="20"/>
        </w:rPr>
        <w:t>(),</w:t>
      </w:r>
      <w:r w:rsidRPr="009668D3">
        <w:rPr>
          <w:rFonts w:ascii="Times New Roman" w:hAnsi="Times New Roman" w:cs="Times New Roman"/>
          <w:sz w:val="20"/>
          <w:szCs w:val="20"/>
        </w:rPr>
        <w:t xml:space="preserve"> while Panel B shows carrying capacity </w:t>
      </w:r>
      <w:r w:rsidR="00FB510D" w:rsidRPr="001E6700">
        <w:rPr>
          <w:rFonts w:ascii="Times New Roman" w:hAnsi="Times New Roman" w:cs="Times New Roman"/>
          <w:sz w:val="20"/>
          <w:szCs w:val="20"/>
        </w:rPr>
        <w:t>().</w:t>
      </w:r>
      <w:r w:rsidRPr="009668D3">
        <w:rPr>
          <w:rFonts w:ascii="Times New Roman" w:hAnsi="Times New Roman" w:cs="Times New Roman"/>
          <w:sz w:val="20"/>
          <w:szCs w:val="20"/>
        </w:rPr>
        <w:t xml:space="preserve"> All strategies reduce defoliation below the threshold </w:t>
      </w:r>
      <m:oMath>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crit</m:t>
            </m:r>
          </m:sub>
        </m:sSub>
      </m:oMath>
      <w:r w:rsidRPr="009668D3">
        <w:rPr>
          <w:rFonts w:ascii="Times New Roman" w:hAnsi="Times New Roman" w:cs="Times New Roman"/>
          <w:sz w:val="20"/>
          <w:szCs w:val="20"/>
        </w:rPr>
        <w:t xml:space="preserve"> in the first year, but Strategy C converges fastest, Strategy B is intermediate, and Strategy A stabilises most slowly, with the most severe damage. Carrying capacity recovery follows the same ranking. Suppressing damage early reduces total defoliation, lessens the foliage-memory penalty (Equation 8), and lowers future intervention needs. For O3, the cost ranking from Figure </w:t>
      </w:r>
      <w:r w:rsidR="00614391">
        <w:rPr>
          <w:rFonts w:ascii="Times New Roman" w:hAnsi="Times New Roman" w:cs="Times New Roman"/>
          <w:sz w:val="20"/>
          <w:szCs w:val="20"/>
        </w:rPr>
        <w:t>7</w:t>
      </w:r>
      <w:r w:rsidRPr="009668D3">
        <w:rPr>
          <w:rFonts w:ascii="Times New Roman" w:hAnsi="Times New Roman" w:cs="Times New Roman"/>
          <w:sz w:val="20"/>
          <w:szCs w:val="20"/>
        </w:rPr>
        <w:t xml:space="preserve"> matches the ecologica</w:t>
      </w:r>
      <w:r w:rsidR="00614391">
        <w:rPr>
          <w:rFonts w:ascii="Times New Roman" w:hAnsi="Times New Roman" w:cs="Times New Roman"/>
          <w:sz w:val="20"/>
          <w:szCs w:val="20"/>
        </w:rPr>
        <w:t xml:space="preserve">l </w:t>
      </w:r>
      <w:r w:rsidRPr="009668D3">
        <w:rPr>
          <w:rFonts w:ascii="Times New Roman" w:hAnsi="Times New Roman" w:cs="Times New Roman"/>
          <w:sz w:val="20"/>
          <w:szCs w:val="20"/>
        </w:rPr>
        <w:t>trajectory: the lowest-cost strategy achieves the fastest suppression and canopy recovery.</w:t>
      </w:r>
      <w:r w:rsidR="00FE6C2F" w:rsidRPr="009668D3">
        <w:rPr>
          <w:rFonts w:ascii="Times New Roman" w:hAnsi="Times New Roman" w:cs="Times New Roman"/>
          <w:sz w:val="20"/>
          <w:szCs w:val="20"/>
        </w:rPr>
        <w:t xml:space="preserve"> According to the lexicographic decision rule outlined in the methodology, only Strategy C achieves local asymptotic stability at the managed equilibrium (ρ* = 0.98 &lt; 1). Strategies A (ρ* = 1.19) and B (ρ* = 1.10) exceed the stability boundary, rendering them infeasible despite reducing damage below </w:t>
      </w:r>
      <w:r w:rsidR="00FB510D" w:rsidRPr="001E6700">
        <w:rPr>
          <w:rFonts w:ascii="Times New Roman" w:hAnsi="Times New Roman" w:cs="Times New Roman"/>
          <w:sz w:val="20"/>
          <w:szCs w:val="20"/>
        </w:rPr>
        <w:t>.</w:t>
      </w:r>
      <w:r w:rsidR="00FE6C2F" w:rsidRPr="009668D3">
        <w:rPr>
          <w:rFonts w:ascii="Times New Roman" w:hAnsi="Times New Roman" w:cs="Times New Roman"/>
          <w:sz w:val="20"/>
          <w:szCs w:val="20"/>
        </w:rPr>
        <w:t xml:space="preserve"> Strategy C is therefore the only feasible approach </w:t>
      </w:r>
      <w:r w:rsidR="008868E4" w:rsidRPr="009668D3">
        <w:rPr>
          <w:rFonts w:ascii="Times New Roman" w:hAnsi="Times New Roman" w:cs="Times New Roman"/>
          <w:sz w:val="20"/>
          <w:szCs w:val="20"/>
        </w:rPr>
        <w:t>and</w:t>
      </w:r>
      <w:r w:rsidR="00FE6C2F" w:rsidRPr="009668D3">
        <w:rPr>
          <w:rFonts w:ascii="Times New Roman" w:hAnsi="Times New Roman" w:cs="Times New Roman"/>
          <w:sz w:val="20"/>
          <w:szCs w:val="20"/>
        </w:rPr>
        <w:t xml:space="preserve"> </w:t>
      </w:r>
      <w:r w:rsidR="00FB510D" w:rsidRPr="001E6700">
        <w:rPr>
          <w:rFonts w:ascii="Times New Roman" w:hAnsi="Times New Roman" w:cs="Times New Roman"/>
          <w:sz w:val="20"/>
          <w:szCs w:val="20"/>
        </w:rPr>
        <w:t xml:space="preserve">also </w:t>
      </w:r>
      <w:r w:rsidR="00FE6C2F" w:rsidRPr="009668D3">
        <w:rPr>
          <w:rFonts w:ascii="Times New Roman" w:hAnsi="Times New Roman" w:cs="Times New Roman"/>
          <w:sz w:val="20"/>
          <w:szCs w:val="20"/>
        </w:rPr>
        <w:t>yields the minimum-cost outcome (J = 14.0, compared to 48.2 for A and 44.7 for B).</w:t>
      </w:r>
    </w:p>
    <w:p w14:paraId="5C0A4AC6" w14:textId="5AA3F402" w:rsidR="00452EB0" w:rsidRPr="009668D3" w:rsidRDefault="006B6E15" w:rsidP="002D21BC">
      <w:pPr>
        <w:pStyle w:val="ListParagraph"/>
        <w:numPr>
          <w:ilvl w:val="0"/>
          <w:numId w:val="7"/>
        </w:num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Discussion</w:t>
      </w:r>
    </w:p>
    <w:p w14:paraId="4E8F2B4E" w14:textId="77777777" w:rsidR="006B3BD3" w:rsidRDefault="006B3BD3" w:rsidP="002D21BC">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Climate-driven phenological variability alters both persistence and control within multitrophic systems (Renner &amp; Zohner, 2018; Thackeray et al., 2016; Both et al., 2009). Primary consumers typically advance their phenology faster than their natural enemies, generating trophic desynchrony that compounds when multiple species shift simultaneously (Thackeray et al., 2016; Visser &amp; Both, 2005). This study models the Black alder–leaf beetle–parasitoid–generalist bird ecoepidemic system within a process-based, theory-driven framework that couples within-season tri-trophic dynamics to interannual canopy feedback, following established practice for hybrid host–parasitoid models (Chattopadhyay &amp; Arino, 1999; Hethcote et al., 2004; Kot, 2001). The study had three aims: (i) to identify the most probable stable equilibria across all phenological scenarios; (ii) to quantify the likelihood of the system shifting from its current coexistence equilibrium to an undesirable state; and (iii) to determine the minimal effort required for three pest-control strategies targeting the leaf beetle to prevent regime shifts across parameter space. We exploited well-documented phenologies of the focal species (Dolch &amp; Tscharntke, 2000; Sivrikaya et al., 2020; Stireman et al., 2006) and applied optimal control theory to evaluate intervention effort (Lenhart &amp; Workman, 2007). Results indicate that the system does not consistently favour the most desirable coexistence equilibrium, a pattern consistent with classical host–parasitoid theory in which stable coexistence occupies only a narrow parameter window (Nicholson &amp; Bailey, 1935; Hassell et al., 1976; Singh, 2023). Across the nine phenological scenarios, desirable coexistence—characterised by parasitoid persistence, low defoliation, and a maintained canopy—occurred only within a limited region of parameter space. The probability of regime shifts increased substantially when phenological parameters varied simultaneously, consistent with empirical evidence that asynchronous shifts across trophic levels produce non-additive demographic consequences (Visser &amp; Both, 2005; Both et al., 2009; Thackeray et al., 2016; Tougeron et al., 2019; Belitz et al., 2025). Only the fully integrated management strategy proved feasible across both seasonal and interannual scales. We calibrated the model within parameter ranges derived from literature on these phenologies across habitats that house our focal system (Annex 1; European Commission, 1992; Valor et al., 2020). The results therefore do not constitute stand-level forecasts for any specific alluvial forest; rather, they provide a general understanding of the system's stability properties, including resilience and resistance dynamics, from an eco-</w:t>
      </w:r>
      <w:r w:rsidRPr="006B3BD3">
        <w:rPr>
          <w:rFonts w:ascii="Times New Roman" w:hAnsi="Times New Roman" w:cs="Times New Roman"/>
          <w:sz w:val="20"/>
          <w:szCs w:val="20"/>
        </w:rPr>
        <w:lastRenderedPageBreak/>
        <w:t>epidemic perspective (Holling, 1973; Donohue et al., 2016; Van Meerbeek et al., 2021). These stability properties may be observed in part or in full across European habitats containing the focal system.</w:t>
      </w:r>
    </w:p>
    <w:p w14:paraId="3F72BB09" w14:textId="110D840A" w:rsidR="006E72AF" w:rsidRPr="001E6700" w:rsidRDefault="00011F0D"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 primary ecological implication of Objective 1 is that considering parasitoids as the main natural control for phyl</w:t>
      </w:r>
      <w:r w:rsidR="00A31506" w:rsidRPr="001E6700">
        <w:rPr>
          <w:rFonts w:ascii="Times New Roman" w:hAnsi="Times New Roman" w:cs="Times New Roman"/>
          <w:sz w:val="20"/>
          <w:szCs w:val="20"/>
        </w:rPr>
        <w:t>l</w:t>
      </w:r>
      <w:r w:rsidRPr="009668D3">
        <w:rPr>
          <w:rFonts w:ascii="Times New Roman" w:hAnsi="Times New Roman" w:cs="Times New Roman"/>
          <w:sz w:val="20"/>
          <w:szCs w:val="20"/>
        </w:rPr>
        <w:t xml:space="preserve">ophagous leaf beetle populations may compromise the stability of coexistence under phenological variability. Within the parameter space defined by phenological variability, both parasitoid-free and canopy-only states are more frequently observed as stable equilibria than coexistence. Coexistence remains possible only if the parasitoid attack rate on beetles increases, both host and parasitoid populations exhibit sufficient overwintering survival, and generalist birds exert moderate predation pressure. These observations are consistent with existing host–parasitoid models, which indicate that coexistence within Nicholson–Bailey frameworks is limited to a narrow parameter range (Singh, 2023). This result also supports findings that phenological mismatch can disrupt tritrophic stability, even when pairwise interactions remain stable (Belitz et al., 2025). The greater likelihood of parasitoid-free and canopy-only stable equilibria in this system across phenological variability provides important insight for distinguishing between the desirability of coexistence in complex systems and the likelihood of convergence to a simpler, yet stable, structure. In this focal system, parasitoids help reduce the risk of future beetle outbreaks, while generalist birds have access to other, more abundant prey. These findings </w:t>
      </w:r>
      <w:r w:rsidR="00A868CD" w:rsidRPr="001E6700">
        <w:rPr>
          <w:rFonts w:ascii="Times New Roman" w:hAnsi="Times New Roman" w:cs="Times New Roman"/>
          <w:sz w:val="20"/>
          <w:szCs w:val="20"/>
        </w:rPr>
        <w:t>are consistent with management approaches that emphasise augmentation of natural enemies, although</w:t>
      </w:r>
      <w:r w:rsidRPr="009668D3">
        <w:rPr>
          <w:rFonts w:ascii="Times New Roman" w:hAnsi="Times New Roman" w:cs="Times New Roman"/>
          <w:sz w:val="20"/>
          <w:szCs w:val="20"/>
        </w:rPr>
        <w:t xml:space="preserve"> the </w:t>
      </w:r>
      <w:r w:rsidR="00A868CD" w:rsidRPr="001E6700">
        <w:rPr>
          <w:rFonts w:ascii="Times New Roman" w:hAnsi="Times New Roman" w:cs="Times New Roman"/>
          <w:sz w:val="20"/>
          <w:szCs w:val="20"/>
        </w:rPr>
        <w:t>effectiveness of such interventions depends on system-specific ecological conditions and requires empirical validation</w:t>
      </w:r>
    </w:p>
    <w:p w14:paraId="5D51E97D" w14:textId="3EE85C57" w:rsidR="00722BE6" w:rsidRPr="009668D3" w:rsidRDefault="00722BE6"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ecological theory of intraguild predation provides a detailed framework for validating such management decisions. This is especially useful when direct empirical evidence is lacking and can be done through analogies with the present findings. This theory suggests a higher-order predator suppresses an intermediate natural enemy while still reducing the shared prey (Rosenheim, 1998; Polis &amp; Holt, 1992). In our focal system, the precise sign and magnitude of bird predation on parasitised </w:t>
      </w:r>
      <w:r w:rsidR="00222C54" w:rsidRPr="001E6700">
        <w:rPr>
          <w:rFonts w:ascii="Times New Roman" w:hAnsi="Times New Roman" w:cs="Times New Roman"/>
          <w:sz w:val="20"/>
          <w:szCs w:val="20"/>
        </w:rPr>
        <w:t>b</w:t>
      </w:r>
      <w:r w:rsidR="00066319" w:rsidRPr="009668D3">
        <w:rPr>
          <w:rFonts w:ascii="Times New Roman" w:hAnsi="Times New Roman" w:cs="Times New Roman"/>
          <w:sz w:val="20"/>
          <w:szCs w:val="20"/>
        </w:rPr>
        <w:t>eetle</w:t>
      </w:r>
      <w:r w:rsidRPr="009668D3">
        <w:rPr>
          <w:rFonts w:ascii="Times New Roman" w:hAnsi="Times New Roman" w:cs="Times New Roman"/>
          <w:sz w:val="20"/>
          <w:szCs w:val="20"/>
        </w:rPr>
        <w:t xml:space="preserve"> larvae remain unmeasured. Parasitised </w:t>
      </w:r>
      <w:r w:rsidR="00066319" w:rsidRPr="009668D3">
        <w:rPr>
          <w:rFonts w:ascii="Times New Roman" w:hAnsi="Times New Roman" w:cs="Times New Roman"/>
          <w:sz w:val="20"/>
          <w:szCs w:val="20"/>
        </w:rPr>
        <w:t>beetle</w:t>
      </w:r>
      <w:r w:rsidRPr="009668D3">
        <w:rPr>
          <w:rFonts w:ascii="Times New Roman" w:hAnsi="Times New Roman" w:cs="Times New Roman"/>
          <w:sz w:val="20"/>
          <w:szCs w:val="20"/>
        </w:rPr>
        <w:t xml:space="preserve"> larvae continue feeding until death induced by the parasitoid</w:t>
      </w:r>
      <w:r w:rsidR="00D357BB" w:rsidRPr="009668D3">
        <w:rPr>
          <w:rFonts w:ascii="Times New Roman" w:hAnsi="Times New Roman" w:cs="Times New Roman"/>
          <w:sz w:val="20"/>
          <w:szCs w:val="20"/>
        </w:rPr>
        <w:t xml:space="preserve"> (Stireman et al., 2006)</w:t>
      </w:r>
      <w:r w:rsidRPr="009668D3">
        <w:rPr>
          <w:rFonts w:ascii="Times New Roman" w:hAnsi="Times New Roman" w:cs="Times New Roman"/>
          <w:sz w:val="20"/>
          <w:szCs w:val="20"/>
        </w:rPr>
        <w:t xml:space="preserve">. They remain susceptible to bird predation throughout the delay interval. Within the model, bird predation reduces the total larval pool and consequently lowers defoliation. However, it also removes parasitised larvae before the koinobiont parasitoid completes development and emerges. Each parasitised larva removed in this manner constitutes a lost recruitment event for </w:t>
      </w:r>
      <w:r w:rsidR="0093149B" w:rsidRPr="009668D3">
        <w:rPr>
          <w:rFonts w:ascii="Times New Roman" w:hAnsi="Times New Roman" w:cs="Times New Roman"/>
          <w:sz w:val="20"/>
          <w:szCs w:val="20"/>
        </w:rPr>
        <w:t>the endoparasitoid</w:t>
      </w:r>
      <w:r w:rsidRPr="009668D3">
        <w:rPr>
          <w:rFonts w:ascii="Times New Roman" w:hAnsi="Times New Roman" w:cs="Times New Roman"/>
          <w:sz w:val="20"/>
          <w:szCs w:val="20"/>
        </w:rPr>
        <w:t>. If the release of the parasite is targeted at the foraging aggregation of the beetles, the attack rate might increase. This is a signal the parasitoid tracks to find host beetle larvae (</w:t>
      </w:r>
      <w:r w:rsidR="00D357BB" w:rsidRPr="009668D3">
        <w:rPr>
          <w:rFonts w:ascii="Times New Roman" w:hAnsi="Times New Roman" w:cs="Times New Roman"/>
          <w:sz w:val="20"/>
          <w:szCs w:val="20"/>
        </w:rPr>
        <w:t>Stireman et al., 2006)</w:t>
      </w:r>
      <w:r w:rsidR="002F6DC6" w:rsidRPr="009668D3">
        <w:rPr>
          <w:rFonts w:ascii="Times New Roman" w:hAnsi="Times New Roman" w:cs="Times New Roman"/>
          <w:sz w:val="20"/>
          <w:szCs w:val="20"/>
        </w:rPr>
        <w:t>.</w:t>
      </w:r>
      <w:r w:rsidR="00D357BB" w:rsidRPr="009668D3">
        <w:rPr>
          <w:rFonts w:ascii="Times New Roman" w:hAnsi="Times New Roman" w:cs="Times New Roman"/>
          <w:sz w:val="20"/>
          <w:szCs w:val="20"/>
        </w:rPr>
        <w:t xml:space="preserve"> </w:t>
      </w:r>
      <w:r w:rsidR="00A868CD" w:rsidRPr="001E6700">
        <w:rPr>
          <w:rFonts w:ascii="Times New Roman" w:hAnsi="Times New Roman" w:cs="Times New Roman"/>
          <w:sz w:val="20"/>
          <w:szCs w:val="20"/>
        </w:rPr>
        <w:t>Our model suggests that enhancing</w:t>
      </w:r>
      <w:r w:rsidRPr="009668D3">
        <w:rPr>
          <w:rFonts w:ascii="Times New Roman" w:hAnsi="Times New Roman" w:cs="Times New Roman"/>
          <w:sz w:val="20"/>
          <w:szCs w:val="20"/>
        </w:rPr>
        <w:t xml:space="preserve"> both the abundance and </w:t>
      </w:r>
      <w:r w:rsidR="00A868CD" w:rsidRPr="001E6700">
        <w:rPr>
          <w:rFonts w:ascii="Times New Roman" w:hAnsi="Times New Roman" w:cs="Times New Roman"/>
          <w:sz w:val="20"/>
          <w:szCs w:val="20"/>
        </w:rPr>
        <w:t>functional effectiveness</w:t>
      </w:r>
      <w:r w:rsidRPr="009668D3">
        <w:rPr>
          <w:rFonts w:ascii="Times New Roman" w:hAnsi="Times New Roman" w:cs="Times New Roman"/>
          <w:sz w:val="20"/>
          <w:szCs w:val="20"/>
        </w:rPr>
        <w:t xml:space="preserve"> of natural enemies</w:t>
      </w:r>
      <w:r w:rsidR="00A868CD" w:rsidRPr="001E6700">
        <w:rPr>
          <w:rFonts w:ascii="Times New Roman" w:hAnsi="Times New Roman" w:cs="Times New Roman"/>
          <w:sz w:val="20"/>
          <w:szCs w:val="20"/>
        </w:rPr>
        <w:t xml:space="preserve"> may improve system stability, subject to empirical validation.</w:t>
      </w:r>
      <w:r w:rsidRPr="009668D3">
        <w:rPr>
          <w:rFonts w:ascii="Times New Roman" w:hAnsi="Times New Roman" w:cs="Times New Roman"/>
          <w:sz w:val="20"/>
          <w:szCs w:val="20"/>
        </w:rPr>
        <w:t xml:space="preserve"> In this context, coexistence loss is more accurately described as a failure of parasitoid attack rather than merely insufficient parasite number.</w:t>
      </w:r>
    </w:p>
    <w:p w14:paraId="0E5BB793" w14:textId="33EBAF6B" w:rsidR="00772441" w:rsidRPr="009668D3" w:rsidRDefault="009976A9"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Objective 2 extends Objective 1 by examining how phenological variation changes the probability of leaving coexistence. It quantifies the probabilities of each phenological variation that can cause a regime shift across any stable equilibrium. Therefore, while the prediction of Objective 1 is limited to the initial state where the parasitoid is present, Objective 2 covers cases where the parasitoid is initially absent. A key observational difference is that a single parameter can affect two equilibria through different mechanisms. For example, season length does not visibly affect coexistence equilibria within the range studied, except by drastically increasing defoliation damage. </w:t>
      </w:r>
      <w:r w:rsidR="00982EEA" w:rsidRPr="00982EEA">
        <w:rPr>
          <w:rFonts w:ascii="Times New Roman" w:hAnsi="Times New Roman" w:cs="Times New Roman"/>
          <w:sz w:val="20"/>
          <w:szCs w:val="20"/>
        </w:rPr>
        <w:t>However, from a parasitoid-free initial state, season length can destabilise coexistence (Emerick &amp; Singh, 2016; Singh, 2023). Increased defoliation reduces the following year's carrying capacity through a memory effect driven by the accumulation of phytochemical defence (Dolch &amp; Tscharntke, 2000; Tscharntke et al., 2001; Schott et al., 2023), and the same defoliation also modifies canopy condition as a direct feedback (Ferretti et al., 2021). Bird predation reduces defoliation damage once predator pressure exceeds a critical level (Böhm et al., 2011; Monteagudo et al., 2023). From the coexistence equilibrium, however, its net effect is moderated by opposing intraguild predation pathways, because generalist birds simultaneously suppress the beetle and remove the parasitoid developing inside parasitised larvae (Polis &amp; Holt, 1992; Rosenheim, 1998; Holt &amp; Polis, 1997; Holt &amp; Huxel, 2007). From a parasitoid-free equilibrium, by contrast, bird predation does not directly alter parasitoid invasion risk, because invasion success at that boundary depends on resident host density rather than on the identity of the process suppressing it (Hochberg &amp; Holt, 2002). Phytochemical defence therefore provides within-season resistance and accumulates as plant immunological memory (Conrath et al., 2015; Song et al., 2018), feeding back into the following year's carrying capacity for both the beetle and its parasitoid (Karban et al., 2018; Schott et al., 2023). Nevertheless, this feedback exerts little influence on invasion thresholds or equilibrium class in our analysis. The observation warrants further study, because the inter-annual accumulation rate and its quantitative effect on canopy regrowth remain poorly resolved under field conditions (Tscharntke et al., 2001; Karban et al., 2018; Schott et al., 2023).</w:t>
      </w:r>
      <w:r w:rsidR="00A31506" w:rsidRPr="001E6700">
        <w:rPr>
          <w:rFonts w:ascii="Times New Roman" w:hAnsi="Times New Roman" w:cs="Times New Roman"/>
          <w:sz w:val="20"/>
          <w:szCs w:val="20"/>
        </w:rPr>
        <w:t>These</w:t>
      </w:r>
      <w:r w:rsidRPr="009668D3">
        <w:rPr>
          <w:rFonts w:ascii="Times New Roman" w:hAnsi="Times New Roman" w:cs="Times New Roman"/>
          <w:sz w:val="20"/>
          <w:szCs w:val="20"/>
        </w:rPr>
        <w:t xml:space="preserve"> results </w:t>
      </w:r>
      <w:r w:rsidR="00A31506" w:rsidRPr="001E6700">
        <w:rPr>
          <w:rFonts w:ascii="Times New Roman" w:hAnsi="Times New Roman" w:cs="Times New Roman"/>
          <w:sz w:val="20"/>
          <w:szCs w:val="20"/>
        </w:rPr>
        <w:t>indicate</w:t>
      </w:r>
      <w:r w:rsidRPr="009668D3">
        <w:rPr>
          <w:rFonts w:ascii="Times New Roman" w:hAnsi="Times New Roman" w:cs="Times New Roman"/>
          <w:sz w:val="20"/>
          <w:szCs w:val="20"/>
        </w:rPr>
        <w:t xml:space="preserve"> that </w:t>
      </w:r>
      <w:r w:rsidR="00A31506" w:rsidRPr="001E6700">
        <w:rPr>
          <w:rFonts w:ascii="Times New Roman" w:hAnsi="Times New Roman" w:cs="Times New Roman"/>
          <w:sz w:val="20"/>
          <w:szCs w:val="20"/>
        </w:rPr>
        <w:t>system dynamics operate</w:t>
      </w:r>
      <w:r w:rsidRPr="009668D3">
        <w:rPr>
          <w:rFonts w:ascii="Times New Roman" w:hAnsi="Times New Roman" w:cs="Times New Roman"/>
          <w:sz w:val="20"/>
          <w:szCs w:val="20"/>
        </w:rPr>
        <w:t xml:space="preserve"> on two </w:t>
      </w:r>
      <w:r w:rsidR="00A31506" w:rsidRPr="001E6700">
        <w:rPr>
          <w:rFonts w:ascii="Times New Roman" w:hAnsi="Times New Roman" w:cs="Times New Roman"/>
          <w:sz w:val="20"/>
          <w:szCs w:val="20"/>
        </w:rPr>
        <w:t>distinct</w:t>
      </w:r>
      <w:r w:rsidRPr="009668D3">
        <w:rPr>
          <w:rFonts w:ascii="Times New Roman" w:hAnsi="Times New Roman" w:cs="Times New Roman"/>
          <w:sz w:val="20"/>
          <w:szCs w:val="20"/>
        </w:rPr>
        <w:t xml:space="preserve"> time scales, it establishes that resistance and resilience at each time scale shape stability differently in this system. Within-season trophic interactions determine parasitoid invasion risk. </w:t>
      </w:r>
      <w:r w:rsidR="00A31506" w:rsidRPr="001E6700">
        <w:rPr>
          <w:rFonts w:ascii="Times New Roman" w:hAnsi="Times New Roman" w:cs="Times New Roman"/>
          <w:sz w:val="20"/>
          <w:szCs w:val="20"/>
        </w:rPr>
        <w:t>Interannual</w:t>
      </w:r>
      <w:r w:rsidRPr="009668D3">
        <w:rPr>
          <w:rFonts w:ascii="Times New Roman" w:hAnsi="Times New Roman" w:cs="Times New Roman"/>
          <w:sz w:val="20"/>
          <w:szCs w:val="20"/>
        </w:rPr>
        <w:t xml:space="preserve"> canopy </w:t>
      </w:r>
      <w:r w:rsidR="00A31506" w:rsidRPr="001E6700">
        <w:rPr>
          <w:rFonts w:ascii="Times New Roman" w:hAnsi="Times New Roman" w:cs="Times New Roman"/>
          <w:sz w:val="20"/>
          <w:szCs w:val="20"/>
        </w:rPr>
        <w:t xml:space="preserve">feedback driven by accumulated </w:t>
      </w:r>
      <w:r w:rsidRPr="009668D3">
        <w:rPr>
          <w:rFonts w:ascii="Times New Roman" w:hAnsi="Times New Roman" w:cs="Times New Roman"/>
          <w:sz w:val="20"/>
          <w:szCs w:val="20"/>
        </w:rPr>
        <w:t>defoliation determines the quality and persistence of long-term equilibrium. This supports a multi-metric stability framework</w:t>
      </w:r>
      <w:r w:rsidR="00D357BB" w:rsidRPr="009668D3">
        <w:rPr>
          <w:rFonts w:ascii="Times New Roman" w:hAnsi="Times New Roman" w:cs="Times New Roman"/>
          <w:sz w:val="20"/>
          <w:szCs w:val="20"/>
        </w:rPr>
        <w:t xml:space="preserve"> (Van Meerbeek et al., 2021; Donohue et al., 2016)</w:t>
      </w:r>
      <w:r w:rsidRPr="009668D3">
        <w:rPr>
          <w:rFonts w:ascii="Times New Roman" w:hAnsi="Times New Roman" w:cs="Times New Roman"/>
          <w:sz w:val="20"/>
          <w:szCs w:val="20"/>
        </w:rPr>
        <w:t xml:space="preserve">. Invasion, resistance, and resilience </w:t>
      </w:r>
      <w:r w:rsidRPr="009668D3">
        <w:rPr>
          <w:rFonts w:ascii="Times New Roman" w:hAnsi="Times New Roman" w:cs="Times New Roman"/>
          <w:sz w:val="20"/>
          <w:szCs w:val="20"/>
        </w:rPr>
        <w:lastRenderedPageBreak/>
        <w:t>capture different but complementary aspects of regime-shift risk.</w:t>
      </w:r>
      <w:r w:rsidR="00486251" w:rsidRPr="009668D3">
        <w:rPr>
          <w:rFonts w:ascii="Times New Roman" w:hAnsi="Times New Roman" w:cs="Times New Roman"/>
          <w:sz w:val="20"/>
          <w:szCs w:val="20"/>
        </w:rPr>
        <w:t xml:space="preserve"> </w:t>
      </w:r>
      <w:r w:rsidR="006F02A1" w:rsidRPr="001E6700">
        <w:rPr>
          <w:rFonts w:ascii="Times New Roman" w:hAnsi="Times New Roman" w:cs="Times New Roman"/>
          <w:sz w:val="20"/>
          <w:szCs w:val="20"/>
        </w:rPr>
        <w:t>Treating</w:t>
      </w:r>
      <w:r w:rsidR="00486251" w:rsidRPr="009668D3">
        <w:rPr>
          <w:rFonts w:ascii="Times New Roman" w:hAnsi="Times New Roman" w:cs="Times New Roman"/>
          <w:sz w:val="20"/>
          <w:szCs w:val="20"/>
        </w:rPr>
        <w:t xml:space="preserve"> resistance and resilience as </w:t>
      </w:r>
      <w:r w:rsidR="006F02A1" w:rsidRPr="001E6700">
        <w:rPr>
          <w:rFonts w:ascii="Times New Roman" w:hAnsi="Times New Roman" w:cs="Times New Roman"/>
          <w:sz w:val="20"/>
          <w:szCs w:val="20"/>
        </w:rPr>
        <w:t>distinct</w:t>
      </w:r>
      <w:r w:rsidR="00486251" w:rsidRPr="009668D3">
        <w:rPr>
          <w:rFonts w:ascii="Times New Roman" w:hAnsi="Times New Roman" w:cs="Times New Roman"/>
          <w:sz w:val="20"/>
          <w:szCs w:val="20"/>
        </w:rPr>
        <w:t xml:space="preserve"> stability metrics </w:t>
      </w:r>
      <w:r w:rsidR="006F02A1" w:rsidRPr="001E6700">
        <w:rPr>
          <w:rFonts w:ascii="Times New Roman" w:hAnsi="Times New Roman" w:cs="Times New Roman"/>
          <w:sz w:val="20"/>
          <w:szCs w:val="20"/>
        </w:rPr>
        <w:t>within</w:t>
      </w:r>
      <w:r w:rsidR="00486251" w:rsidRPr="009668D3">
        <w:rPr>
          <w:rFonts w:ascii="Times New Roman" w:hAnsi="Times New Roman" w:cs="Times New Roman"/>
          <w:sz w:val="20"/>
          <w:szCs w:val="20"/>
        </w:rPr>
        <w:t xml:space="preserve"> the adaptive stability </w:t>
      </w:r>
      <w:r w:rsidR="006F02A1" w:rsidRPr="001E6700">
        <w:rPr>
          <w:rFonts w:ascii="Times New Roman" w:hAnsi="Times New Roman" w:cs="Times New Roman"/>
          <w:sz w:val="20"/>
          <w:szCs w:val="20"/>
        </w:rPr>
        <w:t>framework improves interpretation of system</w:t>
      </w:r>
      <w:r w:rsidR="00486251" w:rsidRPr="009668D3">
        <w:rPr>
          <w:rFonts w:ascii="Times New Roman" w:hAnsi="Times New Roman" w:cs="Times New Roman"/>
          <w:sz w:val="20"/>
          <w:szCs w:val="20"/>
        </w:rPr>
        <w:t xml:space="preserve"> behaviour</w:t>
      </w:r>
      <w:r w:rsidR="006F02A1" w:rsidRPr="001E6700">
        <w:rPr>
          <w:rFonts w:ascii="Times New Roman" w:hAnsi="Times New Roman" w:cs="Times New Roman"/>
          <w:sz w:val="20"/>
          <w:szCs w:val="20"/>
        </w:rPr>
        <w:t xml:space="preserve">. </w:t>
      </w:r>
      <w:r w:rsidR="00486251" w:rsidRPr="009668D3">
        <w:rPr>
          <w:rFonts w:ascii="Times New Roman" w:hAnsi="Times New Roman" w:cs="Times New Roman"/>
          <w:sz w:val="20"/>
          <w:szCs w:val="20"/>
        </w:rPr>
        <w:t xml:space="preserve">High </w:t>
      </w:r>
      <w:r w:rsidR="006F02A1" w:rsidRPr="001E6700">
        <w:rPr>
          <w:rFonts w:ascii="Times New Roman" w:hAnsi="Times New Roman" w:cs="Times New Roman"/>
          <w:sz w:val="20"/>
          <w:szCs w:val="20"/>
        </w:rPr>
        <w:t>r</w:t>
      </w:r>
      <w:r w:rsidR="00486251" w:rsidRPr="009668D3">
        <w:rPr>
          <w:rFonts w:ascii="Times New Roman" w:hAnsi="Times New Roman" w:cs="Times New Roman"/>
          <w:sz w:val="20"/>
          <w:szCs w:val="20"/>
        </w:rPr>
        <w:t xml:space="preserve">esistance across much of the coexistence regime implies that outbreak damage can </w:t>
      </w:r>
      <w:r w:rsidR="006F02A1" w:rsidRPr="001E6700">
        <w:rPr>
          <w:rFonts w:ascii="Times New Roman" w:hAnsi="Times New Roman" w:cs="Times New Roman"/>
          <w:sz w:val="20"/>
          <w:szCs w:val="20"/>
        </w:rPr>
        <w:t>remain</w:t>
      </w:r>
      <w:r w:rsidR="00486251" w:rsidRPr="009668D3">
        <w:rPr>
          <w:rFonts w:ascii="Times New Roman" w:hAnsi="Times New Roman" w:cs="Times New Roman"/>
          <w:sz w:val="20"/>
          <w:szCs w:val="20"/>
        </w:rPr>
        <w:t xml:space="preserve"> low</w:t>
      </w:r>
      <w:r w:rsidR="006F02A1" w:rsidRPr="001E6700">
        <w:rPr>
          <w:rFonts w:ascii="Times New Roman" w:hAnsi="Times New Roman" w:cs="Times New Roman"/>
          <w:sz w:val="20"/>
          <w:szCs w:val="20"/>
        </w:rPr>
        <w:t>. However,</w:t>
      </w:r>
      <w:r w:rsidR="00486251" w:rsidRPr="009668D3">
        <w:rPr>
          <w:rFonts w:ascii="Times New Roman" w:hAnsi="Times New Roman" w:cs="Times New Roman"/>
          <w:sz w:val="20"/>
          <w:szCs w:val="20"/>
        </w:rPr>
        <w:t xml:space="preserve"> resilience varies more strongly</w:t>
      </w:r>
      <w:r w:rsidR="006F02A1" w:rsidRPr="001E6700">
        <w:rPr>
          <w:rFonts w:ascii="Times New Roman" w:hAnsi="Times New Roman" w:cs="Times New Roman"/>
          <w:sz w:val="20"/>
          <w:szCs w:val="20"/>
        </w:rPr>
        <w:t>,</w:t>
      </w:r>
      <w:r w:rsidR="00486251" w:rsidRPr="009668D3">
        <w:rPr>
          <w:rFonts w:ascii="Times New Roman" w:hAnsi="Times New Roman" w:cs="Times New Roman"/>
          <w:sz w:val="20"/>
          <w:szCs w:val="20"/>
        </w:rPr>
        <w:t xml:space="preserve"> as recovery capacity can erode under phenological change. The system can therefore look stable in the short term, yet become dynamically fragile in the long term, as per our findings. Together</w:t>
      </w:r>
      <w:r w:rsidR="002F6DC6" w:rsidRPr="009668D3">
        <w:rPr>
          <w:rFonts w:ascii="Times New Roman" w:hAnsi="Times New Roman" w:cs="Times New Roman"/>
          <w:sz w:val="20"/>
          <w:szCs w:val="20"/>
        </w:rPr>
        <w:t>, all the results of objective 2 show</w:t>
      </w:r>
      <w:r w:rsidR="00486251" w:rsidRPr="009668D3">
        <w:rPr>
          <w:rFonts w:ascii="Times New Roman" w:hAnsi="Times New Roman" w:cs="Times New Roman"/>
          <w:sz w:val="20"/>
          <w:szCs w:val="20"/>
        </w:rPr>
        <w:t xml:space="preserve"> that stability failure can occur through multiple distinct routes. Management should therefore not infer security from low damage alone, but evaluate invasion potential, recovery rate, and attractor-switch risk simultaneously.</w:t>
      </w:r>
      <w:r w:rsidR="00772441" w:rsidRPr="009668D3">
        <w:rPr>
          <w:rFonts w:ascii="Times New Roman" w:hAnsi="Times New Roman" w:cs="Times New Roman"/>
          <w:sz w:val="20"/>
          <w:szCs w:val="20"/>
        </w:rPr>
        <w:t xml:space="preserve"> </w:t>
      </w:r>
    </w:p>
    <w:p w14:paraId="48CD5569"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In this study, we used eigenvalue-based and trajectory-based metrics to represent mechanistically distinct aspects of stability (Holling, 1973; Arnoldi et al., 2016; Donohue et al., 2016). Within the Latin Hypercube sample, their correlation is positive but not perfect, consistent with prior evidence that resilience, resistance, and variability metrics are not mutually substitutable across ecosystems (De Keersmaecker et al., 2014; Donohue et al., 2016). Certain parameter sets demonstrate that the eigenvalue indicates rapid return, while trajectory-based resilience remains low due to finite perturbations nearing the basin boundary, and the reverse can also occur (Menck et al., 2013; Dakos et al., 2015). This decoupling is expected, because local eigenvalue analysis holds with certainty only for infinitesimal perturbations and carries no information about the distance to a basin boundary (Arnoldi et al., 2016). From an ecological perspective, eigenvalue-based resilience characterises recovery from routine interannual fluctuations, whereas trajectory-based resilience characterises recovery from discrete, large-amplitude disturbances — mapping, respectively, onto engineering and ecological resilience in the sense of Holling (1973) (see also Arnoldi et al., 2016; Dakos et al., 2015). This distinction similarly separates the equilibrium damage margin from the transient resistance index. Reporting both metrics is therefore essential for distinguishing chronic degradation risk from acute perturbation risk, which is directly relevant for selecting between sustained and emergency management strategies (Lindegren et al., 2012; Donohue et al., 2016).</w:t>
      </w:r>
    </w:p>
    <w:p w14:paraId="0852678D"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In addition to the probability of regime shift under this adaptive-stability framework, Objective 2 aims to identify potential early warning signals using three joint criteria. First, the parameter must contribute substantially to regime-shift probability. Second, it must show a partial rank correlation with the dominant eigenvalue indicating a destabilising influence, following the standard LHS–PRCC sensitivity framework (Blower &amp; Dowlatabadi, 1994; Marino et al., 2008; Saltelli et al., 2008). Third, the associated phenological process must be empirically observable during a simulation experiment searching for system destabilisation. The candidate phenologies and their association with other phenologies, identified under Objective 2, are therefore proposed as ranked monitoring priorities rather than validated early warning signals capable of reliably indicating impending regime shifts, because our parameters come from multiple habitats and broader validation remains an open challenge in multi-trophic systems (Scheffer et al., 2009; Lindegren et al., 2012; Dakos et al., 2015).</w:t>
      </w:r>
    </w:p>
    <w:p w14:paraId="5C5B4DDC"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The three conditions we set for early warning signal identification are not interchangeable during system analyses (Scheffer et al., 2009; Dakos et al., 2015). For example, a parameter may drive the dominant eigenvalue ρ* toward the stability boundary without greatly increasing regime-shift probability. Alternatively, a parameter may contribute to regime shifts but not be observable in practice. Among the identified candidates, season length is the most tractable: it can be measured with growing degree days, a validated tool for predicting insect phenology in integrated pest management (Young, 2012), or with satellite-derived season-length products now available operationally at 10 m resolution across Europe (Copernicus Land Monitoring Service, n.d.). By contrast, directly estimating the parasitoid attack rate or adult overwintering density requires intensive field sampling (van Driesche et al., 2022); this has not yet been demonstrated at management-relevant scales in many systems (Nimalrathna et al., 2022). These variables therefore provide a foundation for targeted monitoring designs and future studies on early warning signals in this system through phenologies. Collectively, these stability metrics capture distinct dimensions and should not be interpreted as interchangeable indicators of system robustness (Arnoldi et al., 2016; Donohue et al., 2016; De Keersmaecker et al., 2014).</w:t>
      </w:r>
    </w:p>
    <w:p w14:paraId="0DE99E4B"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 xml:space="preserve">In this study, we used eigenvalue-based and trajectory-based metrics to represent mechanistically distinct aspects of stability (Holling, 1973; Arnoldi et al., 2016; Donohue et al., 2016). Within the Latin Hypercube sample, their correlation is positive but not perfect, consistent with prior evidence that resilience, resistance, and variability metrics are not mutually substitutable across ecosystems (De Keersmaecker et al., 2014; Donohue et al., 2016). Certain parameter sets demonstrate that the eigenvalue indicates rapid return, while trajectory-based resilience remains low due to finite perturbations nearing the basin boundary, and the reverse can also occur (Menck et al., 2013; Dakos et al., 2015). This decoupling is expected, because local eigenvalue analysis holds with certainty only for infinitesimal perturbations and carries no information about the distance to a basin boundary (Arnoldi et al., 2016). From an ecological perspective, eigenvalue-based resilience characterises recovery from routine interannual fluctuations, whereas trajectory-based resilience characterises recovery from discrete, large-amplitude disturbances — mapping, respectively, onto engineering and ecological resilience in the sense of Holling (1973) </w:t>
      </w:r>
      <w:r w:rsidRPr="002A36FA">
        <w:rPr>
          <w:rFonts w:ascii="Times New Roman" w:hAnsi="Times New Roman" w:cs="Times New Roman"/>
          <w:sz w:val="20"/>
          <w:szCs w:val="20"/>
        </w:rPr>
        <w:lastRenderedPageBreak/>
        <w:t>(see also Arnoldi et al., 2016; Dakos et al., 2015). This distinction similarly separates the equilibrium damage margin from the transient resistance index. Reporting both metrics is therefore essential for distinguishing chronic degradation risk from acute perturbation risk, which is directly relevant for selecting between sustained and emergency management strategies (Lindegren et al., 2012; Donohue et al., 2016).</w:t>
      </w:r>
    </w:p>
    <w:p w14:paraId="566A65EE"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In addition to the probability of regime shift under this adaptive-stability framework, Objective 2 aims to identify potential early warning signals using three joint criteria. First, the parameter must contribute substantially to regime-shift probability. Second, it must show a partial rank correlation with the dominant eigenvalue indicating a destabilising influence, following the standard LHS–PRCC sensitivity framework (Blower &amp; Dowlatabadi, 1994; Marino et al., 2008; Saltelli et al., 2008). Third, the associated phenological process must be empirically observable during a simulation experiment searching for system destabilisation. The candidate phenologies and their association with other phenologies, identified under Objective 2, are therefore proposed as ranked monitoring priorities rather than validated early warning signals capable of reliably indicating impending regime shifts, because our parameters come from multiple habitats and broader validation remains an open challenge in multi-trophic systems (Scheffer et al., 2009; Lindegren et al., 2012; Dakos et al., 2015).</w:t>
      </w:r>
    </w:p>
    <w:p w14:paraId="4AD54EA0" w14:textId="77777777" w:rsidR="002A36FA" w:rsidRPr="002A36FA" w:rsidRDefault="002A36FA" w:rsidP="002A36FA">
      <w:pPr>
        <w:spacing w:line="240" w:lineRule="auto"/>
        <w:jc w:val="both"/>
        <w:rPr>
          <w:rFonts w:ascii="Times New Roman" w:hAnsi="Times New Roman" w:cs="Times New Roman"/>
          <w:sz w:val="20"/>
          <w:szCs w:val="20"/>
        </w:rPr>
      </w:pPr>
      <w:r w:rsidRPr="002A36FA">
        <w:rPr>
          <w:rFonts w:ascii="Times New Roman" w:hAnsi="Times New Roman" w:cs="Times New Roman"/>
          <w:sz w:val="20"/>
          <w:szCs w:val="20"/>
        </w:rPr>
        <w:t>The three conditions we set for early warning signal identification are not interchangeable during system analyses (Scheffer et al., 2009; Dakos et al., 2015). For example, a parameter may drive the dominant eigenvalue ρ* toward the stability boundary without greatly increasing regime-shift probability. Alternatively, a parameter may contribute to regime shifts but not be observable in practice. Among the identified candidates, season length is the most tractable: it can be measured with growing degree days, a validated tool for predicting insect phenology in integrated pest management (Young, 2012), or with satellite-derived season-length products now available operationally at 10 m resolution across Europe (Copernicus Land Monitoring Service, n.d.). By contrast, directly estimating the parasitoid attack rate or adult overwintering density requires intensive field sampling (van Driesche et al., 2022); this has not yet been demonstrated at management-relevant scales in many systems (Nimalrathna et al., 2022). These variables therefore provide a foundation for targeted monitoring designs and future studies on early warning signals in this system through phenologies. Collectively, these stability metrics capture distinct dimensions and should not be interpreted as interchangeable indicators of system robustness (Arnoldi et al., 2016; Donohue et al., 2016; De Keersmaecker et al., 2014).</w:t>
      </w:r>
    </w:p>
    <w:p w14:paraId="49FCD40B" w14:textId="77777777" w:rsidR="00502646" w:rsidRPr="00502646" w:rsidRDefault="00502646" w:rsidP="00502646">
      <w:pPr>
        <w:spacing w:line="240" w:lineRule="auto"/>
        <w:jc w:val="both"/>
        <w:rPr>
          <w:rFonts w:ascii="Times New Roman" w:hAnsi="Times New Roman" w:cs="Times New Roman"/>
          <w:sz w:val="20"/>
          <w:szCs w:val="20"/>
        </w:rPr>
      </w:pPr>
      <w:r w:rsidRPr="00502646">
        <w:rPr>
          <w:rFonts w:ascii="Times New Roman" w:hAnsi="Times New Roman" w:cs="Times New Roman"/>
          <w:sz w:val="20"/>
          <w:szCs w:val="20"/>
        </w:rPr>
        <w:t>The management implication of this study follows from the optimal-control result in Objective 3. The result indicates that it is not simply that one strategy reduced beetle damage faster than the others. Under the study's lexicographic decision rule, a strategy is compared on cost only after it first proves ecologically feasible (Lenhart &amp; Workman, 2007). In practical terms, the strategy must keep seasonal canopy loss below the critical damage level (Ferretti et al., 2021) and prevent the alder stand from slipping into a persistently degraded low-canopy condition (Scheffer et al., 2001; Valor et al., 2020). It must also maintain a long-term managed state in which parasitoids remain present and control continues after small disturbances (Rosenheim, 1998; Stireman et al., 2006). All three strategies reduced canopy damage below the critical level within the first year. However, only the fully integrated strategy—combining targeted larval removal, parasitoid release, and bird-habitat enhancement—met these broader conditions, consistent with the principles of integrated pest management, which combine multiple complementary tactics rather than rely on a single agent (Barzman et al., 2015). The parasitoid-only strategy and the parasitoid-plus-bird strategy both improved short-term suppression but did not produce a self-maintaining low-damage state in the long run, a pattern matching meta-analytical evidence that single-agent biological control rarely achieves durable pest regulation (Stiling &amp; Cornelissen, 2005). This distinction separates temporary outbreak suppression from durable restoration. The key result is that, under the model assumptions and feasibility constraints, the integrated strategy achieves both ecological stability and the lowest cost, although real-world implementation may be constrained by logistical, economic, and ecological factors not explicitly represented in the model. The superior performance of the integrated strategy is partly a structural consequence of the optimisation framework, because systems with more control variables generally achieve lower cost than subsets of controls (Pontryagin et al., 1962; Lenhart &amp; Workman, 2007). Beyond this structural effect, the ecological interpretation is that combined interventions enable simultaneous regulation of host density, support of natural enemies, and stabilisation across temporal scales (Polis &amp; Holt, 1992; Letourneau et al., 2009). Cost ranking therefore becomes meaningful only after the feasibility filter is passed. The ecological meanings used here follow the annex definitions of cumulative canopy damage, canopy availability, targeted larval removal, parasitoid release, and bird-habitat enhancement.</w:t>
      </w:r>
    </w:p>
    <w:p w14:paraId="0FAF9EC5" w14:textId="035F9599" w:rsidR="0039300E" w:rsidRDefault="00502646" w:rsidP="00502646">
      <w:pPr>
        <w:spacing w:line="240" w:lineRule="auto"/>
        <w:jc w:val="both"/>
        <w:rPr>
          <w:rFonts w:ascii="Times New Roman" w:hAnsi="Times New Roman" w:cs="Times New Roman"/>
          <w:sz w:val="20"/>
          <w:szCs w:val="20"/>
        </w:rPr>
      </w:pPr>
      <w:r w:rsidRPr="00502646">
        <w:rPr>
          <w:rFonts w:ascii="Times New Roman" w:hAnsi="Times New Roman" w:cs="Times New Roman"/>
          <w:sz w:val="20"/>
          <w:szCs w:val="20"/>
        </w:rPr>
        <w:t xml:space="preserve">Our results from Objective 3 also suggest that intervention timing shapes the total effort required. Early action prevents current-season beetle damage from being carried over into the next year as a structural canopy penalty (Dolch &amp; Tscharntke, 2000; Ferretti et al., 2021). In this ecoepidemic system, reducing larval density early in the outbreak lowers the total defoliation accumulated over the season and thereby weakens the foliage-memory feedback (Tscharntke et al., 2001; Karban et al., 2018; Schott et al., 2023). Without such suppression, heavy </w:t>
      </w:r>
      <w:r w:rsidRPr="00502646">
        <w:rPr>
          <w:rFonts w:ascii="Times New Roman" w:hAnsi="Times New Roman" w:cs="Times New Roman"/>
          <w:sz w:val="20"/>
          <w:szCs w:val="20"/>
        </w:rPr>
        <w:lastRenderedPageBreak/>
        <w:t>canopy loss reduces the forest's effective canopy support in the following year (Ferretti et al., 2021; Valor et al., 2020), and the stand enters the next season in better condition when early control is applied. All three management strategies therefore concentrate most of their effort at the beginning of the intervention period and decline thereafter as the system approaches a lower-damage managed state—an allocation pattern consistent with general results from Pontryagin-type optimal control in biological systems, where the costate dynamics favour front-loaded effort when running state costs compound over time (Pontryagin et al., 1962; Lenhart &amp; Workman, 2007). Ecologically, this means the system responds best when control is applied before repeated feeding damage has accumulated enough to degrade future canopy recovery, consistent with broader evidence that early suppression minimises long-run cost and outbreak-management failure in forest insect systems (Liebhold &amp; Tobin, 2008). The exact schedule may differ under alternative recovery assumptions, climate forcing, or cost structures, but the general advantage of early, front-loaded action appears robust in this framework.</w:t>
      </w:r>
      <w:r w:rsidR="0039300E" w:rsidRPr="0039300E">
        <w:rPr>
          <w:rFonts w:ascii="Times New Roman" w:hAnsi="Times New Roman" w:cs="Times New Roman"/>
          <w:sz w:val="20"/>
          <w:szCs w:val="20"/>
        </w:rPr>
        <w:t>Our study integrates processes often studied separately, such as seasonal beetle feeding, delayed parasitoid development, bird predation on both healthy and parasitised larvae, interannual canopy damage, and diverse pest management. Structural robustness analyses confirm that the three qualitative conclusions of this study—the parasitoid-free equilibrium as the most probable regime, the regime-shift probability exceeding 80%, and the integrated strategy (Strategy C) as the only feasible option—are preserved when the Beverton–Holt recruitment function in Equation (5) is replaced by the Ricker form S(0) = A exp(r(1 − A/K)). Under Ricker recruitment, additional period-2 oscillations appear near bifurcation boundaries owing to overcompensatory decline in recruitment at high density (Kot, 2001; Elaydi, 2005), but these oscillations do not alter which equilibrium class dominates or the feasibility ranking of management strategies. The main contribution is a comprehensive systems-ecology framework that fills a literature gap on the structure-dependent multiple metrics defining adaptive stability properties in this system (Donohue et al., 2016; Van Meerbeek et al., 2021). From a modelling perspective, our study contributes by integrating an eco-epidemiological system that spans multiple trophic levels and exhibits intraguild predation (Polis &amp; Holt, 1992; Rosenheim, 1998), and by embedding optimal control theory through habitat-management strategies as intervention measures (Lenhart &amp; Workman, 2007). Most host–parasitoid models have focused on insect roles alone and have excluded plant feedback or higher-order predators since the past century (Nicholson &amp; Bailey, 1935; Hassell et al., 1976; Ji et al., 2025). Many plant-defence models examine how herbivory carries over across years (Hakes &amp; Cronin, 2012), but they rarely assess management strategies. In addition to bridging these modelling gaps, our study connects seasonal and annual phenology within a single hybrid framework (Kot, 2001; Elaydi, 2005). This unification enables analysis of immediate damage control, long-term recovery, regime shifts, and the most effective management options under optimal control theory. However, as described in our methods, annex, and early-warning-signal discussion, varied parameter sources limit our results to a general outline. This restricts direct implementation for a specific habitat without empirical data from that habitat (Nimalrathna et al., 2022; van Driesche et al., 2022). With long-term field data on beetle outbreaks, parasitoid abundance, bird predation, and other life-cycle stages from a single habitat, our model could pinpoint regime-shift probability, coexistence equilibrium, and disease-free equilibrium more precisely. Such data would also test the early-warning signals and associations we identified. As stated above, our analysis exploits systems structure using well-studied phenologies and their variability across space and time to map adaptive stability, and is supported by theories of adaptive stability and intraguild predation (Polis &amp; Holt, 1992; Van Meerbeek et al., 2021). Empirical, habitat-specific data can determine (1) how habitat-specific parameter values narrow stability ranges for this system, and (2) how habitats distribute across the stability plane, informing the prioritisation of sites at risk of regime shift. This study therefore connects existing knowledge of black-alder phenology differences across habitats with future research on spatial variability in adaptive stability across black-alder-rich forests. The results should be interpreted as structural insights derived from a simplified model, rather than as direct predictions for specific forest systems. Uncertainty in parameter values, variability across habitats, and unmodelled processes—such as explicit spatial structure (Hassell, 2000), hyperparasitism (Sullivan &amp; Völkl, 1999), and species-specific trait-mediated behavioural responses (Schmitz, 2008)—may influence real-world dynamics.</w:t>
      </w:r>
    </w:p>
    <w:p w14:paraId="47376003" w14:textId="7F9EF1CF" w:rsidR="00347A4A" w:rsidRPr="001E6700" w:rsidRDefault="00347A4A" w:rsidP="002D21BC">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Interactive Exploration and Model Accessibility</w:t>
      </w:r>
    </w:p>
    <w:p w14:paraId="7E5AB609" w14:textId="4645B4FB" w:rsidR="00347A4A" w:rsidRPr="001E6700" w:rsidRDefault="006F02A1" w:rsidP="002D21BC">
      <w:pPr>
        <w:spacing w:line="240" w:lineRule="auto"/>
        <w:jc w:val="both"/>
        <w:rPr>
          <w:rFonts w:ascii="Times New Roman" w:hAnsi="Times New Roman" w:cs="Times New Roman"/>
          <w:b/>
          <w:bCs/>
          <w:sz w:val="20"/>
          <w:szCs w:val="20"/>
        </w:rPr>
      </w:pPr>
      <w:r w:rsidRPr="001E6700">
        <w:rPr>
          <w:rFonts w:ascii="Times New Roman" w:hAnsi="Times New Roman" w:cs="Times New Roman"/>
          <w:sz w:val="20"/>
          <w:szCs w:val="20"/>
        </w:rPr>
        <w:t>To complement the analytical results and enhance transparency, reproducibility, and accessibility of the modelling framework</w:t>
      </w:r>
      <w:r w:rsidR="00347A4A" w:rsidRPr="001E6700">
        <w:rPr>
          <w:rFonts w:ascii="Times New Roman" w:hAnsi="Times New Roman" w:cs="Times New Roman"/>
          <w:sz w:val="20"/>
          <w:szCs w:val="20"/>
        </w:rPr>
        <w:t xml:space="preserve">, we developed an interactive web-based interface, </w:t>
      </w:r>
      <w:r w:rsidR="00347A4A" w:rsidRPr="001E6700">
        <w:rPr>
          <w:rStyle w:val="Strong"/>
          <w:rFonts w:ascii="Times New Roman" w:hAnsi="Times New Roman" w:cs="Times New Roman"/>
          <w:sz w:val="20"/>
          <w:szCs w:val="20"/>
        </w:rPr>
        <w:t>AlderGuard (</w:t>
      </w:r>
      <w:hyperlink r:id="rId16" w:history="1">
        <w:r w:rsidR="00347A4A" w:rsidRPr="001E6700">
          <w:rPr>
            <w:rStyle w:val="Hyperlink"/>
            <w:rFonts w:ascii="Times New Roman" w:hAnsi="Times New Roman" w:cs="Times New Roman"/>
            <w:sz w:val="20"/>
            <w:szCs w:val="20"/>
            <w:u w:val="none"/>
          </w:rPr>
          <w:t>https://gsinchanpostdoc.github.io/alderguard/</w:t>
        </w:r>
      </w:hyperlink>
      <w:r w:rsidR="00347A4A" w:rsidRPr="001E6700">
        <w:rPr>
          <w:rStyle w:val="Strong"/>
          <w:rFonts w:ascii="Times New Roman" w:hAnsi="Times New Roman" w:cs="Times New Roman"/>
          <w:sz w:val="20"/>
          <w:szCs w:val="20"/>
        </w:rPr>
        <w:t>)</w:t>
      </w:r>
      <w:r w:rsidR="00347A4A" w:rsidRPr="001E6700">
        <w:rPr>
          <w:rFonts w:ascii="Times New Roman" w:hAnsi="Times New Roman" w:cs="Times New Roman"/>
          <w:sz w:val="20"/>
          <w:szCs w:val="20"/>
        </w:rPr>
        <w:t xml:space="preserve"> which enables users to explore the ecoepidemic dynamics and control strategies presented in this study. The platform allows real-time manipulation of key phenological and management parameters, providing immediate visualisation of system trajectories, stability regimes, and control outcomes under different scenarios. By translating a structurally complex seasonal</w:t>
      </w:r>
      <w:r w:rsidR="00C301AE" w:rsidRPr="001E6700">
        <w:rPr>
          <w:rFonts w:ascii="Times New Roman" w:hAnsi="Times New Roman" w:cs="Times New Roman"/>
          <w:sz w:val="20"/>
          <w:szCs w:val="20"/>
        </w:rPr>
        <w:t>-</w:t>
      </w:r>
      <w:r w:rsidR="00347A4A" w:rsidRPr="001E6700">
        <w:rPr>
          <w:rFonts w:ascii="Times New Roman" w:hAnsi="Times New Roman" w:cs="Times New Roman"/>
          <w:sz w:val="20"/>
          <w:szCs w:val="20"/>
        </w:rPr>
        <w:t>annual model into an accessible decision-support environment, the interface serves as a bridge between theoretical analysis and applied exploration. While not intended as a predictive management tool, it offers a flexible framework for examining how resistance, resilience, and intervention strategies interact across parameter space.</w:t>
      </w:r>
    </w:p>
    <w:p w14:paraId="76D02339" w14:textId="77777777" w:rsidR="00C95B5D" w:rsidRPr="009668D3" w:rsidRDefault="00C95B5D"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Author Contributions</w:t>
      </w:r>
    </w:p>
    <w:p w14:paraId="54E76AD0" w14:textId="33B10BE4" w:rsidR="00C95B5D"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SG: Conceptualisation, Data curation, Formal analysis,  Investigation, Methodology, Resources, Software, Supervision, Validation, Visualisation, Writing – original draft, Writing – review &amp; editing. SS: Investigation, Validation, Writing – review &amp; editing. All authors contributed to manuscript revision, read and approved the submitted version.</w:t>
      </w:r>
    </w:p>
    <w:p w14:paraId="414BFC25" w14:textId="77777777" w:rsidR="0073020E"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Conflict of Interest</w:t>
      </w:r>
    </w:p>
    <w:p w14:paraId="1B14DE8D" w14:textId="77777777" w:rsidR="0073020E"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 authors declare that the research was conducted in the absence of any commercial or financial relationships that could be construed as a potential conflict of interest.</w:t>
      </w:r>
    </w:p>
    <w:p w14:paraId="1E7518CD" w14:textId="77777777" w:rsidR="0073020E"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Funding</w:t>
      </w:r>
    </w:p>
    <w:p w14:paraId="0D452826" w14:textId="04CAACFC" w:rsidR="0073020E" w:rsidRPr="009668D3" w:rsidRDefault="0073020E"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The authors declare that no financial support was received for the research, authorship, and/or publication of this article.</w:t>
      </w:r>
    </w:p>
    <w:p w14:paraId="1D7B2D21" w14:textId="77777777" w:rsidR="001E6FAC" w:rsidRPr="009668D3" w:rsidRDefault="001E6FAC"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Acknowledgments</w:t>
      </w:r>
    </w:p>
    <w:p w14:paraId="58BBB6CA" w14:textId="119BD159" w:rsidR="0073020E" w:rsidRPr="009668D3" w:rsidRDefault="001E6FAC"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authors used </w:t>
      </w:r>
      <w:commentRangeStart w:id="0"/>
      <w:r w:rsidRPr="009668D3">
        <w:rPr>
          <w:rFonts w:ascii="Times New Roman" w:hAnsi="Times New Roman" w:cs="Times New Roman"/>
          <w:sz w:val="20"/>
          <w:szCs w:val="20"/>
        </w:rPr>
        <w:t xml:space="preserve">Opus 4.6 </w:t>
      </w:r>
      <w:commentRangeEnd w:id="0"/>
      <w:r w:rsidR="00DB5D0E" w:rsidRPr="009668D3">
        <w:rPr>
          <w:rStyle w:val="CommentReference"/>
          <w:rFonts w:ascii="Times New Roman" w:hAnsi="Times New Roman" w:cs="Times New Roman"/>
          <w:sz w:val="20"/>
          <w:szCs w:val="20"/>
        </w:rPr>
        <w:commentReference w:id="0"/>
      </w:r>
      <w:r w:rsidRPr="009668D3">
        <w:rPr>
          <w:rFonts w:ascii="Times New Roman" w:hAnsi="Times New Roman" w:cs="Times New Roman"/>
          <w:sz w:val="20"/>
          <w:szCs w:val="20"/>
        </w:rPr>
        <w:t xml:space="preserve">and Grammarly Pro as a language editing tool during manuscript preparation, including assistance with </w:t>
      </w:r>
      <w:r w:rsidR="00305FAE" w:rsidRPr="009668D3">
        <w:rPr>
          <w:rFonts w:ascii="Times New Roman" w:hAnsi="Times New Roman" w:cs="Times New Roman"/>
          <w:sz w:val="20"/>
          <w:szCs w:val="20"/>
        </w:rPr>
        <w:t>rephrasing and plagiarism checking</w:t>
      </w:r>
      <w:r w:rsidRPr="009668D3">
        <w:rPr>
          <w:rFonts w:ascii="Times New Roman" w:hAnsi="Times New Roman" w:cs="Times New Roman"/>
          <w:sz w:val="20"/>
          <w:szCs w:val="20"/>
        </w:rPr>
        <w:t>.</w:t>
      </w:r>
      <w:r w:rsidR="00305FAE" w:rsidRPr="009668D3">
        <w:rPr>
          <w:rFonts w:ascii="Times New Roman" w:hAnsi="Times New Roman" w:cs="Times New Roman"/>
          <w:sz w:val="20"/>
          <w:szCs w:val="20"/>
        </w:rPr>
        <w:t xml:space="preserve"> The analytical solutions and calculations were derived by MathLM Version: 11.3, IIASA (Mathematica B 0 2</w:t>
      </w:r>
      <w:r w:rsidR="002D21BC" w:rsidRPr="009668D3">
        <w:rPr>
          <w:rFonts w:ascii="Times New Roman" w:hAnsi="Times New Roman" w:cs="Times New Roman"/>
          <w:sz w:val="20"/>
          <w:szCs w:val="20"/>
        </w:rPr>
        <w:t xml:space="preserve">; </w:t>
      </w:r>
      <w:r w:rsidR="00305FAE" w:rsidRPr="009668D3">
        <w:rPr>
          <w:rFonts w:ascii="Times New Roman" w:hAnsi="Times New Roman" w:cs="Times New Roman"/>
          <w:sz w:val="20"/>
          <w:szCs w:val="20"/>
        </w:rPr>
        <w:t>MathKernel</w:t>
      </w:r>
      <w:r w:rsidR="002D21BC" w:rsidRPr="009668D3">
        <w:rPr>
          <w:rFonts w:ascii="Times New Roman" w:hAnsi="Times New Roman" w:cs="Times New Roman"/>
          <w:sz w:val="20"/>
          <w:szCs w:val="20"/>
        </w:rPr>
        <w:t xml:space="preserve"> </w:t>
      </w:r>
      <w:r w:rsidR="00305FAE" w:rsidRPr="009668D3">
        <w:rPr>
          <w:rFonts w:ascii="Times New Roman" w:hAnsi="Times New Roman" w:cs="Times New Roman"/>
          <w:sz w:val="20"/>
          <w:szCs w:val="20"/>
        </w:rPr>
        <w:t>B 0 2</w:t>
      </w:r>
      <w:r w:rsidR="002D21BC" w:rsidRPr="009668D3">
        <w:rPr>
          <w:rFonts w:ascii="Times New Roman" w:hAnsi="Times New Roman" w:cs="Times New Roman"/>
          <w:sz w:val="20"/>
          <w:szCs w:val="20"/>
        </w:rPr>
        <w:t xml:space="preserve">; </w:t>
      </w:r>
      <w:r w:rsidR="00305FAE" w:rsidRPr="009668D3">
        <w:rPr>
          <w:rFonts w:ascii="Times New Roman" w:hAnsi="Times New Roman" w:cs="Times New Roman"/>
          <w:sz w:val="20"/>
          <w:szCs w:val="20"/>
        </w:rPr>
        <w:t>Sub Mathematica B 0 16</w:t>
      </w:r>
      <w:r w:rsidR="002D21BC" w:rsidRPr="009668D3">
        <w:rPr>
          <w:rFonts w:ascii="Times New Roman" w:hAnsi="Times New Roman" w:cs="Times New Roman"/>
          <w:sz w:val="20"/>
          <w:szCs w:val="20"/>
        </w:rPr>
        <w:t xml:space="preserve">; </w:t>
      </w:r>
      <w:r w:rsidR="00305FAE" w:rsidRPr="009668D3">
        <w:rPr>
          <w:rFonts w:ascii="Times New Roman" w:hAnsi="Times New Roman" w:cs="Times New Roman"/>
          <w:sz w:val="20"/>
          <w:szCs w:val="20"/>
        </w:rPr>
        <w:t>Sub MathKernel B 0 16)</w:t>
      </w:r>
    </w:p>
    <w:p w14:paraId="3962CE9B" w14:textId="77777777" w:rsidR="00B94072" w:rsidRPr="009668D3" w:rsidRDefault="00B94072" w:rsidP="00B94072">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Data Availability Statement</w:t>
      </w:r>
    </w:p>
    <w:p w14:paraId="50BCC638" w14:textId="3B5901DC" w:rsidR="00B94072" w:rsidRPr="009668D3" w:rsidRDefault="00B94072"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No experimental datasets were generated or analysed in this study. All model parameters are derived from published sources cited in the text and listed in the Supplementary Material (Table S1). The numerical results presented are fully reproducible from the model equations, parameter values, and analysis procedures described in the article and Supplementary Material. The simulation code is available from the corresponding author upon reasonable request.</w:t>
      </w:r>
    </w:p>
    <w:p w14:paraId="362A36C5" w14:textId="77777777" w:rsidR="00B26BAB" w:rsidRPr="009668D3" w:rsidRDefault="00B26BAB" w:rsidP="002D21BC">
      <w:pPr>
        <w:spacing w:line="240" w:lineRule="auto"/>
        <w:jc w:val="both"/>
        <w:rPr>
          <w:rFonts w:ascii="Times New Roman" w:hAnsi="Times New Roman" w:cs="Times New Roman"/>
          <w:b/>
          <w:sz w:val="20"/>
          <w:szCs w:val="20"/>
        </w:rPr>
      </w:pPr>
      <w:r w:rsidRPr="009668D3">
        <w:rPr>
          <w:rFonts w:ascii="Times New Roman" w:hAnsi="Times New Roman" w:cs="Times New Roman"/>
          <w:b/>
          <w:sz w:val="20"/>
          <w:szCs w:val="20"/>
        </w:rPr>
        <w:t>References</w:t>
      </w:r>
    </w:p>
    <w:p w14:paraId="0C83FB9C" w14:textId="77777777" w:rsidR="00B26BAB" w:rsidRPr="009668D3" w:rsidRDefault="00B26BAB" w:rsidP="002D21BC">
      <w:pPr>
        <w:spacing w:line="240" w:lineRule="auto"/>
        <w:jc w:val="both"/>
        <w:rPr>
          <w:rFonts w:ascii="Times New Roman" w:hAnsi="Times New Roman" w:cs="Times New Roman"/>
          <w:sz w:val="20"/>
          <w:szCs w:val="20"/>
          <w:lang w:val="de-DE"/>
        </w:rPr>
      </w:pPr>
      <w:r w:rsidRPr="009668D3">
        <w:rPr>
          <w:rFonts w:ascii="Times New Roman" w:hAnsi="Times New Roman" w:cs="Times New Roman"/>
          <w:sz w:val="20"/>
          <w:szCs w:val="20"/>
        </w:rPr>
        <w:t xml:space="preserve">Allgower, E. L., &amp; Georg, K. (2003). </w:t>
      </w:r>
      <w:r w:rsidRPr="009668D3">
        <w:rPr>
          <w:rFonts w:ascii="Times New Roman" w:hAnsi="Times New Roman" w:cs="Times New Roman"/>
          <w:i/>
          <w:sz w:val="20"/>
          <w:szCs w:val="20"/>
        </w:rPr>
        <w:t>Introduction to numerical continuation methods</w:t>
      </w:r>
      <w:r w:rsidRPr="009668D3">
        <w:rPr>
          <w:rFonts w:ascii="Times New Roman" w:hAnsi="Times New Roman" w:cs="Times New Roman"/>
          <w:sz w:val="20"/>
          <w:szCs w:val="20"/>
        </w:rPr>
        <w:t xml:space="preserve">. </w:t>
      </w:r>
      <w:r w:rsidRPr="009668D3">
        <w:rPr>
          <w:rFonts w:ascii="Times New Roman" w:hAnsi="Times New Roman" w:cs="Times New Roman"/>
          <w:sz w:val="20"/>
          <w:szCs w:val="20"/>
          <w:lang w:val="de-DE"/>
        </w:rPr>
        <w:t>SIAM. https://doi.org/10.1137/1.9780898719154</w:t>
      </w:r>
    </w:p>
    <w:p w14:paraId="3E58538F"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Arnoldi, J.-F., Loreau, M., &amp; Haegeman, B. (2016). </w:t>
      </w:r>
      <w:r w:rsidRPr="009668D3">
        <w:rPr>
          <w:rFonts w:ascii="Times New Roman" w:hAnsi="Times New Roman" w:cs="Times New Roman"/>
          <w:sz w:val="20"/>
          <w:szCs w:val="20"/>
        </w:rPr>
        <w:t xml:space="preserve">Resilience, reactivity and variability: A mathematical comparison of ecological stability measures. </w:t>
      </w:r>
      <w:r w:rsidRPr="009668D3">
        <w:rPr>
          <w:rFonts w:ascii="Times New Roman" w:hAnsi="Times New Roman" w:cs="Times New Roman"/>
          <w:i/>
          <w:sz w:val="20"/>
          <w:szCs w:val="20"/>
        </w:rPr>
        <w:t>Journal of Theoretical Biology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389</w:t>
      </w:r>
      <w:r w:rsidRPr="009668D3">
        <w:rPr>
          <w:rFonts w:ascii="Times New Roman" w:hAnsi="Times New Roman" w:cs="Times New Roman"/>
          <w:sz w:val="20"/>
          <w:szCs w:val="20"/>
        </w:rPr>
        <w:t>, 101–112. https://doi.org/10.1016/j.jtbi.2016.02.017</w:t>
      </w:r>
    </w:p>
    <w:p w14:paraId="5D8A5E27"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Belitz, M. W., Barve, V., Guralnick, R. P., Zipkin, E. F., &amp; Allen, J. M. (2025). Potential for bird–insect phenological mismatch in a tri-trophic system. </w:t>
      </w:r>
      <w:r w:rsidRPr="009668D3">
        <w:rPr>
          <w:rFonts w:ascii="Times New Roman" w:hAnsi="Times New Roman" w:cs="Times New Roman"/>
          <w:i/>
          <w:sz w:val="20"/>
          <w:szCs w:val="20"/>
        </w:rPr>
        <w:t>Journal of Animal Ecology</w:t>
      </w:r>
      <w:r w:rsidRPr="009668D3">
        <w:rPr>
          <w:rFonts w:ascii="Times New Roman" w:hAnsi="Times New Roman" w:cs="Times New Roman"/>
          <w:sz w:val="20"/>
          <w:szCs w:val="20"/>
        </w:rPr>
        <w:t>. https://doi.org/10.1111/1365-2656.14250</w:t>
      </w:r>
    </w:p>
    <w:p w14:paraId="204AE9C4"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Beverton, R. J. H., &amp; Holt, S. J. (1957). </w:t>
      </w:r>
      <w:r w:rsidRPr="009668D3">
        <w:rPr>
          <w:rFonts w:ascii="Times New Roman" w:hAnsi="Times New Roman" w:cs="Times New Roman"/>
          <w:i/>
          <w:sz w:val="20"/>
          <w:szCs w:val="20"/>
        </w:rPr>
        <w:t>On the dynamics of exploited fish populations</w:t>
      </w:r>
      <w:r w:rsidRPr="009668D3">
        <w:rPr>
          <w:rFonts w:ascii="Times New Roman" w:hAnsi="Times New Roman" w:cs="Times New Roman"/>
          <w:sz w:val="20"/>
          <w:szCs w:val="20"/>
        </w:rPr>
        <w:t>. HMSO.</w:t>
      </w:r>
    </w:p>
    <w:p w14:paraId="74F6D7BF" w14:textId="15CBD253" w:rsidR="00B26BAB"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Blanchini, F. (1999). Set invariance in control. </w:t>
      </w:r>
      <w:r w:rsidRPr="009668D3">
        <w:rPr>
          <w:rFonts w:ascii="Times New Roman" w:hAnsi="Times New Roman" w:cs="Times New Roman"/>
          <w:i/>
          <w:sz w:val="20"/>
          <w:szCs w:val="20"/>
        </w:rPr>
        <w:t>Automatica</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35</w:t>
      </w:r>
      <w:r w:rsidRPr="009668D3">
        <w:rPr>
          <w:rFonts w:ascii="Times New Roman" w:hAnsi="Times New Roman" w:cs="Times New Roman"/>
          <w:sz w:val="20"/>
          <w:szCs w:val="20"/>
        </w:rPr>
        <w:t xml:space="preserve">(11), 1747–1767. </w:t>
      </w:r>
      <w:hyperlink r:id="rId21" w:history="1">
        <w:r w:rsidR="006B3BD3" w:rsidRPr="00F0129E">
          <w:rPr>
            <w:rStyle w:val="Hyperlink"/>
            <w:rFonts w:ascii="Times New Roman" w:hAnsi="Times New Roman" w:cs="Times New Roman"/>
            <w:sz w:val="20"/>
            <w:szCs w:val="20"/>
          </w:rPr>
          <w:t>https://doi.org/10.1016/S0005-1098(99)00113-2</w:t>
        </w:r>
      </w:hyperlink>
    </w:p>
    <w:p w14:paraId="324B176D" w14:textId="39BA7A0C" w:rsidR="006B3BD3" w:rsidRPr="006B3BD3" w:rsidRDefault="006B3BD3" w:rsidP="006B3BD3">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 xml:space="preserve">Both, C., Van Asch, M., Bijlsma, R. G., Van Den Burg, A. B., &amp; Visser, M. E. (2009). Climate change and unequal phenological changes across four trophic levels: constraints or adaptations? </w:t>
      </w:r>
      <w:r w:rsidRPr="006B3BD3">
        <w:rPr>
          <w:rFonts w:ascii="Times New Roman" w:hAnsi="Times New Roman" w:cs="Times New Roman"/>
          <w:i/>
          <w:iCs/>
          <w:sz w:val="20"/>
          <w:szCs w:val="20"/>
        </w:rPr>
        <w:t>Journal of Animal Ecology</w:t>
      </w:r>
      <w:r w:rsidRPr="006B3BD3">
        <w:rPr>
          <w:rFonts w:ascii="Times New Roman" w:hAnsi="Times New Roman" w:cs="Times New Roman"/>
          <w:sz w:val="20"/>
          <w:szCs w:val="20"/>
        </w:rPr>
        <w:t xml:space="preserve">, 78(1), 73–83. </w:t>
      </w:r>
      <w:hyperlink r:id="rId22" w:history="1">
        <w:r w:rsidRPr="006B3BD3">
          <w:rPr>
            <w:rStyle w:val="Hyperlink"/>
            <w:rFonts w:ascii="Times New Roman" w:hAnsi="Times New Roman" w:cs="Times New Roman"/>
            <w:sz w:val="20"/>
            <w:szCs w:val="20"/>
          </w:rPr>
          <w:t>https://doi.org/10.1111/j.1365-2656.2008.01458.x</w:t>
        </w:r>
      </w:hyperlink>
      <w:r w:rsidRPr="006B3BD3">
        <w:rPr>
          <w:rFonts w:ascii="Times New Roman" w:hAnsi="Times New Roman" w:cs="Times New Roman"/>
          <w:sz w:val="20"/>
          <w:szCs w:val="20"/>
        </w:rPr>
        <w:t xml:space="preserve"> </w:t>
      </w:r>
    </w:p>
    <w:p w14:paraId="05CE7529" w14:textId="68BAE3F1" w:rsidR="006B3BD3" w:rsidRPr="006B3BD3" w:rsidRDefault="006B3BD3" w:rsidP="006B3BD3">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 xml:space="preserve">Thackeray, S. J., Henrys, P. A., Hemming, D., Bell, J. R., Botham, M. S., Burthe, S., … Wanless, S. (2016). Phenological sensitivity to climate across taxa and trophic levels. </w:t>
      </w:r>
      <w:r w:rsidRPr="006B3BD3">
        <w:rPr>
          <w:rFonts w:ascii="Times New Roman" w:hAnsi="Times New Roman" w:cs="Times New Roman"/>
          <w:i/>
          <w:iCs/>
          <w:sz w:val="20"/>
          <w:szCs w:val="20"/>
        </w:rPr>
        <w:t>Nature</w:t>
      </w:r>
      <w:r w:rsidRPr="006B3BD3">
        <w:rPr>
          <w:rFonts w:ascii="Times New Roman" w:hAnsi="Times New Roman" w:cs="Times New Roman"/>
          <w:sz w:val="20"/>
          <w:szCs w:val="20"/>
        </w:rPr>
        <w:t xml:space="preserve">, 535(7611), 241–245. </w:t>
      </w:r>
      <w:hyperlink r:id="rId23" w:history="1">
        <w:r w:rsidRPr="006B3BD3">
          <w:rPr>
            <w:rStyle w:val="Hyperlink"/>
            <w:rFonts w:ascii="Times New Roman" w:hAnsi="Times New Roman" w:cs="Times New Roman"/>
            <w:sz w:val="20"/>
            <w:szCs w:val="20"/>
          </w:rPr>
          <w:t>https://doi.org/10.1038/nature18608</w:t>
        </w:r>
      </w:hyperlink>
      <w:r w:rsidRPr="006B3BD3">
        <w:rPr>
          <w:rFonts w:ascii="Times New Roman" w:hAnsi="Times New Roman" w:cs="Times New Roman"/>
          <w:sz w:val="20"/>
          <w:szCs w:val="20"/>
        </w:rPr>
        <w:t xml:space="preserve"> </w:t>
      </w:r>
    </w:p>
    <w:p w14:paraId="5C716116" w14:textId="3471216E" w:rsidR="006B3BD3" w:rsidRPr="006B3BD3" w:rsidRDefault="006B3BD3" w:rsidP="006B3BD3">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 xml:space="preserve">Tougeron, K., Brodeur, J., Le Lann, C., &amp; van Baaren, J. (2019). How climate change affects the seasonal ecology of insect parasitoids. </w:t>
      </w:r>
      <w:r w:rsidRPr="006B3BD3">
        <w:rPr>
          <w:rFonts w:ascii="Times New Roman" w:hAnsi="Times New Roman" w:cs="Times New Roman"/>
          <w:i/>
          <w:iCs/>
          <w:sz w:val="20"/>
          <w:szCs w:val="20"/>
        </w:rPr>
        <w:t>Ecological Entomology</w:t>
      </w:r>
      <w:r w:rsidRPr="006B3BD3">
        <w:rPr>
          <w:rFonts w:ascii="Times New Roman" w:hAnsi="Times New Roman" w:cs="Times New Roman"/>
          <w:sz w:val="20"/>
          <w:szCs w:val="20"/>
        </w:rPr>
        <w:t xml:space="preserve">, 45(2), 167–181. </w:t>
      </w:r>
      <w:hyperlink r:id="rId24" w:history="1">
        <w:r w:rsidRPr="006B3BD3">
          <w:rPr>
            <w:rStyle w:val="Hyperlink"/>
            <w:rFonts w:ascii="Times New Roman" w:hAnsi="Times New Roman" w:cs="Times New Roman"/>
            <w:sz w:val="20"/>
            <w:szCs w:val="20"/>
          </w:rPr>
          <w:t>https://doi.org/10.1111/een.12792</w:t>
        </w:r>
      </w:hyperlink>
      <w:r w:rsidRPr="006B3BD3">
        <w:rPr>
          <w:rFonts w:ascii="Times New Roman" w:hAnsi="Times New Roman" w:cs="Times New Roman"/>
          <w:sz w:val="20"/>
          <w:szCs w:val="20"/>
        </w:rPr>
        <w:t xml:space="preserve"> </w:t>
      </w:r>
    </w:p>
    <w:p w14:paraId="412EBCA9" w14:textId="373FBE64" w:rsidR="006B3BD3" w:rsidRPr="009668D3" w:rsidRDefault="006B3BD3" w:rsidP="006B3BD3">
      <w:pPr>
        <w:spacing w:line="240" w:lineRule="auto"/>
        <w:jc w:val="both"/>
        <w:rPr>
          <w:rFonts w:ascii="Times New Roman" w:hAnsi="Times New Roman" w:cs="Times New Roman"/>
          <w:sz w:val="20"/>
          <w:szCs w:val="20"/>
        </w:rPr>
      </w:pPr>
      <w:r w:rsidRPr="006B3BD3">
        <w:rPr>
          <w:rFonts w:ascii="Times New Roman" w:hAnsi="Times New Roman" w:cs="Times New Roman"/>
          <w:sz w:val="20"/>
          <w:szCs w:val="20"/>
        </w:rPr>
        <w:t xml:space="preserve">Visser, M. E., &amp; Both, C. (2005). Shifts in phenology due to global climate change: the need for a yardstick. </w:t>
      </w:r>
      <w:r w:rsidRPr="006B3BD3">
        <w:rPr>
          <w:rFonts w:ascii="Times New Roman" w:hAnsi="Times New Roman" w:cs="Times New Roman"/>
          <w:i/>
          <w:iCs/>
          <w:sz w:val="20"/>
          <w:szCs w:val="20"/>
        </w:rPr>
        <w:t>Proceedings of the Royal Society B</w:t>
      </w:r>
      <w:r w:rsidRPr="006B3BD3">
        <w:rPr>
          <w:rFonts w:ascii="Times New Roman" w:hAnsi="Times New Roman" w:cs="Times New Roman"/>
          <w:sz w:val="20"/>
          <w:szCs w:val="20"/>
        </w:rPr>
        <w:t xml:space="preserve">, 272(1581), 2561–2569. </w:t>
      </w:r>
      <w:hyperlink r:id="rId25" w:history="1">
        <w:r w:rsidRPr="006B3BD3">
          <w:rPr>
            <w:rStyle w:val="Hyperlink"/>
            <w:rFonts w:ascii="Times New Roman" w:hAnsi="Times New Roman" w:cs="Times New Roman"/>
            <w:sz w:val="20"/>
            <w:szCs w:val="20"/>
          </w:rPr>
          <w:t>https://doi.org/10.1098/rspb.2005.3356</w:t>
        </w:r>
      </w:hyperlink>
    </w:p>
    <w:p w14:paraId="3CBFA888"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Cameron, T. C., Wearing, H. J., Rohani, P., &amp; Sait, S. M. (2005). Two-species asymmetric competition: Effects of age structure on intra- and interspecific interactions. </w:t>
      </w:r>
      <w:r w:rsidRPr="009668D3">
        <w:rPr>
          <w:rFonts w:ascii="Times New Roman" w:hAnsi="Times New Roman" w:cs="Times New Roman"/>
          <w:i/>
          <w:sz w:val="20"/>
          <w:szCs w:val="20"/>
        </w:rPr>
        <w:t>Journal of Animal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74</w:t>
      </w:r>
      <w:r w:rsidRPr="009668D3">
        <w:rPr>
          <w:rFonts w:ascii="Times New Roman" w:hAnsi="Times New Roman" w:cs="Times New Roman"/>
          <w:sz w:val="20"/>
          <w:szCs w:val="20"/>
        </w:rPr>
        <w:t>(5), 901–909. https://doi.org/10.1111/j.1365-2656.2005.00985.x</w:t>
      </w:r>
    </w:p>
    <w:p w14:paraId="1FB143D9"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Chattopadhyay, J., &amp; Arino, O. (1999). A predator–prey model with disease in the prey. </w:t>
      </w:r>
      <w:r w:rsidRPr="009668D3">
        <w:rPr>
          <w:rFonts w:ascii="Times New Roman" w:hAnsi="Times New Roman" w:cs="Times New Roman"/>
          <w:i/>
          <w:sz w:val="20"/>
          <w:szCs w:val="20"/>
        </w:rPr>
        <w:t>Nonlinear Analysis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36</w:t>
      </w:r>
      <w:r w:rsidRPr="009668D3">
        <w:rPr>
          <w:rFonts w:ascii="Times New Roman" w:hAnsi="Times New Roman" w:cs="Times New Roman"/>
          <w:sz w:val="20"/>
          <w:szCs w:val="20"/>
        </w:rPr>
        <w:t>(6), 747–766. https://doi.org/10.1016/S0362-546X(98)00126-6</w:t>
      </w:r>
    </w:p>
    <w:p w14:paraId="6E849885"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Cornell, H. V., &amp; Hawkins, B. A. (1995). Survival patterns and mortality sources of herbivorous insects: Some demographic trends. </w:t>
      </w:r>
      <w:r w:rsidRPr="009668D3">
        <w:rPr>
          <w:rFonts w:ascii="Times New Roman" w:hAnsi="Times New Roman" w:cs="Times New Roman"/>
          <w:i/>
          <w:sz w:val="20"/>
          <w:szCs w:val="20"/>
        </w:rPr>
        <w:t>The American Naturalist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145</w:t>
      </w:r>
      <w:r w:rsidRPr="009668D3">
        <w:rPr>
          <w:rFonts w:ascii="Times New Roman" w:hAnsi="Times New Roman" w:cs="Times New Roman"/>
          <w:sz w:val="20"/>
          <w:szCs w:val="20"/>
        </w:rPr>
        <w:t>(4), 563–593. https://doi.org/10.1086/285756</w:t>
      </w:r>
    </w:p>
    <w:p w14:paraId="6FDC2B7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Dolch, R., &amp; Tscharntke, T. (2000). Defoliation of alders (</w:t>
      </w:r>
      <w:r w:rsidRPr="009668D3">
        <w:rPr>
          <w:rFonts w:ascii="Times New Roman" w:hAnsi="Times New Roman" w:cs="Times New Roman"/>
          <w:i/>
          <w:sz w:val="20"/>
          <w:szCs w:val="20"/>
        </w:rPr>
        <w:t>Alnus glutinosa</w:t>
      </w:r>
      <w:r w:rsidRPr="009668D3">
        <w:rPr>
          <w:rFonts w:ascii="Times New Roman" w:hAnsi="Times New Roman" w:cs="Times New Roman"/>
          <w:sz w:val="20"/>
          <w:szCs w:val="20"/>
        </w:rPr>
        <w:t xml:space="preserve">) affects herbivory by leaf beetles on undamaged neighbours. </w:t>
      </w:r>
      <w:r w:rsidRPr="009668D3">
        <w:rPr>
          <w:rFonts w:ascii="Times New Roman" w:hAnsi="Times New Roman" w:cs="Times New Roman"/>
          <w:i/>
          <w:sz w:val="20"/>
          <w:szCs w:val="20"/>
        </w:rPr>
        <w:t>Oecologia</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125</w:t>
      </w:r>
      <w:r w:rsidRPr="009668D3">
        <w:rPr>
          <w:rFonts w:ascii="Times New Roman" w:hAnsi="Times New Roman" w:cs="Times New Roman"/>
          <w:sz w:val="20"/>
          <w:szCs w:val="20"/>
        </w:rPr>
        <w:t>(4), 504–511. https://doi.org/10.1007/s004420000482</w:t>
      </w:r>
    </w:p>
    <w:p w14:paraId="6C7C458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Donohue, I., Hillebrand, H., Montoya, J. M., Petchey, O. L., Pimm, S. L., Fowler, M. S., Healy, K., Jackson, A. L., Lurgi, M., McClean, D., O'Connor, N. E., O'Gorman, E. J., &amp; Yang, Q. (2016). Navigating the complexity of ecological stability. </w:t>
      </w:r>
      <w:r w:rsidRPr="009668D3">
        <w:rPr>
          <w:rFonts w:ascii="Times New Roman" w:hAnsi="Times New Roman" w:cs="Times New Roman"/>
          <w:i/>
          <w:sz w:val="20"/>
          <w:szCs w:val="20"/>
        </w:rPr>
        <w:t>Ecology Letters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19</w:t>
      </w:r>
      <w:r w:rsidRPr="009668D3">
        <w:rPr>
          <w:rFonts w:ascii="Times New Roman" w:hAnsi="Times New Roman" w:cs="Times New Roman"/>
          <w:sz w:val="20"/>
          <w:szCs w:val="20"/>
        </w:rPr>
        <w:t>(9), 1172–1185. https://doi.org/10.1111/ele.12648</w:t>
      </w:r>
    </w:p>
    <w:p w14:paraId="76842907"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Elaydi, S. N. (2005). </w:t>
      </w:r>
      <w:r w:rsidRPr="009668D3">
        <w:rPr>
          <w:rFonts w:ascii="Times New Roman" w:hAnsi="Times New Roman" w:cs="Times New Roman"/>
          <w:i/>
          <w:sz w:val="20"/>
          <w:szCs w:val="20"/>
        </w:rPr>
        <w:t>An introduction to difference equations</w:t>
      </w:r>
      <w:r w:rsidRPr="009668D3">
        <w:rPr>
          <w:rFonts w:ascii="Times New Roman" w:hAnsi="Times New Roman" w:cs="Times New Roman"/>
          <w:sz w:val="20"/>
          <w:szCs w:val="20"/>
        </w:rPr>
        <w:t xml:space="preserve"> (3rd ed.). Springer. https://doi.org/10.1007/0-387-27602-5</w:t>
      </w:r>
    </w:p>
    <w:p w14:paraId="4726DB6B"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European Commission. (1992). Council Directive 92/43/EEC of 21 May 1992 on the conservation of natural habitats and of wild fauna and flora. </w:t>
      </w:r>
      <w:r w:rsidRPr="009668D3">
        <w:rPr>
          <w:rFonts w:ascii="Times New Roman" w:hAnsi="Times New Roman" w:cs="Times New Roman"/>
          <w:i/>
          <w:sz w:val="20"/>
          <w:szCs w:val="20"/>
        </w:rPr>
        <w:t>Official Journal of the European Communities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L 206</w:t>
      </w:r>
      <w:r w:rsidRPr="009668D3">
        <w:rPr>
          <w:rFonts w:ascii="Times New Roman" w:hAnsi="Times New Roman" w:cs="Times New Roman"/>
          <w:sz w:val="20"/>
          <w:szCs w:val="20"/>
        </w:rPr>
        <w:t>, 7–50.</w:t>
      </w:r>
    </w:p>
    <w:p w14:paraId="2358A6EA" w14:textId="5CF7DB1B" w:rsidR="000221B3" w:rsidRPr="009668D3" w:rsidRDefault="000221B3"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Fakhry, N. H., Naji, R. K., R., S., &amp; Haque, M. (2022). Prey fear of a specialist predator in a tri-trophic food web can eliminate the superpredator. </w:t>
      </w:r>
      <w:r w:rsidRPr="009668D3">
        <w:rPr>
          <w:rFonts w:ascii="Times New Roman" w:hAnsi="Times New Roman" w:cs="Times New Roman"/>
          <w:i/>
          <w:sz w:val="20"/>
          <w:szCs w:val="20"/>
        </w:rPr>
        <w:t>Frontiers in Applied Mathematics and Statistics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8</w:t>
      </w:r>
      <w:r w:rsidRPr="009668D3">
        <w:rPr>
          <w:rFonts w:ascii="Times New Roman" w:hAnsi="Times New Roman" w:cs="Times New Roman"/>
          <w:sz w:val="20"/>
          <w:szCs w:val="20"/>
        </w:rPr>
        <w:t>, 963991. https://doi.org/10.3389/fams.2022.963991</w:t>
      </w:r>
    </w:p>
    <w:p w14:paraId="38BC64AC"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Ferretti, M., Fischer, R., Mues, V., Granke, O., &amp; Lorenz, M. (2021). </w:t>
      </w:r>
      <w:r w:rsidRPr="009668D3">
        <w:rPr>
          <w:rFonts w:ascii="Times New Roman" w:hAnsi="Times New Roman" w:cs="Times New Roman"/>
          <w:sz w:val="20"/>
          <w:szCs w:val="20"/>
        </w:rPr>
        <w:t xml:space="preserve">Tree canopy defoliation can reveal growth decline in European forests. </w:t>
      </w:r>
      <w:r w:rsidRPr="009668D3">
        <w:rPr>
          <w:rFonts w:ascii="Times New Roman" w:hAnsi="Times New Roman" w:cs="Times New Roman"/>
          <w:i/>
          <w:sz w:val="20"/>
          <w:szCs w:val="20"/>
        </w:rPr>
        <w:t>Science of the Total Environment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770</w:t>
      </w:r>
      <w:r w:rsidRPr="009668D3">
        <w:rPr>
          <w:rFonts w:ascii="Times New Roman" w:hAnsi="Times New Roman" w:cs="Times New Roman"/>
          <w:sz w:val="20"/>
          <w:szCs w:val="20"/>
        </w:rPr>
        <w:t>, 145370. https://doi.org/10.1016/j.scitotenv.2021.145370</w:t>
      </w:r>
    </w:p>
    <w:p w14:paraId="2E6EFB4B" w14:textId="77777777" w:rsidR="00B26BAB" w:rsidRPr="009668D3" w:rsidRDefault="00B26BAB" w:rsidP="002D21BC">
      <w:pPr>
        <w:spacing w:line="240" w:lineRule="auto"/>
        <w:jc w:val="both"/>
        <w:rPr>
          <w:rFonts w:ascii="Times New Roman" w:hAnsi="Times New Roman" w:cs="Times New Roman"/>
          <w:sz w:val="20"/>
          <w:szCs w:val="20"/>
          <w:lang w:val="de-DE"/>
        </w:rPr>
      </w:pPr>
      <w:r w:rsidRPr="009668D3">
        <w:rPr>
          <w:rFonts w:ascii="Times New Roman" w:hAnsi="Times New Roman" w:cs="Times New Roman"/>
          <w:sz w:val="20"/>
          <w:szCs w:val="20"/>
        </w:rPr>
        <w:t xml:space="preserve">Fleming, W. H., &amp; Rishel, R. W. (1975). </w:t>
      </w:r>
      <w:r w:rsidRPr="009668D3">
        <w:rPr>
          <w:rFonts w:ascii="Times New Roman" w:hAnsi="Times New Roman" w:cs="Times New Roman"/>
          <w:i/>
          <w:sz w:val="20"/>
          <w:szCs w:val="20"/>
        </w:rPr>
        <w:t>Deterministic and stochastic optimal control</w:t>
      </w:r>
      <w:r w:rsidRPr="009668D3">
        <w:rPr>
          <w:rFonts w:ascii="Times New Roman" w:hAnsi="Times New Roman" w:cs="Times New Roman"/>
          <w:sz w:val="20"/>
          <w:szCs w:val="20"/>
        </w:rPr>
        <w:t xml:space="preserve">. </w:t>
      </w:r>
      <w:r w:rsidRPr="009668D3">
        <w:rPr>
          <w:rFonts w:ascii="Times New Roman" w:hAnsi="Times New Roman" w:cs="Times New Roman"/>
          <w:sz w:val="20"/>
          <w:szCs w:val="20"/>
          <w:lang w:val="de-DE"/>
        </w:rPr>
        <w:t>Springer. https://doi.org/10.1007/978-1-4612-6380-7</w:t>
      </w:r>
    </w:p>
    <w:p w14:paraId="72AB39CB"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Folke, C., Hahn, T., Olsson, P., &amp; Norberg, J. (2005). </w:t>
      </w:r>
      <w:r w:rsidRPr="009668D3">
        <w:rPr>
          <w:rFonts w:ascii="Times New Roman" w:hAnsi="Times New Roman" w:cs="Times New Roman"/>
          <w:sz w:val="20"/>
          <w:szCs w:val="20"/>
        </w:rPr>
        <w:t xml:space="preserve">Adaptive governance of social-ecological systems. </w:t>
      </w:r>
      <w:r w:rsidRPr="009668D3">
        <w:rPr>
          <w:rFonts w:ascii="Times New Roman" w:hAnsi="Times New Roman" w:cs="Times New Roman"/>
          <w:i/>
          <w:sz w:val="20"/>
          <w:szCs w:val="20"/>
        </w:rPr>
        <w:t>Annual Review of Environment and Resources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30</w:t>
      </w:r>
      <w:r w:rsidRPr="009668D3">
        <w:rPr>
          <w:rFonts w:ascii="Times New Roman" w:hAnsi="Times New Roman" w:cs="Times New Roman"/>
          <w:sz w:val="20"/>
          <w:szCs w:val="20"/>
        </w:rPr>
        <w:t>, 441–473. https://doi.org/10.1146/annurev.energy.30.050504.144511</w:t>
      </w:r>
    </w:p>
    <w:p w14:paraId="2DD520E0"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Gregory, R. D., Voříšek, P., Noble, D. G., Van Strien, A., Klvaňová, A., Eaton, M., Gmelig Meyling, A. W., Joys, A., Foppen, R. P. B., &amp; Burfield, I. J. (2007). The generation and use of bird population indicators in Europe. </w:t>
      </w:r>
      <w:r w:rsidRPr="009668D3">
        <w:rPr>
          <w:rFonts w:ascii="Times New Roman" w:hAnsi="Times New Roman" w:cs="Times New Roman"/>
          <w:i/>
          <w:sz w:val="20"/>
          <w:szCs w:val="20"/>
        </w:rPr>
        <w:t>Bird Conservation International</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17</w:t>
      </w:r>
      <w:r w:rsidRPr="009668D3">
        <w:rPr>
          <w:rFonts w:ascii="Times New Roman" w:hAnsi="Times New Roman" w:cs="Times New Roman"/>
          <w:sz w:val="20"/>
          <w:szCs w:val="20"/>
        </w:rPr>
        <w:t>(4), 305–321. https://doi.org/10.1017/S0959270907000915</w:t>
      </w:r>
    </w:p>
    <w:p w14:paraId="645AFC3A"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Hartman, P. (1964). </w:t>
      </w:r>
      <w:r w:rsidRPr="009668D3">
        <w:rPr>
          <w:rFonts w:ascii="Times New Roman" w:hAnsi="Times New Roman" w:cs="Times New Roman"/>
          <w:i/>
          <w:sz w:val="20"/>
          <w:szCs w:val="20"/>
        </w:rPr>
        <w:t>Ordinary differential equations</w:t>
      </w:r>
      <w:r w:rsidRPr="009668D3">
        <w:rPr>
          <w:rFonts w:ascii="Times New Roman" w:hAnsi="Times New Roman" w:cs="Times New Roman"/>
          <w:sz w:val="20"/>
          <w:szCs w:val="20"/>
        </w:rPr>
        <w:t>. Wiley.</w:t>
      </w:r>
    </w:p>
    <w:p w14:paraId="118B2885"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Hassell, M. P., Lawton, J. H., &amp; May, R. M. (1976). Patterns of dynamical behaviour in single-species populations. </w:t>
      </w:r>
      <w:r w:rsidRPr="009668D3">
        <w:rPr>
          <w:rFonts w:ascii="Times New Roman" w:hAnsi="Times New Roman" w:cs="Times New Roman"/>
          <w:i/>
          <w:sz w:val="20"/>
          <w:szCs w:val="20"/>
        </w:rPr>
        <w:t>Journal of Animal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45</w:t>
      </w:r>
      <w:r w:rsidRPr="009668D3">
        <w:rPr>
          <w:rFonts w:ascii="Times New Roman" w:hAnsi="Times New Roman" w:cs="Times New Roman"/>
          <w:sz w:val="20"/>
          <w:szCs w:val="20"/>
        </w:rPr>
        <w:t>(2), 471–486. https://doi.org/10.2307/3886</w:t>
      </w:r>
    </w:p>
    <w:p w14:paraId="229E3BED"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Hawkins, B. A. (1994). Pattern and process in host–parasitoid interactions. </w:t>
      </w:r>
      <w:r w:rsidRPr="009668D3">
        <w:rPr>
          <w:rFonts w:ascii="Times New Roman" w:hAnsi="Times New Roman" w:cs="Times New Roman"/>
          <w:i/>
          <w:sz w:val="20"/>
          <w:szCs w:val="20"/>
        </w:rPr>
        <w:t>Ecological Monographs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64</w:t>
      </w:r>
      <w:r w:rsidRPr="009668D3">
        <w:rPr>
          <w:rFonts w:ascii="Times New Roman" w:hAnsi="Times New Roman" w:cs="Times New Roman"/>
          <w:sz w:val="20"/>
          <w:szCs w:val="20"/>
        </w:rPr>
        <w:t>(3), 297–323. https://doi.org/10.2307/2937109</w:t>
      </w:r>
    </w:p>
    <w:p w14:paraId="2B6DC31F"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Hethcote, H. W., Wang, W., Han, L., &amp; Ma, Z. (2004). A predator–prey model with infected prey. </w:t>
      </w:r>
      <w:r w:rsidRPr="009668D3">
        <w:rPr>
          <w:rFonts w:ascii="Times New Roman" w:hAnsi="Times New Roman" w:cs="Times New Roman"/>
          <w:i/>
          <w:sz w:val="20"/>
          <w:szCs w:val="20"/>
        </w:rPr>
        <w:t>Theoretical Population Biology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66</w:t>
      </w:r>
      <w:r w:rsidRPr="009668D3">
        <w:rPr>
          <w:rFonts w:ascii="Times New Roman" w:hAnsi="Times New Roman" w:cs="Times New Roman"/>
          <w:sz w:val="20"/>
          <w:szCs w:val="20"/>
        </w:rPr>
        <w:t>(3), 259–268. https://doi.org/10.1016/j.tpb.2004.06.010</w:t>
      </w:r>
    </w:p>
    <w:p w14:paraId="2CE355CD"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Hillebrand, H., Blasius, B., Borer, E. T., Chase, J. M., Downing, J. A., Eriksson, B. K., Filstrup, C. T., Harpole, W. S., Hodapp, D., Larsen, S., Lewandowska, A. M., Seabloom, E. W., Van de Waal, D. B., &amp; Ryabov, A. B. (2018). Biodiversity change is uncoupled from species richness trends: Consequences for conservation and monitoring. </w:t>
      </w:r>
      <w:r w:rsidRPr="009668D3">
        <w:rPr>
          <w:rFonts w:ascii="Times New Roman" w:hAnsi="Times New Roman" w:cs="Times New Roman"/>
          <w:i/>
          <w:sz w:val="20"/>
          <w:szCs w:val="20"/>
        </w:rPr>
        <w:t>Journal of Applied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55</w:t>
      </w:r>
      <w:r w:rsidRPr="009668D3">
        <w:rPr>
          <w:rFonts w:ascii="Times New Roman" w:hAnsi="Times New Roman" w:cs="Times New Roman"/>
          <w:sz w:val="20"/>
          <w:szCs w:val="20"/>
        </w:rPr>
        <w:t>(1), 169–184. https://doi.org/10.1111/1365-2664.12959</w:t>
      </w:r>
    </w:p>
    <w:p w14:paraId="285F75A3" w14:textId="2A21ED0A"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Holling, C. S. (1973). Resilience and stability of ecological systems. </w:t>
      </w:r>
      <w:r w:rsidRPr="009668D3">
        <w:rPr>
          <w:rFonts w:ascii="Times New Roman" w:hAnsi="Times New Roman" w:cs="Times New Roman"/>
          <w:i/>
          <w:sz w:val="20"/>
          <w:szCs w:val="20"/>
        </w:rPr>
        <w:t>Annual Review of Ecology and Systematics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w:t>
      </w:r>
      <w:r w:rsidRPr="009668D3">
        <w:rPr>
          <w:rFonts w:ascii="Times New Roman" w:hAnsi="Times New Roman" w:cs="Times New Roman"/>
          <w:sz w:val="20"/>
          <w:szCs w:val="20"/>
        </w:rPr>
        <w:t xml:space="preserve">, 1–23. </w:t>
      </w:r>
      <w:hyperlink r:id="rId26" w:history="1">
        <w:r w:rsidR="00070AFD" w:rsidRPr="001E6700">
          <w:rPr>
            <w:rStyle w:val="Hyperlink"/>
            <w:rFonts w:ascii="Times New Roman" w:hAnsi="Times New Roman" w:cs="Times New Roman"/>
            <w:sz w:val="20"/>
            <w:szCs w:val="20"/>
          </w:rPr>
          <w:t>https://doi.org/10.1146/annurev.es.04.110173.000245</w:t>
        </w:r>
      </w:hyperlink>
    </w:p>
    <w:p w14:paraId="3FB26A3D" w14:textId="728F6FD9" w:rsidR="00070AFD" w:rsidRPr="009668D3" w:rsidRDefault="00070AFD"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pt-PT"/>
        </w:rPr>
        <w:t xml:space="preserve">Ji, H., Vasilyeva, M., Mbroh, N. A., &amp; Sadovski, A. (2025). </w:t>
      </w:r>
      <w:r w:rsidRPr="009668D3">
        <w:rPr>
          <w:rFonts w:ascii="Times New Roman" w:hAnsi="Times New Roman" w:cs="Times New Roman"/>
          <w:sz w:val="20"/>
          <w:szCs w:val="20"/>
        </w:rPr>
        <w:t>Epidemic dynamics in the spatio</w:t>
      </w:r>
      <w:r w:rsidRPr="009668D3">
        <w:rPr>
          <w:rFonts w:ascii="Times New Roman" w:hAnsi="Times New Roman" w:cs="Times New Roman"/>
          <w:sz w:val="20"/>
          <w:szCs w:val="20"/>
        </w:rPr>
        <w:noBreakHyphen/>
        <w:t>temporal predator</w:t>
      </w:r>
      <w:r w:rsidRPr="009668D3">
        <w:rPr>
          <w:rFonts w:ascii="Times New Roman" w:hAnsi="Times New Roman" w:cs="Times New Roman"/>
          <w:sz w:val="20"/>
          <w:szCs w:val="20"/>
        </w:rPr>
        <w:noBreakHyphen/>
        <w:t>prey model. </w:t>
      </w:r>
      <w:r w:rsidRPr="009668D3">
        <w:rPr>
          <w:rFonts w:ascii="Times New Roman" w:hAnsi="Times New Roman" w:cs="Times New Roman"/>
          <w:i/>
          <w:sz w:val="20"/>
          <w:szCs w:val="20"/>
        </w:rPr>
        <w:t>Frontiers in Applied Mathematics and Statistics, 11</w:t>
      </w:r>
      <w:r w:rsidRPr="009668D3">
        <w:rPr>
          <w:rFonts w:ascii="Times New Roman" w:hAnsi="Times New Roman" w:cs="Times New Roman"/>
          <w:sz w:val="20"/>
          <w:szCs w:val="20"/>
        </w:rPr>
        <w:t>, 1642676. </w:t>
      </w:r>
      <w:hyperlink r:id="rId27" w:tgtFrame="_blank" w:history="1">
        <w:r w:rsidRPr="001E6700">
          <w:rPr>
            <w:rStyle w:val="Hyperlink"/>
            <w:rFonts w:ascii="Times New Roman" w:hAnsi="Times New Roman" w:cs="Times New Roman"/>
            <w:sz w:val="20"/>
            <w:szCs w:val="20"/>
          </w:rPr>
          <w:t>https://doi.org/10.3389/fams.2025.1642676</w:t>
        </w:r>
      </w:hyperlink>
    </w:p>
    <w:p w14:paraId="7130B1B9"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Khalil, H. K. (2002). </w:t>
      </w:r>
      <w:r w:rsidRPr="009668D3">
        <w:rPr>
          <w:rFonts w:ascii="Times New Roman" w:hAnsi="Times New Roman" w:cs="Times New Roman"/>
          <w:i/>
          <w:sz w:val="20"/>
          <w:szCs w:val="20"/>
        </w:rPr>
        <w:t>Nonlinear systems</w:t>
      </w:r>
      <w:r w:rsidRPr="009668D3">
        <w:rPr>
          <w:rFonts w:ascii="Times New Roman" w:hAnsi="Times New Roman" w:cs="Times New Roman"/>
          <w:sz w:val="20"/>
          <w:szCs w:val="20"/>
        </w:rPr>
        <w:t xml:space="preserve"> (3rd ed.). Prentice Hall.</w:t>
      </w:r>
    </w:p>
    <w:p w14:paraId="741EF94B"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Kot, M. (2001). </w:t>
      </w:r>
      <w:r w:rsidRPr="009668D3">
        <w:rPr>
          <w:rFonts w:ascii="Times New Roman" w:hAnsi="Times New Roman" w:cs="Times New Roman"/>
          <w:i/>
          <w:sz w:val="20"/>
          <w:szCs w:val="20"/>
        </w:rPr>
        <w:t>Elements of mathematical ecology</w:t>
      </w:r>
      <w:r w:rsidRPr="009668D3">
        <w:rPr>
          <w:rFonts w:ascii="Times New Roman" w:hAnsi="Times New Roman" w:cs="Times New Roman"/>
          <w:sz w:val="20"/>
          <w:szCs w:val="20"/>
        </w:rPr>
        <w:t>. Cambridge University Press. https://doi.org/10.1017/CBO9780511608520</w:t>
      </w:r>
    </w:p>
    <w:p w14:paraId="634EB272"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Kuznetsov, Y. A. (2004). </w:t>
      </w:r>
      <w:r w:rsidRPr="009668D3">
        <w:rPr>
          <w:rFonts w:ascii="Times New Roman" w:hAnsi="Times New Roman" w:cs="Times New Roman"/>
          <w:i/>
          <w:sz w:val="20"/>
          <w:szCs w:val="20"/>
        </w:rPr>
        <w:t>Elements of applied bifurcation theory</w:t>
      </w:r>
      <w:r w:rsidRPr="009668D3">
        <w:rPr>
          <w:rFonts w:ascii="Times New Roman" w:hAnsi="Times New Roman" w:cs="Times New Roman"/>
          <w:sz w:val="20"/>
          <w:szCs w:val="20"/>
        </w:rPr>
        <w:t xml:space="preserve"> (3rd ed.). Springer. https://doi.org/10.1007/978-1-4757-3978-7</w:t>
      </w:r>
    </w:p>
    <w:p w14:paraId="5D20B78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Lenhart, S., &amp; Workman, J. T. (2007). </w:t>
      </w:r>
      <w:r w:rsidRPr="009668D3">
        <w:rPr>
          <w:rFonts w:ascii="Times New Roman" w:hAnsi="Times New Roman" w:cs="Times New Roman"/>
          <w:i/>
          <w:sz w:val="20"/>
          <w:szCs w:val="20"/>
        </w:rPr>
        <w:t>Optimal control applied to biological models</w:t>
      </w:r>
      <w:r w:rsidRPr="009668D3">
        <w:rPr>
          <w:rFonts w:ascii="Times New Roman" w:hAnsi="Times New Roman" w:cs="Times New Roman"/>
          <w:sz w:val="20"/>
          <w:szCs w:val="20"/>
        </w:rPr>
        <w:t>. Chapman &amp; Hall/CRC. https://doi.org/10.1201/9781420011418</w:t>
      </w:r>
    </w:p>
    <w:p w14:paraId="4B2D700A"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Marino, S., Hogue, I. B., Ray, C. J., &amp; Kirschner, D. E. (2008). A methodology for performing global uncertainty and sensitivity analysis in systems biology. </w:t>
      </w:r>
      <w:r w:rsidRPr="009668D3">
        <w:rPr>
          <w:rFonts w:ascii="Times New Roman" w:hAnsi="Times New Roman" w:cs="Times New Roman"/>
          <w:i/>
          <w:sz w:val="20"/>
          <w:szCs w:val="20"/>
        </w:rPr>
        <w:t>Journal of Theoretical Biology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254</w:t>
      </w:r>
      <w:r w:rsidRPr="009668D3">
        <w:rPr>
          <w:rFonts w:ascii="Times New Roman" w:hAnsi="Times New Roman" w:cs="Times New Roman"/>
          <w:sz w:val="20"/>
          <w:szCs w:val="20"/>
        </w:rPr>
        <w:t>(1), 178–196. https://doi.org/10.1016/j.jtbi.2008.04.011</w:t>
      </w:r>
    </w:p>
    <w:p w14:paraId="292FF9BD"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Medeiros, L. P., Song, C., &amp; Saavedra, S. (2021). Merging dynamical and structural indicators to measure resilience in multispecies systems. </w:t>
      </w:r>
      <w:r w:rsidRPr="009668D3">
        <w:rPr>
          <w:rFonts w:ascii="Times New Roman" w:hAnsi="Times New Roman" w:cs="Times New Roman"/>
          <w:i/>
          <w:sz w:val="20"/>
          <w:szCs w:val="20"/>
        </w:rPr>
        <w:t>Journal of Animal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90</w:t>
      </w:r>
      <w:r w:rsidRPr="009668D3">
        <w:rPr>
          <w:rFonts w:ascii="Times New Roman" w:hAnsi="Times New Roman" w:cs="Times New Roman"/>
          <w:sz w:val="20"/>
          <w:szCs w:val="20"/>
        </w:rPr>
        <w:t>(10), 2384–2397. https://doi.org/10.1111/1365-2656.13561</w:t>
      </w:r>
    </w:p>
    <w:p w14:paraId="308C93CA"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Menck, P. J., Heitzig, J., Marwan, N., &amp; Kurths, J. (2013). How basin stability complements the linear-stability paradigm. </w:t>
      </w:r>
      <w:r w:rsidRPr="009668D3">
        <w:rPr>
          <w:rFonts w:ascii="Times New Roman" w:hAnsi="Times New Roman" w:cs="Times New Roman"/>
          <w:i/>
          <w:sz w:val="20"/>
          <w:szCs w:val="20"/>
        </w:rPr>
        <w:t>Nature Physics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9</w:t>
      </w:r>
      <w:r w:rsidRPr="009668D3">
        <w:rPr>
          <w:rFonts w:ascii="Times New Roman" w:hAnsi="Times New Roman" w:cs="Times New Roman"/>
          <w:sz w:val="20"/>
          <w:szCs w:val="20"/>
        </w:rPr>
        <w:t>(2), 89–92. https://doi.org/10.1038/nphys2516</w:t>
      </w:r>
    </w:p>
    <w:p w14:paraId="1C0E74D7"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Monteagudo, N., Benayas, J. M. R., Andivia, E., &amp; Rebollo, S. (2023). Avian regulation of crop and forest pests: A meta-analysis. </w:t>
      </w:r>
      <w:r w:rsidRPr="009668D3">
        <w:rPr>
          <w:rFonts w:ascii="Times New Roman" w:hAnsi="Times New Roman" w:cs="Times New Roman"/>
          <w:i/>
          <w:sz w:val="20"/>
          <w:szCs w:val="20"/>
        </w:rPr>
        <w:t>Pest Management Science</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79</w:t>
      </w:r>
      <w:r w:rsidRPr="009668D3">
        <w:rPr>
          <w:rFonts w:ascii="Times New Roman" w:hAnsi="Times New Roman" w:cs="Times New Roman"/>
          <w:sz w:val="20"/>
          <w:szCs w:val="20"/>
        </w:rPr>
        <w:t>(11), 4690–4699. https://doi.org/10.1002/ps.7421</w:t>
      </w:r>
    </w:p>
    <w:p w14:paraId="71A52861"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Nicholson, A. J., &amp; Bailey, V. A. (1935). The balance of animal populations. Part I. </w:t>
      </w:r>
      <w:r w:rsidRPr="009668D3">
        <w:rPr>
          <w:rFonts w:ascii="Times New Roman" w:hAnsi="Times New Roman" w:cs="Times New Roman"/>
          <w:i/>
          <w:sz w:val="20"/>
          <w:szCs w:val="20"/>
        </w:rPr>
        <w:t>Proceedings of the Zoological Society of London</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105</w:t>
      </w:r>
      <w:r w:rsidRPr="009668D3">
        <w:rPr>
          <w:rFonts w:ascii="Times New Roman" w:hAnsi="Times New Roman" w:cs="Times New Roman"/>
          <w:sz w:val="20"/>
          <w:szCs w:val="20"/>
        </w:rPr>
        <w:t>(3), 551–598. https://doi.org/10.1111/j.1096-3642.1935.tb01680.x</w:t>
      </w:r>
    </w:p>
    <w:p w14:paraId="680B0DFE"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Nimalrathna, T. S., Capellini, I., &amp; Sheratt, T. N. (2022). Measuring parasitism in ecological studies: A suite of metrics and their applications. </w:t>
      </w:r>
      <w:r w:rsidRPr="009668D3">
        <w:rPr>
          <w:rFonts w:ascii="Times New Roman" w:hAnsi="Times New Roman" w:cs="Times New Roman"/>
          <w:i/>
          <w:sz w:val="20"/>
          <w:szCs w:val="20"/>
        </w:rPr>
        <w:t>Ecological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47</w:t>
      </w:r>
      <w:r w:rsidRPr="009668D3">
        <w:rPr>
          <w:rFonts w:ascii="Times New Roman" w:hAnsi="Times New Roman" w:cs="Times New Roman"/>
          <w:sz w:val="20"/>
          <w:szCs w:val="20"/>
        </w:rPr>
        <w:t>(5), 755–768. https://doi.org/10.1111/een.13167</w:t>
      </w:r>
    </w:p>
    <w:p w14:paraId="0B24B3C0"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Pasteels, J. M., Daloze, D., &amp; Rowell-Rahier, M. (1995). Chemical defence in Chrysomelina leaf beetles: Secreting and volatile compounds. </w:t>
      </w:r>
      <w:r w:rsidRPr="009668D3">
        <w:rPr>
          <w:rFonts w:ascii="Times New Roman" w:hAnsi="Times New Roman" w:cs="Times New Roman"/>
          <w:i/>
          <w:sz w:val="20"/>
          <w:szCs w:val="20"/>
        </w:rPr>
        <w:t>Archives of Insect Biochemistry and Physiology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29</w:t>
      </w:r>
      <w:r w:rsidRPr="009668D3">
        <w:rPr>
          <w:rFonts w:ascii="Times New Roman" w:hAnsi="Times New Roman" w:cs="Times New Roman"/>
          <w:sz w:val="20"/>
          <w:szCs w:val="20"/>
        </w:rPr>
        <w:t>(1), 85–94. https://doi.org/10.1002/arch.940290109</w:t>
      </w:r>
    </w:p>
    <w:p w14:paraId="1A108480"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Pimm, S. L. (1984). The complexity and stability of ecosystems. </w:t>
      </w:r>
      <w:r w:rsidRPr="009668D3">
        <w:rPr>
          <w:rFonts w:ascii="Times New Roman" w:hAnsi="Times New Roman" w:cs="Times New Roman"/>
          <w:i/>
          <w:sz w:val="20"/>
          <w:szCs w:val="20"/>
        </w:rPr>
        <w:t>Nature</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307</w:t>
      </w:r>
      <w:r w:rsidRPr="009668D3">
        <w:rPr>
          <w:rFonts w:ascii="Times New Roman" w:hAnsi="Times New Roman" w:cs="Times New Roman"/>
          <w:sz w:val="20"/>
          <w:szCs w:val="20"/>
        </w:rPr>
        <w:t>(5949), 321–326. https://doi.org/10.1038/307321a0</w:t>
      </w:r>
    </w:p>
    <w:p w14:paraId="06B7DB60"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Polis, G. A., &amp; Holt, R. D. (1992). Intraguild predation: The dynamics of complex trophic interactions. </w:t>
      </w:r>
      <w:r w:rsidRPr="009668D3">
        <w:rPr>
          <w:rFonts w:ascii="Times New Roman" w:hAnsi="Times New Roman" w:cs="Times New Roman"/>
          <w:i/>
          <w:sz w:val="20"/>
          <w:szCs w:val="20"/>
        </w:rPr>
        <w:t>Trends in Ecology &amp; Evolution</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w:t>
      </w:r>
      <w:r w:rsidRPr="009668D3">
        <w:rPr>
          <w:rFonts w:ascii="Times New Roman" w:hAnsi="Times New Roman" w:cs="Times New Roman"/>
          <w:sz w:val="20"/>
          <w:szCs w:val="20"/>
        </w:rPr>
        <w:t>(5), 151–154. https://doi.org/10.1016/0169-5347(92)90208-S</w:t>
      </w:r>
    </w:p>
    <w:p w14:paraId="5667A02E"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Polis, G. A., Myers, C. A., &amp; Holt, R. D. (1989). The ecology and evolution of intraguild predation. </w:t>
      </w:r>
      <w:r w:rsidRPr="009668D3">
        <w:rPr>
          <w:rFonts w:ascii="Times New Roman" w:hAnsi="Times New Roman" w:cs="Times New Roman"/>
          <w:i/>
          <w:sz w:val="20"/>
          <w:szCs w:val="20"/>
        </w:rPr>
        <w:t>Annual Review of Ecology and Systematics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20</w:t>
      </w:r>
      <w:r w:rsidRPr="009668D3">
        <w:rPr>
          <w:rFonts w:ascii="Times New Roman" w:hAnsi="Times New Roman" w:cs="Times New Roman"/>
          <w:sz w:val="20"/>
          <w:szCs w:val="20"/>
        </w:rPr>
        <w:t>, 297–330. https://doi.org/10.1146/annurev.es.20.110189.001501</w:t>
      </w:r>
    </w:p>
    <w:p w14:paraId="6078E84A"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Pontryagin, L. S., Boltyanskii, V. G., Gamkrelidze, R. V., &amp; Mishchenko, E. F. (1962). </w:t>
      </w:r>
      <w:r w:rsidRPr="009668D3">
        <w:rPr>
          <w:rFonts w:ascii="Times New Roman" w:hAnsi="Times New Roman" w:cs="Times New Roman"/>
          <w:i/>
          <w:sz w:val="20"/>
          <w:szCs w:val="20"/>
        </w:rPr>
        <w:t>The mathematical theory of optimal processes</w:t>
      </w:r>
      <w:r w:rsidRPr="009668D3">
        <w:rPr>
          <w:rFonts w:ascii="Times New Roman" w:hAnsi="Times New Roman" w:cs="Times New Roman"/>
          <w:sz w:val="20"/>
          <w:szCs w:val="20"/>
        </w:rPr>
        <w:t>. Wiley.</w:t>
      </w:r>
    </w:p>
    <w:p w14:paraId="1974481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Remmel, T., Davison, J., &amp; Tammaru, T. (2011). Quantifying predation on folivorous insect larvae: The perspective of life-history evolution. </w:t>
      </w:r>
      <w:r w:rsidRPr="009668D3">
        <w:rPr>
          <w:rFonts w:ascii="Times New Roman" w:hAnsi="Times New Roman" w:cs="Times New Roman"/>
          <w:i/>
          <w:sz w:val="20"/>
          <w:szCs w:val="20"/>
        </w:rPr>
        <w:t>Biological Journal of the Linnean Society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104</w:t>
      </w:r>
      <w:r w:rsidRPr="009668D3">
        <w:rPr>
          <w:rFonts w:ascii="Times New Roman" w:hAnsi="Times New Roman" w:cs="Times New Roman"/>
          <w:sz w:val="20"/>
          <w:szCs w:val="20"/>
        </w:rPr>
        <w:t>(1), 1–18. https://doi.org/10.1111/j.1095-8312.2011.01721.x</w:t>
      </w:r>
    </w:p>
    <w:p w14:paraId="1CFE285F"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Renner, S. S., &amp; Zohner, C. M. (2018). </w:t>
      </w:r>
      <w:r w:rsidRPr="009668D3">
        <w:rPr>
          <w:rFonts w:ascii="Times New Roman" w:hAnsi="Times New Roman" w:cs="Times New Roman"/>
          <w:sz w:val="20"/>
          <w:szCs w:val="20"/>
        </w:rPr>
        <w:t xml:space="preserve">Climate change and phenological mismatch in trophic interactions among plants, insects, and vertebrates. </w:t>
      </w:r>
      <w:r w:rsidRPr="009668D3">
        <w:rPr>
          <w:rFonts w:ascii="Times New Roman" w:hAnsi="Times New Roman" w:cs="Times New Roman"/>
          <w:i/>
          <w:sz w:val="20"/>
          <w:szCs w:val="20"/>
        </w:rPr>
        <w:t>Annual Review of Ecology, Evolution, and Systematics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49</w:t>
      </w:r>
      <w:r w:rsidRPr="009668D3">
        <w:rPr>
          <w:rFonts w:ascii="Times New Roman" w:hAnsi="Times New Roman" w:cs="Times New Roman"/>
          <w:sz w:val="20"/>
          <w:szCs w:val="20"/>
        </w:rPr>
        <w:t>, 165–182. https://doi.org/10.1146/annurev-ecolsys-110617-062535</w:t>
      </w:r>
    </w:p>
    <w:p w14:paraId="5D5F76B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Rosenheim, J. A. (1998). Higher-order predators and the regulation of insect herbivore populations. </w:t>
      </w:r>
      <w:r w:rsidRPr="009668D3">
        <w:rPr>
          <w:rFonts w:ascii="Times New Roman" w:hAnsi="Times New Roman" w:cs="Times New Roman"/>
          <w:i/>
          <w:sz w:val="20"/>
          <w:szCs w:val="20"/>
        </w:rPr>
        <w:t>Annual Review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43</w:t>
      </w:r>
      <w:r w:rsidRPr="009668D3">
        <w:rPr>
          <w:rFonts w:ascii="Times New Roman" w:hAnsi="Times New Roman" w:cs="Times New Roman"/>
          <w:sz w:val="20"/>
          <w:szCs w:val="20"/>
        </w:rPr>
        <w:t>, 421–447. https://doi.org/10.1146/annurev.ento.43.1.421</w:t>
      </w:r>
    </w:p>
    <w:p w14:paraId="325A18C8"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Saltelli, A., Ratto, M., Andres, T., Campolongo, F., Cariboni, J., Gatelli, D., Saisana, M., &amp; Tarantola, S. (2008). </w:t>
      </w:r>
      <w:r w:rsidRPr="009668D3">
        <w:rPr>
          <w:rFonts w:ascii="Times New Roman" w:hAnsi="Times New Roman" w:cs="Times New Roman"/>
          <w:i/>
          <w:sz w:val="20"/>
          <w:szCs w:val="20"/>
        </w:rPr>
        <w:t>Global sensitivity analysis: The primer</w:t>
      </w:r>
      <w:r w:rsidRPr="009668D3">
        <w:rPr>
          <w:rFonts w:ascii="Times New Roman" w:hAnsi="Times New Roman" w:cs="Times New Roman"/>
          <w:sz w:val="20"/>
          <w:szCs w:val="20"/>
        </w:rPr>
        <w:t>. Wiley. https://doi.org/10.1002/9780470725184</w:t>
      </w:r>
    </w:p>
    <w:p w14:paraId="45758361"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Scheffer, M., Carpenter, S., Foley, J. A., Folke, C., &amp; Walker, B. (2001). Catastrophic shifts in ecosystems. </w:t>
      </w:r>
      <w:r w:rsidRPr="009668D3">
        <w:rPr>
          <w:rFonts w:ascii="Times New Roman" w:hAnsi="Times New Roman" w:cs="Times New Roman"/>
          <w:i/>
          <w:sz w:val="20"/>
          <w:szCs w:val="20"/>
        </w:rPr>
        <w:t>Nature</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413</w:t>
      </w:r>
      <w:r w:rsidRPr="009668D3">
        <w:rPr>
          <w:rFonts w:ascii="Times New Roman" w:hAnsi="Times New Roman" w:cs="Times New Roman"/>
          <w:sz w:val="20"/>
          <w:szCs w:val="20"/>
        </w:rPr>
        <w:t>(6856), 591–596. https://doi.org/10.1038/35098000</w:t>
      </w:r>
    </w:p>
    <w:p w14:paraId="483DE818"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Segoli, M., Abram, P. K., &amp; Bhatt, S. (2024). Predation on parasitised hosts: A review of the fitness consequences for predators and parasitoids. </w:t>
      </w:r>
      <w:r w:rsidRPr="009668D3">
        <w:rPr>
          <w:rFonts w:ascii="Times New Roman" w:hAnsi="Times New Roman" w:cs="Times New Roman"/>
          <w:i/>
          <w:sz w:val="20"/>
          <w:szCs w:val="20"/>
        </w:rPr>
        <w:t>Ecological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49</w:t>
      </w:r>
      <w:r w:rsidRPr="009668D3">
        <w:rPr>
          <w:rFonts w:ascii="Times New Roman" w:hAnsi="Times New Roman" w:cs="Times New Roman"/>
          <w:sz w:val="20"/>
          <w:szCs w:val="20"/>
        </w:rPr>
        <w:t>(2), 145–159. https://doi.org/10.1111/een.13303</w:t>
      </w:r>
    </w:p>
    <w:p w14:paraId="09FDC1FB" w14:textId="77777777" w:rsidR="00B26BAB" w:rsidRPr="009668D3" w:rsidRDefault="00B26BAB" w:rsidP="002D21BC">
      <w:pPr>
        <w:spacing w:line="240" w:lineRule="auto"/>
        <w:jc w:val="both"/>
        <w:rPr>
          <w:rFonts w:ascii="Times New Roman" w:hAnsi="Times New Roman" w:cs="Times New Roman"/>
          <w:sz w:val="20"/>
          <w:szCs w:val="20"/>
          <w:lang w:val="pt-PT"/>
        </w:rPr>
      </w:pPr>
      <w:r w:rsidRPr="009668D3">
        <w:rPr>
          <w:rFonts w:ascii="Times New Roman" w:hAnsi="Times New Roman" w:cs="Times New Roman"/>
          <w:sz w:val="20"/>
          <w:szCs w:val="20"/>
        </w:rPr>
        <w:t xml:space="preserve">Singh, A. (2023). Nicholson–Bailey models with aggregated parasitism: Analysis and implications. </w:t>
      </w:r>
      <w:r w:rsidRPr="009668D3">
        <w:rPr>
          <w:rFonts w:ascii="Times New Roman" w:hAnsi="Times New Roman" w:cs="Times New Roman"/>
          <w:i/>
          <w:sz w:val="20"/>
          <w:szCs w:val="20"/>
          <w:lang w:val="pt-PT"/>
        </w:rPr>
        <w:t>PLoS ONE</w:t>
      </w:r>
      <w:r w:rsidRPr="009668D3">
        <w:rPr>
          <w:rFonts w:ascii="Times New Roman" w:hAnsi="Times New Roman" w:cs="Times New Roman"/>
          <w:sz w:val="20"/>
          <w:szCs w:val="20"/>
          <w:lang w:val="pt-PT"/>
        </w:rPr>
        <w:t xml:space="preserve">, </w:t>
      </w:r>
      <w:r w:rsidRPr="009668D3">
        <w:rPr>
          <w:rFonts w:ascii="Times New Roman" w:hAnsi="Times New Roman" w:cs="Times New Roman"/>
          <w:i/>
          <w:sz w:val="20"/>
          <w:szCs w:val="20"/>
          <w:lang w:val="pt-PT"/>
        </w:rPr>
        <w:t>18</w:t>
      </w:r>
      <w:r w:rsidRPr="009668D3">
        <w:rPr>
          <w:rFonts w:ascii="Times New Roman" w:hAnsi="Times New Roman" w:cs="Times New Roman"/>
          <w:sz w:val="20"/>
          <w:szCs w:val="20"/>
          <w:lang w:val="pt-PT"/>
        </w:rPr>
        <w:t>(4), e0283874. https://doi.org/10.1371/journal.pone.0283874</w:t>
      </w:r>
    </w:p>
    <w:p w14:paraId="670764D1"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pt-PT"/>
        </w:rPr>
        <w:lastRenderedPageBreak/>
        <w:t xml:space="preserve">Sivrikaya, R., Altun, N., &amp; Faiz, Ö. (2020). </w:t>
      </w:r>
      <w:r w:rsidRPr="009668D3">
        <w:rPr>
          <w:rFonts w:ascii="Times New Roman" w:hAnsi="Times New Roman" w:cs="Times New Roman"/>
          <w:sz w:val="20"/>
          <w:szCs w:val="20"/>
        </w:rPr>
        <w:t xml:space="preserve">Diet-mediated modulation on the development and phenoloxidase activity in the alder leaf beetle larvae, </w:t>
      </w:r>
      <w:r w:rsidRPr="009668D3">
        <w:rPr>
          <w:rFonts w:ascii="Times New Roman" w:hAnsi="Times New Roman" w:cs="Times New Roman"/>
          <w:i/>
          <w:sz w:val="20"/>
          <w:szCs w:val="20"/>
        </w:rPr>
        <w:t>Agelastica alni</w:t>
      </w:r>
      <w:r w:rsidRPr="009668D3">
        <w:rPr>
          <w:rFonts w:ascii="Times New Roman" w:hAnsi="Times New Roman" w:cs="Times New Roman"/>
          <w:sz w:val="20"/>
          <w:szCs w:val="20"/>
        </w:rPr>
        <w:t xml:space="preserve"> (L., 1758) (Coleoptera: Chrysomelidae). </w:t>
      </w:r>
      <w:r w:rsidRPr="009668D3">
        <w:rPr>
          <w:rFonts w:ascii="Times New Roman" w:hAnsi="Times New Roman" w:cs="Times New Roman"/>
          <w:i/>
          <w:sz w:val="20"/>
          <w:szCs w:val="20"/>
        </w:rPr>
        <w:t>Turkish Journal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44</w:t>
      </w:r>
      <w:r w:rsidRPr="009668D3">
        <w:rPr>
          <w:rFonts w:ascii="Times New Roman" w:hAnsi="Times New Roman" w:cs="Times New Roman"/>
          <w:sz w:val="20"/>
          <w:szCs w:val="20"/>
        </w:rPr>
        <w:t>(2), 193–202. https://doi.org/10.16970/entoted.600893</w:t>
      </w:r>
    </w:p>
    <w:p w14:paraId="21B38D54"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Stephens, D. W., &amp; Krebs, J. R. (1986). </w:t>
      </w:r>
      <w:r w:rsidRPr="009668D3">
        <w:rPr>
          <w:rFonts w:ascii="Times New Roman" w:hAnsi="Times New Roman" w:cs="Times New Roman"/>
          <w:i/>
          <w:sz w:val="20"/>
          <w:szCs w:val="20"/>
        </w:rPr>
        <w:t>Foraging theory</w:t>
      </w:r>
      <w:r w:rsidRPr="009668D3">
        <w:rPr>
          <w:rFonts w:ascii="Times New Roman" w:hAnsi="Times New Roman" w:cs="Times New Roman"/>
          <w:sz w:val="20"/>
          <w:szCs w:val="20"/>
        </w:rPr>
        <w:t>. Princeton University Press.</w:t>
      </w:r>
    </w:p>
    <w:p w14:paraId="00419C79"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Stireman, J. O., III, O'Hara, J. E., &amp; Wood, D. M. (2006). Tachinidae: Evolution, behavior, and ecology. </w:t>
      </w:r>
      <w:r w:rsidRPr="009668D3">
        <w:rPr>
          <w:rFonts w:ascii="Times New Roman" w:hAnsi="Times New Roman" w:cs="Times New Roman"/>
          <w:i/>
          <w:sz w:val="20"/>
          <w:szCs w:val="20"/>
        </w:rPr>
        <w:t>Annual Review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51</w:t>
      </w:r>
      <w:r w:rsidRPr="009668D3">
        <w:rPr>
          <w:rFonts w:ascii="Times New Roman" w:hAnsi="Times New Roman" w:cs="Times New Roman"/>
          <w:sz w:val="20"/>
          <w:szCs w:val="20"/>
        </w:rPr>
        <w:t>, 525–555. https://doi.org/10.1146/annurev.ento.51.110104.151133</w:t>
      </w:r>
    </w:p>
    <w:p w14:paraId="701C6FF9"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Tscharntke, T., Thiessen, S., Dolch, R., &amp; Boland, W. (2001). Herbivory, induced resistance, and interplant signal transfer in </w:t>
      </w:r>
      <w:r w:rsidRPr="009668D3">
        <w:rPr>
          <w:rFonts w:ascii="Times New Roman" w:hAnsi="Times New Roman" w:cs="Times New Roman"/>
          <w:i/>
          <w:sz w:val="20"/>
          <w:szCs w:val="20"/>
        </w:rPr>
        <w:t>Alnus glutinosa</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Biochemical Systematics and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29</w:t>
      </w:r>
      <w:r w:rsidRPr="009668D3">
        <w:rPr>
          <w:rFonts w:ascii="Times New Roman" w:hAnsi="Times New Roman" w:cs="Times New Roman"/>
          <w:sz w:val="20"/>
          <w:szCs w:val="20"/>
        </w:rPr>
        <w:t>(10), 1025–1047. https://doi.org/10.1016/S0305-1978(01)00048-5</w:t>
      </w:r>
    </w:p>
    <w:p w14:paraId="0E008F22" w14:textId="03C2C229"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Valor, T., Camprodon, J., Buscarini, S., &amp; Casals, P. (2020). Drought-induced dieback of riparian black alder as revealed by tree rings and oxygen isotopes. </w:t>
      </w:r>
      <w:r w:rsidRPr="009668D3">
        <w:rPr>
          <w:rFonts w:ascii="Times New Roman" w:hAnsi="Times New Roman" w:cs="Times New Roman"/>
          <w:i/>
          <w:sz w:val="20"/>
          <w:szCs w:val="20"/>
        </w:rPr>
        <w:t>Forest Ecology and Management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478</w:t>
      </w:r>
      <w:r w:rsidRPr="009668D3">
        <w:rPr>
          <w:rFonts w:ascii="Times New Roman" w:hAnsi="Times New Roman" w:cs="Times New Roman"/>
          <w:sz w:val="20"/>
          <w:szCs w:val="20"/>
        </w:rPr>
        <w:t xml:space="preserve">, 118500. </w:t>
      </w:r>
      <w:hyperlink r:id="rId28" w:history="1">
        <w:r w:rsidR="006B6AB5" w:rsidRPr="001E6700">
          <w:rPr>
            <w:rStyle w:val="Hyperlink"/>
            <w:rFonts w:ascii="Times New Roman" w:hAnsi="Times New Roman" w:cs="Times New Roman"/>
            <w:sz w:val="20"/>
            <w:szCs w:val="20"/>
          </w:rPr>
          <w:t>https://doi.org/10.1016/j.foreco.2020.118500</w:t>
        </w:r>
      </w:hyperlink>
    </w:p>
    <w:p w14:paraId="489B3DD1"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Barker Plotkin, A., Blumstein, M., Laflower, D., Pasquarella, V. J., Chandler, J. L., Elkinton, J. S., &amp; Thompson, J. R. (2021). Defoliated trees die below a critical threshold of stored carbon. </w:t>
      </w:r>
      <w:r w:rsidRPr="001E6700">
        <w:rPr>
          <w:rFonts w:ascii="Times New Roman" w:hAnsi="Times New Roman" w:cs="Times New Roman"/>
          <w:i/>
          <w:iCs/>
          <w:sz w:val="20"/>
          <w:szCs w:val="20"/>
        </w:rPr>
        <w:t>Functional Ecology</w:t>
      </w:r>
      <w:r w:rsidRPr="001E6700">
        <w:rPr>
          <w:rFonts w:ascii="Times New Roman" w:hAnsi="Times New Roman" w:cs="Times New Roman"/>
          <w:sz w:val="20"/>
          <w:szCs w:val="20"/>
        </w:rPr>
        <w:t>, </w:t>
      </w:r>
      <w:r w:rsidRPr="001E6700">
        <w:rPr>
          <w:rFonts w:ascii="Times New Roman" w:hAnsi="Times New Roman" w:cs="Times New Roman"/>
          <w:i/>
          <w:iCs/>
          <w:sz w:val="20"/>
          <w:szCs w:val="20"/>
        </w:rPr>
        <w:t>35</w:t>
      </w:r>
      <w:r w:rsidRPr="001E6700">
        <w:rPr>
          <w:rFonts w:ascii="Times New Roman" w:hAnsi="Times New Roman" w:cs="Times New Roman"/>
          <w:sz w:val="20"/>
          <w:szCs w:val="20"/>
        </w:rPr>
        <w:t>(10), 2156–2167. https://doi.org/10.1111/1365-2435.13891</w:t>
      </w:r>
    </w:p>
    <w:p w14:paraId="069F4B41"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Hart, A. T., Landhäusser, S. M., &amp; Wiley, E. (2024). Tracing carbon and nitrogen reserve remobilization during spring leaf flush and growth following defoliation. </w:t>
      </w:r>
      <w:r w:rsidRPr="001E6700">
        <w:rPr>
          <w:rFonts w:ascii="Times New Roman" w:hAnsi="Times New Roman" w:cs="Times New Roman"/>
          <w:i/>
          <w:iCs/>
          <w:sz w:val="20"/>
          <w:szCs w:val="20"/>
        </w:rPr>
        <w:t>Tree Physiology</w:t>
      </w:r>
      <w:r w:rsidRPr="001E6700">
        <w:rPr>
          <w:rFonts w:ascii="Times New Roman" w:hAnsi="Times New Roman" w:cs="Times New Roman"/>
          <w:sz w:val="20"/>
          <w:szCs w:val="20"/>
        </w:rPr>
        <w:t>, </w:t>
      </w:r>
      <w:r w:rsidRPr="001E6700">
        <w:rPr>
          <w:rFonts w:ascii="Times New Roman" w:hAnsi="Times New Roman" w:cs="Times New Roman"/>
          <w:i/>
          <w:iCs/>
          <w:sz w:val="20"/>
          <w:szCs w:val="20"/>
        </w:rPr>
        <w:t>44</w:t>
      </w:r>
      <w:r w:rsidRPr="001E6700">
        <w:rPr>
          <w:rFonts w:ascii="Times New Roman" w:hAnsi="Times New Roman" w:cs="Times New Roman"/>
          <w:sz w:val="20"/>
          <w:szCs w:val="20"/>
        </w:rPr>
        <w:t>(6), tpae015. https://doi.org/10.1093/treephys/tpae015</w:t>
      </w:r>
    </w:p>
    <w:p w14:paraId="2816A54D" w14:textId="77777777" w:rsidR="006B6AB5" w:rsidRPr="001E6700" w:rsidRDefault="006B6AB5" w:rsidP="006B6AB5">
      <w:pPr>
        <w:spacing w:line="240" w:lineRule="auto"/>
        <w:jc w:val="both"/>
        <w:rPr>
          <w:rFonts w:ascii="Times New Roman" w:hAnsi="Times New Roman" w:cs="Times New Roman"/>
          <w:sz w:val="20"/>
          <w:szCs w:val="20"/>
          <w:lang w:val="pt-PT"/>
        </w:rPr>
      </w:pPr>
      <w:r w:rsidRPr="001E6700">
        <w:rPr>
          <w:rFonts w:ascii="Times New Roman" w:hAnsi="Times New Roman" w:cs="Times New Roman"/>
          <w:sz w:val="20"/>
          <w:szCs w:val="20"/>
        </w:rPr>
        <w:t>Klein, T., Vitasse, Y., &amp; Hoch, G. (2016). Coordination between growth, phenology and carbon storage in three coexisting deciduous tree species in a temperate forest. </w:t>
      </w:r>
      <w:r w:rsidRPr="001E6700">
        <w:rPr>
          <w:rFonts w:ascii="Times New Roman" w:hAnsi="Times New Roman" w:cs="Times New Roman"/>
          <w:i/>
          <w:iCs/>
          <w:sz w:val="20"/>
          <w:szCs w:val="20"/>
          <w:lang w:val="pt-PT"/>
        </w:rPr>
        <w:t>Tree Physiology</w:t>
      </w:r>
      <w:r w:rsidRPr="001E6700">
        <w:rPr>
          <w:rFonts w:ascii="Times New Roman" w:hAnsi="Times New Roman" w:cs="Times New Roman"/>
          <w:sz w:val="20"/>
          <w:szCs w:val="20"/>
          <w:lang w:val="pt-PT"/>
        </w:rPr>
        <w:t>, </w:t>
      </w:r>
      <w:r w:rsidRPr="001E6700">
        <w:rPr>
          <w:rFonts w:ascii="Times New Roman" w:hAnsi="Times New Roman" w:cs="Times New Roman"/>
          <w:i/>
          <w:iCs/>
          <w:sz w:val="20"/>
          <w:szCs w:val="20"/>
          <w:lang w:val="pt-PT"/>
        </w:rPr>
        <w:t>36</w:t>
      </w:r>
      <w:r w:rsidRPr="001E6700">
        <w:rPr>
          <w:rFonts w:ascii="Times New Roman" w:hAnsi="Times New Roman" w:cs="Times New Roman"/>
          <w:sz w:val="20"/>
          <w:szCs w:val="20"/>
          <w:lang w:val="pt-PT"/>
        </w:rPr>
        <w:t>(7), 847–855. https://doi.org/10.1093/treephys/tpw030</w:t>
      </w:r>
    </w:p>
    <w:p w14:paraId="07D046A7"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lang w:val="pt-PT"/>
        </w:rPr>
        <w:t xml:space="preserve">Miranda, J. C., Rodríguez-Calcerrada, J., et al. </w:t>
      </w:r>
      <w:r w:rsidRPr="001E6700">
        <w:rPr>
          <w:rFonts w:ascii="Times New Roman" w:hAnsi="Times New Roman" w:cs="Times New Roman"/>
          <w:sz w:val="20"/>
          <w:szCs w:val="20"/>
        </w:rPr>
        <w:t>(2020). Carbohydrate dynamics in a resprouting species after severe aboveground perturbations. </w:t>
      </w:r>
      <w:r w:rsidRPr="001E6700">
        <w:rPr>
          <w:rFonts w:ascii="Times New Roman" w:hAnsi="Times New Roman" w:cs="Times New Roman"/>
          <w:i/>
          <w:iCs/>
          <w:sz w:val="20"/>
          <w:szCs w:val="20"/>
        </w:rPr>
        <w:t>European Journal of Forest Research</w:t>
      </w:r>
      <w:r w:rsidRPr="001E6700">
        <w:rPr>
          <w:rFonts w:ascii="Times New Roman" w:hAnsi="Times New Roman" w:cs="Times New Roman"/>
          <w:sz w:val="20"/>
          <w:szCs w:val="20"/>
        </w:rPr>
        <w:t>, </w:t>
      </w:r>
      <w:r w:rsidRPr="001E6700">
        <w:rPr>
          <w:rFonts w:ascii="Times New Roman" w:hAnsi="Times New Roman" w:cs="Times New Roman"/>
          <w:i/>
          <w:iCs/>
          <w:sz w:val="20"/>
          <w:szCs w:val="20"/>
        </w:rPr>
        <w:t>139</w:t>
      </w:r>
      <w:r w:rsidRPr="001E6700">
        <w:rPr>
          <w:rFonts w:ascii="Times New Roman" w:hAnsi="Times New Roman" w:cs="Times New Roman"/>
          <w:sz w:val="20"/>
          <w:szCs w:val="20"/>
        </w:rPr>
        <w:t>(5), 841–852. https://doi.org/10.1007/s10342-020-01288-2</w:t>
      </w:r>
    </w:p>
    <w:p w14:paraId="5C3339AD"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Parker, J., &amp; Houston, D. R. (1971). Effects of repeated defoliation on root and root collar extractives of sugar maple trees. </w:t>
      </w:r>
      <w:r w:rsidRPr="001E6700">
        <w:rPr>
          <w:rFonts w:ascii="Times New Roman" w:hAnsi="Times New Roman" w:cs="Times New Roman"/>
          <w:i/>
          <w:iCs/>
          <w:sz w:val="20"/>
          <w:szCs w:val="20"/>
        </w:rPr>
        <w:t>Forest Science</w:t>
      </w:r>
      <w:r w:rsidRPr="001E6700">
        <w:rPr>
          <w:rFonts w:ascii="Times New Roman" w:hAnsi="Times New Roman" w:cs="Times New Roman"/>
          <w:sz w:val="20"/>
          <w:szCs w:val="20"/>
        </w:rPr>
        <w:t>, </w:t>
      </w:r>
      <w:r w:rsidRPr="001E6700">
        <w:rPr>
          <w:rFonts w:ascii="Times New Roman" w:hAnsi="Times New Roman" w:cs="Times New Roman"/>
          <w:i/>
          <w:iCs/>
          <w:sz w:val="20"/>
          <w:szCs w:val="20"/>
        </w:rPr>
        <w:t>17</w:t>
      </w:r>
      <w:r w:rsidRPr="001E6700">
        <w:rPr>
          <w:rFonts w:ascii="Times New Roman" w:hAnsi="Times New Roman" w:cs="Times New Roman"/>
          <w:sz w:val="20"/>
          <w:szCs w:val="20"/>
        </w:rPr>
        <w:t>(1), 91–95. https://doi.org/10.1093/forestscience/17.1.91</w:t>
      </w:r>
    </w:p>
    <w:p w14:paraId="343886DA" w14:textId="77777777" w:rsidR="006B6AB5" w:rsidRPr="001E6700" w:rsidRDefault="006B6AB5" w:rsidP="006B6AB5">
      <w:pPr>
        <w:spacing w:line="240" w:lineRule="auto"/>
        <w:jc w:val="both"/>
        <w:rPr>
          <w:rFonts w:ascii="Times New Roman" w:hAnsi="Times New Roman" w:cs="Times New Roman"/>
          <w:sz w:val="20"/>
          <w:szCs w:val="20"/>
        </w:rPr>
      </w:pPr>
      <w:r w:rsidRPr="001E6700">
        <w:rPr>
          <w:rFonts w:ascii="Times New Roman" w:hAnsi="Times New Roman" w:cs="Times New Roman"/>
          <w:sz w:val="20"/>
          <w:szCs w:val="20"/>
        </w:rPr>
        <w:t>Wargo, P.</w:t>
      </w:r>
      <w:r w:rsidRPr="009668D3">
        <w:rPr>
          <w:rFonts w:ascii="Times New Roman" w:hAnsi="Times New Roman" w:cs="Times New Roman"/>
          <w:sz w:val="20"/>
          <w:szCs w:val="20"/>
        </w:rPr>
        <w:t xml:space="preserve"> M. </w:t>
      </w:r>
      <w:r w:rsidRPr="001E6700">
        <w:rPr>
          <w:rFonts w:ascii="Times New Roman" w:hAnsi="Times New Roman" w:cs="Times New Roman"/>
          <w:sz w:val="20"/>
          <w:szCs w:val="20"/>
        </w:rPr>
        <w:t>(1981). Physiological effects of defoliation on sugar maple and some impacts on syrup production. In C. C. Doane &amp; M. L. McManus (Eds.), </w:t>
      </w:r>
      <w:r w:rsidRPr="001E6700">
        <w:rPr>
          <w:rFonts w:ascii="Times New Roman" w:hAnsi="Times New Roman" w:cs="Times New Roman"/>
          <w:i/>
          <w:iCs/>
          <w:sz w:val="20"/>
          <w:szCs w:val="20"/>
        </w:rPr>
        <w:t>The gypsy moth: Research toward integrated pest management</w:t>
      </w:r>
      <w:r w:rsidRPr="001E6700">
        <w:rPr>
          <w:rFonts w:ascii="Times New Roman" w:hAnsi="Times New Roman" w:cs="Times New Roman"/>
          <w:sz w:val="20"/>
          <w:szCs w:val="20"/>
        </w:rPr>
        <w:t> (USDA Forest Service Technical Bulletin 1584, pp. 241–248). U.S. Department of Agriculture, Forest Service.</w:t>
      </w:r>
    </w:p>
    <w:p w14:paraId="39DD8026" w14:textId="77777777" w:rsidR="006B6AB5" w:rsidRPr="001E6700" w:rsidRDefault="006B6AB5" w:rsidP="002D21BC">
      <w:pPr>
        <w:spacing w:line="240" w:lineRule="auto"/>
        <w:jc w:val="both"/>
        <w:rPr>
          <w:rFonts w:ascii="Times New Roman" w:hAnsi="Times New Roman" w:cs="Times New Roman"/>
          <w:sz w:val="20"/>
          <w:szCs w:val="20"/>
        </w:rPr>
      </w:pPr>
    </w:p>
    <w:p w14:paraId="467FCDF6"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van den Driessche, P., &amp; Watmough, J. (2002). Reproduction numbers and sub-threshold endemic equilibria for compartmental models of disease transmission. </w:t>
      </w:r>
      <w:r w:rsidRPr="009668D3">
        <w:rPr>
          <w:rFonts w:ascii="Times New Roman" w:hAnsi="Times New Roman" w:cs="Times New Roman"/>
          <w:i/>
          <w:sz w:val="20"/>
          <w:szCs w:val="20"/>
        </w:rPr>
        <w:t>Mathematical Biosciences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180</w:t>
      </w:r>
      <w:r w:rsidRPr="009668D3">
        <w:rPr>
          <w:rFonts w:ascii="Times New Roman" w:hAnsi="Times New Roman" w:cs="Times New Roman"/>
          <w:sz w:val="20"/>
          <w:szCs w:val="20"/>
        </w:rPr>
        <w:t>(1–2), 29–48. https://doi.org/10.1016/S0025-5564(02)00108-6</w:t>
      </w:r>
    </w:p>
    <w:p w14:paraId="300D4291"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Van Meerbeek, K., Jucker, T., &amp; Svenning, J.-C. (2021). Unifying the concepts of stability and resilience in ecology. </w:t>
      </w:r>
      <w:r w:rsidRPr="009668D3">
        <w:rPr>
          <w:rFonts w:ascii="Times New Roman" w:hAnsi="Times New Roman" w:cs="Times New Roman"/>
          <w:i/>
          <w:sz w:val="20"/>
          <w:szCs w:val="20"/>
        </w:rPr>
        <w:t>Journal of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109</w:t>
      </w:r>
      <w:r w:rsidRPr="009668D3">
        <w:rPr>
          <w:rFonts w:ascii="Times New Roman" w:hAnsi="Times New Roman" w:cs="Times New Roman"/>
          <w:sz w:val="20"/>
          <w:szCs w:val="20"/>
        </w:rPr>
        <w:t>(9), 3114–3132. https://doi.org/10.1111/1365-2745.13651</w:t>
      </w:r>
    </w:p>
    <w:p w14:paraId="07BF733F"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Walker, B., Holling, C. S., Carpenter, S. R., &amp; Kinzig, A. (2004). Resilience, adaptability and transformability in social-ecological systems. </w:t>
      </w:r>
      <w:r w:rsidRPr="009668D3">
        <w:rPr>
          <w:rFonts w:ascii="Times New Roman" w:hAnsi="Times New Roman" w:cs="Times New Roman"/>
          <w:i/>
          <w:sz w:val="20"/>
          <w:szCs w:val="20"/>
        </w:rPr>
        <w:t>Ecology and Society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9</w:t>
      </w:r>
      <w:r w:rsidRPr="009668D3">
        <w:rPr>
          <w:rFonts w:ascii="Times New Roman" w:hAnsi="Times New Roman" w:cs="Times New Roman"/>
          <w:sz w:val="20"/>
          <w:szCs w:val="20"/>
        </w:rPr>
        <w:t>(2), 5. https://www.ecologyandsociety.org/vol9/iss2/art5/</w:t>
      </w:r>
    </w:p>
    <w:p w14:paraId="56B4DEB3" w14:textId="77777777" w:rsidR="00B26BAB" w:rsidRPr="009668D3"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Westman, W. E. (1978). Measuring the inertia and resilience of ecosystems. </w:t>
      </w:r>
      <w:r w:rsidRPr="009668D3">
        <w:rPr>
          <w:rFonts w:ascii="Times New Roman" w:hAnsi="Times New Roman" w:cs="Times New Roman"/>
          <w:i/>
          <w:sz w:val="20"/>
          <w:szCs w:val="20"/>
        </w:rPr>
        <w:t>BioScience</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28</w:t>
      </w:r>
      <w:r w:rsidRPr="009668D3">
        <w:rPr>
          <w:rFonts w:ascii="Times New Roman" w:hAnsi="Times New Roman" w:cs="Times New Roman"/>
          <w:sz w:val="20"/>
          <w:szCs w:val="20"/>
        </w:rPr>
        <w:t>(11), 705–710. https://doi.org/10.2307/1307560</w:t>
      </w:r>
    </w:p>
    <w:p w14:paraId="73D0564F" w14:textId="61B36A96" w:rsidR="00B26BAB" w:rsidRDefault="00B26BAB"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Wiggins, S. (2003). </w:t>
      </w:r>
      <w:r w:rsidRPr="009668D3">
        <w:rPr>
          <w:rFonts w:ascii="Times New Roman" w:hAnsi="Times New Roman" w:cs="Times New Roman"/>
          <w:i/>
          <w:sz w:val="20"/>
          <w:szCs w:val="20"/>
        </w:rPr>
        <w:t>Introduction to applied nonlinear dynamical systems and chaos</w:t>
      </w:r>
      <w:r w:rsidRPr="009668D3">
        <w:rPr>
          <w:rFonts w:ascii="Times New Roman" w:hAnsi="Times New Roman" w:cs="Times New Roman"/>
          <w:sz w:val="20"/>
          <w:szCs w:val="20"/>
        </w:rPr>
        <w:t xml:space="preserve"> (2nd ed.). Springer. </w:t>
      </w:r>
      <w:hyperlink r:id="rId29" w:history="1">
        <w:r w:rsidR="00982EEA" w:rsidRPr="00F0129E">
          <w:rPr>
            <w:rStyle w:val="Hyperlink"/>
            <w:rFonts w:ascii="Times New Roman" w:hAnsi="Times New Roman" w:cs="Times New Roman"/>
            <w:sz w:val="20"/>
            <w:szCs w:val="20"/>
          </w:rPr>
          <w:t>https://doi.org/10.1007/b97481</w:t>
        </w:r>
      </w:hyperlink>
    </w:p>
    <w:p w14:paraId="0D158D48" w14:textId="532ACD46"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Böhm, S. M., Wells, K., &amp; Kalko, E. K. V. (2011). Top-down control of herbivory by birds and bats in the canopy of temperate broadleaved oaks (</w:t>
      </w:r>
      <w:r w:rsidRPr="00982EEA">
        <w:rPr>
          <w:rFonts w:ascii="Times New Roman" w:hAnsi="Times New Roman" w:cs="Times New Roman"/>
          <w:i/>
          <w:iCs/>
          <w:sz w:val="20"/>
          <w:szCs w:val="20"/>
        </w:rPr>
        <w:t>Quercus robur</w:t>
      </w:r>
      <w:r w:rsidRPr="00982EEA">
        <w:rPr>
          <w:rFonts w:ascii="Times New Roman" w:hAnsi="Times New Roman" w:cs="Times New Roman"/>
          <w:sz w:val="20"/>
          <w:szCs w:val="20"/>
        </w:rPr>
        <w:t xml:space="preserve">). </w:t>
      </w:r>
      <w:r w:rsidRPr="00982EEA">
        <w:rPr>
          <w:rFonts w:ascii="Times New Roman" w:hAnsi="Times New Roman" w:cs="Times New Roman"/>
          <w:i/>
          <w:iCs/>
          <w:sz w:val="20"/>
          <w:szCs w:val="20"/>
        </w:rPr>
        <w:t>PLoS ONE</w:t>
      </w:r>
      <w:r w:rsidRPr="00982EEA">
        <w:rPr>
          <w:rFonts w:ascii="Times New Roman" w:hAnsi="Times New Roman" w:cs="Times New Roman"/>
          <w:sz w:val="20"/>
          <w:szCs w:val="20"/>
        </w:rPr>
        <w:t xml:space="preserve">, 6(4), e17857. </w:t>
      </w:r>
      <w:hyperlink r:id="rId30" w:history="1">
        <w:r w:rsidRPr="00982EEA">
          <w:rPr>
            <w:rStyle w:val="Hyperlink"/>
            <w:rFonts w:ascii="Times New Roman" w:hAnsi="Times New Roman" w:cs="Times New Roman"/>
            <w:sz w:val="20"/>
            <w:szCs w:val="20"/>
          </w:rPr>
          <w:t>https://doi.org/10.1371/journal.pone.0017857</w:t>
        </w:r>
      </w:hyperlink>
      <w:r w:rsidRPr="00982EEA">
        <w:rPr>
          <w:rFonts w:ascii="Times New Roman" w:hAnsi="Times New Roman" w:cs="Times New Roman"/>
          <w:sz w:val="20"/>
          <w:szCs w:val="20"/>
        </w:rPr>
        <w:t xml:space="preserve"> </w:t>
      </w:r>
    </w:p>
    <w:p w14:paraId="0ED9B357" w14:textId="1A503343"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Conrath, U., Beckers, G. J. M., Langenbach, C. J. G., &amp; Jaskiewicz, M. R. (2015). Priming for enhanced defense. </w:t>
      </w:r>
      <w:r w:rsidRPr="00982EEA">
        <w:rPr>
          <w:rFonts w:ascii="Times New Roman" w:hAnsi="Times New Roman" w:cs="Times New Roman"/>
          <w:i/>
          <w:iCs/>
          <w:sz w:val="20"/>
          <w:szCs w:val="20"/>
        </w:rPr>
        <w:t>Annual Review of Phytopathology</w:t>
      </w:r>
      <w:r w:rsidRPr="00982EEA">
        <w:rPr>
          <w:rFonts w:ascii="Times New Roman" w:hAnsi="Times New Roman" w:cs="Times New Roman"/>
          <w:sz w:val="20"/>
          <w:szCs w:val="20"/>
        </w:rPr>
        <w:t xml:space="preserve">, 53, 97–119. </w:t>
      </w:r>
      <w:hyperlink r:id="rId31" w:history="1">
        <w:r w:rsidRPr="00982EEA">
          <w:rPr>
            <w:rStyle w:val="Hyperlink"/>
            <w:rFonts w:ascii="Times New Roman" w:hAnsi="Times New Roman" w:cs="Times New Roman"/>
            <w:sz w:val="20"/>
            <w:szCs w:val="20"/>
          </w:rPr>
          <w:t>https://doi.org/10.1146/annurev-phyto-080614-120132</w:t>
        </w:r>
      </w:hyperlink>
      <w:r w:rsidRPr="00982EEA">
        <w:rPr>
          <w:rFonts w:ascii="Times New Roman" w:hAnsi="Times New Roman" w:cs="Times New Roman"/>
          <w:sz w:val="20"/>
          <w:szCs w:val="20"/>
        </w:rPr>
        <w:t xml:space="preserve"> </w:t>
      </w:r>
    </w:p>
    <w:p w14:paraId="50C1BC37" w14:textId="28E59BCF"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lastRenderedPageBreak/>
        <w:t xml:space="preserve">Emerick, B. K., &amp; Singh, A. (2016). The effects of host-feeding on stability of discrete-time host–parasitoid population dynamic models. </w:t>
      </w:r>
      <w:r w:rsidRPr="00982EEA">
        <w:rPr>
          <w:rFonts w:ascii="Times New Roman" w:hAnsi="Times New Roman" w:cs="Times New Roman"/>
          <w:i/>
          <w:iCs/>
          <w:sz w:val="20"/>
          <w:szCs w:val="20"/>
        </w:rPr>
        <w:t>Mathematical Biosciences</w:t>
      </w:r>
      <w:r w:rsidRPr="00982EEA">
        <w:rPr>
          <w:rFonts w:ascii="Times New Roman" w:hAnsi="Times New Roman" w:cs="Times New Roman"/>
          <w:sz w:val="20"/>
          <w:szCs w:val="20"/>
        </w:rPr>
        <w:t xml:space="preserve">, 272, 54–63. </w:t>
      </w:r>
      <w:hyperlink r:id="rId32" w:history="1">
        <w:r w:rsidRPr="00982EEA">
          <w:rPr>
            <w:rStyle w:val="Hyperlink"/>
            <w:rFonts w:ascii="Times New Roman" w:hAnsi="Times New Roman" w:cs="Times New Roman"/>
            <w:sz w:val="20"/>
            <w:szCs w:val="20"/>
          </w:rPr>
          <w:t>https://doi.org/10.1016/j.mbs.2015.11.011</w:t>
        </w:r>
      </w:hyperlink>
      <w:r w:rsidRPr="00982EEA">
        <w:rPr>
          <w:rFonts w:ascii="Times New Roman" w:hAnsi="Times New Roman" w:cs="Times New Roman"/>
          <w:sz w:val="20"/>
          <w:szCs w:val="20"/>
        </w:rPr>
        <w:t xml:space="preserve"> </w:t>
      </w:r>
    </w:p>
    <w:p w14:paraId="335E58E2" w14:textId="56272694"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Hochberg, M. E., &amp; Holt, R. D. (2002). Biogeographical perspectives on arms races. In U. Dieckmann, J. A. J. Metz, M. W. Sabelis, &amp; K. Sigmund (Eds.), </w:t>
      </w:r>
      <w:r w:rsidRPr="00982EEA">
        <w:rPr>
          <w:rFonts w:ascii="Times New Roman" w:hAnsi="Times New Roman" w:cs="Times New Roman"/>
          <w:i/>
          <w:iCs/>
          <w:sz w:val="20"/>
          <w:szCs w:val="20"/>
        </w:rPr>
        <w:t>Adaptive dynamics of infectious diseases: In pursuit of virulence management</w:t>
      </w:r>
      <w:r w:rsidRPr="00982EEA">
        <w:rPr>
          <w:rFonts w:ascii="Times New Roman" w:hAnsi="Times New Roman" w:cs="Times New Roman"/>
          <w:sz w:val="20"/>
          <w:szCs w:val="20"/>
        </w:rPr>
        <w:t xml:space="preserve"> (pp. 197–209). Cambridge University Press. </w:t>
      </w:r>
    </w:p>
    <w:p w14:paraId="458493D8" w14:textId="3E579E5F"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Holt, R. D., &amp; Huxel, G. R. (2007). Alternative prey and the dynamics of intraguild predation: theoretical perspectives. </w:t>
      </w:r>
      <w:r w:rsidRPr="00982EEA">
        <w:rPr>
          <w:rFonts w:ascii="Times New Roman" w:hAnsi="Times New Roman" w:cs="Times New Roman"/>
          <w:i/>
          <w:iCs/>
          <w:sz w:val="20"/>
          <w:szCs w:val="20"/>
        </w:rPr>
        <w:t>Ecology</w:t>
      </w:r>
      <w:r w:rsidRPr="00982EEA">
        <w:rPr>
          <w:rFonts w:ascii="Times New Roman" w:hAnsi="Times New Roman" w:cs="Times New Roman"/>
          <w:sz w:val="20"/>
          <w:szCs w:val="20"/>
        </w:rPr>
        <w:t xml:space="preserve">, 88(11), 2706–2712. </w:t>
      </w:r>
      <w:hyperlink r:id="rId33" w:history="1">
        <w:r w:rsidRPr="00982EEA">
          <w:rPr>
            <w:rStyle w:val="Hyperlink"/>
            <w:rFonts w:ascii="Times New Roman" w:hAnsi="Times New Roman" w:cs="Times New Roman"/>
            <w:sz w:val="20"/>
            <w:szCs w:val="20"/>
          </w:rPr>
          <w:t>https://doi.org/10.1890/06-1525.1</w:t>
        </w:r>
      </w:hyperlink>
      <w:r w:rsidRPr="00982EEA">
        <w:rPr>
          <w:rFonts w:ascii="Times New Roman" w:hAnsi="Times New Roman" w:cs="Times New Roman"/>
          <w:sz w:val="20"/>
          <w:szCs w:val="20"/>
        </w:rPr>
        <w:t xml:space="preserve"> </w:t>
      </w:r>
    </w:p>
    <w:p w14:paraId="0A2892B9" w14:textId="7937BBEF"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Holt, R. D., &amp; Polis, G. A. (1997). A theoretical framework for intraguild predation. </w:t>
      </w:r>
      <w:r w:rsidRPr="00982EEA">
        <w:rPr>
          <w:rFonts w:ascii="Times New Roman" w:hAnsi="Times New Roman" w:cs="Times New Roman"/>
          <w:i/>
          <w:iCs/>
          <w:sz w:val="20"/>
          <w:szCs w:val="20"/>
        </w:rPr>
        <w:t>The American Naturalist</w:t>
      </w:r>
      <w:r w:rsidRPr="00982EEA">
        <w:rPr>
          <w:rFonts w:ascii="Times New Roman" w:hAnsi="Times New Roman" w:cs="Times New Roman"/>
          <w:sz w:val="20"/>
          <w:szCs w:val="20"/>
        </w:rPr>
        <w:t xml:space="preserve">, 149(4), 745–764. </w:t>
      </w:r>
      <w:hyperlink r:id="rId34" w:history="1">
        <w:r w:rsidRPr="00982EEA">
          <w:rPr>
            <w:rStyle w:val="Hyperlink"/>
            <w:rFonts w:ascii="Times New Roman" w:hAnsi="Times New Roman" w:cs="Times New Roman"/>
            <w:sz w:val="20"/>
            <w:szCs w:val="20"/>
          </w:rPr>
          <w:t>https://doi.org/10.1086/286018</w:t>
        </w:r>
      </w:hyperlink>
      <w:r w:rsidRPr="00982EEA">
        <w:rPr>
          <w:rFonts w:ascii="Times New Roman" w:hAnsi="Times New Roman" w:cs="Times New Roman"/>
          <w:sz w:val="20"/>
          <w:szCs w:val="20"/>
        </w:rPr>
        <w:t xml:space="preserve"> </w:t>
      </w:r>
    </w:p>
    <w:p w14:paraId="51918119" w14:textId="35575A94"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Karban, R., Wetzel, W. C., Shiojiri, K., Pezzola, E., &amp; Blande, J. D. (2018). Long-term demographic consequences of eavesdropping for sagebrush. </w:t>
      </w:r>
      <w:r w:rsidRPr="00982EEA">
        <w:rPr>
          <w:rFonts w:ascii="Times New Roman" w:hAnsi="Times New Roman" w:cs="Times New Roman"/>
          <w:i/>
          <w:iCs/>
          <w:sz w:val="20"/>
          <w:szCs w:val="20"/>
        </w:rPr>
        <w:t>Journal of Ecology</w:t>
      </w:r>
      <w:r w:rsidRPr="00982EEA">
        <w:rPr>
          <w:rFonts w:ascii="Times New Roman" w:hAnsi="Times New Roman" w:cs="Times New Roman"/>
          <w:sz w:val="20"/>
          <w:szCs w:val="20"/>
        </w:rPr>
        <w:t xml:space="preserve">, 106(1), 381–388. </w:t>
      </w:r>
      <w:hyperlink r:id="rId35" w:history="1">
        <w:r w:rsidRPr="00982EEA">
          <w:rPr>
            <w:rStyle w:val="Hyperlink"/>
            <w:rFonts w:ascii="Times New Roman" w:hAnsi="Times New Roman" w:cs="Times New Roman"/>
            <w:sz w:val="20"/>
            <w:szCs w:val="20"/>
          </w:rPr>
          <w:t>https://doi.org/10.1111/1365-2745.12810</w:t>
        </w:r>
      </w:hyperlink>
      <w:r w:rsidRPr="00982EEA">
        <w:rPr>
          <w:rFonts w:ascii="Times New Roman" w:hAnsi="Times New Roman" w:cs="Times New Roman"/>
          <w:sz w:val="20"/>
          <w:szCs w:val="20"/>
        </w:rPr>
        <w:t xml:space="preserve"> </w:t>
      </w:r>
    </w:p>
    <w:p w14:paraId="56127745" w14:textId="4A6FEC18" w:rsidR="00982EEA" w:rsidRPr="00982EEA"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Schott, J., Jantzen, F., &amp; Hilker, M. (2023). Elm tree defences against a specialist herbivore are inducible in neighbouring trees. </w:t>
      </w:r>
      <w:r w:rsidRPr="00982EEA">
        <w:rPr>
          <w:rFonts w:ascii="Times New Roman" w:hAnsi="Times New Roman" w:cs="Times New Roman"/>
          <w:i/>
          <w:iCs/>
          <w:sz w:val="20"/>
          <w:szCs w:val="20"/>
        </w:rPr>
        <w:t>Tree Physiology</w:t>
      </w:r>
      <w:r w:rsidRPr="00982EEA">
        <w:rPr>
          <w:rFonts w:ascii="Times New Roman" w:hAnsi="Times New Roman" w:cs="Times New Roman"/>
          <w:sz w:val="20"/>
          <w:szCs w:val="20"/>
        </w:rPr>
        <w:t xml:space="preserve">, 43(7), 1216–1232. </w:t>
      </w:r>
      <w:hyperlink r:id="rId36" w:history="1">
        <w:r w:rsidRPr="00982EEA">
          <w:rPr>
            <w:rStyle w:val="Hyperlink"/>
            <w:rFonts w:ascii="Times New Roman" w:hAnsi="Times New Roman" w:cs="Times New Roman"/>
            <w:sz w:val="20"/>
            <w:szCs w:val="20"/>
          </w:rPr>
          <w:t>https://doi.org/10.1093/treephys/tpad040</w:t>
        </w:r>
      </w:hyperlink>
      <w:r w:rsidRPr="00982EEA">
        <w:rPr>
          <w:rFonts w:ascii="Times New Roman" w:hAnsi="Times New Roman" w:cs="Times New Roman"/>
          <w:sz w:val="20"/>
          <w:szCs w:val="20"/>
        </w:rPr>
        <w:t xml:space="preserve"> </w:t>
      </w:r>
    </w:p>
    <w:p w14:paraId="65B24B34" w14:textId="6A70BE50" w:rsidR="00982EEA" w:rsidRPr="009668D3" w:rsidRDefault="00982EEA" w:rsidP="00982EEA">
      <w:pPr>
        <w:spacing w:line="240" w:lineRule="auto"/>
        <w:jc w:val="both"/>
        <w:rPr>
          <w:rFonts w:ascii="Times New Roman" w:hAnsi="Times New Roman" w:cs="Times New Roman"/>
          <w:sz w:val="20"/>
          <w:szCs w:val="20"/>
        </w:rPr>
      </w:pPr>
      <w:r w:rsidRPr="00982EEA">
        <w:rPr>
          <w:rFonts w:ascii="Times New Roman" w:hAnsi="Times New Roman" w:cs="Times New Roman"/>
          <w:sz w:val="20"/>
          <w:szCs w:val="20"/>
        </w:rPr>
        <w:t xml:space="preserve">Song, G. C., Choi, H. K., Kim, Y. S., Choi, J. S., &amp; Ryu, C.-M. (2018). Seed defense biopriming with bacterial cyclodipeptides triggers immunity in cucumber and pepper. </w:t>
      </w:r>
      <w:r w:rsidRPr="00982EEA">
        <w:rPr>
          <w:rFonts w:ascii="Times New Roman" w:hAnsi="Times New Roman" w:cs="Times New Roman"/>
          <w:i/>
          <w:iCs/>
          <w:sz w:val="20"/>
          <w:szCs w:val="20"/>
        </w:rPr>
        <w:t>Scientific Reports</w:t>
      </w:r>
      <w:r w:rsidRPr="00982EEA">
        <w:rPr>
          <w:rFonts w:ascii="Times New Roman" w:hAnsi="Times New Roman" w:cs="Times New Roman"/>
          <w:sz w:val="20"/>
          <w:szCs w:val="20"/>
        </w:rPr>
        <w:t xml:space="preserve">, 8, 11493. </w:t>
      </w:r>
      <w:hyperlink r:id="rId37" w:history="1">
        <w:r w:rsidRPr="00982EEA">
          <w:rPr>
            <w:rStyle w:val="Hyperlink"/>
            <w:rFonts w:ascii="Times New Roman" w:hAnsi="Times New Roman" w:cs="Times New Roman"/>
            <w:sz w:val="20"/>
            <w:szCs w:val="20"/>
          </w:rPr>
          <w:t>https://doi.org/10.1038/s41598-017-14155-9</w:t>
        </w:r>
      </w:hyperlink>
    </w:p>
    <w:p w14:paraId="4444DAF8" w14:textId="77777777" w:rsidR="00011F0D" w:rsidRPr="009668D3" w:rsidRDefault="00011F0D" w:rsidP="002D21BC">
      <w:pPr>
        <w:spacing w:line="240" w:lineRule="auto"/>
        <w:jc w:val="both"/>
        <w:rPr>
          <w:rFonts w:ascii="Times New Roman" w:hAnsi="Times New Roman" w:cs="Times New Roman"/>
          <w:sz w:val="20"/>
          <w:szCs w:val="20"/>
        </w:rPr>
      </w:pPr>
    </w:p>
    <w:p w14:paraId="4CE0C6BB" w14:textId="359DE44D" w:rsidR="004E79BA" w:rsidRPr="009668D3" w:rsidRDefault="001212EC" w:rsidP="002D21BC">
      <w:pPr>
        <w:pStyle w:val="Caption"/>
        <w:jc w:val="both"/>
        <w:rPr>
          <w:rFonts w:ascii="Times New Roman" w:hAnsi="Times New Roman" w:cs="Times New Roman"/>
          <w:b/>
          <w:sz w:val="20"/>
          <w:szCs w:val="20"/>
        </w:rPr>
      </w:pPr>
      <w:r w:rsidRPr="009668D3">
        <w:rPr>
          <w:rFonts w:ascii="Times New Roman" w:hAnsi="Times New Roman" w:cs="Times New Roman"/>
          <w:b/>
          <w:sz w:val="20"/>
          <w:szCs w:val="20"/>
        </w:rPr>
        <w:t>Annex 1</w:t>
      </w:r>
      <w:r w:rsidR="004E79BA" w:rsidRPr="009668D3">
        <w:rPr>
          <w:rFonts w:ascii="Times New Roman" w:hAnsi="Times New Roman" w:cs="Times New Roman"/>
          <w:b/>
          <w:sz w:val="20"/>
          <w:szCs w:val="20"/>
        </w:rPr>
        <w:t>:</w:t>
      </w:r>
    </w:p>
    <w:p w14:paraId="21DAC3F3" w14:textId="36B7E8BD" w:rsidR="004B68F8" w:rsidRPr="009668D3" w:rsidRDefault="004B68F8" w:rsidP="002D21BC">
      <w:pPr>
        <w:pStyle w:val="Caption"/>
        <w:keepNext/>
        <w:jc w:val="both"/>
        <w:rPr>
          <w:rFonts w:ascii="Times New Roman" w:hAnsi="Times New Roman" w:cs="Times New Roman"/>
          <w:sz w:val="20"/>
          <w:szCs w:val="20"/>
        </w:rPr>
      </w:pPr>
      <w:r w:rsidRPr="009668D3">
        <w:rPr>
          <w:rFonts w:ascii="Times New Roman" w:hAnsi="Times New Roman" w:cs="Times New Roman"/>
          <w:sz w:val="20"/>
          <w:szCs w:val="20"/>
        </w:rPr>
        <w:t xml:space="preserve">Table S </w:t>
      </w:r>
      <w:r w:rsidRPr="009668D3">
        <w:rPr>
          <w:rFonts w:ascii="Times New Roman" w:hAnsi="Times New Roman" w:cs="Times New Roman"/>
          <w:sz w:val="20"/>
          <w:szCs w:val="20"/>
        </w:rPr>
        <w:fldChar w:fldCharType="begin"/>
      </w:r>
      <w:r w:rsidRPr="009668D3">
        <w:rPr>
          <w:rFonts w:ascii="Times New Roman" w:hAnsi="Times New Roman" w:cs="Times New Roman"/>
          <w:sz w:val="20"/>
          <w:szCs w:val="20"/>
        </w:rPr>
        <w:instrText xml:space="preserve"> SEQ Table_S \* ARABIC </w:instrText>
      </w:r>
      <w:r w:rsidRPr="009668D3">
        <w:rPr>
          <w:rFonts w:ascii="Times New Roman" w:hAnsi="Times New Roman" w:cs="Times New Roman"/>
          <w:sz w:val="20"/>
          <w:szCs w:val="20"/>
        </w:rPr>
        <w:fldChar w:fldCharType="separate"/>
      </w:r>
      <w:r w:rsidRPr="009668D3">
        <w:rPr>
          <w:rFonts w:ascii="Times New Roman" w:hAnsi="Times New Roman" w:cs="Times New Roman"/>
          <w:sz w:val="20"/>
          <w:szCs w:val="20"/>
        </w:rPr>
        <w:t>1</w:t>
      </w:r>
      <w:r w:rsidRPr="009668D3">
        <w:rPr>
          <w:rFonts w:ascii="Times New Roman" w:hAnsi="Times New Roman" w:cs="Times New Roman"/>
          <w:sz w:val="20"/>
          <w:szCs w:val="20"/>
        </w:rPr>
        <w:fldChar w:fldCharType="end"/>
      </w:r>
      <w:r w:rsidRPr="009668D3">
        <w:rPr>
          <w:rFonts w:ascii="Times New Roman" w:hAnsi="Times New Roman" w:cs="Times New Roman"/>
          <w:sz w:val="20"/>
          <w:szCs w:val="20"/>
        </w:rPr>
        <w:t>: Model parameters and their r</w:t>
      </w:r>
      <w:r w:rsidR="002524CC" w:rsidRPr="001E6700">
        <w:rPr>
          <w:rFonts w:ascii="Times New Roman" w:hAnsi="Times New Roman" w:cs="Times New Roman"/>
          <w:sz w:val="20"/>
          <w:szCs w:val="20"/>
        </w:rPr>
        <w:t>e</w:t>
      </w:r>
      <w:r w:rsidRPr="009668D3">
        <w:rPr>
          <w:rFonts w:ascii="Times New Roman" w:hAnsi="Times New Roman" w:cs="Times New Roman"/>
          <w:sz w:val="20"/>
          <w:szCs w:val="20"/>
        </w:rPr>
        <w:t>presentative phenologies</w:t>
      </w:r>
      <w:r w:rsidR="00C92F6D" w:rsidRPr="009668D3">
        <w:rPr>
          <w:rFonts w:ascii="Times New Roman" w:hAnsi="Times New Roman" w:cs="Times New Roman"/>
          <w:sz w:val="20"/>
          <w:szCs w:val="20"/>
        </w:rPr>
        <w:t xml:space="preserve">. A parameter that </w:t>
      </w:r>
      <w:r w:rsidR="002524CC" w:rsidRPr="001E6700">
        <w:rPr>
          <w:rFonts w:ascii="Times New Roman" w:hAnsi="Times New Roman" w:cs="Times New Roman"/>
          <w:sz w:val="20"/>
          <w:szCs w:val="20"/>
        </w:rPr>
        <w:t xml:space="preserve">is </w:t>
      </w:r>
      <w:r w:rsidR="00C92F6D" w:rsidRPr="009668D3">
        <w:rPr>
          <w:rFonts w:ascii="Times New Roman" w:hAnsi="Times New Roman" w:cs="Times New Roman"/>
          <w:sz w:val="20"/>
          <w:szCs w:val="20"/>
        </w:rPr>
        <w:t xml:space="preserve"> flagged with # shows a phenology that </w:t>
      </w:r>
      <w:r w:rsidR="00077094" w:rsidRPr="009668D3">
        <w:rPr>
          <w:rFonts w:ascii="Times New Roman" w:hAnsi="Times New Roman" w:cs="Times New Roman"/>
          <w:sz w:val="20"/>
          <w:szCs w:val="20"/>
        </w:rPr>
        <w:t>varies and</w:t>
      </w:r>
      <w:r w:rsidR="00C92F6D" w:rsidRPr="009668D3">
        <w:rPr>
          <w:rFonts w:ascii="Times New Roman" w:hAnsi="Times New Roman" w:cs="Times New Roman"/>
          <w:sz w:val="20"/>
          <w:szCs w:val="20"/>
        </w:rPr>
        <w:t xml:space="preserve"> has been considered for parameter space definition during Latin hypercube search.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3401"/>
        <w:gridCol w:w="1754"/>
        <w:gridCol w:w="2758"/>
      </w:tblGrid>
      <w:tr w:rsidR="007E63AA" w:rsidRPr="001E6700" w14:paraId="72FBC0F5"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7309760" w14:textId="77777777"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b/>
                <w:color w:val="FFFFFF"/>
                <w:sz w:val="20"/>
                <w:szCs w:val="20"/>
              </w:rPr>
              <w:t>Parameter</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E2C37C8" w14:textId="6AD699DE"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b/>
                <w:color w:val="FFFFFF"/>
                <w:sz w:val="20"/>
                <w:szCs w:val="20"/>
              </w:rPr>
              <w:t xml:space="preserve"> Phenology Description</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1164E1CE" w14:textId="77777777"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b/>
                <w:color w:val="FFFFFF"/>
                <w:sz w:val="20"/>
                <w:szCs w:val="20"/>
              </w:rPr>
              <w:t>Value / Range</w:t>
            </w:r>
          </w:p>
        </w:tc>
        <w:tc>
          <w:tcPr>
            <w:tcW w:w="0" w:type="auto"/>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6374FC2" w14:textId="77777777"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b/>
                <w:color w:val="FFFFFF"/>
                <w:sz w:val="20"/>
                <w:szCs w:val="20"/>
              </w:rPr>
              <w:t>Reference</w:t>
            </w:r>
          </w:p>
        </w:tc>
      </w:tr>
      <w:tr w:rsidR="004B68F8" w:rsidRPr="001E6700" w14:paraId="3DF22974" w14:textId="77777777" w:rsidTr="009668D3">
        <w:trPr>
          <w:jc w:val="center"/>
        </w:trPr>
        <w:tc>
          <w:tcPr>
            <w:tcW w:w="9024" w:type="dxa"/>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F265E08" w14:textId="59283FCE" w:rsidR="004B68F8" w:rsidRPr="009668D3" w:rsidRDefault="004B68F8" w:rsidP="002D21BC">
            <w:pPr>
              <w:spacing w:before="40" w:after="4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Module 1: Within-Season Eco-Epidemic Dynamics</w:t>
            </w:r>
          </w:p>
        </w:tc>
      </w:tr>
      <w:tr w:rsidR="007E63AA" w:rsidRPr="001E6700" w14:paraId="7F22CB80"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2D2B19" w14:textId="2F59D62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b/>
                <w:sz w:val="20"/>
                <w:szCs w:val="20"/>
              </w:rPr>
              <w:t>β</w:t>
            </w:r>
            <w:r w:rsidRPr="009668D3">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DB1D65" w14:textId="48686A7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Parasitoid attack rate on susceptible larvae</w:t>
            </w:r>
            <w:r w:rsidR="00281A71" w:rsidRPr="001E6700">
              <w:rPr>
                <w:rFonts w:ascii="Times New Roman" w:eastAsia="Arial" w:hAnsi="Times New Roman" w:cs="Times New Roman"/>
                <w:sz w:val="20"/>
                <w:szCs w:val="20"/>
              </w:rPr>
              <w:t xml:space="preserve"> </w:t>
            </w:r>
            <w:r w:rsidRPr="001E6700">
              <w:rPr>
                <w:rFonts w:ascii="Times New Roman" w:eastAsia="Arial" w:hAnsi="Times New Roman" w:cs="Times New Roman"/>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03982F" w14:textId="68C8F580"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0.001</w:t>
            </w:r>
            <w:r w:rsidR="007E63AA" w:rsidRPr="001E6700">
              <w:rPr>
                <w:rFonts w:ascii="Times New Roman" w:eastAsia="Arial" w:hAnsi="Times New Roman" w:cs="Times New Roman"/>
                <w:sz w:val="20"/>
                <w:szCs w:val="20"/>
              </w:rPr>
              <w:t>-</w:t>
            </w:r>
            <w:r w:rsidRPr="009668D3">
              <w:rPr>
                <w:rFonts w:ascii="Times New Roman" w:hAnsi="Times New Roman" w:cs="Times New Roman"/>
                <w:sz w:val="20"/>
                <w:szCs w:val="20"/>
              </w:rPr>
              <w:t xml:space="preserve">0.005 ha fly⁻¹ day⁻¹ </w:t>
            </w:r>
            <w:r w:rsidR="00FB510D" w:rsidRPr="001E6700">
              <w:rPr>
                <w:rFonts w:ascii="Times New Roman" w:eastAsia="Arial" w:hAnsi="Times New Roman" w:cs="Times New Roman"/>
                <w:sz w:val="20"/>
                <w:szCs w:val="20"/>
              </w:rPr>
              <w:t>(calibrated baseline)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F243E1" w14:textId="26C986EE"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Calibrated to 1</w:t>
            </w:r>
            <w:r w:rsidR="007E63AA" w:rsidRPr="001E6700">
              <w:rPr>
                <w:rFonts w:ascii="Times New Roman" w:eastAsia="Arial" w:hAnsi="Times New Roman" w:cs="Times New Roman"/>
                <w:sz w:val="20"/>
                <w:szCs w:val="20"/>
              </w:rPr>
              <w:t>-</w:t>
            </w:r>
            <w:r w:rsidRPr="009668D3">
              <w:rPr>
                <w:rFonts w:ascii="Times New Roman" w:hAnsi="Times New Roman" w:cs="Times New Roman"/>
                <w:sz w:val="20"/>
                <w:szCs w:val="20"/>
              </w:rPr>
              <w:t>5% parasitism prevalence</w:t>
            </w:r>
            <w:r w:rsidR="007E63AA" w:rsidRPr="001E6700">
              <w:rPr>
                <w:rFonts w:ascii="Times New Roman" w:eastAsia="Arial" w:hAnsi="Times New Roman" w:cs="Times New Roman"/>
                <w:sz w:val="20"/>
                <w:szCs w:val="20"/>
              </w:rPr>
              <w:t xml:space="preserve"> with initial guess from</w:t>
            </w:r>
            <w:r w:rsidRPr="009668D3">
              <w:rPr>
                <w:rFonts w:ascii="Times New Roman" w:hAnsi="Times New Roman" w:cs="Times New Roman"/>
                <w:sz w:val="20"/>
                <w:szCs w:val="20"/>
              </w:rPr>
              <w:t xml:space="preserve"> cross-system tachinid proxy (Hawkins, 1994; Stireman et al., 2006)</w:t>
            </w:r>
          </w:p>
        </w:tc>
      </w:tr>
      <w:tr w:rsidR="007E63AA" w:rsidRPr="001E6700" w14:paraId="15F3989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4E5F99D" w14:textId="2F66AE2B"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h</w:t>
            </w:r>
            <w:r w:rsidRPr="009668D3">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A5EFA7" w14:textId="6516D58B"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Parasitoid handling</w:t>
            </w:r>
            <w:r w:rsidR="007E63AA" w:rsidRPr="001E6700">
              <w:rPr>
                <w:rFonts w:ascii="Times New Roman" w:eastAsia="Arial" w:hAnsi="Times New Roman" w:cs="Times New Roman"/>
                <w:sz w:val="20"/>
                <w:szCs w:val="20"/>
              </w:rPr>
              <w:t xml:space="preserve"> rate</w:t>
            </w:r>
            <w:r w:rsidR="002524CC" w:rsidRPr="009668D3">
              <w:rPr>
                <w:rFonts w:ascii="Times New Roman" w:hAnsi="Times New Roman" w:cs="Times New Roman"/>
                <w:sz w:val="20"/>
                <w:szCs w:val="20"/>
              </w:rPr>
              <w:t xml:space="preserve"> </w:t>
            </w:r>
            <w:r w:rsidRPr="009668D3">
              <w:rPr>
                <w:rFonts w:ascii="Times New Roman" w:hAnsi="Times New Roman" w:cs="Times New Roman"/>
                <w:sz w:val="20"/>
                <w:szCs w:val="20"/>
              </w:rPr>
              <w:t>parameter</w:t>
            </w:r>
            <w:r w:rsidR="002524CC" w:rsidRPr="001E6700">
              <w:rPr>
                <w:rFonts w:ascii="Times New Roman" w:eastAsia="Arial" w:hAnsi="Times New Roman" w:cs="Times New Roman"/>
                <w:sz w:val="20"/>
                <w:szCs w:val="20"/>
              </w:rPr>
              <w:t>, inverse of larval density per oviposition</w:t>
            </w:r>
            <w:r w:rsidR="00281A71"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controls saturation of oviposition at high larval density</w:t>
            </w:r>
            <w:r w:rsidR="00281A71" w:rsidRPr="001E6700">
              <w:rPr>
                <w:rFonts w:ascii="Times New Roman" w:eastAsia="Arial" w:hAnsi="Times New Roman" w:cs="Times New Roman"/>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E797A2" w14:textId="380B1033"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w:t>
            </w:r>
            <w:r w:rsidR="007E63AA" w:rsidRPr="001E6700">
              <w:rPr>
                <w:rFonts w:ascii="Times New Roman" w:eastAsia="Arial" w:hAnsi="Times New Roman" w:cs="Times New Roman"/>
                <w:sz w:val="20"/>
                <w:szCs w:val="20"/>
              </w:rPr>
              <w:t>-</w:t>
            </w:r>
            <w:r w:rsidRPr="009668D3">
              <w:rPr>
                <w:rFonts w:ascii="Times New Roman" w:hAnsi="Times New Roman" w:cs="Times New Roman"/>
                <w:sz w:val="20"/>
                <w:szCs w:val="20"/>
              </w:rPr>
              <w:t>0.01 ha larva⁻¹ (baseline: 0.001)</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4B10403"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Structural uncertainty parameter; scenario prior</w:t>
            </w:r>
          </w:p>
        </w:tc>
      </w:tr>
      <w:tr w:rsidR="007E63AA" w:rsidRPr="001E6700" w14:paraId="1A8FBDC1"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32C1B6" w14:textId="142B4714" w:rsidR="004B68F8" w:rsidRPr="009668D3" w:rsidRDefault="00FB510D" w:rsidP="002D21BC">
            <w:pPr>
              <w:spacing w:before="20" w:after="20" w:line="240" w:lineRule="auto"/>
              <w:jc w:val="both"/>
              <w:rPr>
                <w:rFonts w:ascii="Times New Roman" w:hAnsi="Times New Roman" w:cs="Times New Roman"/>
                <w:sz w:val="20"/>
                <w:szCs w:val="20"/>
              </w:rPr>
            </w:pPr>
            <m:oMath>
              <m:sSub>
                <m:sSubPr>
                  <m:ctrlPr>
                    <w:rPr>
                      <w:rFonts w:ascii="Cambria Math" w:eastAsia="Arial" w:hAnsi="Cambria Math" w:cs="Times New Roman"/>
                      <w:i/>
                      <w:sz w:val="20"/>
                      <w:szCs w:val="20"/>
                    </w:rPr>
                  </m:ctrlPr>
                </m:sSubPr>
                <m:e>
                  <m:r>
                    <w:rPr>
                      <w:rFonts w:ascii="Cambria Math" w:eastAsia="Arial" w:hAnsi="Cambria Math" w:cs="Times New Roman"/>
                      <w:sz w:val="20"/>
                      <w:szCs w:val="20"/>
                    </w:rPr>
                    <m:t>c</m:t>
                  </m:r>
                </m:e>
                <m:sub>
                  <m:r>
                    <w:rPr>
                      <w:rFonts w:ascii="Cambria Math" w:eastAsia="Arial" w:hAnsi="Cambria Math" w:cs="Times New Roman"/>
                      <w:sz w:val="20"/>
                      <w:szCs w:val="20"/>
                    </w:rPr>
                    <m:t>B</m:t>
                  </m:r>
                </m:sub>
              </m:sSub>
            </m:oMath>
            <w:r w:rsidR="004B68F8" w:rsidRPr="009668D3">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3E3490" w14:textId="5B52878E"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Per-unit bird</w:t>
            </w:r>
            <w:r w:rsidR="00C92F6D" w:rsidRPr="009668D3">
              <w:rPr>
                <w:rFonts w:ascii="Times New Roman" w:hAnsi="Times New Roman" w:cs="Times New Roman"/>
                <w:sz w:val="20"/>
                <w:szCs w:val="20"/>
              </w:rPr>
              <w:t xml:space="preserve"> predation </w:t>
            </w:r>
            <w:r w:rsidRPr="009668D3">
              <w:rPr>
                <w:rFonts w:ascii="Times New Roman" w:hAnsi="Times New Roman" w:cs="Times New Roman"/>
                <w:sz w:val="20"/>
                <w:szCs w:val="20"/>
              </w:rPr>
              <w:t xml:space="preserve">pressure </w:t>
            </w:r>
            <w:r w:rsidR="00FB510D" w:rsidRPr="001E6700">
              <w:rPr>
                <w:rFonts w:ascii="Times New Roman" w:eastAsia="Arial" w:hAnsi="Times New Roman" w:cs="Times New Roman"/>
                <w:sz w:val="20"/>
                <w:szCs w:val="20"/>
              </w:rPr>
              <w:t xml:space="preserve">consumption rate </w:t>
            </w:r>
            <w:r w:rsidRPr="009668D3">
              <w:rPr>
                <w:rFonts w:ascii="Times New Roman" w:hAnsi="Times New Roman" w:cs="Times New Roman"/>
                <w:sz w:val="20"/>
                <w:szCs w:val="20"/>
              </w:rPr>
              <w:t>on larvae</w:t>
            </w:r>
            <w:r w:rsidR="00FB510D" w:rsidRPr="001E6700">
              <w:rPr>
                <w:rFonts w:ascii="Times New Roman" w:eastAsia="Arial" w:hAnsi="Times New Roman" w:cs="Times New Roman"/>
                <w:sz w:val="20"/>
                <w:szCs w:val="20"/>
              </w:rPr>
              <w:t>; Holling type II. Phenology #6: variable bird predation pressure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736328" w14:textId="082742C2" w:rsidR="004B68F8" w:rsidRPr="009668D3" w:rsidRDefault="002524CC"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0.0031</w:t>
            </w:r>
            <w:r w:rsidRPr="009668D3">
              <w:rPr>
                <w:rFonts w:ascii="Times New Roman" w:hAnsi="Times New Roman" w:cs="Times New Roman"/>
                <w:sz w:val="20"/>
                <w:szCs w:val="20"/>
              </w:rPr>
              <w:t xml:space="preserve"> </w:t>
            </w:r>
            <w:r w:rsidR="004B68F8" w:rsidRPr="009668D3">
              <w:rPr>
                <w:rFonts w:ascii="Times New Roman" w:hAnsi="Times New Roman" w:cs="Times New Roman"/>
                <w:sz w:val="20"/>
                <w:szCs w:val="20"/>
              </w:rPr>
              <w:t>ha pair⁻¹ day⁻¹</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5AFF67C"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Calibrated to match 3.1% daily predation rate on insect larvae (Remmel et al., 2011)</w:t>
            </w:r>
          </w:p>
        </w:tc>
      </w:tr>
      <w:tr w:rsidR="007E63AA" w:rsidRPr="001E6700" w14:paraId="538C8C0E"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6F4C43" w14:textId="2A529E28"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lang w:val="en-GB"/>
                      </w:rPr>
                    </m:ctrlPr>
                  </m:sSubPr>
                  <m:e>
                    <m:r>
                      <w:rPr>
                        <w:rFonts w:ascii="Cambria Math" w:hAnsi="Cambria Math" w:cs="Times New Roman"/>
                        <w:sz w:val="20"/>
                        <w:szCs w:val="20"/>
                      </w:rPr>
                      <m:t>a</m:t>
                    </m:r>
                    <m:ctrlPr>
                      <w:rPr>
                        <w:rFonts w:ascii="Cambria Math" w:hAnsi="Cambria Math" w:cs="Times New Roman"/>
                        <w:i/>
                        <w:sz w:val="20"/>
                        <w:szCs w:val="20"/>
                      </w:rPr>
                    </m:ctrlPr>
                  </m:e>
                  <m:sub>
                    <m:r>
                      <w:rPr>
                        <w:rFonts w:ascii="Cambria Math" w:hAnsi="Cambria Math" w:cs="Times New Roman"/>
                        <w:sz w:val="20"/>
                        <w:szCs w:val="20"/>
                      </w:rPr>
                      <m:t>B</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3CD7431" w14:textId="54600409"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Bird half-saturation </w:t>
            </w:r>
            <w:r w:rsidR="00C92F6D" w:rsidRPr="009668D3">
              <w:rPr>
                <w:rFonts w:ascii="Times New Roman" w:hAnsi="Times New Roman" w:cs="Times New Roman"/>
                <w:sz w:val="20"/>
                <w:szCs w:val="20"/>
              </w:rPr>
              <w:t>parameter</w:t>
            </w:r>
            <w:r w:rsidR="00C447AE"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 xml:space="preserve"> controls how predation saturates with total larval density (S+I</w:t>
            </w:r>
            <w:r w:rsidRPr="001E6700">
              <w:rPr>
                <w:rFonts w:ascii="Times New Roman" w:eastAsia="Arial" w:hAnsi="Times New Roman" w:cs="Times New Roman"/>
                <w:sz w:val="20"/>
                <w:szCs w:val="20"/>
              </w:rPr>
              <w:t>)</w:t>
            </w:r>
            <w:r w:rsidR="00C447AE" w:rsidRPr="001E6700">
              <w:rPr>
                <w:rFonts w:ascii="Times New Roman" w:eastAsia="Arial" w:hAnsi="Times New Roman" w:cs="Times New Roman"/>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BEF4B14" w14:textId="02879CEC"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w:t>
            </w:r>
            <w:r w:rsidR="0092195B" w:rsidRPr="001E6700">
              <w:rPr>
                <w:rFonts w:ascii="Times New Roman" w:eastAsia="Arial" w:hAnsi="Times New Roman" w:cs="Times New Roman"/>
                <w:sz w:val="20"/>
                <w:szCs w:val="20"/>
              </w:rPr>
              <w:t>-</w:t>
            </w:r>
            <w:r w:rsidRPr="009668D3">
              <w:rPr>
                <w:rFonts w:ascii="Times New Roman" w:hAnsi="Times New Roman" w:cs="Times New Roman"/>
                <w:sz w:val="20"/>
                <w:szCs w:val="20"/>
              </w:rPr>
              <w:t>0.01 ha larva⁻¹ (baseline: 0.0001)</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61FF87C" w14:textId="279BC06F" w:rsidR="004B68F8" w:rsidRPr="009668D3" w:rsidRDefault="009331A3"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Calibrated</w:t>
            </w:r>
          </w:p>
        </w:tc>
      </w:tr>
      <w:tr w:rsidR="007E63AA" w:rsidRPr="001E6700" w14:paraId="3E6071A6"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E5DB36" w14:textId="28EADA93"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S</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17968F" w14:textId="54D00EAB"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Background mortality of susceptible larvae from causes other than parasitism and bird predation. </w:t>
            </w:r>
            <w:r w:rsidR="00FB510D" w:rsidRPr="001E6700">
              <w:rPr>
                <w:rFonts w:ascii="Times New Roman" w:eastAsia="Arial" w:hAnsi="Times New Roman" w:cs="Times New Roman"/>
                <w:sz w:val="20"/>
                <w:szCs w:val="20"/>
              </w:rPr>
              <w:t>Phenology #5: decreased susceptible larval mortality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F7D406" w14:textId="4CCFAB1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0.01</w:t>
            </w:r>
            <w:r w:rsidR="00C447AE" w:rsidRPr="001E6700">
              <w:rPr>
                <w:rFonts w:ascii="Times New Roman" w:eastAsia="Arial" w:hAnsi="Times New Roman" w:cs="Times New Roman"/>
                <w:sz w:val="20"/>
                <w:szCs w:val="20"/>
              </w:rPr>
              <w:t>-</w:t>
            </w:r>
            <w:r w:rsidRPr="009668D3">
              <w:rPr>
                <w:rFonts w:ascii="Times New Roman" w:hAnsi="Times New Roman" w:cs="Times New Roman"/>
                <w:sz w:val="20"/>
                <w:szCs w:val="20"/>
              </w:rPr>
              <w:t>0.10 day⁻¹ (baseline: 0.04)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8DCF8F" w14:textId="55E33339"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General chrysomelid larval mortality ranges (Cornell &amp; Hawkins, 1995</w:t>
            </w:r>
            <w:r w:rsidR="00FB510D" w:rsidRPr="001E6700">
              <w:rPr>
                <w:rFonts w:ascii="Times New Roman" w:eastAsia="Arial" w:hAnsi="Times New Roman" w:cs="Times New Roman"/>
                <w:sz w:val="20"/>
                <w:szCs w:val="20"/>
              </w:rPr>
              <w:t>); fungal mortality included</w:t>
            </w:r>
          </w:p>
        </w:tc>
      </w:tr>
      <w:tr w:rsidR="007E63AA" w:rsidRPr="001E6700" w14:paraId="356A176D"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F4B8D6" w14:textId="41E55C1C"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r>
                  <w:rPr>
                    <w:rFonts w:ascii="Cambria Math" w:hAnsi="Cambria Math" w:cs="Times New Roman"/>
                    <w:sz w:val="20"/>
                    <w:szCs w:val="20"/>
                  </w:rPr>
                  <m:t>(</m:t>
                </m:r>
                <m:r>
                  <w:rPr>
                    <w:rFonts w:ascii="Cambria Math" w:hAnsi="Cambria Math" w:cs="Times New Roman"/>
                    <w:sz w:val="20"/>
                    <w:szCs w:val="20"/>
                  </w:rPr>
                  <m:t>τ</m:t>
                </m:r>
                <m:r>
                  <w:rPr>
                    <w:rFonts w:ascii="Cambria Math" w:hAnsi="Cambria Math" w:cs="Times New Roman"/>
                    <w:sz w:val="20"/>
                    <w:szCs w:val="20"/>
                  </w:rPr>
                  <m:t>)</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63A0D1" w14:textId="4C0D22C6"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Time-dependent targeted removal of larva</w:t>
            </w:r>
            <w:r w:rsidR="0059446B" w:rsidRPr="009668D3">
              <w:rPr>
                <w:rFonts w:ascii="Times New Roman" w:hAnsi="Times New Roman" w:cs="Times New Roman"/>
                <w:sz w:val="20"/>
                <w:szCs w:val="20"/>
              </w:rPr>
              <w:t>e</w:t>
            </w:r>
            <w:r w:rsidR="00FB510D" w:rsidRPr="001E6700">
              <w:rPr>
                <w:rFonts w:ascii="Times New Roman" w:eastAsia="Arial" w:hAnsi="Times New Roman" w:cs="Times New Roman"/>
                <w:sz w:val="20"/>
                <w:szCs w:val="20"/>
              </w:rPr>
              <w:t>;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1D38D0" w14:textId="170B7FE2" w:rsidR="004B68F8" w:rsidRPr="009668D3" w:rsidRDefault="00FB510D" w:rsidP="002D21BC">
            <w:pPr>
              <w:spacing w:before="20" w:after="20" w:line="240" w:lineRule="auto"/>
              <w:jc w:val="both"/>
              <w:rPr>
                <w:rFonts w:ascii="Times New Roman" w:hAnsi="Times New Roman" w:cs="Times New Roman"/>
                <w:sz w:val="20"/>
                <w:szCs w:val="20"/>
              </w:rPr>
            </w:pPr>
            <m:oMath>
              <m:r>
                <w:rPr>
                  <w:rFonts w:ascii="Cambria Math" w:eastAsia="Arial" w:hAnsi="Cambria Math" w:cs="Times New Roman"/>
                  <w:sz w:val="20"/>
                  <w:szCs w:val="20"/>
                </w:rPr>
                <m:t>0-</m:t>
              </m:r>
              <m:sSub>
                <m:sSubPr>
                  <m:ctrlPr>
                    <w:rPr>
                      <w:rFonts w:ascii="Cambria Math" w:eastAsia="Arial" w:hAnsi="Cambria Math" w:cs="Times New Roman"/>
                      <w:i/>
                      <w:sz w:val="20"/>
                      <w:szCs w:val="20"/>
                    </w:rPr>
                  </m:ctrlPr>
                </m:sSubPr>
                <m:e>
                  <m:r>
                    <w:rPr>
                      <w:rFonts w:ascii="Cambria Math" w:eastAsia="Arial" w:hAnsi="Cambria Math" w:cs="Times New Roman"/>
                      <w:sz w:val="20"/>
                      <w:szCs w:val="20"/>
                    </w:rPr>
                    <m:t>u</m:t>
                  </m:r>
                </m:e>
                <m:sub>
                  <m:d>
                    <m:dPr>
                      <m:begChr m:val="{"/>
                      <m:endChr m:val="}"/>
                      <m:ctrlPr>
                        <w:rPr>
                          <w:rFonts w:ascii="Cambria Math" w:eastAsia="Arial" w:hAnsi="Cambria Math" w:cs="Times New Roman"/>
                          <w:i/>
                          <w:sz w:val="20"/>
                          <w:szCs w:val="20"/>
                        </w:rPr>
                      </m:ctrlPr>
                    </m:dPr>
                    <m:e>
                      <m:r>
                        <w:rPr>
                          <w:rFonts w:ascii="Cambria Math" w:eastAsia="Arial" w:hAnsi="Cambria Math" w:cs="Times New Roman"/>
                          <w:sz w:val="20"/>
                          <w:szCs w:val="20"/>
                        </w:rPr>
                        <m:t>C</m:t>
                      </m:r>
                      <m:r>
                        <w:rPr>
                          <w:rFonts w:ascii="Cambria Math" w:eastAsia="Arial" w:hAnsi="Cambria Math" w:cs="Times New Roman"/>
                          <w:sz w:val="20"/>
                          <w:szCs w:val="20"/>
                        </w:rPr>
                        <m:t>,</m:t>
                      </m:r>
                      <m:r>
                        <w:rPr>
                          <w:rFonts w:ascii="Cambria Math" w:eastAsia="Arial" w:hAnsi="Cambria Math" w:cs="Times New Roman"/>
                          <w:sz w:val="20"/>
                          <w:szCs w:val="20"/>
                        </w:rPr>
                        <m:t>max</m:t>
                      </m:r>
                    </m:e>
                  </m:d>
                </m:sub>
              </m:sSub>
            </m:oMath>
            <w:r w:rsidR="004B68F8" w:rsidRPr="009668D3">
              <w:rPr>
                <w:rFonts w:ascii="Times New Roman" w:hAnsi="Times New Roman" w:cs="Times New Roman"/>
                <w:sz w:val="20"/>
                <w:szCs w:val="20"/>
              </w:rPr>
              <w:t xml:space="preserve"> day⁻¹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193098" w14:textId="2F35AF2F" w:rsidR="004B68F8" w:rsidRPr="009668D3" w:rsidRDefault="00AF0A0F"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Management control </w:t>
            </w:r>
            <w:r w:rsidR="0059446B" w:rsidRPr="001E6700">
              <w:rPr>
                <w:rFonts w:ascii="Times New Roman" w:eastAsia="Arial" w:hAnsi="Times New Roman" w:cs="Times New Roman"/>
                <w:sz w:val="20"/>
                <w:szCs w:val="20"/>
              </w:rPr>
              <w:t>V</w:t>
            </w:r>
            <w:r w:rsidR="0059446B" w:rsidRPr="009668D3">
              <w:rPr>
                <w:rFonts w:ascii="Times New Roman" w:hAnsi="Times New Roman" w:cs="Times New Roman"/>
                <w:sz w:val="20"/>
                <w:szCs w:val="20"/>
              </w:rPr>
              <w:t>ariable</w:t>
            </w:r>
          </w:p>
        </w:tc>
      </w:tr>
      <w:tr w:rsidR="00B42F62" w:rsidRPr="001E6700" w14:paraId="263AFAF1" w14:textId="77777777" w:rsidTr="00077094">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119321" w14:textId="0FD2D3E5"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I</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462D5C" w14:textId="2617B4F6"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Background</w:t>
            </w:r>
            <w:r w:rsidR="00C92F6D" w:rsidRPr="009668D3">
              <w:rPr>
                <w:rFonts w:ascii="Times New Roman" w:hAnsi="Times New Roman" w:cs="Times New Roman"/>
                <w:sz w:val="20"/>
                <w:szCs w:val="20"/>
              </w:rPr>
              <w:t>/</w:t>
            </w:r>
            <w:r w:rsidR="00AF0A0F" w:rsidRPr="001E6700">
              <w:rPr>
                <w:rFonts w:ascii="Times New Roman" w:eastAsia="Arial" w:hAnsi="Times New Roman" w:cs="Times New Roman"/>
                <w:sz w:val="20"/>
                <w:szCs w:val="20"/>
              </w:rPr>
              <w:t>baseline</w:t>
            </w:r>
            <w:r w:rsidRPr="009668D3">
              <w:rPr>
                <w:rFonts w:ascii="Times New Roman" w:hAnsi="Times New Roman" w:cs="Times New Roman"/>
                <w:sz w:val="20"/>
                <w:szCs w:val="20"/>
              </w:rPr>
              <w:t xml:space="preserve"> mortality of parasitised </w:t>
            </w:r>
            <w:r w:rsidR="00AF0A0F" w:rsidRPr="009668D3">
              <w:rPr>
                <w:rFonts w:ascii="Times New Roman" w:hAnsi="Times New Roman" w:cs="Times New Roman"/>
                <w:sz w:val="20"/>
                <w:szCs w:val="20"/>
              </w:rPr>
              <w:t>larvae</w:t>
            </w:r>
            <w:r w:rsidR="00FB510D" w:rsidRPr="001E6700">
              <w:rPr>
                <w:rFonts w:ascii="Times New Roman" w:eastAsia="Arial" w:hAnsi="Times New Roman" w:cs="Times New Roman"/>
                <w:sz w:val="20"/>
                <w:szCs w:val="20"/>
              </w:rPr>
              <w:t xml:space="preserve">; assumed slightly &gt; </w:t>
            </w:r>
            <w:r w:rsidR="00FB510D" w:rsidRPr="001E6700">
              <w:rPr>
                <w:rFonts w:ascii="Times New Roman" w:eastAsia="Arial" w:hAnsi="Times New Roman" w:cs="Times New Roman"/>
                <w:sz w:val="20"/>
                <w:szCs w:val="20"/>
              </w:rPr>
              <w:lastRenderedPageBreak/>
              <w:t>μ_S due to parasitoid physiological burden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46EA22" w14:textId="768600C1"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0.02</w:t>
            </w:r>
            <w:r w:rsidR="00AF0A0F" w:rsidRPr="001E6700">
              <w:rPr>
                <w:rFonts w:ascii="Times New Roman" w:eastAsia="Arial" w:hAnsi="Times New Roman" w:cs="Times New Roman"/>
                <w:sz w:val="20"/>
                <w:szCs w:val="20"/>
              </w:rPr>
              <w:t>-</w:t>
            </w:r>
            <w:r w:rsidRPr="009668D3">
              <w:rPr>
                <w:rFonts w:ascii="Times New Roman" w:hAnsi="Times New Roman" w:cs="Times New Roman"/>
                <w:sz w:val="20"/>
                <w:szCs w:val="20"/>
              </w:rPr>
              <w:t>0.12 day⁻¹ (baseline: 0.05)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90C74F" w14:textId="77777777" w:rsidR="004B68F8" w:rsidRPr="009668D3" w:rsidRDefault="004B68F8" w:rsidP="002D21BC">
            <w:pPr>
              <w:spacing w:before="20" w:after="20" w:line="240" w:lineRule="auto"/>
              <w:jc w:val="both"/>
              <w:rPr>
                <w:rFonts w:ascii="Times New Roman" w:hAnsi="Times New Roman" w:cs="Times New Roman"/>
                <w:sz w:val="20"/>
                <w:szCs w:val="20"/>
                <w:lang w:val="pt-PT"/>
              </w:rPr>
            </w:pPr>
            <w:r w:rsidRPr="009668D3">
              <w:rPr>
                <w:rFonts w:ascii="Times New Roman" w:hAnsi="Times New Roman" w:cs="Times New Roman"/>
                <w:sz w:val="20"/>
                <w:szCs w:val="20"/>
                <w:lang w:val="pt-PT"/>
              </w:rPr>
              <w:t xml:space="preserve">Scenario prior; assumed &gt; </w:t>
            </w:r>
            <w:r w:rsidRPr="009668D3">
              <w:rPr>
                <w:rFonts w:ascii="Times New Roman" w:hAnsi="Times New Roman" w:cs="Times New Roman"/>
                <w:sz w:val="20"/>
                <w:szCs w:val="20"/>
              </w:rPr>
              <w:t>μ</w:t>
            </w:r>
            <w:r w:rsidRPr="009668D3">
              <w:rPr>
                <w:rFonts w:ascii="Times New Roman" w:hAnsi="Times New Roman" w:cs="Times New Roman"/>
                <w:sz w:val="20"/>
                <w:szCs w:val="20"/>
                <w:lang w:val="pt-PT"/>
              </w:rPr>
              <w:t>_S</w:t>
            </w:r>
          </w:p>
        </w:tc>
      </w:tr>
      <w:tr w:rsidR="007E63AA" w:rsidRPr="001E6700" w14:paraId="514A1483"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B9AFD7" w14:textId="0DD7DF95" w:rsidR="004B68F8" w:rsidRPr="009668D3" w:rsidRDefault="00FB510D" w:rsidP="002D21BC">
            <w:pPr>
              <w:spacing w:before="20" w:after="20" w:line="240" w:lineRule="auto"/>
              <w:jc w:val="both"/>
              <w:rPr>
                <w:rFonts w:ascii="Times New Roman" w:hAnsi="Times New Roman" w:cs="Times New Roman"/>
                <w:sz w:val="20"/>
                <w:szCs w:val="20"/>
              </w:rPr>
            </w:pPr>
            <m:oMathPara>
              <m:oMath>
                <m:r>
                  <w:rPr>
                    <w:rFonts w:ascii="Cambria Math" w:hAnsi="Cambria Math" w:cs="Times New Roman"/>
                    <w:sz w:val="20"/>
                    <w:szCs w:val="20"/>
                  </w:rPr>
                  <m:t>δ</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19B9F19" w14:textId="488473EE"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Parasitoid emergence rate</w:t>
            </w:r>
            <w:r w:rsidR="00AF0A0F"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inverse of mean development time from infection to host death</w:t>
            </w:r>
            <w:r w:rsidR="00AF0A0F" w:rsidRPr="001E6700">
              <w:rPr>
                <w:rFonts w:ascii="Times New Roman" w:eastAsia="Arial" w:hAnsi="Times New Roman" w:cs="Times New Roman"/>
                <w:sz w:val="20"/>
                <w:szCs w:val="20"/>
              </w:rPr>
              <w:t>)</w:t>
            </w:r>
            <w:r w:rsidRPr="001E6700">
              <w:rPr>
                <w:rFonts w:ascii="Times New Roman" w:eastAsia="Arial"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3373AC" w14:textId="1C60489B"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0.04</w:t>
            </w:r>
            <w:r w:rsidR="00AF0A0F" w:rsidRPr="001E6700">
              <w:rPr>
                <w:rFonts w:ascii="Times New Roman" w:eastAsia="Arial" w:hAnsi="Times New Roman" w:cs="Times New Roman"/>
                <w:sz w:val="20"/>
                <w:szCs w:val="20"/>
              </w:rPr>
              <w:t>-</w:t>
            </w:r>
            <w:r w:rsidRPr="009668D3">
              <w:rPr>
                <w:rFonts w:ascii="Times New Roman" w:hAnsi="Times New Roman" w:cs="Times New Roman"/>
                <w:sz w:val="20"/>
                <w:szCs w:val="20"/>
              </w:rPr>
              <w:t>0.14 day⁻¹ (baseline: 0.10)</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E9756A" w14:textId="34CE1F4D"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Tachinid development</w:t>
            </w:r>
            <w:r w:rsidR="00AF0A0F" w:rsidRPr="009668D3">
              <w:rPr>
                <w:rFonts w:ascii="Times New Roman" w:hAnsi="Times New Roman" w:cs="Times New Roman"/>
                <w:sz w:val="20"/>
                <w:szCs w:val="20"/>
              </w:rPr>
              <w:t xml:space="preserve"> </w:t>
            </w:r>
            <w:r w:rsidR="00AF0A0F" w:rsidRPr="001E6700">
              <w:rPr>
                <w:rFonts w:ascii="Times New Roman" w:eastAsia="Arial" w:hAnsi="Times New Roman" w:cs="Times New Roman"/>
                <w:sz w:val="20"/>
                <w:szCs w:val="20"/>
              </w:rPr>
              <w:t>time</w:t>
            </w:r>
            <w:r w:rsidR="00AF0A0F" w:rsidRPr="009668D3">
              <w:rPr>
                <w:rFonts w:ascii="Times New Roman" w:hAnsi="Times New Roman" w:cs="Times New Roman"/>
                <w:sz w:val="20"/>
                <w:szCs w:val="20"/>
              </w:rPr>
              <w:t xml:space="preserve"> </w:t>
            </w:r>
            <w:r w:rsidRPr="009668D3">
              <w:rPr>
                <w:rFonts w:ascii="Times New Roman" w:hAnsi="Times New Roman" w:cs="Times New Roman"/>
                <w:sz w:val="20"/>
                <w:szCs w:val="20"/>
              </w:rPr>
              <w:t>on hosts (Hawkins, 1994; Stireman et al., 2006)</w:t>
            </w:r>
          </w:p>
        </w:tc>
      </w:tr>
      <w:tr w:rsidR="007E63AA" w:rsidRPr="001E6700" w14:paraId="4271DAA3"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201B77E" w14:textId="549E94CE" w:rsidR="004B68F8" w:rsidRPr="009668D3" w:rsidRDefault="00FB510D" w:rsidP="002D21BC">
            <w:pPr>
              <w:spacing w:before="20" w:after="20" w:line="240" w:lineRule="auto"/>
              <w:jc w:val="both"/>
              <w:rPr>
                <w:rFonts w:ascii="Times New Roman" w:hAnsi="Times New Roman" w:cs="Times New Roman"/>
                <w:sz w:val="20"/>
                <w:szCs w:val="20"/>
              </w:rPr>
            </w:pPr>
            <m:oMathPara>
              <m:oMath>
                <m:r>
                  <w:rPr>
                    <w:rFonts w:ascii="Cambria Math" w:hAnsi="Cambria Math" w:cs="Times New Roman"/>
                    <w:sz w:val="20"/>
                    <w:szCs w:val="20"/>
                  </w:rPr>
                  <m:t>η</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E91558" w14:textId="5536088A"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Parasitoids produced per killed hos</w:t>
            </w:r>
            <w:r w:rsidR="00AF0A0F" w:rsidRPr="009668D3">
              <w:rPr>
                <w:rFonts w:ascii="Times New Roman" w:hAnsi="Times New Roman" w:cs="Times New Roman"/>
                <w:sz w:val="20"/>
                <w:szCs w:val="20"/>
              </w:rPr>
              <w:t>t</w:t>
            </w:r>
            <w:r w:rsidR="00FB510D" w:rsidRPr="001E6700">
              <w:rPr>
                <w:rFonts w:ascii="Times New Roman" w:eastAsia="Arial" w:hAnsi="Times New Roman" w:cs="Times New Roman"/>
                <w:sz w:val="20"/>
                <w:szCs w:val="20"/>
              </w:rPr>
              <w:t>; solitary endoparasitoid biology of M. mutabilis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E4B021" w14:textId="62BF7A4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0.4</w:t>
            </w:r>
            <w:r w:rsidR="00AF0A0F" w:rsidRPr="001E6700">
              <w:rPr>
                <w:rFonts w:ascii="Times New Roman" w:eastAsia="Arial" w:hAnsi="Times New Roman" w:cs="Times New Roman"/>
                <w:sz w:val="20"/>
                <w:szCs w:val="20"/>
              </w:rPr>
              <w:t>-</w:t>
            </w:r>
            <w:r w:rsidRPr="009668D3">
              <w:rPr>
                <w:rFonts w:ascii="Times New Roman" w:hAnsi="Times New Roman" w:cs="Times New Roman"/>
                <w:sz w:val="20"/>
                <w:szCs w:val="20"/>
              </w:rPr>
              <w:t>1.0 dimensionless (baseline: 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45AFB1" w14:textId="66C2CEA8" w:rsidR="004B68F8" w:rsidRPr="009668D3" w:rsidRDefault="00FB510D"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 xml:space="preserve">Solitary biology: </w:t>
            </w:r>
            <w:r w:rsidR="004B68F8" w:rsidRPr="009668D3">
              <w:rPr>
                <w:rFonts w:ascii="Times New Roman" w:hAnsi="Times New Roman" w:cs="Times New Roman"/>
                <w:sz w:val="20"/>
                <w:szCs w:val="20"/>
              </w:rPr>
              <w:t>1 parasitoid per host</w:t>
            </w:r>
            <w:r w:rsidR="00AF0A0F" w:rsidRPr="001E6700">
              <w:rPr>
                <w:rFonts w:ascii="Times New Roman" w:eastAsia="Arial" w:hAnsi="Times New Roman" w:cs="Times New Roman"/>
                <w:sz w:val="20"/>
                <w:szCs w:val="20"/>
              </w:rPr>
              <w:t xml:space="preserve"> and</w:t>
            </w:r>
            <w:r w:rsidR="004B68F8" w:rsidRPr="009668D3">
              <w:rPr>
                <w:rFonts w:ascii="Times New Roman" w:hAnsi="Times New Roman" w:cs="Times New Roman"/>
                <w:sz w:val="20"/>
                <w:szCs w:val="20"/>
              </w:rPr>
              <w:t xml:space="preserve"> developmental losses (Stireman et al., 2006)</w:t>
            </w:r>
          </w:p>
        </w:tc>
      </w:tr>
      <w:tr w:rsidR="007E63AA" w:rsidRPr="001E6700" w14:paraId="7B4106EC"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DD880B" w14:textId="525ECC7D" w:rsidR="004B68F8" w:rsidRPr="009668D3" w:rsidRDefault="00FB510D" w:rsidP="002D21BC">
            <w:pPr>
              <w:spacing w:before="20" w:after="20" w:line="240" w:lineRule="auto"/>
              <w:jc w:val="both"/>
              <w:rPr>
                <w:rFonts w:ascii="Times New Roman" w:hAnsi="Times New Roman" w:cs="Times New Roman"/>
                <w:sz w:val="20"/>
                <w:szCs w:val="20"/>
              </w:rPr>
            </w:pPr>
            <m:oMath>
              <m:sSub>
                <m:sSubPr>
                  <m:ctrlPr>
                    <w:rPr>
                      <w:rFonts w:ascii="Cambria Math" w:eastAsia="Arial" w:hAnsi="Cambria Math" w:cs="Times New Roman"/>
                      <w:i/>
                      <w:sz w:val="20"/>
                      <w:szCs w:val="20"/>
                    </w:rPr>
                  </m:ctrlPr>
                </m:sSubPr>
                <m:e>
                  <m:r>
                    <w:rPr>
                      <w:rFonts w:ascii="Cambria Math" w:eastAsia="Arial" w:hAnsi="Cambria Math" w:cs="Times New Roman"/>
                      <w:sz w:val="20"/>
                      <w:szCs w:val="20"/>
                    </w:rPr>
                    <m:t>μ</m:t>
                  </m:r>
                </m:e>
                <m:sub>
                  <m:r>
                    <w:rPr>
                      <w:rFonts w:ascii="Cambria Math" w:eastAsia="Arial" w:hAnsi="Cambria Math" w:cs="Times New Roman"/>
                      <w:sz w:val="20"/>
                      <w:szCs w:val="20"/>
                    </w:rPr>
                    <m:t>F</m:t>
                  </m:r>
                </m:sub>
              </m:sSub>
            </m:oMath>
            <w:r w:rsidR="004B68F8" w:rsidRPr="009668D3">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B8C5E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Adult parasitoid fly natural mortality rate</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8CA901" w14:textId="19D7C722"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0.05</w:t>
            </w:r>
            <w:r w:rsidR="00AF0A0F" w:rsidRPr="001E6700">
              <w:rPr>
                <w:rFonts w:ascii="Times New Roman" w:eastAsia="Arial" w:hAnsi="Times New Roman" w:cs="Times New Roman"/>
                <w:sz w:val="20"/>
                <w:szCs w:val="20"/>
              </w:rPr>
              <w:t>-</w:t>
            </w:r>
            <w:r w:rsidRPr="009668D3">
              <w:rPr>
                <w:rFonts w:ascii="Times New Roman" w:hAnsi="Times New Roman" w:cs="Times New Roman"/>
                <w:sz w:val="20"/>
                <w:szCs w:val="20"/>
              </w:rPr>
              <w:t>0.15 day⁻¹ (baseline: 0.10)</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3C316E" w14:textId="05FF102A"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General tachinid adult longevity</w:t>
            </w:r>
            <w:r w:rsidR="00AF0A0F" w:rsidRPr="001E6700">
              <w:rPr>
                <w:rFonts w:ascii="Times New Roman" w:eastAsia="Arial" w:hAnsi="Times New Roman" w:cs="Times New Roman"/>
                <w:sz w:val="20"/>
                <w:szCs w:val="20"/>
              </w:rPr>
              <w:t xml:space="preserve"> + Calibrated</w:t>
            </w:r>
          </w:p>
        </w:tc>
      </w:tr>
      <w:tr w:rsidR="007E63AA" w:rsidRPr="001E6700" w14:paraId="5492DFBD"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8B39442" w14:textId="59326BB1" w:rsidR="004B68F8" w:rsidRPr="009668D3" w:rsidRDefault="00FB510D" w:rsidP="002D21BC">
            <w:pPr>
              <w:spacing w:before="20" w:after="20" w:line="240" w:lineRule="auto"/>
              <w:jc w:val="both"/>
              <w:rPr>
                <w:rFonts w:ascii="Times New Roman" w:hAnsi="Times New Roman" w:cs="Times New Roman"/>
                <w:i/>
                <w:sz w:val="20"/>
                <w:szCs w:val="20"/>
                <w:lang w:val="en-GB"/>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r>
                  <w:rPr>
                    <w:rFonts w:ascii="Cambria Math" w:hAnsi="Cambria Math" w:cs="Times New Roman"/>
                    <w:sz w:val="20"/>
                    <w:szCs w:val="20"/>
                    <w:lang w:val="en-GB"/>
                  </w:rPr>
                  <m:t>(</m:t>
                </m:r>
                <m:r>
                  <w:rPr>
                    <w:rFonts w:ascii="Cambria Math" w:hAnsi="Cambria Math" w:cs="Times New Roman"/>
                    <w:sz w:val="20"/>
                    <w:szCs w:val="20"/>
                    <w:lang w:val="en-GB"/>
                  </w:rPr>
                  <m:t>τ</m:t>
                </m:r>
                <m:r>
                  <w:rPr>
                    <w:rFonts w:ascii="Cambria Math" w:hAnsi="Cambria Math" w:cs="Times New Roman"/>
                    <w:sz w:val="20"/>
                    <w:szCs w:val="20"/>
                    <w:lang w:val="en-GB"/>
                  </w:rPr>
                  <m:t>)</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4B59A7" w14:textId="2684584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Time-dependent parasitoid augmentation rate</w:t>
            </w:r>
            <w:r w:rsidR="00FB510D" w:rsidRPr="001E6700">
              <w:rPr>
                <w:rFonts w:ascii="Times New Roman" w:eastAsia="Arial" w:hAnsi="Times New Roman" w:cs="Times New Roman"/>
                <w:sz w:val="20"/>
                <w:szCs w:val="20"/>
              </w:rPr>
              <w:t>;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BB45EB" w14:textId="7E5A5DEF" w:rsidR="004B68F8" w:rsidRPr="009668D3" w:rsidRDefault="00FB510D" w:rsidP="002D21BC">
            <w:pPr>
              <w:spacing w:before="20" w:after="20" w:line="240" w:lineRule="auto"/>
              <w:jc w:val="both"/>
              <w:rPr>
                <w:rFonts w:ascii="Times New Roman" w:hAnsi="Times New Roman" w:cs="Times New Roman"/>
                <w:sz w:val="20"/>
                <w:szCs w:val="20"/>
              </w:rPr>
            </w:pPr>
            <m:oMath>
              <m:r>
                <w:rPr>
                  <w:rFonts w:ascii="Cambria Math" w:eastAsia="Arial" w:hAnsi="Cambria Math" w:cs="Times New Roman"/>
                  <w:sz w:val="20"/>
                  <w:szCs w:val="20"/>
                </w:rPr>
                <m:t>0-</m:t>
              </m:r>
              <m:sSub>
                <m:sSubPr>
                  <m:ctrlPr>
                    <w:rPr>
                      <w:rFonts w:ascii="Cambria Math" w:eastAsia="Arial" w:hAnsi="Cambria Math" w:cs="Times New Roman"/>
                      <w:i/>
                      <w:sz w:val="20"/>
                      <w:szCs w:val="20"/>
                    </w:rPr>
                  </m:ctrlPr>
                </m:sSubPr>
                <m:e>
                  <m:r>
                    <w:rPr>
                      <w:rFonts w:ascii="Cambria Math" w:eastAsia="Arial" w:hAnsi="Cambria Math" w:cs="Times New Roman"/>
                      <w:sz w:val="20"/>
                      <w:szCs w:val="20"/>
                    </w:rPr>
                    <m:t>u</m:t>
                  </m:r>
                </m:e>
                <m:sub>
                  <m:d>
                    <m:dPr>
                      <m:begChr m:val="{"/>
                      <m:endChr m:val="}"/>
                      <m:ctrlPr>
                        <w:rPr>
                          <w:rFonts w:ascii="Cambria Math" w:eastAsia="Arial" w:hAnsi="Cambria Math" w:cs="Times New Roman"/>
                          <w:i/>
                          <w:sz w:val="20"/>
                          <w:szCs w:val="20"/>
                        </w:rPr>
                      </m:ctrlPr>
                    </m:dPr>
                    <m:e>
                      <m:r>
                        <w:rPr>
                          <w:rFonts w:ascii="Cambria Math" w:eastAsia="Arial" w:hAnsi="Cambria Math" w:cs="Times New Roman"/>
                          <w:sz w:val="20"/>
                          <w:szCs w:val="20"/>
                        </w:rPr>
                        <m:t>P</m:t>
                      </m:r>
                      <m:r>
                        <w:rPr>
                          <w:rFonts w:ascii="Cambria Math" w:eastAsia="Arial" w:hAnsi="Cambria Math" w:cs="Times New Roman"/>
                          <w:sz w:val="20"/>
                          <w:szCs w:val="20"/>
                        </w:rPr>
                        <m:t>,</m:t>
                      </m:r>
                      <m:r>
                        <w:rPr>
                          <w:rFonts w:ascii="Cambria Math" w:eastAsia="Arial" w:hAnsi="Cambria Math" w:cs="Times New Roman"/>
                          <w:sz w:val="20"/>
                          <w:szCs w:val="20"/>
                        </w:rPr>
                        <m:t>max</m:t>
                      </m:r>
                    </m:e>
                  </m:d>
                </m:sub>
              </m:sSub>
            </m:oMath>
            <w:r w:rsidR="004B68F8" w:rsidRPr="009668D3">
              <w:rPr>
                <w:rFonts w:ascii="Times New Roman" w:hAnsi="Times New Roman" w:cs="Times New Roman"/>
                <w:sz w:val="20"/>
                <w:szCs w:val="20"/>
              </w:rPr>
              <w:t xml:space="preserve"> flies ha⁻¹ day⁻¹</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7611BA"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control variable</w:t>
            </w:r>
          </w:p>
        </w:tc>
      </w:tr>
      <w:tr w:rsidR="007E63AA" w:rsidRPr="001E6700" w14:paraId="23611DB1"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9E4754" w14:textId="6BD28498" w:rsidR="004B68F8" w:rsidRPr="009668D3" w:rsidRDefault="00FB510D" w:rsidP="002D21BC">
            <w:pPr>
              <w:spacing w:before="20" w:after="20" w:line="240" w:lineRule="auto"/>
              <w:jc w:val="both"/>
              <w:rPr>
                <w:rFonts w:ascii="Times New Roman" w:hAnsi="Times New Roman" w:cs="Times New Roman"/>
                <w:sz w:val="20"/>
                <w:szCs w:val="20"/>
              </w:rPr>
            </w:pPr>
            <m:oMathPara>
              <m:oMath>
                <m:r>
                  <w:rPr>
                    <w:rFonts w:ascii="Cambria Math" w:hAnsi="Cambria Math" w:cs="Times New Roman"/>
                    <w:sz w:val="20"/>
                    <w:szCs w:val="20"/>
                  </w:rPr>
                  <m:t>κ</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0232A0C" w14:textId="0635B548" w:rsidR="004B68F8" w:rsidRPr="009668D3" w:rsidRDefault="00AF0A0F"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Foraging rate per larva</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10E19A" w14:textId="55783A96"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Scaled (individuals</w:t>
            </w:r>
            <w:r w:rsidR="00AF0A0F"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day)⁻¹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2ABC99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Calibrated: D_t ≈ 0.5 at typical outbreak densities (Dolch &amp; Tscharntke, 2000)</w:t>
            </w:r>
          </w:p>
        </w:tc>
      </w:tr>
      <w:tr w:rsidR="007E63AA" w:rsidRPr="001E6700" w14:paraId="4AE40B3E"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BCCA7E" w14:textId="7795B4D3" w:rsidR="004B68F8" w:rsidRPr="009668D3" w:rsidRDefault="00C92F6D" w:rsidP="002D21BC">
            <w:pPr>
              <w:spacing w:before="20" w:after="20" w:line="240" w:lineRule="auto"/>
              <w:jc w:val="both"/>
              <w:rPr>
                <w:rFonts w:ascii="Times New Roman" w:hAnsi="Times New Roman" w:cs="Times New Roman"/>
                <w:sz w:val="20"/>
                <w:szCs w:val="20"/>
              </w:rPr>
            </w:pPr>
            <m:oMathPara>
              <m:oMath>
                <m:r>
                  <m:rPr>
                    <m:sty m:val="p"/>
                  </m:rPr>
                  <w:rPr>
                    <w:rFonts w:ascii="Cambria Math" w:hAnsi="Cambria Math" w:cs="Times New Roman"/>
                    <w:sz w:val="20"/>
                    <w:szCs w:val="20"/>
                  </w:rPr>
                  <m:t>Τ</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B130A4" w14:textId="006C6583"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Duration of larval vulnerability window. </w:t>
            </w:r>
            <w:r w:rsidR="00FB510D" w:rsidRPr="001E6700">
              <w:rPr>
                <w:rFonts w:ascii="Times New Roman" w:eastAsia="Arial" w:hAnsi="Times New Roman" w:cs="Times New Roman"/>
                <w:sz w:val="20"/>
                <w:szCs w:val="20"/>
              </w:rPr>
              <w:t>Phenology #1: extended/shortened season length under warming climate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A400DB"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45–65 days (baseline: 55)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C1C65F" w14:textId="4F435638"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Univoltine phenology of </w:t>
            </w:r>
            <w:r w:rsidR="00E52495" w:rsidRPr="001E6700">
              <w:rPr>
                <w:rFonts w:ascii="Times New Roman" w:eastAsia="Arial" w:hAnsi="Times New Roman" w:cs="Times New Roman"/>
                <w:sz w:val="20"/>
                <w:szCs w:val="20"/>
              </w:rPr>
              <w:t xml:space="preserve">the </w:t>
            </w:r>
            <w:r w:rsidR="00066319" w:rsidRPr="009668D3">
              <w:rPr>
                <w:rFonts w:ascii="Times New Roman" w:hAnsi="Times New Roman" w:cs="Times New Roman"/>
                <w:sz w:val="20"/>
                <w:szCs w:val="20"/>
              </w:rPr>
              <w:t>Beetle</w:t>
            </w:r>
            <w:r w:rsidR="00E52495" w:rsidRPr="001E6700">
              <w:rPr>
                <w:rFonts w:ascii="Times New Roman" w:eastAsia="Arial" w:hAnsi="Times New Roman" w:cs="Times New Roman"/>
                <w:sz w:val="20"/>
                <w:szCs w:val="20"/>
              </w:rPr>
              <w:t xml:space="preserve"> reported in forestry reports</w:t>
            </w:r>
          </w:p>
        </w:tc>
      </w:tr>
      <w:tr w:rsidR="004B68F8" w:rsidRPr="001E6700" w14:paraId="1C86777B" w14:textId="77777777" w:rsidTr="009668D3">
        <w:trPr>
          <w:jc w:val="center"/>
        </w:trPr>
        <w:tc>
          <w:tcPr>
            <w:tcW w:w="9024" w:type="dxa"/>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9903679" w14:textId="77777777" w:rsidR="004B68F8" w:rsidRPr="009668D3" w:rsidRDefault="004B68F8" w:rsidP="002D21BC">
            <w:pPr>
              <w:spacing w:before="40" w:after="4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Module 2: Annual Recurrence Map (Equations 5–8)</w:t>
            </w:r>
          </w:p>
        </w:tc>
      </w:tr>
      <w:tr w:rsidR="007E63AA" w:rsidRPr="001E6700" w14:paraId="5AE4DDC1"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A27403" w14:textId="77E219D0"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C497820" w14:textId="3BEE9866"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Annual basic reproduction </w:t>
            </w:r>
            <w:r w:rsidR="00C92F6D" w:rsidRPr="009668D3">
              <w:rPr>
                <w:rFonts w:ascii="Times New Roman" w:hAnsi="Times New Roman" w:cs="Times New Roman"/>
                <w:sz w:val="20"/>
                <w:szCs w:val="20"/>
              </w:rPr>
              <w:t>rate/</w:t>
            </w:r>
            <w:r w:rsidRPr="009668D3">
              <w:rPr>
                <w:rFonts w:ascii="Times New Roman" w:hAnsi="Times New Roman" w:cs="Times New Roman"/>
                <w:sz w:val="20"/>
                <w:szCs w:val="20"/>
              </w:rPr>
              <w:t>ratio of the beetle</w:t>
            </w:r>
            <w:r w:rsidR="00ED1C26" w:rsidRPr="001E6700">
              <w:rPr>
                <w:rFonts w:ascii="Times New Roman" w:eastAsia="Arial" w:hAnsi="Times New Roman" w:cs="Times New Roman"/>
                <w:sz w:val="20"/>
                <w:szCs w:val="20"/>
              </w:rPr>
              <w:t xml:space="preserve"> (</w:t>
            </w:r>
            <w:r w:rsidRPr="009668D3">
              <w:rPr>
                <w:rFonts w:ascii="Times New Roman" w:hAnsi="Times New Roman" w:cs="Times New Roman"/>
                <w:sz w:val="20"/>
                <w:szCs w:val="20"/>
              </w:rPr>
              <w:t>net fecundity after egg-to-adult survival</w:t>
            </w:r>
            <w:r w:rsidR="00ED1C26" w:rsidRPr="001E6700">
              <w:rPr>
                <w:rFonts w:ascii="Times New Roman" w:eastAsia="Arial" w:hAnsi="Times New Roman" w:cs="Times New Roman"/>
                <w:sz w:val="20"/>
                <w:szCs w:val="20"/>
              </w:rPr>
              <w:t>)</w:t>
            </w:r>
            <w:r w:rsidRPr="001E6700">
              <w:rPr>
                <w:rFonts w:ascii="Times New Roman" w:eastAsia="Arial" w:hAnsi="Times New Roman" w:cs="Times New Roman"/>
                <w:sz w:val="20"/>
                <w:szCs w:val="20"/>
              </w:rPr>
              <w:t xml:space="preserve"> </w:t>
            </w:r>
            <w:r w:rsidR="00ED1C26" w:rsidRPr="001E6700">
              <w:rPr>
                <w:rFonts w:ascii="Times New Roman" w:eastAsia="Arial" w:hAnsi="Times New Roman" w:cs="Times New Roman"/>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921FCA"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1.5–20 dimensionless (baseline: 14)</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5DA831D" w14:textId="4C40EC43"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Clutch size 20–70 eggs per female (Sivrikaya et al., 2020);</w:t>
            </w:r>
            <w:r w:rsidR="00FB510D" w:rsidRPr="001E6700">
              <w:rPr>
                <w:rFonts w:ascii="Times New Roman" w:eastAsia="Arial" w:hAnsi="Times New Roman" w:cs="Times New Roman"/>
                <w:sz w:val="20"/>
                <w:szCs w:val="20"/>
              </w:rPr>
              <w:t xml:space="preserve"> net rate depends on overwinter survival</w:t>
            </w:r>
          </w:p>
        </w:tc>
      </w:tr>
      <w:tr w:rsidR="007E63AA" w:rsidRPr="001E6700" w14:paraId="3994D0CD"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1C1673" w14:textId="60F5B716"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95EB61" w14:textId="4D7DA38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Larva-to-adult overwintering survival of the beetle. </w:t>
            </w:r>
            <w:r w:rsidR="00FB510D" w:rsidRPr="001E6700">
              <w:rPr>
                <w:rFonts w:ascii="Times New Roman" w:eastAsia="Arial" w:hAnsi="Times New Roman" w:cs="Times New Roman"/>
                <w:sz w:val="20"/>
                <w:szCs w:val="20"/>
              </w:rPr>
              <w:t>Phenology #2: reduced winter severity (beetle)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73CB85"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0.3–0.8 dimensionless (baseline: 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C537AA4" w14:textId="01920F10" w:rsidR="004B68F8" w:rsidRPr="009668D3" w:rsidRDefault="004B68F8"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 xml:space="preserve"> </w:t>
            </w:r>
            <w:r w:rsidR="00ED1C26" w:rsidRPr="001E6700">
              <w:rPr>
                <w:rFonts w:ascii="Times New Roman" w:eastAsia="Arial" w:hAnsi="Times New Roman" w:cs="Times New Roman"/>
                <w:sz w:val="20"/>
                <w:szCs w:val="20"/>
              </w:rPr>
              <w:t>Calibrated</w:t>
            </w:r>
            <w:r w:rsidR="00ED1C26" w:rsidRPr="009668D3">
              <w:rPr>
                <w:rFonts w:ascii="Times New Roman" w:hAnsi="Times New Roman" w:cs="Times New Roman"/>
                <w:sz w:val="20"/>
                <w:szCs w:val="20"/>
              </w:rPr>
              <w:t xml:space="preserve"> </w:t>
            </w:r>
            <w:r w:rsidRPr="009668D3">
              <w:rPr>
                <w:rFonts w:ascii="Times New Roman" w:hAnsi="Times New Roman" w:cs="Times New Roman"/>
                <w:sz w:val="20"/>
                <w:szCs w:val="20"/>
              </w:rPr>
              <w:t>(Sivrikaya et al., 2020)</w:t>
            </w:r>
          </w:p>
        </w:tc>
      </w:tr>
      <w:tr w:rsidR="007E63AA" w:rsidRPr="001E6700" w14:paraId="4B0A616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D1B1F8B" w14:textId="6958DE12"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495CD85" w14:textId="114C377A"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Parasitoid overwinter survival (tachinid puparia). </w:t>
            </w:r>
            <w:r w:rsidR="00FB510D" w:rsidRPr="001E6700">
              <w:rPr>
                <w:rFonts w:ascii="Times New Roman" w:eastAsia="Arial" w:hAnsi="Times New Roman" w:cs="Times New Roman"/>
                <w:sz w:val="20"/>
                <w:szCs w:val="20"/>
              </w:rPr>
              <w:t>Phenology #3: reduced winter severity (parasitoid)</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FA3FBB"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0.1–0.4 dimensionless (baseline: 0.2)</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86BCFA9" w14:textId="71ECD899"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General tachinid puparia survival</w:t>
            </w:r>
            <w:r w:rsidR="00ED1C26" w:rsidRPr="001E6700">
              <w:rPr>
                <w:rFonts w:ascii="Times New Roman" w:eastAsia="Arial" w:hAnsi="Times New Roman" w:cs="Times New Roman"/>
                <w:sz w:val="20"/>
                <w:szCs w:val="20"/>
              </w:rPr>
              <w:t xml:space="preserve"> calibrated</w:t>
            </w:r>
          </w:p>
        </w:tc>
      </w:tr>
      <w:tr w:rsidR="007E63AA" w:rsidRPr="001E6700" w14:paraId="1FCF4B0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48AD66" w14:textId="6F1ACE38" w:rsidR="004B68F8" w:rsidRPr="009668D3" w:rsidRDefault="00FB510D" w:rsidP="002D21BC">
            <w:pPr>
              <w:spacing w:before="20" w:after="20" w:line="240" w:lineRule="auto"/>
              <w:jc w:val="both"/>
              <w:rPr>
                <w:rFonts w:ascii="Times New Roman" w:hAnsi="Times New Roman" w:cs="Times New Roman"/>
                <w:sz w:val="20"/>
                <w:szCs w:val="20"/>
              </w:rPr>
            </w:pPr>
            <m:oMath>
              <m:sSubSup>
                <m:sSubSupPr>
                  <m:ctrlPr>
                    <w:rPr>
                      <w:rFonts w:ascii="Cambria Math" w:eastAsia="Arial" w:hAnsi="Cambria Math" w:cs="Times New Roman"/>
                      <w:b/>
                      <w:bCs/>
                      <w:i/>
                      <w:sz w:val="20"/>
                      <w:szCs w:val="20"/>
                    </w:rPr>
                  </m:ctrlPr>
                </m:sSubSupPr>
                <m:e>
                  <m:r>
                    <m:rPr>
                      <m:sty m:val="bi"/>
                    </m:rPr>
                    <w:rPr>
                      <w:rFonts w:ascii="Cambria Math" w:eastAsia="Arial" w:hAnsi="Cambria Math" w:cs="Times New Roman"/>
                      <w:sz w:val="20"/>
                      <w:szCs w:val="20"/>
                    </w:rPr>
                    <m:t>B</m:t>
                  </m:r>
                </m:e>
                <m:sub>
                  <m:r>
                    <m:rPr>
                      <m:sty m:val="bi"/>
                    </m:rPr>
                    <w:rPr>
                      <w:rFonts w:ascii="Cambria Math" w:eastAsia="Arial" w:hAnsi="Cambria Math" w:cs="Times New Roman"/>
                      <w:sz w:val="20"/>
                      <w:szCs w:val="20"/>
                      <w:vertAlign w:val="subscript"/>
                    </w:rPr>
                    <m:t>t</m:t>
                  </m:r>
                  <m:ctrlPr>
                    <w:rPr>
                      <w:rFonts w:ascii="Cambria Math" w:eastAsia="Arial" w:hAnsi="Cambria Math" w:cs="Times New Roman"/>
                      <w:b/>
                      <w:bCs/>
                      <w:i/>
                      <w:sz w:val="20"/>
                      <w:szCs w:val="20"/>
                      <w:vertAlign w:val="subscript"/>
                    </w:rPr>
                  </m:ctrlPr>
                </m:sub>
                <m:sup>
                  <m:r>
                    <w:rPr>
                      <w:rFonts w:ascii="Cambria Math" w:eastAsia="Arial" w:hAnsi="Cambria Math" w:cs="Times New Roman"/>
                      <w:sz w:val="20"/>
                      <w:szCs w:val="20"/>
                      <w:vertAlign w:val="superscript"/>
                    </w:rPr>
                    <m:t>index</m:t>
                  </m:r>
                  <m:ctrlPr>
                    <w:rPr>
                      <w:rFonts w:ascii="Cambria Math" w:eastAsia="Arial" w:hAnsi="Cambria Math" w:cs="Times New Roman"/>
                      <w:b/>
                      <w:bCs/>
                      <w:i/>
                      <w:sz w:val="20"/>
                      <w:szCs w:val="20"/>
                      <w:vertAlign w:val="subscript"/>
                    </w:rPr>
                  </m:ctrlPr>
                </m:sup>
              </m:sSubSup>
            </m:oMath>
            <w:r w:rsidR="000F6251" w:rsidRPr="001E6700">
              <w:rPr>
                <w:rFonts w:ascii="Times New Roman"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31063C" w14:textId="72662D3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Baseline generalist passerine bird pressure index. </w:t>
            </w:r>
            <w:r w:rsidR="00FB510D" w:rsidRPr="001E6700">
              <w:rPr>
                <w:rFonts w:ascii="Times New Roman" w:eastAsia="Arial" w:hAnsi="Times New Roman" w:cs="Times New Roman"/>
                <w:sz w:val="20"/>
                <w:szCs w:val="20"/>
              </w:rPr>
              <w:t>Phenology #6: variable bird predation pressure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C9000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0.5–2.0 pairs ha⁻¹ (baseline: 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127996"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PECBMS annual forest bird indices; great tit ~1.1–1.4 pairs ha⁻¹ in Central European floodplain (Gregory et al., 2007)</w:t>
            </w:r>
          </w:p>
        </w:tc>
      </w:tr>
      <w:tr w:rsidR="007E63AA" w:rsidRPr="001E6700" w14:paraId="7813478B"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E7F3093" w14:textId="54E135A0" w:rsidR="004B68F8" w:rsidRPr="009668D3" w:rsidRDefault="00FB510D" w:rsidP="002D21BC">
            <w:pPr>
              <w:spacing w:before="20" w:after="20" w:line="240" w:lineRule="auto"/>
              <w:jc w:val="both"/>
              <w:rPr>
                <w:rFonts w:ascii="Times New Roman" w:hAnsi="Times New Roman" w:cs="Times New Roman"/>
                <w:sz w:val="20"/>
                <w:szCs w:val="20"/>
              </w:rPr>
            </w:pPr>
            <m:oMathPara>
              <m:oMath>
                <m:r>
                  <m:rPr>
                    <m:sty m:val="b"/>
                  </m:rPr>
                  <w:rPr>
                    <w:rFonts w:ascii="Cambria Math" w:eastAsia="Arial" w:hAnsi="Cambria Math" w:cs="Times New Roman"/>
                    <w:sz w:val="20"/>
                    <w:szCs w:val="20"/>
                  </w:rPr>
                  <m:t>ξ</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77651A" w14:textId="5ED32034" w:rsidR="004B68F8" w:rsidRPr="009668D3" w:rsidRDefault="00FB510D" w:rsidP="002D21BC">
            <w:pPr>
              <w:spacing w:before="20" w:after="20" w:line="240" w:lineRule="auto"/>
              <w:jc w:val="both"/>
              <w:rPr>
                <w:rFonts w:ascii="Times New Roman" w:hAnsi="Times New Roman" w:cs="Times New Roman"/>
                <w:sz w:val="20"/>
                <w:szCs w:val="20"/>
              </w:rPr>
            </w:pPr>
            <w:r w:rsidRPr="001E6700">
              <w:rPr>
                <w:rFonts w:ascii="Times New Roman" w:eastAsia="Arial" w:hAnsi="Times New Roman" w:cs="Times New Roman"/>
                <w:sz w:val="20"/>
                <w:szCs w:val="20"/>
              </w:rPr>
              <w:t xml:space="preserve">Scales </w:t>
            </w:r>
            <w:r w:rsidR="004B68F8" w:rsidRPr="009668D3">
              <w:rPr>
                <w:rFonts w:ascii="Times New Roman" w:hAnsi="Times New Roman" w:cs="Times New Roman"/>
                <w:sz w:val="20"/>
                <w:szCs w:val="20"/>
              </w:rPr>
              <w:t xml:space="preserve">bird-habitat management effort </w:t>
            </w:r>
            <w:r w:rsidR="003629FE" w:rsidRPr="009668D3">
              <w:rPr>
                <w:rFonts w:ascii="Times New Roman" w:hAnsi="Times New Roman" w:cs="Times New Roman"/>
                <w:sz w:val="20"/>
                <w:szCs w:val="20"/>
              </w:rPr>
              <w:t xml:space="preserve">to </w:t>
            </w:r>
            <w:r w:rsidRPr="001E6700">
              <w:rPr>
                <w:rFonts w:ascii="Times New Roman" w:eastAsia="Arial" w:hAnsi="Times New Roman" w:cs="Times New Roman"/>
                <w:sz w:val="20"/>
                <w:szCs w:val="20"/>
              </w:rPr>
              <w:t>its effect on</w:t>
            </w:r>
            <w:r w:rsidR="004B68F8" w:rsidRPr="009668D3">
              <w:rPr>
                <w:rFonts w:ascii="Times New Roman" w:hAnsi="Times New Roman" w:cs="Times New Roman"/>
                <w:sz w:val="20"/>
                <w:szCs w:val="20"/>
              </w:rPr>
              <w:t xml:space="preserve"> local bird density</w:t>
            </w:r>
            <w:r w:rsidR="003629FE" w:rsidRPr="001E6700">
              <w:rPr>
                <w:rFonts w:ascii="Times New Roman" w:eastAsia="Arial" w:hAnsi="Times New Roman" w:cs="Times New Roman"/>
                <w:sz w:val="20"/>
                <w:szCs w:val="20"/>
              </w:rPr>
              <w:t xml:space="preserve"> change scaler</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F6E46ED"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Scenario-dependent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A3B994" w14:textId="64874600"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Nest-box provisioning effect (Mols &amp; Visser, 2002</w:t>
            </w:r>
            <w:r w:rsidR="00FB510D" w:rsidRPr="001E6700">
              <w:rPr>
                <w:rFonts w:ascii="Times New Roman" w:eastAsia="Arial" w:hAnsi="Times New Roman" w:cs="Times New Roman"/>
                <w:sz w:val="20"/>
                <w:szCs w:val="20"/>
              </w:rPr>
              <w:t>); exact value for FFH 91E0 not quantified</w:t>
            </w:r>
          </w:p>
        </w:tc>
      </w:tr>
      <w:tr w:rsidR="007E63AA" w:rsidRPr="001E6700" w14:paraId="7E5ECC94"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AC851A" w14:textId="1CB5FEB4"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B</m:t>
                    </m:r>
                  </m:sub>
                </m:sSub>
                <m:r>
                  <w:rPr>
                    <w:rFonts w:ascii="Cambria Math" w:hAnsi="Cambria Math" w:cs="Times New Roman"/>
                    <w:sz w:val="20"/>
                    <w:szCs w:val="20"/>
                  </w:rPr>
                  <m:t>(</m:t>
                </m:r>
                <m:r>
                  <w:rPr>
                    <w:rFonts w:ascii="Cambria Math" w:hAnsi="Cambria Math" w:cs="Times New Roman"/>
                    <w:sz w:val="20"/>
                    <w:szCs w:val="20"/>
                  </w:rPr>
                  <m:t>t</m:t>
                </m:r>
                <m:r>
                  <w:rPr>
                    <w:rFonts w:ascii="Cambria Math" w:hAnsi="Cambria Math" w:cs="Times New Roman"/>
                    <w:sz w:val="20"/>
                    <w:szCs w:val="20"/>
                  </w:rPr>
                  <m:t>)</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7AF59B" w14:textId="16346B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Annual bird-habitat enhancement</w:t>
            </w:r>
            <w:r w:rsidR="00FB510D" w:rsidRPr="001E6700">
              <w:rPr>
                <w:rFonts w:ascii="Times New Roman" w:eastAsia="Arial" w:hAnsi="Times New Roman" w:cs="Times New Roman"/>
                <w:sz w:val="20"/>
                <w:szCs w:val="20"/>
              </w:rPr>
              <w:t>; management control variable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2D403B" w14:textId="0CF8F5A4" w:rsidR="004B68F8" w:rsidRPr="009668D3" w:rsidRDefault="00FB510D" w:rsidP="002D21BC">
            <w:pPr>
              <w:spacing w:before="20" w:after="20" w:line="240" w:lineRule="auto"/>
              <w:jc w:val="both"/>
              <w:rPr>
                <w:rFonts w:ascii="Times New Roman" w:hAnsi="Times New Roman" w:cs="Times New Roman"/>
                <w:sz w:val="20"/>
                <w:szCs w:val="20"/>
              </w:rPr>
            </w:pPr>
            <m:oMath>
              <m:r>
                <w:rPr>
                  <w:rFonts w:ascii="Cambria Math" w:eastAsia="Arial" w:hAnsi="Cambria Math" w:cs="Times New Roman"/>
                  <w:sz w:val="20"/>
                  <w:szCs w:val="20"/>
                </w:rPr>
                <m:t>0-</m:t>
              </m:r>
              <m:sSub>
                <m:sSubPr>
                  <m:ctrlPr>
                    <w:rPr>
                      <w:rFonts w:ascii="Cambria Math" w:eastAsia="Arial" w:hAnsi="Cambria Math" w:cs="Times New Roman"/>
                      <w:i/>
                      <w:sz w:val="20"/>
                      <w:szCs w:val="20"/>
                    </w:rPr>
                  </m:ctrlPr>
                </m:sSubPr>
                <m:e>
                  <m:r>
                    <w:rPr>
                      <w:rFonts w:ascii="Cambria Math" w:eastAsia="Arial" w:hAnsi="Cambria Math" w:cs="Times New Roman"/>
                      <w:sz w:val="20"/>
                      <w:szCs w:val="20"/>
                    </w:rPr>
                    <m:t>u</m:t>
                  </m:r>
                </m:e>
                <m:sub>
                  <m:d>
                    <m:dPr>
                      <m:begChr m:val="{"/>
                      <m:endChr m:val="}"/>
                      <m:ctrlPr>
                        <w:rPr>
                          <w:rFonts w:ascii="Cambria Math" w:eastAsia="Arial" w:hAnsi="Cambria Math" w:cs="Times New Roman"/>
                          <w:i/>
                          <w:sz w:val="20"/>
                          <w:szCs w:val="20"/>
                        </w:rPr>
                      </m:ctrlPr>
                    </m:dPr>
                    <m:e>
                      <m:r>
                        <w:rPr>
                          <w:rFonts w:ascii="Cambria Math" w:eastAsia="Arial" w:hAnsi="Cambria Math" w:cs="Times New Roman"/>
                          <w:sz w:val="20"/>
                          <w:szCs w:val="20"/>
                        </w:rPr>
                        <m:t>B</m:t>
                      </m:r>
                      <m:r>
                        <w:rPr>
                          <w:rFonts w:ascii="Cambria Math" w:eastAsia="Arial" w:hAnsi="Cambria Math" w:cs="Times New Roman"/>
                          <w:sz w:val="20"/>
                          <w:szCs w:val="20"/>
                        </w:rPr>
                        <m:t>,</m:t>
                      </m:r>
                      <m:r>
                        <w:rPr>
                          <w:rFonts w:ascii="Cambria Math" w:eastAsia="Arial" w:hAnsi="Cambria Math" w:cs="Times New Roman"/>
                          <w:sz w:val="20"/>
                          <w:szCs w:val="20"/>
                        </w:rPr>
                        <m:t>max</m:t>
                      </m:r>
                    </m:e>
                  </m:d>
                </m:sub>
              </m:sSub>
            </m:oMath>
            <w:r w:rsidR="004B68F8" w:rsidRPr="009668D3">
              <w:rPr>
                <w:rFonts w:ascii="Times New Roman" w:hAnsi="Times New Roman" w:cs="Times New Roman"/>
                <w:sz w:val="20"/>
                <w:szCs w:val="20"/>
              </w:rPr>
              <w:t xml:space="preserve">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05FA4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control variable</w:t>
            </w:r>
          </w:p>
        </w:tc>
      </w:tr>
      <w:tr w:rsidR="007E63AA" w:rsidRPr="001E6700" w14:paraId="7CD4DAE4"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DB4DB8" w14:textId="23C90171"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Κ</m:t>
                    </m:r>
                  </m:e>
                  <m:sub>
                    <m:r>
                      <w:rPr>
                        <w:rFonts w:ascii="Cambria Math" w:hAnsi="Cambria Math" w:cs="Times New Roman"/>
                        <w:sz w:val="20"/>
                        <w:szCs w:val="20"/>
                      </w:rPr>
                      <m:t>0</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413A60"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Undamaged baseline carrying capacity of beetle (fully recovered canopy)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6946FE"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Scenario-dependent scaled larvae ha⁻¹</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D58179"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ICP Forests Level I network (Ferretti et al., 2021)</w:t>
            </w:r>
          </w:p>
        </w:tc>
      </w:tr>
      <w:tr w:rsidR="007E63AA" w:rsidRPr="001E6700" w14:paraId="560E6BA6"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DE582A" w14:textId="19DB8012" w:rsidR="004B68F8" w:rsidRPr="009668D3" w:rsidRDefault="00FB510D" w:rsidP="002D21BC">
            <w:pPr>
              <w:spacing w:before="20" w:after="20" w:line="240" w:lineRule="auto"/>
              <w:jc w:val="both"/>
              <w:rPr>
                <w:rFonts w:ascii="Times New Roman" w:hAnsi="Times New Roman" w:cs="Times New Roman"/>
                <w:sz w:val="20"/>
                <w:szCs w:val="20"/>
              </w:rPr>
            </w:pPr>
            <m:oMathPara>
              <m:oMath>
                <m:r>
                  <m:rPr>
                    <m:sty m:val="b"/>
                  </m:rPr>
                  <w:rPr>
                    <w:rFonts w:ascii="Cambria Math" w:eastAsia="Arial" w:hAnsi="Cambria Math" w:cs="Times New Roman"/>
                    <w:sz w:val="20"/>
                    <w:szCs w:val="20"/>
                  </w:rPr>
                  <m:t>φ</m:t>
                </m:r>
                <m:r>
                  <m:rPr>
                    <m:sty m:val="p"/>
                  </m:rPr>
                  <w:rPr>
                    <w:rFonts w:ascii="Cambria Math" w:eastAsia="Arial" w:hAnsi="Cambria Math" w:cs="Times New Roman"/>
                    <w:sz w:val="20"/>
                    <w:szCs w:val="20"/>
                  </w:rPr>
                  <m:t xml:space="preserve"> </m:t>
                </m:r>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E8F622" w14:textId="139579A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Damage-to-capacity penalty</w:t>
            </w:r>
            <w:r w:rsidRPr="001E6700">
              <w:rPr>
                <w:rFonts w:ascii="Times New Roman" w:eastAsia="Arial" w:hAnsi="Times New Roman" w:cs="Times New Roman"/>
                <w:sz w:val="20"/>
                <w:szCs w:val="20"/>
              </w:rPr>
              <w:t xml:space="preserve"> </w:t>
            </w:r>
            <w:r w:rsidR="003629FE" w:rsidRPr="001E6700">
              <w:rPr>
                <w:rFonts w:ascii="Times New Roman" w:eastAsia="Arial" w:hAnsi="Times New Roman" w:cs="Times New Roman"/>
                <w:sz w:val="20"/>
                <w:szCs w:val="20"/>
              </w:rPr>
              <w:t>(</w:t>
            </w:r>
            <w:r w:rsidRPr="009668D3">
              <w:rPr>
                <w:rFonts w:ascii="Times New Roman" w:hAnsi="Times New Roman" w:cs="Times New Roman"/>
                <w:sz w:val="20"/>
                <w:szCs w:val="20"/>
              </w:rPr>
              <w:t>accumulated phytochemical defence feedback</w:t>
            </w:r>
            <w:r w:rsidR="003629FE" w:rsidRPr="001E6700">
              <w:rPr>
                <w:rFonts w:ascii="Times New Roman" w:eastAsia="Arial" w:hAnsi="Times New Roman" w:cs="Times New Roman"/>
                <w:sz w:val="20"/>
                <w:szCs w:val="20"/>
              </w:rPr>
              <w:t>)</w:t>
            </w:r>
            <w:r w:rsidRPr="001E6700">
              <w:rPr>
                <w:rFonts w:ascii="Times New Roman" w:eastAsia="Arial" w:hAnsi="Times New Roman" w:cs="Times New Roman"/>
                <w:sz w:val="20"/>
                <w:szCs w:val="20"/>
              </w:rPr>
              <w:t xml:space="preserve">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375D01"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0.001–0.05 dimensionless (baseline: 0.01)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F7C35B"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0.9% growth loss per 1% defoliation (Ferretti et al., 2021); induced resistance ~133 days (Dolch &amp; Tscharntke, 2000)</w:t>
            </w:r>
          </w:p>
        </w:tc>
      </w:tr>
      <w:tr w:rsidR="004B68F8" w:rsidRPr="001E6700" w14:paraId="1ED059CD" w14:textId="77777777" w:rsidTr="009668D3">
        <w:trPr>
          <w:jc w:val="center"/>
        </w:trPr>
        <w:tc>
          <w:tcPr>
            <w:tcW w:w="9024" w:type="dxa"/>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44A73C" w14:textId="77777777" w:rsidR="004B68F8" w:rsidRPr="009668D3" w:rsidRDefault="004B68F8" w:rsidP="002D21BC">
            <w:pPr>
              <w:spacing w:before="40" w:after="4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lastRenderedPageBreak/>
              <w:t>Objective Function and Control Bounds (Equation 9)</w:t>
            </w:r>
          </w:p>
        </w:tc>
      </w:tr>
      <w:tr w:rsidR="007E63AA" w:rsidRPr="001E6700" w14:paraId="04EE5826"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A11DF5F" w14:textId="09FB98DF"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B31E72"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Weight on within-season running defoliation damage D(τ)</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3DA93"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05071A"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preference</w:t>
            </w:r>
          </w:p>
        </w:tc>
      </w:tr>
      <w:tr w:rsidR="007E63AA" w:rsidRPr="001E6700" w14:paraId="4508B047"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B86C44" w14:textId="5116CB15"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S</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1E4AF7"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Weight on susceptible larval density S(τ)</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2EAC8A"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9DF690"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preference</w:t>
            </w:r>
          </w:p>
        </w:tc>
      </w:tr>
      <w:tr w:rsidR="007E63AA" w:rsidRPr="001E6700" w14:paraId="1F9CC9C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5F75F2" w14:textId="437B940B"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3CC32B" w14:textId="76EB35BF"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Weight on terminal (end-of-season) damage </w:t>
            </w:r>
            <w:r w:rsidR="00FB510D" w:rsidRPr="001E6700">
              <w:rPr>
                <w:rFonts w:ascii="Times New Roman" w:eastAsia="Arial" w:hAnsi="Times New Roman" w:cs="Times New Roman"/>
                <w:sz w:val="20"/>
                <w:szCs w:val="20"/>
              </w:rPr>
              <w:t>D_t</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182502"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509625"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preference</w:t>
            </w:r>
          </w:p>
        </w:tc>
      </w:tr>
      <w:tr w:rsidR="007E63AA" w:rsidRPr="001E6700" w14:paraId="73A26DE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F6BECC" w14:textId="34960A9A"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028595"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Unit cost of parasitoid augmentation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CB6711"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3DCB06"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Fraction of forest management budget</w:t>
            </w:r>
          </w:p>
        </w:tc>
      </w:tr>
      <w:tr w:rsidR="007E63AA" w:rsidRPr="001E6700" w14:paraId="65FE425E"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6051FA" w14:textId="52E074D1"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35A9E1"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Unit cost of targeted larval removal</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C2F036"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86086E"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Fraction of forest management budget</w:t>
            </w:r>
          </w:p>
        </w:tc>
      </w:tr>
      <w:tr w:rsidR="007E63AA" w:rsidRPr="001E6700" w14:paraId="4DD1C016"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450B41" w14:textId="601FF9B7"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B</m:t>
                    </m:r>
                    <m:r>
                      <w:rPr>
                        <w:rFonts w:ascii="Cambria Math" w:hAnsi="Cambria Math" w:cs="Times New Roman"/>
                        <w:sz w:val="20"/>
                        <w:szCs w:val="20"/>
                      </w:rPr>
                      <m:t>,</m:t>
                    </m:r>
                    <m:r>
                      <w:rPr>
                        <w:rFonts w:ascii="Cambria Math" w:hAnsi="Cambria Math" w:cs="Times New Roman"/>
                        <w:sz w:val="20"/>
                        <w:szCs w:val="20"/>
                      </w:rPr>
                      <m:t>cost</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CDA72A" w14:textId="1D61B8A5"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Unit cost of bird-habitat conservation. </w:t>
            </w:r>
            <w:r w:rsidR="00FB510D" w:rsidRPr="001E6700">
              <w:rPr>
                <w:rFonts w:ascii="Times New Roman" w:eastAsia="Arial" w:hAnsi="Times New Roman" w:cs="Times New Roman"/>
                <w:sz w:val="20"/>
                <w:szCs w:val="20"/>
              </w:rPr>
              <w:t>Note: distinct from c_B (bird foraging rate in ODEs)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92B4F9"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358F93"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Fraction of forest management budget</w:t>
            </w:r>
          </w:p>
        </w:tc>
      </w:tr>
      <w:tr w:rsidR="004B68F8" w:rsidRPr="001E6700" w14:paraId="098AB2F8" w14:textId="77777777" w:rsidTr="009668D3">
        <w:trPr>
          <w:jc w:val="center"/>
        </w:trPr>
        <w:tc>
          <w:tcPr>
            <w:tcW w:w="9024" w:type="dxa"/>
            <w:gridSpan w:val="4"/>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C2E2FD" w14:textId="77777777" w:rsidR="004B68F8" w:rsidRPr="009668D3" w:rsidRDefault="004B68F8" w:rsidP="002D21BC">
            <w:pPr>
              <w:spacing w:before="40" w:after="4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Stability Analysis Thresholds</w:t>
            </w:r>
          </w:p>
        </w:tc>
      </w:tr>
      <w:tr w:rsidR="007E63AA" w:rsidRPr="001E6700" w14:paraId="5C1075AC"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008A45" w14:textId="4DE00C88"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D</m:t>
                    </m:r>
                    <m:ctrlPr>
                      <w:rPr>
                        <w:rFonts w:ascii="Cambria Math" w:hAnsi="Cambria Math" w:cs="Times New Roman"/>
                        <w:i/>
                        <w:sz w:val="20"/>
                        <w:szCs w:val="20"/>
                      </w:rPr>
                    </m:ctrlPr>
                  </m:e>
                  <m:sub>
                    <m:r>
                      <m:rPr>
                        <m:sty m:val="p"/>
                      </m:rPr>
                      <w:rPr>
                        <w:rFonts w:ascii="Cambria Math" w:hAnsi="Cambria Math" w:cs="Times New Roman"/>
                        <w:sz w:val="20"/>
                        <w:szCs w:val="20"/>
                      </w:rPr>
                      <m:t>crit</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C5500D"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Functional damage threshold for canopy viability</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9CC8E4"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0.50 dimensionless</w:t>
            </w:r>
          </w:p>
        </w:tc>
        <w:tc>
          <w:tcPr>
            <w:tcW w:w="0" w:type="auto"/>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9D3C3EF"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50% seasonal defoliation threshold (Ferretti et al., 2021)</w:t>
            </w:r>
          </w:p>
        </w:tc>
      </w:tr>
      <w:tr w:rsidR="007E63AA" w:rsidRPr="001E6700" w14:paraId="31C8501F" w14:textId="77777777" w:rsidTr="009668D3">
        <w:trPr>
          <w:jc w:val="center"/>
        </w:trPr>
        <w:tc>
          <w:tcPr>
            <w:tcW w:w="111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7F3D1E" w14:textId="6500F0F5" w:rsidR="004B68F8" w:rsidRPr="009668D3" w:rsidRDefault="00FB510D" w:rsidP="002D21BC">
            <w:pPr>
              <w:spacing w:before="20" w:after="2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Κ</m:t>
                    </m:r>
                    <m:ctrlPr>
                      <w:rPr>
                        <w:rFonts w:ascii="Cambria Math" w:hAnsi="Cambria Math" w:cs="Times New Roman"/>
                        <w:sz w:val="20"/>
                        <w:szCs w:val="20"/>
                      </w:rPr>
                    </m:ctrlPr>
                  </m:e>
                  <m:sub>
                    <m:r>
                      <w:rPr>
                        <w:rFonts w:ascii="Cambria Math" w:hAnsi="Cambria Math" w:cs="Times New Roman"/>
                        <w:sz w:val="20"/>
                        <w:szCs w:val="20"/>
                      </w:rPr>
                      <m:t>min</m:t>
                    </m:r>
                  </m:sub>
                </m:sSub>
              </m:oMath>
            </m:oMathPara>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58AED7"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Minimum acceptable carrying capacity for persistent canopy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38738D" w14:textId="77777777" w:rsidR="004B68F8" w:rsidRPr="009668D3" w:rsidRDefault="004B68F8" w:rsidP="002D21BC">
            <w:pPr>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0.5 K₀ scaled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B5D565" w14:textId="77777777" w:rsidR="004B68F8" w:rsidRPr="009668D3" w:rsidRDefault="004B68F8" w:rsidP="002D21BC">
            <w:pPr>
              <w:keepNext/>
              <w:spacing w:before="20" w:after="20" w:line="240" w:lineRule="auto"/>
              <w:jc w:val="both"/>
              <w:rPr>
                <w:rFonts w:ascii="Times New Roman" w:hAnsi="Times New Roman" w:cs="Times New Roman"/>
                <w:sz w:val="20"/>
                <w:szCs w:val="20"/>
              </w:rPr>
            </w:pPr>
            <w:r w:rsidRPr="009668D3">
              <w:rPr>
                <w:rFonts w:ascii="Times New Roman" w:hAnsi="Times New Roman" w:cs="Times New Roman"/>
                <w:sz w:val="20"/>
                <w:szCs w:val="20"/>
              </w:rPr>
              <w:t>Management threshold for persistent canopy degradation</w:t>
            </w:r>
          </w:p>
        </w:tc>
      </w:tr>
    </w:tbl>
    <w:p w14:paraId="498C1D00" w14:textId="77777777" w:rsidR="004B68F8" w:rsidRPr="009668D3" w:rsidRDefault="004B68F8" w:rsidP="002D21BC">
      <w:pPr>
        <w:spacing w:line="240" w:lineRule="auto"/>
        <w:jc w:val="both"/>
        <w:rPr>
          <w:rFonts w:ascii="Times New Roman" w:hAnsi="Times New Roman" w:cs="Times New Roman"/>
          <w:sz w:val="20"/>
          <w:szCs w:val="20"/>
        </w:rPr>
      </w:pPr>
    </w:p>
    <w:p w14:paraId="3FB8996A" w14:textId="39F85602"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References</w:t>
      </w:r>
    </w:p>
    <w:p w14:paraId="3B0B8CE2" w14:textId="7028C4BD"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Cornell, H. V., &amp; Hawkins, B. A. (1995). Survival patterns and mortality sources of herbivorous insects: Some demographic trends. </w:t>
      </w:r>
      <w:r w:rsidRPr="009668D3">
        <w:rPr>
          <w:rFonts w:ascii="Times New Roman" w:hAnsi="Times New Roman" w:cs="Times New Roman"/>
          <w:i/>
          <w:sz w:val="20"/>
          <w:szCs w:val="20"/>
        </w:rPr>
        <w:t>The American Naturalist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145</w:t>
      </w:r>
      <w:r w:rsidRPr="009668D3">
        <w:rPr>
          <w:rFonts w:ascii="Times New Roman" w:hAnsi="Times New Roman" w:cs="Times New Roman"/>
          <w:sz w:val="20"/>
          <w:szCs w:val="20"/>
        </w:rPr>
        <w:t xml:space="preserve">(4), 563–593. </w:t>
      </w:r>
      <w:hyperlink r:id="rId38" w:history="1">
        <w:r w:rsidRPr="001E6700">
          <w:rPr>
            <w:rStyle w:val="Hyperlink"/>
            <w:rFonts w:ascii="Times New Roman" w:hAnsi="Times New Roman" w:cs="Times New Roman"/>
            <w:sz w:val="20"/>
            <w:szCs w:val="20"/>
          </w:rPr>
          <w:t>https://doi.org/10.1086/285756</w:t>
        </w:r>
      </w:hyperlink>
    </w:p>
    <w:p w14:paraId="45287C30" w14:textId="6710696A"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Dolch, R., &amp; Tscharntke, T. (2000). Defoliation of alders (</w:t>
      </w:r>
      <w:r w:rsidRPr="009668D3">
        <w:rPr>
          <w:rFonts w:ascii="Times New Roman" w:hAnsi="Times New Roman" w:cs="Times New Roman"/>
          <w:i/>
          <w:sz w:val="20"/>
          <w:szCs w:val="20"/>
        </w:rPr>
        <w:t>Alnus glutinosa</w:t>
      </w:r>
      <w:r w:rsidRPr="009668D3">
        <w:rPr>
          <w:rFonts w:ascii="Times New Roman" w:hAnsi="Times New Roman" w:cs="Times New Roman"/>
          <w:sz w:val="20"/>
          <w:szCs w:val="20"/>
        </w:rPr>
        <w:t xml:space="preserve">) affects herbivory by leaf beetles on undamaged neighbours. </w:t>
      </w:r>
      <w:r w:rsidRPr="009668D3">
        <w:rPr>
          <w:rFonts w:ascii="Times New Roman" w:hAnsi="Times New Roman" w:cs="Times New Roman"/>
          <w:i/>
          <w:sz w:val="20"/>
          <w:szCs w:val="20"/>
        </w:rPr>
        <w:t>Oecologia</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125</w:t>
      </w:r>
      <w:r w:rsidRPr="009668D3">
        <w:rPr>
          <w:rFonts w:ascii="Times New Roman" w:hAnsi="Times New Roman" w:cs="Times New Roman"/>
          <w:sz w:val="20"/>
          <w:szCs w:val="20"/>
        </w:rPr>
        <w:t xml:space="preserve">(4), 504–511. </w:t>
      </w:r>
      <w:hyperlink r:id="rId39" w:history="1">
        <w:r w:rsidRPr="001E6700">
          <w:rPr>
            <w:rStyle w:val="Hyperlink"/>
            <w:rFonts w:ascii="Times New Roman" w:hAnsi="Times New Roman" w:cs="Times New Roman"/>
            <w:sz w:val="20"/>
            <w:szCs w:val="20"/>
          </w:rPr>
          <w:t>https://doi.org/10.1007/s004420000482</w:t>
        </w:r>
      </w:hyperlink>
    </w:p>
    <w:p w14:paraId="3D311F38" w14:textId="7BA8F0EE"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Ferretti, M., et al. (2021). Tree canopy defoliation can reveal growth decline in European forests. </w:t>
      </w:r>
      <w:r w:rsidRPr="009668D3">
        <w:rPr>
          <w:rFonts w:ascii="Times New Roman" w:hAnsi="Times New Roman" w:cs="Times New Roman"/>
          <w:i/>
          <w:sz w:val="20"/>
          <w:szCs w:val="20"/>
        </w:rPr>
        <w:t>Science of the Total Environment</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770</w:t>
      </w:r>
      <w:r w:rsidRPr="009668D3">
        <w:rPr>
          <w:rFonts w:ascii="Times New Roman" w:hAnsi="Times New Roman" w:cs="Times New Roman"/>
          <w:sz w:val="20"/>
          <w:szCs w:val="20"/>
        </w:rPr>
        <w:t xml:space="preserve">, 145370. </w:t>
      </w:r>
      <w:hyperlink r:id="rId40" w:history="1">
        <w:r w:rsidRPr="001E6700">
          <w:rPr>
            <w:rStyle w:val="Hyperlink"/>
            <w:rFonts w:ascii="Times New Roman" w:hAnsi="Times New Roman" w:cs="Times New Roman"/>
            <w:sz w:val="20"/>
            <w:szCs w:val="20"/>
          </w:rPr>
          <w:t>https://doi.org/10.1016/j.scitotenv.2021.145370</w:t>
        </w:r>
      </w:hyperlink>
    </w:p>
    <w:p w14:paraId="208782C2" w14:textId="1B2FCA1B"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Gregory, R. D., et al. (2007). The generation and use of bird population indicators in Europe. </w:t>
      </w:r>
      <w:r w:rsidRPr="009668D3">
        <w:rPr>
          <w:rFonts w:ascii="Times New Roman" w:hAnsi="Times New Roman" w:cs="Times New Roman"/>
          <w:i/>
          <w:sz w:val="20"/>
          <w:szCs w:val="20"/>
        </w:rPr>
        <w:t>Bird Conservation International</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17</w:t>
      </w:r>
      <w:r w:rsidRPr="009668D3">
        <w:rPr>
          <w:rFonts w:ascii="Times New Roman" w:hAnsi="Times New Roman" w:cs="Times New Roman"/>
          <w:sz w:val="20"/>
          <w:szCs w:val="20"/>
        </w:rPr>
        <w:t xml:space="preserve">(4), 305–321. </w:t>
      </w:r>
      <w:hyperlink r:id="rId41" w:history="1">
        <w:r w:rsidRPr="001E6700">
          <w:rPr>
            <w:rStyle w:val="Hyperlink"/>
            <w:rFonts w:ascii="Times New Roman" w:hAnsi="Times New Roman" w:cs="Times New Roman"/>
            <w:sz w:val="20"/>
            <w:szCs w:val="20"/>
          </w:rPr>
          <w:t>https://doi.org/10.1017/S0959270907000915</w:t>
        </w:r>
      </w:hyperlink>
    </w:p>
    <w:p w14:paraId="09B01709" w14:textId="13693A2A"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Hawkins, B. A. (1994). Pattern and process in host–parasitoid interactions. </w:t>
      </w:r>
      <w:r w:rsidRPr="009668D3">
        <w:rPr>
          <w:rFonts w:ascii="Times New Roman" w:hAnsi="Times New Roman" w:cs="Times New Roman"/>
          <w:i/>
          <w:sz w:val="20"/>
          <w:szCs w:val="20"/>
        </w:rPr>
        <w:t>Ecological Monographs</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64</w:t>
      </w:r>
      <w:r w:rsidRPr="009668D3">
        <w:rPr>
          <w:rFonts w:ascii="Times New Roman" w:hAnsi="Times New Roman" w:cs="Times New Roman"/>
          <w:sz w:val="20"/>
          <w:szCs w:val="20"/>
        </w:rPr>
        <w:t xml:space="preserve">(3), 297–323. </w:t>
      </w:r>
      <w:hyperlink r:id="rId42" w:history="1">
        <w:r w:rsidRPr="001E6700">
          <w:rPr>
            <w:rStyle w:val="Hyperlink"/>
            <w:rFonts w:ascii="Times New Roman" w:hAnsi="Times New Roman" w:cs="Times New Roman"/>
            <w:sz w:val="20"/>
            <w:szCs w:val="20"/>
          </w:rPr>
          <w:t>https://doi.org/10.2307/2937109</w:t>
        </w:r>
      </w:hyperlink>
    </w:p>
    <w:p w14:paraId="43705D7B" w14:textId="46E91441"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Mols, C. M. M., &amp; Visser, M. E. (2002). Great tits can reduce caterpillar damage in apple orchards. </w:t>
      </w:r>
      <w:r w:rsidRPr="009668D3">
        <w:rPr>
          <w:rFonts w:ascii="Times New Roman" w:hAnsi="Times New Roman" w:cs="Times New Roman"/>
          <w:i/>
          <w:sz w:val="20"/>
          <w:szCs w:val="20"/>
        </w:rPr>
        <w:t>Journal of Applied Ecology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39</w:t>
      </w:r>
      <w:r w:rsidRPr="009668D3">
        <w:rPr>
          <w:rFonts w:ascii="Times New Roman" w:hAnsi="Times New Roman" w:cs="Times New Roman"/>
          <w:sz w:val="20"/>
          <w:szCs w:val="20"/>
        </w:rPr>
        <w:t xml:space="preserve">(6), 888–899. </w:t>
      </w:r>
      <w:hyperlink r:id="rId43" w:history="1">
        <w:r w:rsidRPr="001E6700">
          <w:rPr>
            <w:rStyle w:val="Hyperlink"/>
            <w:rFonts w:ascii="Times New Roman" w:hAnsi="Times New Roman" w:cs="Times New Roman"/>
            <w:sz w:val="20"/>
            <w:szCs w:val="20"/>
          </w:rPr>
          <w:t>https://doi.org/10.1046/j.1365-2664.2002.00761.x</w:t>
        </w:r>
      </w:hyperlink>
    </w:p>
    <w:p w14:paraId="48BF0DC7" w14:textId="76BAE7E3"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Remmel, T., Davison, J., &amp; Tammaru, T. (2011). Quantifying predation on folivorous insect larvae: The perspective of life-history evolution. </w:t>
      </w:r>
      <w:r w:rsidRPr="009668D3">
        <w:rPr>
          <w:rFonts w:ascii="Times New Roman" w:hAnsi="Times New Roman" w:cs="Times New Roman"/>
          <w:i/>
          <w:sz w:val="20"/>
          <w:szCs w:val="20"/>
        </w:rPr>
        <w:t>Biological Journal of the Linnean Society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104</w:t>
      </w:r>
      <w:r w:rsidRPr="009668D3">
        <w:rPr>
          <w:rFonts w:ascii="Times New Roman" w:hAnsi="Times New Roman" w:cs="Times New Roman"/>
          <w:sz w:val="20"/>
          <w:szCs w:val="20"/>
        </w:rPr>
        <w:t xml:space="preserve">(1), 1–18. </w:t>
      </w:r>
      <w:hyperlink r:id="rId44" w:history="1">
        <w:r w:rsidRPr="001E6700">
          <w:rPr>
            <w:rStyle w:val="Hyperlink"/>
            <w:rFonts w:ascii="Times New Roman" w:hAnsi="Times New Roman" w:cs="Times New Roman"/>
            <w:sz w:val="20"/>
            <w:szCs w:val="20"/>
          </w:rPr>
          <w:t>https://doi.org/10.1111/j.1095-8312.2011.01721.x</w:t>
        </w:r>
      </w:hyperlink>
    </w:p>
    <w:p w14:paraId="648059D1" w14:textId="7B5EED57"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lang w:val="de-DE"/>
        </w:rPr>
        <w:t xml:space="preserve">Sivrikaya, R., Altun, N., &amp; Faiz, Ö. (2020). </w:t>
      </w:r>
      <w:r w:rsidRPr="009668D3">
        <w:rPr>
          <w:rFonts w:ascii="Times New Roman" w:hAnsi="Times New Roman" w:cs="Times New Roman"/>
          <w:sz w:val="20"/>
          <w:szCs w:val="20"/>
        </w:rPr>
        <w:t xml:space="preserve">Diet-mediated modulation on the development and phenoloxidase activity in the alder leaf beetle larvae, </w:t>
      </w:r>
      <w:r w:rsidRPr="009668D3">
        <w:rPr>
          <w:rFonts w:ascii="Times New Roman" w:hAnsi="Times New Roman" w:cs="Times New Roman"/>
          <w:i/>
          <w:sz w:val="20"/>
          <w:szCs w:val="20"/>
        </w:rPr>
        <w:t>Agelastica alni</w:t>
      </w:r>
      <w:r w:rsidRPr="009668D3">
        <w:rPr>
          <w:rFonts w:ascii="Times New Roman" w:hAnsi="Times New Roman" w:cs="Times New Roman"/>
          <w:sz w:val="20"/>
          <w:szCs w:val="20"/>
        </w:rPr>
        <w:t xml:space="preserve"> (L., 1758). </w:t>
      </w:r>
      <w:r w:rsidRPr="009668D3">
        <w:rPr>
          <w:rFonts w:ascii="Times New Roman" w:hAnsi="Times New Roman" w:cs="Times New Roman"/>
          <w:i/>
          <w:sz w:val="20"/>
          <w:szCs w:val="20"/>
        </w:rPr>
        <w:t>Turkish Journal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44</w:t>
      </w:r>
      <w:r w:rsidRPr="009668D3">
        <w:rPr>
          <w:rFonts w:ascii="Times New Roman" w:hAnsi="Times New Roman" w:cs="Times New Roman"/>
          <w:sz w:val="20"/>
          <w:szCs w:val="20"/>
        </w:rPr>
        <w:t xml:space="preserve">(2), 193–202. </w:t>
      </w:r>
      <w:hyperlink r:id="rId45" w:history="1">
        <w:r w:rsidRPr="001E6700">
          <w:rPr>
            <w:rStyle w:val="Hyperlink"/>
            <w:rFonts w:ascii="Times New Roman" w:hAnsi="Times New Roman" w:cs="Times New Roman"/>
            <w:sz w:val="20"/>
            <w:szCs w:val="20"/>
          </w:rPr>
          <w:t>https://doi.org/10.16970/entoted.600893</w:t>
        </w:r>
      </w:hyperlink>
    </w:p>
    <w:p w14:paraId="2B028E8E" w14:textId="03C428CE" w:rsidR="004B68F8" w:rsidRPr="009668D3" w:rsidRDefault="004B68F8"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Stireman, J. O., III, O'Hara, J. E., &amp; Wood, D. M. (2006). Tachinidae: Evolution, behavior, and ecology. </w:t>
      </w:r>
      <w:r w:rsidRPr="009668D3">
        <w:rPr>
          <w:rFonts w:ascii="Times New Roman" w:hAnsi="Times New Roman" w:cs="Times New Roman"/>
          <w:i/>
          <w:sz w:val="20"/>
          <w:szCs w:val="20"/>
        </w:rPr>
        <w:t>Annual Review of Entomology</w:t>
      </w:r>
      <w:r w:rsidRPr="009668D3">
        <w:rPr>
          <w:rFonts w:ascii="Times New Roman" w:hAnsi="Times New Roman" w:cs="Times New Roman"/>
          <w:sz w:val="20"/>
          <w:szCs w:val="20"/>
        </w:rPr>
        <w:t xml:space="preserve">, </w:t>
      </w:r>
      <w:r w:rsidRPr="009668D3">
        <w:rPr>
          <w:rFonts w:ascii="Times New Roman" w:hAnsi="Times New Roman" w:cs="Times New Roman"/>
          <w:i/>
          <w:sz w:val="20"/>
          <w:szCs w:val="20"/>
        </w:rPr>
        <w:t>51</w:t>
      </w:r>
      <w:r w:rsidRPr="009668D3">
        <w:rPr>
          <w:rFonts w:ascii="Times New Roman" w:hAnsi="Times New Roman" w:cs="Times New Roman"/>
          <w:sz w:val="20"/>
          <w:szCs w:val="20"/>
        </w:rPr>
        <w:t xml:space="preserve">, 525–555. </w:t>
      </w:r>
      <w:hyperlink r:id="rId46" w:history="1">
        <w:r w:rsidRPr="001E6700">
          <w:rPr>
            <w:rStyle w:val="Hyperlink"/>
            <w:rFonts w:ascii="Times New Roman" w:hAnsi="Times New Roman" w:cs="Times New Roman"/>
            <w:sz w:val="20"/>
            <w:szCs w:val="20"/>
          </w:rPr>
          <w:t>https://doi.org/10.1146/annurev.ento.51.110104.151133</w:t>
        </w:r>
      </w:hyperlink>
    </w:p>
    <w:p w14:paraId="78700F49" w14:textId="77777777" w:rsidR="004B68F8" w:rsidRPr="009668D3" w:rsidRDefault="004B68F8" w:rsidP="002D21BC">
      <w:pPr>
        <w:spacing w:line="240" w:lineRule="auto"/>
        <w:jc w:val="both"/>
        <w:rPr>
          <w:rFonts w:ascii="Times New Roman" w:hAnsi="Times New Roman" w:cs="Times New Roman"/>
          <w:sz w:val="20"/>
          <w:szCs w:val="20"/>
        </w:rPr>
      </w:pPr>
    </w:p>
    <w:p w14:paraId="3F86FDF8" w14:textId="77777777" w:rsidR="001212E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Annex 2: Stability Analyses</w:t>
      </w:r>
    </w:p>
    <w:p w14:paraId="50359467" w14:textId="222F3338" w:rsidR="000875CC" w:rsidRPr="009668D3" w:rsidRDefault="003517E3"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This annex </w:t>
      </w:r>
      <w:r w:rsidRPr="001E6700">
        <w:rPr>
          <w:rFonts w:ascii="Times New Roman" w:eastAsia="Times New Roman" w:hAnsi="Times New Roman" w:cs="Times New Roman"/>
          <w:sz w:val="20"/>
          <w:szCs w:val="20"/>
        </w:rPr>
        <w:t>provides</w:t>
      </w:r>
      <w:r w:rsidRPr="009668D3">
        <w:rPr>
          <w:rFonts w:ascii="Times New Roman" w:hAnsi="Times New Roman" w:cs="Times New Roman"/>
          <w:sz w:val="20"/>
          <w:szCs w:val="20"/>
        </w:rPr>
        <w:t xml:space="preserve"> the mathematical framework for stability analysis of the hybrid seasonal–annual eco-epidemic model </w:t>
      </w:r>
      <w:r w:rsidRPr="001E6700">
        <w:rPr>
          <w:rFonts w:ascii="Times New Roman" w:eastAsia="Times New Roman" w:hAnsi="Times New Roman" w:cs="Times New Roman"/>
          <w:sz w:val="20"/>
          <w:szCs w:val="20"/>
        </w:rPr>
        <w:t>from</w:t>
      </w:r>
      <w:r w:rsidRPr="009668D3">
        <w:rPr>
          <w:rFonts w:ascii="Times New Roman" w:hAnsi="Times New Roman" w:cs="Times New Roman"/>
          <w:sz w:val="20"/>
          <w:szCs w:val="20"/>
        </w:rPr>
        <w:t xml:space="preserve"> the main text (Equations 1-8). The </w:t>
      </w:r>
      <w:r w:rsidRPr="001E6700">
        <w:rPr>
          <w:rFonts w:ascii="Times New Roman" w:eastAsia="Times New Roman" w:hAnsi="Times New Roman" w:cs="Times New Roman"/>
          <w:sz w:val="20"/>
          <w:szCs w:val="20"/>
        </w:rPr>
        <w:t xml:space="preserve">system's </w:t>
      </w:r>
      <w:r w:rsidRPr="009668D3">
        <w:rPr>
          <w:rFonts w:ascii="Times New Roman" w:hAnsi="Times New Roman" w:cs="Times New Roman"/>
          <w:sz w:val="20"/>
          <w:szCs w:val="20"/>
        </w:rPr>
        <w:t xml:space="preserve">long-term stability </w:t>
      </w:r>
      <w:r w:rsidRPr="001E6700">
        <w:rPr>
          <w:rFonts w:ascii="Times New Roman" w:eastAsia="Times New Roman" w:hAnsi="Times New Roman" w:cs="Times New Roman"/>
          <w:sz w:val="20"/>
          <w:szCs w:val="20"/>
        </w:rPr>
        <w:t>depends on</w:t>
      </w:r>
      <w:r w:rsidRPr="009668D3">
        <w:rPr>
          <w:rFonts w:ascii="Times New Roman" w:hAnsi="Times New Roman" w:cs="Times New Roman"/>
          <w:sz w:val="20"/>
          <w:szCs w:val="20"/>
        </w:rPr>
        <w:t xml:space="preserve"> the annual recurrence map rather than the within-season </w:t>
      </w:r>
      <w:r w:rsidRPr="001E6700">
        <w:rPr>
          <w:rFonts w:ascii="Times New Roman" w:eastAsia="Times New Roman" w:hAnsi="Times New Roman" w:cs="Times New Roman"/>
          <w:sz w:val="20"/>
          <w:szCs w:val="20"/>
        </w:rPr>
        <w:t>ODEs alone.</w:t>
      </w:r>
      <w:r w:rsidRPr="009668D3">
        <w:rPr>
          <w:rFonts w:ascii="Times New Roman" w:hAnsi="Times New Roman" w:cs="Times New Roman"/>
          <w:sz w:val="20"/>
          <w:szCs w:val="20"/>
        </w:rPr>
        <w:t xml:space="preserve"> The within-season ODE (Equations 1-4) </w:t>
      </w:r>
      <w:r w:rsidRPr="001E6700">
        <w:rPr>
          <w:rFonts w:ascii="Times New Roman" w:eastAsia="Times New Roman" w:hAnsi="Times New Roman" w:cs="Times New Roman"/>
          <w:sz w:val="20"/>
          <w:szCs w:val="20"/>
        </w:rPr>
        <w:t xml:space="preserve">models </w:t>
      </w:r>
      <w:r w:rsidRPr="009668D3">
        <w:rPr>
          <w:rFonts w:ascii="Times New Roman" w:hAnsi="Times New Roman" w:cs="Times New Roman"/>
          <w:sz w:val="20"/>
          <w:szCs w:val="20"/>
        </w:rPr>
        <w:t xml:space="preserve">processes over a finite interval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w:t>
      </w:r>
      <w:r w:rsidRPr="001E6700">
        <w:rPr>
          <w:rFonts w:ascii="Times New Roman" w:eastAsia="Times New Roman" w:hAnsi="Times New Roman" w:cs="Times New Roman"/>
          <w:sz w:val="20"/>
          <w:szCs w:val="20"/>
        </w:rPr>
        <w:t>], producing</w:t>
      </w:r>
      <w:r w:rsidRPr="009668D3">
        <w:rPr>
          <w:rFonts w:ascii="Times New Roman" w:hAnsi="Times New Roman" w:cs="Times New Roman"/>
          <w:sz w:val="20"/>
          <w:szCs w:val="20"/>
        </w:rPr>
        <w:t xml:space="preserve"> pseudo-equilibria</w:t>
      </w:r>
      <w:r w:rsidRPr="001E6700">
        <w:rPr>
          <w:rFonts w:ascii="Times New Roman" w:eastAsia="Times New Roman" w:hAnsi="Times New Roman" w:cs="Times New Roman"/>
          <w:sz w:val="20"/>
          <w:szCs w:val="20"/>
        </w:rPr>
        <w:t xml:space="preserve"> that are</w:t>
      </w:r>
      <w:r w:rsidRPr="009668D3">
        <w:rPr>
          <w:rFonts w:ascii="Times New Roman" w:hAnsi="Times New Roman" w:cs="Times New Roman"/>
          <w:sz w:val="20"/>
          <w:szCs w:val="20"/>
        </w:rPr>
        <w:t xml:space="preserve"> not ecologically relevant since the system </w:t>
      </w:r>
      <w:r w:rsidRPr="001E6700">
        <w:rPr>
          <w:rFonts w:ascii="Times New Roman" w:eastAsia="Times New Roman" w:hAnsi="Times New Roman" w:cs="Times New Roman"/>
          <w:sz w:val="20"/>
          <w:szCs w:val="20"/>
        </w:rPr>
        <w:t>resets</w:t>
      </w:r>
      <w:r w:rsidRPr="009668D3">
        <w:rPr>
          <w:rFonts w:ascii="Times New Roman" w:hAnsi="Times New Roman" w:cs="Times New Roman"/>
          <w:sz w:val="20"/>
          <w:szCs w:val="20"/>
        </w:rPr>
        <w:t xml:space="preserve"> annually through recruitment, overwinter survival, and foliage recovery (Equations 5-8). Multi-year dynamic</w:t>
      </w:r>
      <w:r w:rsidRPr="001E6700">
        <w:rPr>
          <w:rFonts w:ascii="Times New Roman" w:eastAsia="Times New Roman" w:hAnsi="Times New Roman" w:cs="Times New Roman"/>
          <w:sz w:val="20"/>
          <w:szCs w:val="20"/>
        </w:rPr>
        <w:t xml:space="preserve">s, </w:t>
      </w:r>
      <w:r w:rsidRPr="009668D3">
        <w:rPr>
          <w:rFonts w:ascii="Times New Roman" w:hAnsi="Times New Roman" w:cs="Times New Roman"/>
          <w:sz w:val="20"/>
          <w:szCs w:val="20"/>
        </w:rPr>
        <w:t xml:space="preserve">including </w:t>
      </w:r>
      <w:r w:rsidRPr="001E6700">
        <w:rPr>
          <w:rFonts w:ascii="Times New Roman" w:eastAsia="Times New Roman" w:hAnsi="Times New Roman" w:cs="Times New Roman"/>
          <w:sz w:val="20"/>
          <w:szCs w:val="20"/>
        </w:rPr>
        <w:t>outbreaks</w:t>
      </w:r>
      <w:r w:rsidRPr="009668D3">
        <w:rPr>
          <w:rFonts w:ascii="Times New Roman" w:hAnsi="Times New Roman" w:cs="Times New Roman"/>
          <w:sz w:val="20"/>
          <w:szCs w:val="20"/>
        </w:rPr>
        <w:t>, parasitoid persistence, and tipping risk,</w:t>
      </w:r>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are governed by the annual map.</w:t>
      </w:r>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 xml:space="preserve">The Jacobian </w:t>
      </w:r>
      <w:r w:rsidRPr="001E6700">
        <w:rPr>
          <w:rFonts w:ascii="Times New Roman" w:eastAsia="Times New Roman" w:hAnsi="Times New Roman" w:cs="Times New Roman"/>
          <w:sz w:val="20"/>
          <w:szCs w:val="20"/>
        </w:rPr>
        <w:t>of this map,</w:t>
      </w:r>
      <w:r w:rsidRPr="009668D3">
        <w:rPr>
          <w:rFonts w:ascii="Times New Roman" w:hAnsi="Times New Roman" w:cs="Times New Roman"/>
          <w:sz w:val="20"/>
          <w:szCs w:val="20"/>
        </w:rPr>
        <w:t xml:space="preserve"> parasitoid invasion threshold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P</m:t>
            </m:r>
          </m:sub>
        </m:sSub>
      </m:oMath>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 xml:space="preserve"> as an eigenvalue of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J</m:t>
            </m:r>
          </m:e>
          <m:sub>
            <m:r>
              <w:rPr>
                <w:rFonts w:ascii="Cambria Math" w:eastAsia="Times New Roman" w:hAnsi="Cambria Math" w:cs="Times New Roman"/>
                <w:sz w:val="20"/>
                <w:szCs w:val="20"/>
              </w:rPr>
              <m:t>G</m:t>
            </m:r>
          </m:sub>
        </m:sSub>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stability criteria (spectral radius </w:t>
      </w:r>
      <w:r w:rsidRPr="001E6700">
        <w:rPr>
          <w:rFonts w:ascii="Times New Roman" w:eastAsia="Times New Roman" w:hAnsi="Times New Roman" w:cs="Times New Roman"/>
          <w:sz w:val="20"/>
          <w:szCs w:val="20"/>
        </w:rPr>
        <w:t>&lt;1</w:t>
      </w:r>
      <w:r w:rsidRPr="009668D3">
        <w:rPr>
          <w:rFonts w:ascii="Times New Roman" w:hAnsi="Times New Roman" w:cs="Times New Roman"/>
          <w:sz w:val="20"/>
          <w:szCs w:val="20"/>
        </w:rPr>
        <w:t xml:space="preserve">), and bifurcation conditions (eigenvalue crossing the unit circle) are derived analytically. </w:t>
      </w:r>
      <w:r w:rsidRPr="001E6700">
        <w:rPr>
          <w:rFonts w:ascii="Times New Roman" w:eastAsia="Times New Roman" w:hAnsi="Times New Roman" w:cs="Times New Roman"/>
          <w:sz w:val="20"/>
          <w:szCs w:val="20"/>
        </w:rPr>
        <w:t>The</w:t>
      </w:r>
      <w:r w:rsidRPr="009668D3">
        <w:rPr>
          <w:rFonts w:ascii="Times New Roman" w:hAnsi="Times New Roman" w:cs="Times New Roman"/>
          <w:sz w:val="20"/>
          <w:szCs w:val="20"/>
        </w:rPr>
        <w:t xml:space="preserve"> seasonal flow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Φ</m:t>
            </m:r>
          </m:e>
          <m:sub>
            <m:r>
              <w:rPr>
                <w:rFonts w:ascii="Cambria Math" w:eastAsia="Times New Roman" w:hAnsi="Cambria Math" w:cs="Times New Roman"/>
                <w:sz w:val="20"/>
                <w:szCs w:val="20"/>
              </w:rPr>
              <m:t>T</m:t>
            </m:r>
          </m:sub>
        </m:sSub>
      </m:oMath>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 xml:space="preserve"> and derivatives</w:t>
      </w:r>
      <w:r w:rsidRPr="001E6700">
        <w:rPr>
          <w:rFonts w:ascii="Times New Roman" w:eastAsia="Times New Roman" w:hAnsi="Times New Roman" w:cs="Times New Roman"/>
          <w:sz w:val="20"/>
          <w:szCs w:val="20"/>
        </w:rPr>
        <w:t>, due to nonlinear Holling Type II responses,</w:t>
      </w:r>
      <w:r w:rsidRPr="009668D3">
        <w:rPr>
          <w:rFonts w:ascii="Times New Roman" w:hAnsi="Times New Roman" w:cs="Times New Roman"/>
          <w:sz w:val="20"/>
          <w:szCs w:val="20"/>
        </w:rPr>
        <w:t xml:space="preserve"> are evaluated numerically, combining analytic</w:t>
      </w:r>
      <w:r w:rsidRPr="001E6700">
        <w:rPr>
          <w:rFonts w:ascii="Times New Roman" w:eastAsia="Times New Roman" w:hAnsi="Times New Roman" w:cs="Times New Roman"/>
          <w:sz w:val="20"/>
          <w:szCs w:val="20"/>
        </w:rPr>
        <w:t>al</w:t>
      </w:r>
      <w:r w:rsidRPr="009668D3">
        <w:rPr>
          <w:rFonts w:ascii="Times New Roman" w:hAnsi="Times New Roman" w:cs="Times New Roman"/>
          <w:sz w:val="20"/>
          <w:szCs w:val="20"/>
        </w:rPr>
        <w:t xml:space="preserve"> stability conditions with numerical </w:t>
      </w:r>
      <w:r w:rsidRPr="001E6700">
        <w:rPr>
          <w:rFonts w:ascii="Times New Roman" w:eastAsia="Times New Roman" w:hAnsi="Times New Roman" w:cs="Times New Roman"/>
          <w:sz w:val="20"/>
          <w:szCs w:val="20"/>
        </w:rPr>
        <w:t xml:space="preserve">methods, </w:t>
      </w:r>
      <w:r w:rsidRPr="009668D3">
        <w:rPr>
          <w:rFonts w:ascii="Times New Roman" w:hAnsi="Times New Roman" w:cs="Times New Roman"/>
          <w:sz w:val="20"/>
          <w:szCs w:val="20"/>
        </w:rPr>
        <w:t xml:space="preserve"> standard for hybrid eco-epidemic models (Kot, 2001; Kuznetsov, 2004).</w:t>
      </w:r>
      <w:r w:rsidRPr="001E6700">
        <w:rPr>
          <w:rFonts w:ascii="Times New Roman" w:eastAsia="Times New Roman" w:hAnsi="Times New Roman" w:cs="Times New Roman"/>
          <w:sz w:val="20"/>
          <w:szCs w:val="20"/>
        </w:rPr>
        <w:t xml:space="preserve"> The analysis follows a ten-step framework linked to specific mathematical principles.</w:t>
      </w:r>
      <w:r w:rsidR="000875CC" w:rsidRPr="001E6700">
        <w:rPr>
          <w:rFonts w:ascii="Times New Roman" w:eastAsia="Times New Roman" w:hAnsi="Times New Roman" w:cs="Times New Roman"/>
          <w:sz w:val="20"/>
          <w:szCs w:val="20"/>
        </w:rPr>
        <w:t>models (Kot, 2001; Kuznetsov, 2004</w:t>
      </w:r>
      <w:r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The</w:t>
      </w:r>
      <w:r w:rsidR="000875CC" w:rsidRPr="009668D3">
        <w:rPr>
          <w:rFonts w:ascii="Times New Roman" w:hAnsi="Times New Roman" w:cs="Times New Roman"/>
          <w:sz w:val="20"/>
          <w:szCs w:val="20"/>
        </w:rPr>
        <w:t xml:space="preserve"> analysis proceeds through a ten-step framework, each anchored to the specific theorem, criterion, or mathematical principle that it employs.</w:t>
      </w:r>
    </w:p>
    <w:p w14:paraId="2122137E" w14:textId="77777777" w:rsidR="00977094"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1: Definition of the annual state and the seasonal flow operator</w:t>
      </w:r>
      <w:r w:rsidR="00977094" w:rsidRPr="009668D3">
        <w:rPr>
          <w:rFonts w:ascii="Times New Roman" w:hAnsi="Times New Roman" w:cs="Times New Roman"/>
          <w:sz w:val="20"/>
          <w:szCs w:val="20"/>
        </w:rPr>
        <w:t>:</w:t>
      </w:r>
    </w:p>
    <w:p w14:paraId="2C5F6BD8" w14:textId="7B47E9E6"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annual state vector is defined as </w:t>
      </w:r>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vertAlign w:val="subscript"/>
              </w:rPr>
              <m:t>t</m:t>
            </m:r>
          </m:sub>
        </m:sSub>
        <m:r>
          <m:rPr>
            <m:scr m:val="double-struck"/>
          </m:rPr>
          <w:rPr>
            <w:rFonts w:ascii="Cambria Math" w:hAnsi="Cambria Math" w:cs="Times New Roman"/>
            <w:sz w:val="20"/>
            <w:szCs w:val="20"/>
          </w:rPr>
          <m:t>) ∈ R³₊</m:t>
        </m:r>
      </m:oMath>
      <w:r w:rsidRPr="009668D3">
        <w:rPr>
          <w:rFonts w:ascii="Times New Roman" w:hAnsi="Times New Roman" w:cs="Times New Roman"/>
          <w:sz w:val="20"/>
          <w:szCs w:val="20"/>
        </w:rPr>
        <w:t>, representing, respectively, the recruiting beetle cohort (individuals ha⁻¹), the overwintering parasitoid population (individuals ha⁻¹), and the implicit alder carrying capacity (individuals ha⁻¹) at the start of year t.</w:t>
      </w:r>
    </w:p>
    <w:p w14:paraId="63B8FDC1" w14:textId="07CCBE11"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within-season ordinary differential equation system (Equations 1</w:t>
      </w:r>
      <w:r w:rsidR="00740A54" w:rsidRPr="009668D3">
        <w:rPr>
          <w:rFonts w:ascii="Times New Roman" w:hAnsi="Times New Roman" w:cs="Times New Roman"/>
          <w:sz w:val="20"/>
          <w:szCs w:val="20"/>
        </w:rPr>
        <w:t>-</w:t>
      </w:r>
      <w:r w:rsidRPr="009668D3">
        <w:rPr>
          <w:rFonts w:ascii="Times New Roman" w:hAnsi="Times New Roman" w:cs="Times New Roman"/>
          <w:sz w:val="20"/>
          <w:szCs w:val="20"/>
        </w:rPr>
        <w:t xml:space="preserve">4 of the main text) defines a continuous-time dynamical system over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where T is the duration of the larval vulnerability window. This system operates on the within-season state vector </w:t>
      </w:r>
      <m:oMath>
        <m:r>
          <w:rPr>
            <w:rFonts w:ascii="Cambria Math" w:hAnsi="Cambria Math" w:cs="Times New Roman"/>
            <w:sz w:val="20"/>
            <w:szCs w:val="20"/>
          </w:rPr>
          <m:t>y(τ) = (S(τ), I(τ), F(τ), D(τ))ᵀ</m:t>
        </m:r>
      </m:oMath>
      <w:r w:rsidRPr="009668D3">
        <w:rPr>
          <w:rFonts w:ascii="Times New Roman" w:hAnsi="Times New Roman" w:cs="Times New Roman"/>
          <w:sz w:val="20"/>
          <w:szCs w:val="20"/>
        </w:rPr>
        <w:t xml:space="preserve">, where S is susceptible larval density, </w:t>
      </w:r>
      <m:oMath>
        <m:r>
          <w:rPr>
            <w:rFonts w:ascii="Cambria Math" w:eastAsia="Times New Roman" w:hAnsi="Cambria Math" w:cs="Times New Roman"/>
            <w:sz w:val="20"/>
            <w:szCs w:val="20"/>
          </w:rPr>
          <m:t>I(τ)</m:t>
        </m:r>
      </m:oMath>
      <w:r w:rsidRPr="009668D3">
        <w:rPr>
          <w:rFonts w:ascii="Times New Roman" w:hAnsi="Times New Roman" w:cs="Times New Roman"/>
          <w:sz w:val="20"/>
          <w:szCs w:val="20"/>
        </w:rPr>
        <w:t xml:space="preserve"> is parasitised larval density, F is adult parasitoid density, and D is cumulative defoliation damage.</w:t>
      </w:r>
    </w:p>
    <w:p w14:paraId="4AEBCF7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seasonal flow operator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maps initial conditions and parameters to terminal states:</w:t>
      </w:r>
    </w:p>
    <w:p w14:paraId="5383202F" w14:textId="35EAF5FF" w:rsidR="000875CC" w:rsidRPr="009668D3" w:rsidRDefault="00740A54" w:rsidP="002D21BC">
      <w:pPr>
        <w:tabs>
          <w:tab w:val="right" w:pos="9026"/>
        </w:tabs>
        <w:spacing w:before="160" w:line="240" w:lineRule="auto"/>
        <w:jc w:val="both"/>
        <w:rPr>
          <w:rFonts w:ascii="Times New Roman" w:hAnsi="Times New Roman" w:cs="Times New Roman"/>
          <w:sz w:val="20"/>
          <w:szCs w:val="20"/>
        </w:rPr>
      </w:pPr>
      <m:oMath>
        <m:r>
          <w:rPr>
            <w:rFonts w:ascii="Cambria Math" w:hAnsi="Cambria Math" w:cs="Times New Roman"/>
            <w:sz w:val="20"/>
            <w:szCs w:val="20"/>
          </w:rPr>
          <m:t>(S(T), I(T), F(T), D(T)) = Φₜ(S(0), I(0), F(0), D(0); Bₜ, θ, u(·))</m:t>
        </m:r>
      </m:oMath>
      <w:r w:rsidR="000875CC" w:rsidRPr="009668D3">
        <w:rPr>
          <w:rFonts w:ascii="Times New Roman" w:hAnsi="Times New Roman" w:cs="Times New Roman"/>
          <w:sz w:val="20"/>
          <w:szCs w:val="20"/>
        </w:rPr>
        <w:tab/>
        <w:t>(12)</w:t>
      </w:r>
    </w:p>
    <w:p w14:paraId="687692FF" w14:textId="0DBC316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Here, θ represents the vector of biological parameters and </w:t>
      </w:r>
      <m:oMath>
        <m:r>
          <w:rPr>
            <w:rFonts w:ascii="Cambria Math" w:eastAsia="Times New Roman" w:hAnsi="Cambria Math" w:cs="Times New Roman"/>
            <w:sz w:val="20"/>
            <w:szCs w:val="20"/>
          </w:rPr>
          <m:t>u(·) = (u</m:t>
        </m:r>
        <m:r>
          <w:rPr>
            <w:rFonts w:ascii="Cambria Math" w:eastAsia="Cambria Math" w:hAnsi="Cambria Math" w:cs="Times New Roman"/>
            <w:sz w:val="20"/>
            <w:szCs w:val="20"/>
            <w:vertAlign w:val="subscript"/>
          </w:rPr>
          <m:t>P</m:t>
        </m:r>
        <m:r>
          <w:rPr>
            <w:rFonts w:ascii="Cambria Math" w:eastAsia="Times New Roman" w:hAnsi="Cambria Math" w:cs="Times New Roman"/>
            <w:sz w:val="20"/>
            <w:szCs w:val="20"/>
          </w:rPr>
          <m:t>(τ), u</m:t>
        </m:r>
        <m:r>
          <w:rPr>
            <w:rFonts w:ascii="Cambria Math" w:eastAsia="Cambria Math" w:hAnsi="Cambria Math" w:cs="Times New Roman"/>
            <w:sz w:val="20"/>
            <w:szCs w:val="20"/>
            <w:vertAlign w:val="subscript"/>
          </w:rPr>
          <m:t>C</m:t>
        </m:r>
        <m:r>
          <w:rPr>
            <w:rFonts w:ascii="Cambria Math" w:eastAsia="Times New Roman" w:hAnsi="Cambria Math" w:cs="Times New Roman"/>
            <w:sz w:val="20"/>
            <w:szCs w:val="20"/>
          </w:rPr>
          <m:t>(τ))</m:t>
        </m:r>
      </m:oMath>
      <w:r w:rsidRPr="009668D3">
        <w:rPr>
          <w:rFonts w:ascii="Times New Roman" w:hAnsi="Times New Roman" w:cs="Times New Roman"/>
          <w:sz w:val="20"/>
          <w:szCs w:val="20"/>
        </w:rPr>
        <w:t xml:space="preserve"> specifies the within-season control profiles. The initial conditions are determined by the annual state via Equation (5):</w:t>
      </w:r>
    </w:p>
    <w:p w14:paraId="27F23E5E" w14:textId="64D7F300" w:rsidR="000875CC" w:rsidRPr="009668D3" w:rsidRDefault="00740A54" w:rsidP="002D21BC">
      <w:pPr>
        <w:spacing w:before="160" w:line="240" w:lineRule="auto"/>
        <w:jc w:val="both"/>
        <w:rPr>
          <w:rFonts w:ascii="Times New Roman" w:hAnsi="Times New Roman" w:cs="Times New Roman"/>
          <w:sz w:val="20"/>
          <w:szCs w:val="20"/>
        </w:rPr>
      </w:pPr>
      <m:oMathPara>
        <m:oMath>
          <m:r>
            <w:rPr>
              <w:rFonts w:ascii="Cambria Math" w:hAnsi="Cambria Math" w:cs="Times New Roman"/>
              <w:sz w:val="20"/>
              <w:szCs w:val="20"/>
            </w:rPr>
            <m:t xml:space="preserve">S(0) = </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(R</m:t>
              </m:r>
            </m:e>
            <m:sub>
              <m:r>
                <w:rPr>
                  <w:rFonts w:ascii="Cambria Math" w:eastAsia="Cambria Math" w:hAnsi="Cambria Math" w:cs="Times New Roman"/>
                  <w:sz w:val="20"/>
                  <w:szCs w:val="20"/>
                </w:rPr>
                <m:t>B</m:t>
              </m:r>
            </m:sub>
          </m:sSub>
          <m:r>
            <w:rPr>
              <w:rFonts w:ascii="Cambria Math" w:hAnsi="Cambria Math" w:cs="Times New Roman"/>
              <w:sz w:val="20"/>
              <w:szCs w:val="20"/>
            </w:rPr>
            <m:t xml:space="preserve"> A</m:t>
          </m:r>
          <m:r>
            <w:rPr>
              <w:rFonts w:ascii="Cambria Math" w:eastAsia="Cambria Math" w:hAnsi="Cambria Math" w:cs="Times New Roman"/>
              <w:sz w:val="20"/>
              <w:szCs w:val="20"/>
            </w:rPr>
            <m:t>ₜ)/(</m:t>
          </m:r>
          <m:r>
            <w:rPr>
              <w:rFonts w:ascii="Cambria Math" w:hAnsi="Cambria Math" w:cs="Times New Roman"/>
              <w:sz w:val="20"/>
              <w:szCs w:val="20"/>
            </w:rPr>
            <m:t xml:space="preserve">1 </m:t>
          </m:r>
          <m:r>
            <w:rPr>
              <w:rFonts w:ascii="Cambria Math" w:eastAsia="Cambria Math" w:hAnsi="Cambria Math" w:cs="Times New Roman"/>
              <w:sz w:val="20"/>
              <w:szCs w:val="20"/>
            </w:rPr>
            <m:t>+(</m:t>
          </m:r>
          <m:r>
            <w:rPr>
              <w:rFonts w:ascii="Cambria Math" w:hAnsi="Cambria Math" w:cs="Times New Roman"/>
              <w:sz w:val="20"/>
              <w:szCs w:val="20"/>
            </w:rPr>
            <m:t>Aₜ/K</m:t>
          </m:r>
          <m:r>
            <w:rPr>
              <w:rFonts w:ascii="Cambria Math" w:eastAsia="Cambria Math" w:hAnsi="Cambria Math" w:cs="Times New Roman"/>
              <w:sz w:val="20"/>
              <w:szCs w:val="20"/>
            </w:rPr>
            <m:t>ₜ )) ,</m:t>
          </m:r>
          <m:r>
            <w:rPr>
              <w:rFonts w:ascii="Cambria Math" w:hAnsi="Cambria Math" w:cs="Times New Roman"/>
              <w:sz w:val="20"/>
              <w:szCs w:val="20"/>
            </w:rPr>
            <m:t xml:space="preserve">   I(0) = 0,   F(0) = Fₜ,   D(0) = 0</m:t>
          </m:r>
        </m:oMath>
      </m:oMathPara>
    </w:p>
    <w:p w14:paraId="134F6E0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forward-invariant domain on which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operates is:</w:t>
      </w:r>
    </w:p>
    <w:p w14:paraId="693D8A4A" w14:textId="776E79F5" w:rsidR="000875CC" w:rsidRPr="009668D3" w:rsidRDefault="00740A54" w:rsidP="002D21BC">
      <w:pPr>
        <w:spacing w:before="160" w:line="240" w:lineRule="auto"/>
        <w:jc w:val="both"/>
        <w:rPr>
          <w:rFonts w:ascii="Times New Roman" w:hAnsi="Times New Roman" w:cs="Times New Roman"/>
          <w:sz w:val="20"/>
          <w:szCs w:val="20"/>
        </w:rPr>
      </w:pPr>
      <m:oMathPara>
        <m:oMath>
          <m:r>
            <w:rPr>
              <w:rFonts w:ascii="Cambria Math" w:hAnsi="Cambria Math" w:cs="Times New Roman"/>
              <w:sz w:val="20"/>
              <w:szCs w:val="20"/>
            </w:rPr>
            <m:t>Ω = {(S, I, F, D</m:t>
          </m:r>
          <m:r>
            <m:rPr>
              <m:scr m:val="double-struck"/>
            </m:rPr>
            <w:rPr>
              <w:rFonts w:ascii="Cambria Math" w:hAnsi="Cambria Math" w:cs="Times New Roman"/>
              <w:sz w:val="20"/>
              <w:szCs w:val="20"/>
            </w:rPr>
            <m:t xml:space="preserve">) ∈ R⁴ : </m:t>
          </m:r>
          <m:r>
            <w:rPr>
              <w:rFonts w:ascii="Cambria Math" w:hAnsi="Cambria Math" w:cs="Times New Roman"/>
              <w:sz w:val="20"/>
              <w:szCs w:val="20"/>
            </w:rPr>
            <m:t>S ≥ 0, I ≥ 0, F ≥ 0, D ≥ 0}</m:t>
          </m:r>
        </m:oMath>
      </m:oMathPara>
    </w:p>
    <w:p w14:paraId="78EF211B"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Theorem used: Picard–Lindelöf (Cauchy–Lipschitz) existence and uniqueness theorem.</w:t>
      </w:r>
    </w:p>
    <w:p w14:paraId="08D5FC0D" w14:textId="28D0E58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Statement</w:t>
      </w:r>
      <w:r w:rsidRPr="009668D3">
        <w:rPr>
          <w:rFonts w:ascii="Times New Roman" w:hAnsi="Times New Roman" w:cs="Times New Roman"/>
          <w:sz w:val="20"/>
          <w:szCs w:val="20"/>
        </w:rPr>
        <w:t xml:space="preserve"> (Hartman, 1964, Theorem II.1.1; Coddington and Levinson, 1955, Theorem 2.2): If f(y) is locally Lipschitz continuous in y on an open set </w:t>
      </w:r>
      <m:oMath>
        <m:r>
          <w:rPr>
            <w:rFonts w:ascii="Cambria Math" w:eastAsia="Times New Roman" w:hAnsi="Cambria Math" w:cs="Times New Roman"/>
            <w:sz w:val="20"/>
            <w:szCs w:val="20"/>
          </w:rPr>
          <m:t>U</m:t>
        </m:r>
        <m:r>
          <m:rPr>
            <m:scr m:val="double-struck"/>
          </m:rPr>
          <w:rPr>
            <w:rFonts w:ascii="Cambria Math" w:eastAsia="Times New Roman" w:hAnsi="Cambria Math" w:cs="Times New Roman"/>
            <w:sz w:val="20"/>
            <w:szCs w:val="20"/>
          </w:rPr>
          <m:t xml:space="preserve"> ⊆ Rⁿ</m:t>
        </m:r>
      </m:oMath>
      <w:r w:rsidRPr="009668D3">
        <w:rPr>
          <w:rFonts w:ascii="Times New Roman" w:hAnsi="Times New Roman" w:cs="Times New Roman"/>
          <w:sz w:val="20"/>
          <w:szCs w:val="20"/>
        </w:rPr>
        <w:t xml:space="preserve">, then for each </w:t>
      </w:r>
      <w:r w:rsidR="00710C88" w:rsidRPr="009668D3">
        <w:rPr>
          <w:rFonts w:ascii="Times New Roman" w:hAnsi="Times New Roman" w:cs="Times New Roman"/>
          <w:sz w:val="20"/>
          <w:szCs w:val="20"/>
        </w:rPr>
        <w:t xml:space="preserve">y₀ </w:t>
      </w:r>
      <w:r w:rsidR="00710C88" w:rsidRPr="009668D3">
        <w:rPr>
          <w:rFonts w:ascii="Cambria Math" w:hAnsi="Cambria Math" w:cs="Cambria Math"/>
          <w:sz w:val="20"/>
          <w:szCs w:val="20"/>
        </w:rPr>
        <w:t>∈</w:t>
      </w:r>
      <w:r w:rsidR="00710C88" w:rsidRPr="009668D3">
        <w:rPr>
          <w:rFonts w:ascii="Times New Roman" w:hAnsi="Times New Roman" w:cs="Times New Roman"/>
          <w:sz w:val="20"/>
          <w:szCs w:val="20"/>
        </w:rPr>
        <w:t xml:space="preserve"> U</w:t>
      </w:r>
      <w:r w:rsidRPr="009668D3">
        <w:rPr>
          <w:rFonts w:ascii="Times New Roman" w:hAnsi="Times New Roman" w:cs="Times New Roman"/>
          <w:sz w:val="20"/>
          <w:szCs w:val="20"/>
        </w:rPr>
        <w:t xml:space="preserve"> the initial value problem y′ = f(y), y(0) = y₀ has a unique local solution.</w:t>
      </w:r>
    </w:p>
    <w:p w14:paraId="1433404A"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Application.</w:t>
      </w:r>
    </w:p>
    <w:p w14:paraId="0D3607E4" w14:textId="05DE46EE"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right-hand side </w:t>
      </w:r>
      <m:oMath>
        <m:r>
          <w:rPr>
            <w:rFonts w:ascii="Cambria Math" w:eastAsia="Times New Roman" w:hAnsi="Cambria Math" w:cs="Times New Roman"/>
            <w:sz w:val="20"/>
            <w:szCs w:val="20"/>
          </w:rPr>
          <m:t xml:space="preserve">f(y; θ,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B</m:t>
            </m:r>
          </m:e>
          <m:sub>
            <m:r>
              <w:rPr>
                <w:rFonts w:ascii="Cambria Math" w:eastAsia="Cambria Math" w:hAnsi="Cambria Math" w:cs="Times New Roman"/>
                <w:sz w:val="20"/>
                <w:szCs w:val="20"/>
                <w:vertAlign w:val="subscript"/>
              </w:rPr>
              <m:t>t</m:t>
            </m:r>
          </m:sub>
        </m:sSub>
        <m:r>
          <w:rPr>
            <w:rFonts w:ascii="Cambria Math" w:eastAsia="Times New Roman" w:hAnsi="Cambria Math" w:cs="Times New Roman"/>
            <w:sz w:val="20"/>
            <w:szCs w:val="20"/>
          </w:rPr>
          <m:t>)</m:t>
        </m:r>
      </m:oMath>
      <w:r w:rsidRPr="009668D3">
        <w:rPr>
          <w:rFonts w:ascii="Times New Roman" w:hAnsi="Times New Roman" w:cs="Times New Roman"/>
          <w:sz w:val="20"/>
          <w:szCs w:val="20"/>
        </w:rPr>
        <w:t xml:space="preserve"> of Equations (1)–(4) contains two rational terms with denominators </w:t>
      </w:r>
      <m:oMath>
        <m:r>
          <w:rPr>
            <w:rFonts w:ascii="Cambria Math" w:eastAsia="Times New Roman" w:hAnsi="Cambria Math" w:cs="Times New Roman"/>
            <w:sz w:val="20"/>
            <w:szCs w:val="20"/>
          </w:rPr>
          <m:t xml:space="preserve">(1 + </m:t>
        </m:r>
        <m:r>
          <w:rPr>
            <w:rFonts w:ascii="Cambria Math" w:eastAsia="Times New Roman" w:hAnsi="Cambria Math" w:cs="Times New Roman"/>
            <w:sz w:val="20"/>
            <w:szCs w:val="20"/>
          </w:rPr>
          <m:t>h×S)</m:t>
        </m:r>
      </m:oMath>
      <w:r w:rsidRPr="009668D3">
        <w:rPr>
          <w:rFonts w:ascii="Times New Roman" w:hAnsi="Times New Roman" w:cs="Times New Roman"/>
          <w:sz w:val="20"/>
          <w:szCs w:val="20"/>
        </w:rPr>
        <w:t xml:space="preserve"> and </w:t>
      </w:r>
      <m:oMath>
        <m:r>
          <w:rPr>
            <w:rFonts w:ascii="Cambria Math" w:eastAsia="Times New Roman" w:hAnsi="Cambria Math" w:cs="Times New Roman"/>
            <w:sz w:val="20"/>
            <w:szCs w:val="20"/>
          </w:rPr>
          <m:t xml:space="preserve">(1 +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B</m:t>
            </m:r>
          </m:sub>
        </m:sSub>
        <m:r>
          <w:rPr>
            <w:rFonts w:ascii="Cambria Math" w:eastAsia="Times New Roman" w:hAnsi="Cambria Math" w:cs="Times New Roman"/>
            <w:sz w:val="20"/>
            <w:szCs w:val="20"/>
          </w:rPr>
          <m:t>(S(τ) + I(τ))).</m:t>
        </m:r>
      </m:oMath>
      <w:r w:rsidRPr="009668D3">
        <w:rPr>
          <w:rFonts w:ascii="Times New Roman" w:hAnsi="Times New Roman" w:cs="Times New Roman"/>
          <w:sz w:val="20"/>
          <w:szCs w:val="20"/>
        </w:rPr>
        <w:t xml:space="preserve"> For S ≥ 0 and I ≥ 0, both denominators are strictly positive (bounded below by 1), so the rational terms are smooth (in fact C∞) functions of the state variables on Ω. All remaining terms are polynomial in the state variables. Therefore, f is locally Lipschitz on any bounded subset of Ω. Since the seasonal interval [0, T] is finite and the state variables remain bounded on this interval (the ODE is dissipative: </w:t>
      </w:r>
      <m:oMath>
        <m:r>
          <w:rPr>
            <w:rFonts w:ascii="Cambria Math" w:eastAsia="Times New Roman" w:hAnsi="Cambria Math" w:cs="Times New Roman"/>
            <w:sz w:val="20"/>
            <w:szCs w:val="20"/>
          </w:rPr>
          <m:t>dS(τ)/dτ ≤ 0</m:t>
        </m:r>
      </m:oMath>
      <w:r w:rsidRPr="001E6700">
        <w:rPr>
          <w:rFonts w:ascii="Times New Roman" w:eastAsia="Times New Roman" w:hAnsi="Times New Roman" w:cs="Times New Roman"/>
          <w:sz w:val="20"/>
          <w:szCs w:val="20"/>
        </w:rPr>
        <w:t xml:space="preserve">, </w:t>
      </w:r>
      <m:oMath>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dI</m:t>
            </m:r>
          </m:num>
          <m:den>
            <m:r>
              <w:rPr>
                <w:rFonts w:ascii="Cambria Math" w:eastAsia="Times New Roman" w:hAnsi="Cambria Math" w:cs="Times New Roman"/>
                <w:sz w:val="20"/>
                <w:szCs w:val="20"/>
              </w:rPr>
              <m:t>dτ</m:t>
            </m:r>
          </m:den>
        </m:f>
      </m:oMath>
      <w:r w:rsidRPr="009668D3">
        <w:rPr>
          <w:rFonts w:ascii="Times New Roman" w:hAnsi="Times New Roman" w:cs="Times New Roman"/>
          <w:sz w:val="20"/>
          <w:szCs w:val="20"/>
        </w:rPr>
        <w:t xml:space="preserve"> is bounded by inflow from parasitism, and D grows at most linearly), the Picard–Lindelöf theorem guarantees that a unique solution y(τ) exists for all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for each initial condition in Ω.</w:t>
      </w:r>
    </w:p>
    <w:p w14:paraId="6CD9615C"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Positivity invariance.</w:t>
      </w:r>
    </w:p>
    <w:p w14:paraId="6A78F4B7"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Positivity invariance of Ω is established by verifying that each compartment boundary is non-repelling under the vector field (Nagumo, 1942; Blanchini, 1999). Specifically:</w:t>
      </w:r>
    </w:p>
    <w:p w14:paraId="3D50F8B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At S = 0: dS/dτ = 0 (all terms in Equation 1 contain S as a factor), so the S = 0 face is invariant.</w:t>
      </w:r>
    </w:p>
    <w:p w14:paraId="666204A1" w14:textId="6AD988D3"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At </w:t>
      </w:r>
      <m:oMath>
        <m:r>
          <w:rPr>
            <w:rFonts w:ascii="Cambria Math" w:hAnsi="Cambria Math" w:cs="Times New Roman"/>
            <w:sz w:val="20"/>
            <w:szCs w:val="20"/>
          </w:rPr>
          <m:t>I = 0:</m:t>
        </m:r>
        <m:f>
          <m:fPr>
            <m:ctrlPr>
              <w:rPr>
                <w:rFonts w:ascii="Cambria Math" w:hAnsi="Cambria Math" w:cs="Times New Roman"/>
                <w:i/>
                <w:sz w:val="20"/>
                <w:szCs w:val="20"/>
              </w:rPr>
            </m:ctrlPr>
          </m:fPr>
          <m:num>
            <m:r>
              <w:rPr>
                <w:rFonts w:ascii="Cambria Math" w:hAnsi="Cambria Math" w:cs="Times New Roman"/>
                <w:sz w:val="20"/>
                <w:szCs w:val="20"/>
              </w:rPr>
              <m:t>dI</m:t>
            </m:r>
          </m:num>
          <m:den>
            <m:r>
              <w:rPr>
                <w:rFonts w:ascii="Cambria Math" w:hAnsi="Cambria Math" w:cs="Times New Roman"/>
                <w:sz w:val="20"/>
                <w:szCs w:val="20"/>
              </w:rPr>
              <m:t>dτ</m:t>
            </m:r>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βFS</m:t>
            </m:r>
          </m:num>
          <m:den>
            <m:r>
              <w:rPr>
                <w:rFonts w:ascii="Cambria Math" w:hAnsi="Cambria Math" w:cs="Times New Roman"/>
                <w:sz w:val="20"/>
                <w:szCs w:val="20"/>
              </w:rPr>
              <m:t xml:space="preserve">1 + </m:t>
            </m:r>
            <m:r>
              <w:rPr>
                <w:rFonts w:ascii="Cambria Math" w:hAnsi="Cambria Math" w:cs="Times New Roman"/>
                <w:sz w:val="20"/>
                <w:szCs w:val="20"/>
              </w:rPr>
              <m:t>hS</m:t>
            </m:r>
          </m:den>
        </m:f>
        <m:r>
          <w:rPr>
            <w:rFonts w:ascii="Cambria Math" w:hAnsi="Cambria Math" w:cs="Times New Roman"/>
            <w:sz w:val="20"/>
            <w:szCs w:val="20"/>
          </w:rPr>
          <m:t xml:space="preserve"> ≥ 0</m:t>
        </m:r>
      </m:oMath>
      <w:r w:rsidRPr="009668D3">
        <w:rPr>
          <w:rFonts w:ascii="Times New Roman" w:hAnsi="Times New Roman" w:cs="Times New Roman"/>
          <w:sz w:val="20"/>
          <w:szCs w:val="20"/>
        </w:rPr>
        <w:t xml:space="preserve"> for S ≥ 0, F ≥ 0, so trajectories cannot exit through the I = 0 face into I &lt; 0.</w:t>
      </w:r>
    </w:p>
    <w:p w14:paraId="59587C43" w14:textId="23AFA774"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 xml:space="preserve">At </w:t>
      </w:r>
      <m:oMath>
        <m:r>
          <w:rPr>
            <w:rFonts w:ascii="Cambria Math" w:hAnsi="Cambria Math" w:cs="Times New Roman"/>
            <w:sz w:val="20"/>
            <w:szCs w:val="20"/>
          </w:rPr>
          <m:t>F = 0:</m:t>
        </m:r>
        <m:f>
          <m:fPr>
            <m:ctrlPr>
              <w:rPr>
                <w:rFonts w:ascii="Cambria Math" w:hAnsi="Cambria Math" w:cs="Times New Roman"/>
                <w:i/>
                <w:sz w:val="20"/>
                <w:szCs w:val="20"/>
              </w:rPr>
            </m:ctrlPr>
          </m:fPr>
          <m:num>
            <m:r>
              <w:rPr>
                <w:rFonts w:ascii="Cambria Math" w:hAnsi="Cambria Math" w:cs="Times New Roman"/>
                <w:sz w:val="20"/>
                <w:szCs w:val="20"/>
              </w:rPr>
              <m:t>dF</m:t>
            </m:r>
          </m:num>
          <m:den>
            <m:r>
              <w:rPr>
                <w:rFonts w:ascii="Cambria Math" w:hAnsi="Cambria Math" w:cs="Times New Roman"/>
                <w:sz w:val="20"/>
                <w:szCs w:val="20"/>
              </w:rPr>
              <m:t>dτ</m:t>
            </m:r>
          </m:den>
        </m:f>
        <m:r>
          <w:rPr>
            <w:rFonts w:ascii="Cambria Math" w:hAnsi="Cambria Math" w:cs="Times New Roman"/>
            <w:sz w:val="20"/>
            <w:szCs w:val="20"/>
          </w:rPr>
          <m:t xml:space="preserve"> = ηδI + u</m:t>
        </m:r>
        <m:r>
          <w:rPr>
            <w:rFonts w:ascii="Cambria Math" w:hAnsi="Cambria Math" w:cs="Times New Roman"/>
            <w:sz w:val="20"/>
            <w:szCs w:val="20"/>
            <w:vertAlign w:val="subscript"/>
          </w:rPr>
          <m:t>P</m:t>
        </m:r>
        <m:r>
          <w:rPr>
            <w:rFonts w:ascii="Cambria Math" w:hAnsi="Cambria Math" w:cs="Times New Roman"/>
            <w:sz w:val="20"/>
            <w:szCs w:val="20"/>
          </w:rPr>
          <m:t>(τ) ≥ 0</m:t>
        </m:r>
      </m:oMath>
      <w:r w:rsidRPr="009668D3">
        <w:rPr>
          <w:rFonts w:ascii="Times New Roman" w:hAnsi="Times New Roman" w:cs="Times New Roman"/>
          <w:sz w:val="20"/>
          <w:szCs w:val="20"/>
        </w:rPr>
        <w:t xml:space="preserve"> for I ≥ 0 and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0, so trajectories cannot exit through the F = 0 face.</w:t>
      </w:r>
    </w:p>
    <w:p w14:paraId="32A40622" w14:textId="331D9595"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At </w:t>
      </w:r>
      <m:oMath>
        <m:r>
          <w:rPr>
            <w:rFonts w:ascii="Cambria Math" w:hAnsi="Cambria Math" w:cs="Times New Roman"/>
            <w:sz w:val="20"/>
            <w:szCs w:val="20"/>
          </w:rPr>
          <m:t>D = 0:</m:t>
        </m:r>
        <m:f>
          <m:fPr>
            <m:ctrlPr>
              <w:rPr>
                <w:rFonts w:ascii="Cambria Math" w:hAnsi="Cambria Math" w:cs="Times New Roman"/>
                <w:i/>
                <w:sz w:val="20"/>
                <w:szCs w:val="20"/>
              </w:rPr>
            </m:ctrlPr>
          </m:fPr>
          <m:num>
            <m:r>
              <w:rPr>
                <w:rFonts w:ascii="Cambria Math" w:hAnsi="Cambria Math" w:cs="Times New Roman"/>
                <w:sz w:val="20"/>
                <w:szCs w:val="20"/>
              </w:rPr>
              <m:t>dD</m:t>
            </m:r>
          </m:num>
          <m:den>
            <m:r>
              <w:rPr>
                <w:rFonts w:ascii="Cambria Math" w:hAnsi="Cambria Math" w:cs="Times New Roman"/>
                <w:sz w:val="20"/>
                <w:szCs w:val="20"/>
              </w:rPr>
              <m:t>dτ</m:t>
            </m:r>
          </m:den>
        </m:f>
        <m:r>
          <w:rPr>
            <w:rFonts w:ascii="Cambria Math" w:hAnsi="Cambria Math" w:cs="Times New Roman"/>
            <w:sz w:val="20"/>
            <w:szCs w:val="20"/>
          </w:rPr>
          <m:t xml:space="preserve"> = κ(S + I) ≥ 0</m:t>
        </m:r>
      </m:oMath>
      <w:r w:rsidRPr="009668D3">
        <w:rPr>
          <w:rFonts w:ascii="Times New Roman" w:hAnsi="Times New Roman" w:cs="Times New Roman"/>
          <w:sz w:val="20"/>
          <w:szCs w:val="20"/>
        </w:rPr>
        <w:t xml:space="preserve"> for S ≥ 0, I ≥ 0, so D remains non-negative.</w:t>
      </w:r>
    </w:p>
    <w:p w14:paraId="598C207D"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Therefore, Ω is forward-invariant under the flow, and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is well-defined on Ω for each year given 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and controls.</w:t>
      </w:r>
    </w:p>
    <w:p w14:paraId="2D9E8ABF" w14:textId="77777777" w:rsidR="00977094"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2: Construction of the annual recurrence map</w:t>
      </w:r>
    </w:p>
    <w:p w14:paraId="0DE733E3" w14:textId="3DEC5952"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sz w:val="20"/>
          <w:szCs w:val="20"/>
        </w:rPr>
        <w:t>From Equations (5)–(8) of the main text and the seasonal flow operator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defined in Step 1, the annual map </w:t>
      </w:r>
      <m:oMath>
        <m:r>
          <w:rPr>
            <w:rFonts w:ascii="Cambria Math" w:hAnsi="Cambria Math" w:cs="Times New Roman"/>
            <w:sz w:val="20"/>
            <w:szCs w:val="20"/>
          </w:rPr>
          <m:t>G</m:t>
        </m:r>
        <m:r>
          <m:rPr>
            <m:scr m:val="double-struck"/>
          </m:rPr>
          <w:rPr>
            <w:rFonts w:ascii="Cambria Math" w:hAnsi="Cambria Math" w:cs="Times New Roman"/>
            <w:sz w:val="20"/>
            <w:szCs w:val="20"/>
          </w:rPr>
          <m:t>: R³₊ → R³</m:t>
        </m:r>
      </m:oMath>
      <w:r w:rsidRPr="009668D3">
        <w:rPr>
          <w:rFonts w:ascii="Times New Roman" w:hAnsi="Times New Roman" w:cs="Times New Roman"/>
          <w:sz w:val="20"/>
          <w:szCs w:val="20"/>
        </w:rPr>
        <w:t>₊ is constructed as:</w:t>
      </w:r>
    </w:p>
    <w:p w14:paraId="79BE4DEC" w14:textId="04C185E5" w:rsidR="000875CC" w:rsidRPr="009668D3" w:rsidRDefault="00740A54" w:rsidP="002D21BC">
      <w:pPr>
        <w:tabs>
          <w:tab w:val="right" w:pos="9026"/>
        </w:tabs>
        <w:spacing w:before="160" w:line="240" w:lineRule="auto"/>
        <w:jc w:val="both"/>
        <w:rPr>
          <w:rFonts w:ascii="Times New Roman" w:hAnsi="Times New Roman" w:cs="Times New Roman"/>
          <w:sz w:val="20"/>
          <w:szCs w:val="20"/>
        </w:rPr>
      </w:pPr>
      <m:oMath>
        <m:r>
          <w:rPr>
            <w:rFonts w:ascii="Cambria Math" w:hAnsi="Cambria Math" w:cs="Times New Roman"/>
            <w:sz w:val="20"/>
            <w:szCs w:val="20"/>
          </w:rPr>
          <m:t>xₜ₊₁ = G(xₜ) = (σₐ S(T; xₜ),  σ_F F(T; xₜ),  K₀ exp(-ϕ D(T; xₜ)))</m:t>
        </m:r>
      </m:oMath>
      <w:r w:rsidR="000875CC" w:rsidRPr="009668D3">
        <w:rPr>
          <w:rFonts w:ascii="Times New Roman" w:hAnsi="Times New Roman" w:cs="Times New Roman"/>
          <w:sz w:val="20"/>
          <w:szCs w:val="20"/>
        </w:rPr>
        <w:tab/>
        <w:t>(13)</w:t>
      </w:r>
    </w:p>
    <w:p w14:paraId="14C05B5C" w14:textId="236C9F1F"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where </w:t>
      </w:r>
      <m:oMath>
        <m:r>
          <w:rPr>
            <w:rFonts w:ascii="Cambria Math" w:hAnsi="Cambria Math" w:cs="Times New Roman"/>
            <w:sz w:val="20"/>
            <w:szCs w:val="20"/>
          </w:rPr>
          <m:t xml:space="preserve">S(T;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 F(T;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vertAlign w:val="subscript"/>
              </w:rPr>
              <m:t>t</m:t>
            </m:r>
          </m:sub>
        </m:sSub>
        <m:r>
          <w:rPr>
            <w:rFonts w:ascii="Cambria Math" w:hAnsi="Cambria Math" w:cs="Times New Roman"/>
            <w:sz w:val="20"/>
            <w:szCs w:val="20"/>
          </w:rPr>
          <m:t>)</m:t>
        </m:r>
      </m:oMath>
      <w:r w:rsidRPr="009668D3">
        <w:rPr>
          <w:rFonts w:ascii="Times New Roman" w:hAnsi="Times New Roman" w:cs="Times New Roman"/>
          <w:sz w:val="20"/>
          <w:szCs w:val="20"/>
        </w:rPr>
        <w:t xml:space="preserve">, and </w:t>
      </w:r>
      <m:oMath>
        <m:r>
          <w:rPr>
            <w:rFonts w:ascii="Cambria Math" w:hAnsi="Cambria Math" w:cs="Times New Roman"/>
            <w:sz w:val="20"/>
            <w:szCs w:val="20"/>
          </w:rPr>
          <m:t xml:space="preserve">D(T;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vertAlign w:val="subscript"/>
              </w:rPr>
              <m:t>t</m:t>
            </m:r>
          </m:sub>
        </m:sSub>
        <m:r>
          <w:rPr>
            <w:rFonts w:ascii="Cambria Math" w:hAnsi="Cambria Math" w:cs="Times New Roman"/>
            <w:sz w:val="20"/>
            <w:szCs w:val="20"/>
          </w:rPr>
          <m:t>)</m:t>
        </m:r>
      </m:oMath>
      <w:r w:rsidRPr="009668D3">
        <w:rPr>
          <w:rFonts w:ascii="Times New Roman" w:hAnsi="Times New Roman" w:cs="Times New Roman"/>
          <w:sz w:val="20"/>
          <w:szCs w:val="20"/>
        </w:rPr>
        <w:t xml:space="preserve"> denote the terminal values S(T), F(T), D(T) obtained by evaluating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at the initial conditions </w:t>
      </w:r>
      <m:oMath>
        <m:r>
          <w:rPr>
            <w:rFonts w:ascii="Cambria Math" w:hAnsi="Cambria Math" w:cs="Times New Roman"/>
            <w:sz w:val="20"/>
            <w:szCs w:val="20"/>
          </w:rPr>
          <m:t xml:space="preserve">S(0) = </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vertAlign w:val="subscript"/>
              </w:rPr>
              <m:t>B</m:t>
            </m:r>
          </m:sub>
        </m:sSub>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vertAlign w:val="subscript"/>
              </w:rPr>
              <m:t>t</m:t>
            </m:r>
          </m:sub>
        </m:sSub>
        <m:r>
          <w:rPr>
            <w:rFonts w:ascii="Cambria Math" w:hAnsi="Cambria Math" w:cs="Times New Roman"/>
            <w:sz w:val="20"/>
            <w:szCs w:val="20"/>
          </w:rPr>
          <m:t xml:space="preserve">/(1 + </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vertAlign w:val="subscript"/>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vertAlign w:val="subscript"/>
              </w:rPr>
              <m:t>t</m:t>
            </m:r>
          </m:sub>
        </m:sSub>
        <m:r>
          <w:rPr>
            <w:rFonts w:ascii="Cambria Math" w:hAnsi="Cambria Math" w:cs="Times New Roman"/>
            <w:sz w:val="20"/>
            <w:szCs w:val="20"/>
          </w:rPr>
          <m:t>), I(0) = 0, F(0) = F</m:t>
        </m:r>
        <m:r>
          <w:rPr>
            <w:rFonts w:ascii="Cambria Math" w:hAnsi="Cambria Math" w:cs="Times New Roman"/>
            <w:sz w:val="20"/>
            <w:szCs w:val="20"/>
            <w:vertAlign w:val="subscript"/>
          </w:rPr>
          <m:t>t</m:t>
        </m:r>
        <m:r>
          <w:rPr>
            <w:rFonts w:ascii="Cambria Math" w:hAnsi="Cambria Math" w:cs="Times New Roman"/>
            <w:sz w:val="20"/>
            <w:szCs w:val="20"/>
          </w:rPr>
          <m:t>, D(0) = 0.</m:t>
        </m:r>
      </m:oMath>
    </w:p>
    <w:p w14:paraId="327D9F61"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Mathematical basis.</w:t>
      </w:r>
    </w:p>
    <w:p w14:paraId="1858269B" w14:textId="6B29F4D6"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This construction is the Poincaré (stroboscopic) return map of the periodically forced system (Wiggins, 2003, §1.2; Kot, 2001, Chapter 13). The Poincaré map converts a continuous-time system with periodic forcing into a discrete-time dynamical system by sampling the state at the end of each period. For seasonally structured ecological models, this approach is standard (Elaydi, 2005; Kuznetsov, 2004) and reduces the infinite-dimensional problem of analysing continuous trajectories to the finite-dimensional problem of analysing the iteration </w:t>
      </w:r>
      <m:oMath>
        <m:sSub>
          <m:sSubPr>
            <m:ctrlPr>
              <w:rPr>
                <w:rFonts w:ascii="Cambria Math" w:hAnsi="Cambria Math" w:cs="Times New Roman"/>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t</m:t>
            </m:r>
            <m:r>
              <w:rPr>
                <w:rFonts w:ascii="Cambria Math" w:hAnsi="Cambria Math" w:cs="Times New Roman"/>
                <w:sz w:val="20"/>
                <w:szCs w:val="20"/>
              </w:rPr>
              <m:t>+</m:t>
            </m:r>
            <m:r>
              <m:rPr>
                <m:sty m:val="bi"/>
              </m:rPr>
              <w:rPr>
                <w:rFonts w:ascii="Cambria Math" w:hAnsi="Cambria Math" w:cs="Times New Roman"/>
                <w:sz w:val="20"/>
                <w:szCs w:val="20"/>
              </w:rPr>
              <m:t>1</m:t>
            </m:r>
          </m:sub>
        </m:sSub>
        <m:r>
          <w:rPr>
            <w:rFonts w:ascii="Cambria Math" w:hAnsi="Cambria Math" w:cs="Times New Roman"/>
            <w:sz w:val="20"/>
            <w:szCs w:val="20"/>
          </w:rPr>
          <m:t>=G</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t</m:t>
                </m:r>
              </m:sub>
            </m:sSub>
          </m:e>
        </m:d>
        <m:r>
          <w:rPr>
            <w:rFonts w:ascii="Cambria Math" w:hAnsi="Cambria Math" w:cs="Times New Roman"/>
            <w:sz w:val="20"/>
            <w:szCs w:val="20"/>
          </w:rPr>
          <m:t>.</m:t>
        </m:r>
      </m:oMath>
    </w:p>
    <w:p w14:paraId="6F2030B6" w14:textId="77777777" w:rsidR="00977094"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3: Identification of fixed points (annual equilibria) of the map</w:t>
      </w:r>
    </w:p>
    <w:p w14:paraId="1351B9DE" w14:textId="55F7EC6C"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Fixed points </w:t>
      </w:r>
      <m:oMath>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r>
          <w:rPr>
            <w:rFonts w:ascii="Cambria Math" w:hAnsi="Cambria Math" w:cs="Times New Roman"/>
            <w:sz w:val="20"/>
            <w:szCs w:val="20"/>
          </w:rPr>
          <m:t>= G</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e>
        </m:d>
      </m:oMath>
      <w:r w:rsidRPr="009668D3">
        <w:rPr>
          <w:rFonts w:ascii="Times New Roman" w:hAnsi="Times New Roman" w:cs="Times New Roman"/>
          <w:sz w:val="20"/>
          <w:szCs w:val="20"/>
        </w:rPr>
        <w:t xml:space="preserve">are obtained by solving the nonlinear system </w:t>
      </w:r>
      <m:oMath>
        <m:r>
          <w:rPr>
            <w:rFonts w:ascii="Cambria Math" w:hAnsi="Cambria Math" w:cs="Times New Roman"/>
            <w:sz w:val="20"/>
            <w:szCs w:val="20"/>
          </w:rPr>
          <m:t>H(x) = G(x) - x = 0</m:t>
        </m:r>
      </m:oMath>
      <w:r w:rsidRPr="009668D3">
        <w:rPr>
          <w:rFonts w:ascii="Times New Roman" w:hAnsi="Times New Roman" w:cs="Times New Roman"/>
          <w:sz w:val="20"/>
          <w:szCs w:val="20"/>
        </w:rPr>
        <w:t xml:space="preserve"> numerically via Newton iteration or continuation methods (Allgower and Georg, 2003). The following ecologically distinct fixed points are sought.</w:t>
      </w:r>
    </w:p>
    <w:p w14:paraId="41544148" w14:textId="14792C9C"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(i) Trivial (extinction) fixed point: </w:t>
      </w:r>
      <w:r w:rsidR="00E82C6D" w:rsidRPr="009668D3">
        <w:rPr>
          <w:rFonts w:ascii="Times New Roman" w:hAnsi="Times New Roman" w:cs="Times New Roman"/>
          <w:sz w:val="20"/>
          <w:szCs w:val="20"/>
        </w:rPr>
        <w:t>Trivial (extinction) fixed point x₀* = (0, 0, K₀): A* = 0, F* = 0, K* = K₀</w:t>
      </w:r>
      <w:r w:rsidRPr="009668D3">
        <w:rPr>
          <w:rFonts w:ascii="Times New Roman" w:hAnsi="Times New Roman" w:cs="Times New Roman"/>
          <w:sz w:val="20"/>
          <w:szCs w:val="20"/>
        </w:rPr>
        <w:t xml:space="preserve"> This corresponds to the beetle-free state. When A = 0, no larvae are present, so </w:t>
      </w:r>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0, F</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r>
          <m:rPr>
            <m:lit/>
          </m:rPr>
          <w:rPr>
            <w:rFonts w:ascii="Cambria Math" w:hAnsi="Cambria Math" w:cs="Times New Roman"/>
            <w:sz w:val="20"/>
            <w:szCs w:val="20"/>
          </w:rPr>
          <m:t>,</m:t>
        </m:r>
        <m:r>
          <w:rPr>
            <w:rFonts w:ascii="Cambria Math" w:hAnsi="Cambria Math" w:cs="Times New Roman"/>
            <w:sz w:val="20"/>
            <w:szCs w:val="20"/>
          </w:rPr>
          <m:t xml:space="preserve"> </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F</m:t>
                    </m:r>
                  </m:sub>
                </m:sSub>
                <m:r>
                  <w:rPr>
                    <w:rFonts w:ascii="Cambria Math" w:eastAsia="Times New Roman" w:hAnsi="Cambria Math" w:cs="Times New Roman"/>
                    <w:sz w:val="20"/>
                    <w:szCs w:val="20"/>
                  </w:rPr>
                  <m:t>T</m:t>
                </m:r>
              </m:e>
            </m:d>
          </m:sup>
        </m:sSup>
      </m:oMath>
      <w:r w:rsidRPr="009668D3">
        <w:rPr>
          <w:rFonts w:ascii="Times New Roman" w:hAnsi="Times New Roman" w:cs="Times New Roman"/>
          <w:sz w:val="20"/>
          <w:szCs w:val="20"/>
        </w:rPr>
        <w:t xml:space="preserve">(parasitoid decays without hosts), and D(T) = 0. Hence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t+1</m:t>
            </m:r>
          </m:sub>
        </m:sSub>
        <m:r>
          <w:rPr>
            <w:rFonts w:ascii="Cambria Math" w:hAnsi="Cambria Math" w:cs="Times New Roman"/>
            <w:sz w:val="20"/>
            <w:szCs w:val="20"/>
          </w:rPr>
          <m:t>=0,</m:t>
        </m:r>
        <m:r>
          <m:rPr>
            <m:sty m:val="p"/>
          </m:rP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F</m:t>
            </m:r>
            <m:ctrlPr>
              <w:rPr>
                <w:rFonts w:ascii="Cambria Math" w:hAnsi="Cambria Math" w:cs="Times New Roman"/>
                <w:sz w:val="20"/>
                <w:szCs w:val="20"/>
              </w:rPr>
            </m:ctrlP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r>
          <w:rPr>
            <w:rFonts w:ascii="Cambria Math" w:hAnsi="Cambria Math" w:cs="Times New Roman"/>
            <w:sz w:val="20"/>
            <w:szCs w:val="20"/>
          </w:rPr>
          <m:t> </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F</m:t>
                </m:r>
              </m:sub>
            </m:sSub>
            <m:r>
              <w:rPr>
                <w:rFonts w:ascii="Cambria Math" w:hAnsi="Cambria Math" w:cs="Times New Roman"/>
                <w:sz w:val="20"/>
                <w:szCs w:val="20"/>
              </w:rPr>
              <m:t>T</m:t>
            </m:r>
          </m:sup>
        </m:sSup>
        <m:r>
          <m:rPr>
            <m:sty m:val="p"/>
          </m:rPr>
          <w:rPr>
            <w:rFonts w:ascii="Cambria Math" w:hAnsi="Cambria Math" w:cs="Times New Roman"/>
            <w:sz w:val="20"/>
            <w:szCs w:val="20"/>
          </w:rPr>
          <m:t>→</m:t>
        </m:r>
        <m:r>
          <w:rPr>
            <w:rFonts w:ascii="Cambria Math" w:hAnsi="Cambria Math" w:cs="Times New Roman"/>
            <w:sz w:val="20"/>
            <w:szCs w:val="20"/>
          </w:rPr>
          <m:t>0</m:t>
        </m:r>
        <m:r>
          <m:rPr>
            <m:nor/>
          </m:rPr>
          <w:rPr>
            <w:rFonts w:ascii="Times New Roman" w:hAnsi="Times New Roman" w:cs="Times New Roman"/>
            <w:sz w:val="20"/>
            <w:szCs w:val="20"/>
          </w:rPr>
          <m:t xml:space="preserve"> as </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 </m:t>
        </m:r>
        <m:r>
          <m:rPr>
            <m:nor/>
          </m:rPr>
          <w:rPr>
            <w:rFonts w:ascii="Times New Roman" w:hAnsi="Times New Roman" w:cs="Times New Roman"/>
            <w:sz w:val="20"/>
            <w:szCs w:val="20"/>
          </w:rPr>
          <m:t>and</m:t>
        </m:r>
        <m:r>
          <m:rPr>
            <m:sty m:val="p"/>
          </m:rP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K</m:t>
            </m:r>
            <m:ctrlPr>
              <w:rPr>
                <w:rFonts w:ascii="Cambria Math" w:hAnsi="Cambria Math" w:cs="Times New Roman"/>
                <w:sz w:val="20"/>
                <w:szCs w:val="20"/>
              </w:rPr>
            </m:ctrlP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func>
          <m:funcPr>
            <m:ctrlPr>
              <w:rPr>
                <w:rFonts w:ascii="Cambria Math" w:hAnsi="Cambria Math" w:cs="Times New Roman"/>
                <w:sz w:val="20"/>
                <w:szCs w:val="20"/>
              </w:rPr>
            </m:ctrlPr>
          </m:funcPr>
          <m:fName>
            <m:r>
              <m:rPr>
                <m:sty m:val="p"/>
              </m:rPr>
              <w:rPr>
                <w:rFonts w:ascii="Cambria Math" w:hAnsi="Cambria Math" w:cs="Times New Roman"/>
                <w:sz w:val="20"/>
                <w:szCs w:val="20"/>
              </w:rPr>
              <m:t>exp</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0</m:t>
                </m:r>
              </m:e>
            </m:d>
          </m:e>
        </m:func>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r>
          <w:rPr>
            <w:rFonts w:ascii="Cambria Math" w:hAnsi="Cambria Math" w:cs="Times New Roman"/>
            <w:sz w:val="20"/>
            <w:szCs w:val="20"/>
          </w:rPr>
          <m:t>..</m:t>
        </m:r>
      </m:oMath>
      <w:r w:rsidRPr="009668D3">
        <w:rPr>
          <w:rFonts w:ascii="Times New Roman" w:hAnsi="Times New Roman" w:cs="Times New Roman"/>
          <w:sz w:val="20"/>
          <w:szCs w:val="20"/>
        </w:rPr>
        <w:t>This fixed point is relevant only as a boundary reference.</w:t>
      </w:r>
    </w:p>
    <w:p w14:paraId="58593382" w14:textId="6DB299F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(ii) Parasitoid-free fixed point x₁* = (A*, 0, K*): </w:t>
      </w:r>
      <w:r w:rsidRPr="009668D3">
        <w:rPr>
          <w:rFonts w:ascii="Times New Roman" w:hAnsi="Times New Roman" w:cs="Times New Roman"/>
          <w:sz w:val="20"/>
          <w:szCs w:val="20"/>
        </w:rPr>
        <w:t xml:space="preserve">The beetle persists at a density regulated by bird predation, baseline mortality, and foliage feedback, but no parasitoid is present </w:t>
      </w:r>
      <m:oMath>
        <m:r>
          <w:rPr>
            <w:rFonts w:ascii="Cambria Math" w:eastAsia="Times New Roman" w:hAnsi="Cambria Math" w:cs="Times New Roman"/>
            <w:sz w:val="20"/>
            <w:szCs w:val="20"/>
          </w:rPr>
          <m:t>(F* = 0)</m:t>
        </m:r>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When F = 0, the parasitism term </w:t>
      </w:r>
      <m:oMath>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βFS</m:t>
            </m:r>
          </m:num>
          <m:den>
            <m:r>
              <w:rPr>
                <w:rFonts w:ascii="Cambria Math" w:eastAsia="Times New Roman" w:hAnsi="Cambria Math" w:cs="Times New Roman"/>
                <w:sz w:val="20"/>
                <w:szCs w:val="20"/>
              </w:rPr>
              <m:t xml:space="preserve">1 + </m:t>
            </m:r>
            <m:r>
              <w:rPr>
                <w:rFonts w:ascii="Cambria Math" w:eastAsia="Times New Roman" w:hAnsi="Cambria Math" w:cs="Times New Roman"/>
                <w:sz w:val="20"/>
                <w:szCs w:val="20"/>
              </w:rPr>
              <m:t>hS</m:t>
            </m:r>
          </m:den>
        </m:f>
      </m:oMath>
      <w:r w:rsidRPr="009668D3">
        <w:rPr>
          <w:rFonts w:ascii="Times New Roman" w:hAnsi="Times New Roman" w:cs="Times New Roman"/>
          <w:sz w:val="20"/>
          <w:szCs w:val="20"/>
        </w:rPr>
        <w:t xml:space="preserve"> vanishes, so </w:t>
      </w:r>
      <m:oMath>
        <m:r>
          <w:rPr>
            <w:rFonts w:ascii="Cambria Math" w:eastAsia="Times New Roman" w:hAnsi="Cambria Math" w:cs="Times New Roman"/>
            <w:sz w:val="20"/>
            <w:szCs w:val="20"/>
          </w:rPr>
          <m:t>I(τ) ≡ 0</m:t>
        </m:r>
      </m:oMath>
      <w:r w:rsidRPr="009668D3">
        <w:rPr>
          <w:rFonts w:ascii="Times New Roman" w:hAnsi="Times New Roman" w:cs="Times New Roman"/>
          <w:sz w:val="20"/>
          <w:szCs w:val="20"/>
        </w:rPr>
        <w:t xml:space="preserve"> throughout the season. The susceptible larvae decay under natural mortality and bird predation only, </w:t>
      </w:r>
      <m:oMath>
        <m:r>
          <w:rPr>
            <w:rFonts w:ascii="Cambria Math" w:eastAsia="Times New Roman" w:hAnsi="Cambria Math" w:cs="Times New Roman"/>
            <w:sz w:val="20"/>
            <w:szCs w:val="20"/>
          </w:rPr>
          <m:t xml:space="preserve">and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Cambria Math" w:hAnsi="Cambria Math" w:cs="Times New Roman"/>
                <w:sz w:val="20"/>
                <w:szCs w:val="20"/>
                <w:vertAlign w:val="subscript"/>
              </w:rPr>
              <m:t>t+1</m:t>
            </m:r>
          </m:sub>
        </m:sSub>
        <m:r>
          <w:rPr>
            <w:rFonts w:ascii="Cambria Math" w:eastAsia="Times New Roman" w:hAnsi="Cambria Math" w:cs="Times New Roman"/>
            <w:sz w:val="20"/>
            <w:szCs w:val="20"/>
          </w:rPr>
          <m:t xml:space="preserve"> = </m:t>
        </m:r>
        <m:sSub>
          <m:sSubPr>
            <m:ctrlPr>
              <w:rPr>
                <w:rFonts w:ascii="Cambria Math" w:eastAsia="Cambria Math" w:hAnsi="Cambria Math" w:cs="Times New Roman"/>
                <w:i/>
                <w:sz w:val="20"/>
                <w:szCs w:val="20"/>
                <w:vertAlign w:val="subscript"/>
              </w:rPr>
            </m:ctrlPr>
          </m:sSubPr>
          <m:e>
            <m:r>
              <w:rPr>
                <w:rFonts w:ascii="Cambria Math" w:eastAsia="Times New Roman" w:hAnsi="Cambria Math" w:cs="Times New Roman"/>
                <w:sz w:val="20"/>
                <w:szCs w:val="20"/>
              </w:rPr>
              <m:t>σ</m:t>
            </m:r>
            <m:ctrlPr>
              <w:rPr>
                <w:rFonts w:ascii="Cambria Math" w:eastAsia="Times New Roman" w:hAnsi="Cambria Math" w:cs="Times New Roman"/>
                <w:i/>
                <w:sz w:val="20"/>
                <w:szCs w:val="20"/>
              </w:rPr>
            </m:ctrlPr>
          </m:e>
          <m:sub>
            <m:r>
              <w:rPr>
                <w:rFonts w:ascii="Cambria Math" w:eastAsia="Cambria Math" w:hAnsi="Cambria Math" w:cs="Times New Roman"/>
                <w:sz w:val="20"/>
                <w:szCs w:val="20"/>
                <w:vertAlign w:val="subscript"/>
              </w:rPr>
              <m:t>A</m:t>
            </m:r>
          </m:sub>
        </m:sSub>
        <m:r>
          <w:rPr>
            <w:rFonts w:ascii="Cambria Math" w:eastAsia="Times New Roman" w:hAnsi="Cambria Math" w:cs="Times New Roman"/>
            <w:sz w:val="20"/>
            <w:szCs w:val="20"/>
          </w:rPr>
          <m:t>× S(T)</m:t>
        </m:r>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The self-consistency condition </w:t>
      </w:r>
      <m:oMath>
        <m:r>
          <w:rPr>
            <w:rFonts w:ascii="Cambria Math" w:eastAsia="Times New Roman" w:hAnsi="Cambria Math" w:cs="Times New Roman"/>
            <w:sz w:val="20"/>
            <w:szCs w:val="20"/>
          </w:rPr>
          <m:t>A* = σ</m:t>
        </m:r>
        <m:r>
          <w:rPr>
            <w:rFonts w:ascii="Cambria Math" w:eastAsia="Cambria Math" w:hAnsi="Cambria Math" w:cs="Times New Roman"/>
            <w:sz w:val="20"/>
            <w:szCs w:val="20"/>
            <w:vertAlign w:val="subscript"/>
          </w:rPr>
          <m:t>A</m:t>
        </m:r>
        <m:r>
          <w:rPr>
            <w:rFonts w:ascii="Cambria Math" w:eastAsia="Times New Roman" w:hAnsi="Cambria Math" w:cs="Times New Roman"/>
            <w:sz w:val="20"/>
            <w:szCs w:val="20"/>
          </w:rPr>
          <m:t xml:space="preserve">× S(T; </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A</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 xml:space="preserve">, 0, </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eastAsia="Times New Roman" w:hAnsi="Cambria Math" w:cs="Times New Roman"/>
            <w:sz w:val="20"/>
            <w:szCs w:val="20"/>
          </w:rPr>
          <m:t>)</m:t>
        </m:r>
      </m:oMath>
      <w:r w:rsidRPr="009668D3">
        <w:rPr>
          <w:rFonts w:ascii="Times New Roman" w:hAnsi="Times New Roman" w:cs="Times New Roman"/>
          <w:sz w:val="20"/>
          <w:szCs w:val="20"/>
        </w:rPr>
        <w:t xml:space="preserve"> uniquely determines A* for given K* and 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because the Beverton–Holt function S(0) = R</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A/(1 + A/K) is monotonically increasing and concave in A (Beverton and Holt, 1957), and the subsequent within-season decay is monotonically decreasing. This is the state from which parasitoid invasion is assessed.</w:t>
      </w:r>
    </w:p>
    <w:p w14:paraId="7119DF9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(iii) Coexistence (endemic parasitism) fixed point x₂* = (A*, F*, K*) with F* &gt; 0: </w:t>
      </w:r>
      <w:r w:rsidRPr="009668D3">
        <w:rPr>
          <w:rFonts w:ascii="Times New Roman" w:hAnsi="Times New Roman" w:cs="Times New Roman"/>
          <w:sz w:val="20"/>
          <w:szCs w:val="20"/>
        </w:rPr>
        <w:t>Both the beetle and the parasitoid persist, and the parasitoid exerts ongoing biological control. This is the management target. At this fixed point, the parasitoid population is sustained by sufficient susceptible host density to overcome within-season mortality and overwinter attrition.</w:t>
      </w:r>
    </w:p>
    <w:p w14:paraId="08A363C6" w14:textId="2055C4AD"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Existence conditions for each fixed point are derived implicitly</w:t>
      </w:r>
      <w:r w:rsidR="009834C5" w:rsidRPr="009668D3">
        <w:rPr>
          <w:rFonts w:ascii="Times New Roman" w:hAnsi="Times New Roman" w:cs="Times New Roman"/>
          <w:sz w:val="20"/>
          <w:szCs w:val="20"/>
        </w:rPr>
        <w:t xml:space="preserve">,, </w:t>
      </w:r>
      <w:r w:rsidRPr="009668D3">
        <w:rPr>
          <w:rFonts w:ascii="Times New Roman" w:hAnsi="Times New Roman" w:cs="Times New Roman"/>
          <w:sz w:val="20"/>
          <w:szCs w:val="20"/>
        </w:rPr>
        <w:t>the terminal states S</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depend on x* through Φ</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so closed-form expressions are generally unavailable due to the nonlinearity of the Holling Type II terms. The existence and number of fixed points are determined by Newton iteration with warm-start initialisation (iterating the map forward ~100–200 years to approach the attractor, then refining with Newton’s method), and their dependence on parameters can be tracked via numerical continuation (Allgower and Georg, 2003).</w:t>
      </w:r>
    </w:p>
    <w:p w14:paraId="2669C3D0" w14:textId="430E64FD"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4: Local stability of annual fixed points via the Jacobian of the annual map</w:t>
      </w:r>
      <w:r w:rsidRPr="009668D3">
        <w:rPr>
          <w:rFonts w:ascii="Times New Roman" w:hAnsi="Times New Roman" w:cs="Times New Roman"/>
          <w:sz w:val="20"/>
          <w:szCs w:val="20"/>
        </w:rPr>
        <w:t>.</w:t>
      </w:r>
    </w:p>
    <w:p w14:paraId="4289C58C"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Criterion used: Spectral radius criterion for discrete-time maps.</w:t>
      </w:r>
    </w:p>
    <w:p w14:paraId="3A6C748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lastRenderedPageBreak/>
        <w:t>Theorem</w:t>
      </w:r>
      <w:r w:rsidRPr="009668D3">
        <w:rPr>
          <w:rFonts w:ascii="Times New Roman" w:hAnsi="Times New Roman" w:cs="Times New Roman"/>
          <w:sz w:val="20"/>
          <w:szCs w:val="20"/>
        </w:rPr>
        <w:t xml:space="preserve"> (Elaydi, 2005, Theorem 4.15): A fixed point x* of a discrete-time map x</w:t>
      </w:r>
      <w:r w:rsidRPr="009668D3">
        <w:rPr>
          <w:rFonts w:ascii="Times New Roman" w:hAnsi="Times New Roman" w:cs="Times New Roman"/>
          <w:sz w:val="20"/>
          <w:szCs w:val="20"/>
          <w:vertAlign w:val="subscript"/>
        </w:rPr>
        <w:t>t+1</w:t>
      </w:r>
      <w:r w:rsidRPr="009668D3">
        <w:rPr>
          <w:rFonts w:ascii="Times New Roman" w:hAnsi="Times New Roman" w:cs="Times New Roman"/>
          <w:sz w:val="20"/>
          <w:szCs w:val="20"/>
        </w:rPr>
        <w:t xml:space="preserve"> = G(x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is locally asymptotically stable if and only if all eigenvalues of the Jacobian matrix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 = ∂G/∂x|</w:t>
      </w:r>
      <w:r w:rsidRPr="009668D3">
        <w:rPr>
          <w:rFonts w:ascii="Times New Roman" w:hAnsi="Times New Roman" w:cs="Times New Roman"/>
          <w:sz w:val="20"/>
          <w:szCs w:val="20"/>
          <w:vertAlign w:val="subscript"/>
        </w:rPr>
        <w:t>x*</w:t>
      </w:r>
      <w:r w:rsidRPr="009668D3">
        <w:rPr>
          <w:rFonts w:ascii="Times New Roman" w:hAnsi="Times New Roman" w:cs="Times New Roman"/>
          <w:sz w:val="20"/>
          <w:szCs w:val="20"/>
        </w:rPr>
        <w:t xml:space="preserve"> lie strictly inside the unit circle in the complex plane, i.e., max</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&lt; 1, where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are the eigenvalues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w:t>
      </w:r>
    </w:p>
    <w:p w14:paraId="6DBF7C17"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Justification: Discrete-time Hartman–Grobman linearisation theorem.</w:t>
      </w:r>
    </w:p>
    <w:p w14:paraId="660873C4" w14:textId="45E44F5E"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Theorem</w:t>
      </w:r>
      <w:r w:rsidRPr="009668D3">
        <w:rPr>
          <w:rFonts w:ascii="Times New Roman" w:hAnsi="Times New Roman" w:cs="Times New Roman"/>
          <w:sz w:val="20"/>
          <w:szCs w:val="20"/>
        </w:rPr>
        <w:t xml:space="preserve"> (Kuznetsov, 2004, Chapter 2; Palis and de Melo, 1982): Near a hyperbolic fixed point (no eigenvalues on the unit circle), the nonlinear map G and its linearisation x →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(x*)(x − x*) are topologically conjugate</w:t>
      </w:r>
      <w:r w:rsidR="00740A54" w:rsidRPr="009668D3">
        <w:rPr>
          <w:rFonts w:ascii="Times New Roman" w:hAnsi="Times New Roman" w:cs="Times New Roman"/>
          <w:sz w:val="20"/>
          <w:szCs w:val="20"/>
        </w:rPr>
        <w:t xml:space="preserve">, </w:t>
      </w:r>
      <w:r w:rsidRPr="009668D3">
        <w:rPr>
          <w:rFonts w:ascii="Times New Roman" w:hAnsi="Times New Roman" w:cs="Times New Roman"/>
          <w:sz w:val="20"/>
          <w:szCs w:val="20"/>
        </w:rPr>
        <w:t>i.e., there exists a homeomorphism that maps orbits of one to orbits of the other, preserving orientation. This guarantees that the local qualitative dynamics (stability, instability, saddle structure) of the nonlinear map are completely determined by the eigenvalues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w:t>
      </w:r>
    </w:p>
    <w:p w14:paraId="6D4E1851"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Important distinction: </w:t>
      </w:r>
      <w:r w:rsidRPr="009668D3">
        <w:rPr>
          <w:rFonts w:ascii="Times New Roman" w:hAnsi="Times New Roman" w:cs="Times New Roman"/>
          <w:sz w:val="20"/>
          <w:szCs w:val="20"/>
        </w:rPr>
        <w:t>This is the correct stability test for the annual recurrence. The Routh–Hurwitz criterion (Re(λ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&lt; 0) applies to continuous-time systems and would be appropriate only for the within-season ODE in isolation. For the discrete-time annual map, the unit circle (not the imaginary axis) is the stability boundary.</w:t>
      </w:r>
    </w:p>
    <w:p w14:paraId="6807CDC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Definition of the Jacobian.</w:t>
      </w:r>
    </w:p>
    <w:p w14:paraId="0E6DB93D" w14:textId="2CE8C190"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Jacobian of the annual map at a </w:t>
      </w:r>
      <w:r w:rsidR="008A7872" w:rsidRPr="009668D3">
        <w:rPr>
          <w:rFonts w:ascii="Times New Roman" w:hAnsi="Times New Roman" w:cs="Times New Roman"/>
          <w:sz w:val="20"/>
          <w:szCs w:val="20"/>
        </w:rPr>
        <w:t>fixed-point</w:t>
      </w:r>
      <w:r w:rsidRPr="009668D3">
        <w:rPr>
          <w:rFonts w:ascii="Times New Roman" w:hAnsi="Times New Roman" w:cs="Times New Roman"/>
          <w:sz w:val="20"/>
          <w:szCs w:val="20"/>
        </w:rPr>
        <w:t xml:space="preserve"> x* is the 3 × 3 matrix:</w:t>
      </w:r>
    </w:p>
    <w:p w14:paraId="22681541" w14:textId="77C9A6CB" w:rsidR="000875CC" w:rsidRPr="009668D3" w:rsidRDefault="00FB510D" w:rsidP="002D21BC">
      <w:pPr>
        <w:tabs>
          <w:tab w:val="right" w:pos="9026"/>
        </w:tabs>
        <w:spacing w:before="160" w:line="240" w:lineRule="auto"/>
        <w:jc w:val="both"/>
        <w:rPr>
          <w:rFonts w:ascii="Times New Roman" w:hAnsi="Times New Roman" w:cs="Times New Roman"/>
          <w:sz w:val="20"/>
          <w:szCs w:val="20"/>
        </w:rPr>
      </w:pPr>
      <m:oMath>
        <m:r>
          <w:rPr>
            <w:rFonts w:ascii="Cambria Math" w:eastAsia="Cambria Math" w:hAnsi="Cambria Math" w:cs="Times New Roman"/>
            <w:sz w:val="20"/>
            <w:szCs w:val="20"/>
          </w:rPr>
          <m:t>J</m:t>
        </m:r>
        <m:r>
          <w:rPr>
            <w:rFonts w:ascii="Cambria Math" w:eastAsia="Cambria Math" w:hAnsi="Cambria Math" w:cs="Times New Roman"/>
            <w:sz w:val="20"/>
            <w:szCs w:val="20"/>
          </w:rPr>
          <m:t>ₓ</m:t>
        </m:r>
        <m:r>
          <w:rPr>
            <w:rFonts w:ascii="Cambria Math" w:eastAsia="Cambria Math" w:hAnsi="Cambria Math" w:cs="Times New Roman"/>
            <w:sz w:val="20"/>
            <w:szCs w:val="20"/>
          </w:rPr>
          <m:t>(</m:t>
        </m:r>
        <m:sSup>
          <m:sSupPr>
            <m:ctrlPr>
              <w:rPr>
                <w:rFonts w:ascii="Cambria Math" w:eastAsia="Cambria Math" w:hAnsi="Cambria Math" w:cs="Times New Roman"/>
                <w:i/>
                <w:sz w:val="20"/>
                <w:szCs w:val="20"/>
              </w:rPr>
            </m:ctrlPr>
          </m:sSupPr>
          <m:e>
            <m:r>
              <w:rPr>
                <w:rFonts w:ascii="Cambria Math" w:eastAsia="Cambria Math" w:hAnsi="Cambria Math" w:cs="Times New Roman"/>
                <w:sz w:val="20"/>
                <w:szCs w:val="20"/>
              </w:rPr>
              <m:t>x</m:t>
            </m:r>
          </m:e>
          <m:sup>
            <m:r>
              <w:rPr>
                <w:rFonts w:ascii="Cambria Math" w:eastAsia="Cambria Math" w:hAnsi="Cambria Math" w:cs="Times New Roman"/>
                <w:sz w:val="20"/>
                <w:szCs w:val="20"/>
              </w:rPr>
              <m:t>*</m:t>
            </m:r>
          </m:sup>
        </m:sSup>
        <m:r>
          <w:rPr>
            <w:rFonts w:ascii="Cambria Math" w:eastAsia="Cambria Math" w:hAnsi="Cambria Math" w:cs="Times New Roman"/>
            <w:sz w:val="20"/>
            <w:szCs w:val="20"/>
          </w:rPr>
          <m:t xml:space="preserve">) = </m:t>
        </m:r>
        <m:r>
          <w:rPr>
            <w:rFonts w:ascii="Cambria Math" w:eastAsia="Cambria Math" w:hAnsi="Cambria Math" w:cs="Times New Roman"/>
            <w:sz w:val="20"/>
            <w:szCs w:val="20"/>
          </w:rPr>
          <m:t>∂G</m:t>
        </m:r>
        <m:r>
          <w:rPr>
            <w:rFonts w:ascii="Cambria Math" w:eastAsia="Cambria Math" w:hAnsi="Cambria Math" w:cs="Times New Roman"/>
            <w:sz w:val="20"/>
            <w:szCs w:val="20"/>
          </w:rPr>
          <m:t>/</m:t>
        </m:r>
        <m:r>
          <w:rPr>
            <w:rFonts w:ascii="Cambria Math" w:eastAsia="Cambria Math" w:hAnsi="Cambria Math" w:cs="Times New Roman"/>
            <w:sz w:val="20"/>
            <w:szCs w:val="20"/>
          </w:rPr>
          <m:t>∂x</m:t>
        </m:r>
        <m:r>
          <w:rPr>
            <w:rFonts w:ascii="Cambria Math" w:eastAsia="Cambria Math" w:hAnsi="Cambria Math" w:cs="Times New Roman"/>
            <w:sz w:val="20"/>
            <w:szCs w:val="20"/>
          </w:rPr>
          <m:t xml:space="preserve"> |ₓ*</m:t>
        </m:r>
      </m:oMath>
      <w:r w:rsidR="000875CC" w:rsidRPr="009668D3">
        <w:rPr>
          <w:rFonts w:ascii="Times New Roman" w:hAnsi="Times New Roman" w:cs="Times New Roman"/>
          <w:sz w:val="20"/>
          <w:szCs w:val="20"/>
        </w:rPr>
        <w:tab/>
        <w:t>(14)</w:t>
      </w:r>
    </w:p>
    <w:p w14:paraId="0E042C0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By the chain rule, the entries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 xml:space="preserve"> decompose into two components: (a) analytic derivatives of the initial conditions with respect to the annual state, and (b) numerical derivatives of the seasonal terminal values with respect to the initial conditions.</w:t>
      </w:r>
    </w:p>
    <w:p w14:paraId="51196148"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Component (a): Initial-condition derivatives from Beverton–Holt recruitment.</w:t>
      </w:r>
    </w:p>
    <w:p w14:paraId="514205ED" w14:textId="6DF1C9B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From </w:t>
      </w:r>
      <m:oMath>
        <m:r>
          <w:rPr>
            <w:rFonts w:ascii="Cambria Math" w:eastAsia="Times New Roman" w:hAnsi="Cambria Math" w:cs="Times New Roman"/>
            <w:sz w:val="20"/>
            <w:szCs w:val="20"/>
          </w:rPr>
          <m:t>S</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0</m:t>
            </m:r>
          </m:e>
        </m:d>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Cambria Math" w:hAnsi="Cambria Math" w:cs="Times New Roman"/>
                    <w:sz w:val="20"/>
                    <w:szCs w:val="20"/>
                    <w:vertAlign w:val="subscript"/>
                  </w:rPr>
                  <m:t>B</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Cambria Math" w:hAnsi="Cambria Math" w:cs="Times New Roman"/>
                    <w:sz w:val="20"/>
                    <w:szCs w:val="20"/>
                    <w:vertAlign w:val="subscript"/>
                  </w:rPr>
                  <m:t>t</m:t>
                </m:r>
              </m:sub>
            </m:sSub>
          </m:num>
          <m:den>
            <m:r>
              <w:rPr>
                <w:rFonts w:ascii="Cambria Math" w:eastAsia="Times New Roman" w:hAnsi="Cambria Math" w:cs="Times New Roman"/>
                <w:sz w:val="20"/>
                <w:szCs w:val="20"/>
              </w:rPr>
              <m:t>1 +</m:t>
            </m:r>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Cambria Math" w:hAnsi="Cambria Math" w:cs="Times New Roman"/>
                        <w:sz w:val="20"/>
                        <w:szCs w:val="20"/>
                        <w:vertAlign w:val="subscript"/>
                      </w:rPr>
                      <m:t>t</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Cambria Math" w:hAnsi="Cambria Math" w:cs="Times New Roman"/>
                        <w:sz w:val="20"/>
                        <w:szCs w:val="20"/>
                        <w:vertAlign w:val="subscript"/>
                      </w:rPr>
                      <m:t>t</m:t>
                    </m:r>
                  </m:sub>
                </m:sSub>
              </m:den>
            </m:f>
          </m:den>
        </m:f>
        <m:r>
          <w:rPr>
            <w:rFonts w:ascii="Cambria Math" w:eastAsia="Times New Roman" w:hAnsi="Cambria Math" w:cs="Times New Roman"/>
            <w:sz w:val="20"/>
            <w:szCs w:val="20"/>
          </w:rPr>
          <m:t xml:space="preserve">, </m:t>
        </m:r>
      </m:oMath>
      <w:r w:rsidRPr="009668D3">
        <w:rPr>
          <w:rFonts w:ascii="Times New Roman" w:hAnsi="Times New Roman" w:cs="Times New Roman"/>
          <w:sz w:val="20"/>
          <w:szCs w:val="20"/>
        </w:rPr>
        <w:t>direct differentiation yields (Beverton and Holt, 1957):</w:t>
      </w:r>
      <m:oMath>
        <m:f>
          <m:fPr>
            <m:ctrlPr>
              <w:rPr>
                <w:rFonts w:ascii="Cambria Math" w:hAnsi="Cambria Math" w:cs="Times New Roman"/>
                <w:sz w:val="20"/>
                <w:szCs w:val="20"/>
              </w:rPr>
            </m:ctrlPr>
          </m:fPr>
          <m:num>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ctrlPr>
              <w:rPr>
                <w:rFonts w:ascii="Cambria Math" w:hAnsi="Cambria Math" w:cs="Times New Roman"/>
                <w:i/>
                <w:sz w:val="20"/>
                <w:szCs w:val="20"/>
              </w:rPr>
            </m:ctrlPr>
          </m:num>
          <m:den>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ctrlPr>
              <w:rPr>
                <w:rFonts w:ascii="Cambria Math" w:hAnsi="Cambria Math" w:cs="Times New Roman"/>
                <w:i/>
                <w:sz w:val="20"/>
                <w:szCs w:val="20"/>
              </w:rPr>
            </m:ctrlPr>
          </m:den>
        </m:f>
        <m:r>
          <w:rPr>
            <w:rFonts w:ascii="Cambria Math" w:hAnsi="Cambria Math" w:cs="Times New Roman"/>
            <w:sz w:val="20"/>
            <w:szCs w:val="20"/>
          </w:rPr>
          <m:t>=</m:t>
        </m:r>
        <m:f>
          <m:fPr>
            <m:ctrlPr>
              <w:rPr>
                <w:rFonts w:ascii="Cambria Math" w:eastAsia="Times New Roman" w:hAnsi="Cambria Math" w:cs="Times New Roman"/>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B</m:t>
                </m:r>
              </m:sub>
            </m:sSub>
            <m:ctrlPr>
              <w:rPr>
                <w:rFonts w:ascii="Cambria Math" w:eastAsia="Times New Roman" w:hAnsi="Cambria Math" w:cs="Times New Roman"/>
                <w:i/>
                <w:sz w:val="20"/>
                <w:szCs w:val="20"/>
              </w:rPr>
            </m:ctrlPr>
          </m:num>
          <m:den>
            <m:sSup>
              <m:sSupPr>
                <m:ctrlPr>
                  <w:rPr>
                    <w:rFonts w:ascii="Cambria Math" w:eastAsia="Times New Roman" w:hAnsi="Cambria Math" w:cs="Times New Roman"/>
                    <w:i/>
                    <w:sz w:val="20"/>
                    <w:szCs w:val="20"/>
                  </w:rPr>
                </m:ctrlPr>
              </m:sSupPr>
              <m:e>
                <m:d>
                  <m:dPr>
                    <m:ctrlPr>
                      <w:rPr>
                        <w:rFonts w:ascii="Cambria Math" w:eastAsia="Times New Roman" w:hAnsi="Cambria Math" w:cs="Times New Roman"/>
                        <w:sz w:val="20"/>
                        <w:szCs w:val="20"/>
                      </w:rPr>
                    </m:ctrlPr>
                  </m:dPr>
                  <m:e>
                    <m:r>
                      <w:rPr>
                        <w:rFonts w:ascii="Cambria Math" w:eastAsia="Times New Roman" w:hAnsi="Cambria Math" w:cs="Times New Roman"/>
                        <w:sz w:val="20"/>
                        <w:szCs w:val="20"/>
                      </w:rPr>
                      <m:t>1+</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t</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t</m:t>
                        </m:r>
                      </m:sub>
                    </m:sSub>
                    <m:ctrlPr>
                      <w:rPr>
                        <w:rFonts w:ascii="Cambria Math" w:eastAsia="Times New Roman" w:hAnsi="Cambria Math" w:cs="Times New Roman"/>
                        <w:i/>
                        <w:sz w:val="20"/>
                        <w:szCs w:val="20"/>
                      </w:rPr>
                    </m:ctrlPr>
                  </m:e>
                </m:d>
              </m:e>
              <m:sup>
                <m:r>
                  <w:rPr>
                    <w:rFonts w:ascii="Cambria Math" w:eastAsia="Times New Roman" w:hAnsi="Cambria Math" w:cs="Times New Roman"/>
                    <w:sz w:val="20"/>
                    <w:szCs w:val="20"/>
                  </w:rPr>
                  <m:t>2</m:t>
                </m:r>
              </m:sup>
            </m:sSup>
            <m:ctrlPr>
              <w:rPr>
                <w:rFonts w:ascii="Cambria Math" w:eastAsia="Times New Roman" w:hAnsi="Cambria Math" w:cs="Times New Roman"/>
                <w:i/>
                <w:sz w:val="20"/>
                <w:szCs w:val="20"/>
              </w:rPr>
            </m:ctrlPr>
          </m:den>
        </m:f>
      </m:oMath>
      <w:r w:rsidR="009834C5" w:rsidRPr="009668D3">
        <w:rPr>
          <w:rFonts w:ascii="Times New Roman" w:hAnsi="Times New Roman" w:cs="Times New Roman"/>
          <w:sz w:val="20"/>
          <w:szCs w:val="20"/>
        </w:rPr>
        <w:t>(</w:t>
      </w:r>
      <w:r w:rsidRPr="009668D3">
        <w:rPr>
          <w:rFonts w:ascii="Times New Roman" w:hAnsi="Times New Roman" w:cs="Times New Roman"/>
          <w:sz w:val="20"/>
          <w:szCs w:val="20"/>
        </w:rPr>
        <w:t>15a)</w:t>
      </w:r>
      <w:r w:rsidR="00AA491A" w:rsidRPr="009668D3">
        <w:rPr>
          <w:rFonts w:ascii="Times New Roman" w:hAnsi="Times New Roman" w:cs="Times New Roman"/>
          <w:sz w:val="20"/>
          <w:szCs w:val="20"/>
        </w:rPr>
        <w:t xml:space="preserve">; </w:t>
      </w:r>
      <m:oMath>
        <m:f>
          <m:fPr>
            <m:ctrlPr>
              <w:rPr>
                <w:rFonts w:ascii="Cambria Math" w:hAnsi="Cambria Math" w:cs="Times New Roman"/>
                <w:sz w:val="20"/>
                <w:szCs w:val="20"/>
              </w:rPr>
            </m:ctrlPr>
          </m:fPr>
          <m:num>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0</m:t>
                </m:r>
              </m:e>
            </m:d>
            <m:ctrlPr>
              <w:rPr>
                <w:rFonts w:ascii="Cambria Math" w:hAnsi="Cambria Math" w:cs="Times New Roman"/>
                <w:i/>
                <w:sz w:val="20"/>
                <w:szCs w:val="20"/>
              </w:rPr>
            </m:ctrlPr>
          </m:num>
          <m:den>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ctrlPr>
              <w:rPr>
                <w:rFonts w:ascii="Cambria Math" w:hAnsi="Cambria Math" w:cs="Times New Roman"/>
                <w:i/>
                <w:sz w:val="20"/>
                <w:szCs w:val="20"/>
              </w:rPr>
            </m:ctrlPr>
          </m:den>
        </m:f>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r>
              <w:rPr>
                <w:rFonts w:ascii="Cambria Math" w:hAnsi="Cambria Math" w:cs="Times New Roman"/>
                <w:sz w:val="20"/>
                <w:szCs w:val="20"/>
              </w:rPr>
              <m:t> </m:t>
            </m:r>
            <m:sSubSup>
              <m:sSubSupPr>
                <m:ctrlPr>
                  <w:rPr>
                    <w:rFonts w:ascii="Cambria Math" w:hAnsi="Cambria Math" w:cs="Times New Roman"/>
                    <w:i/>
                    <w:sz w:val="20"/>
                    <w:szCs w:val="20"/>
                  </w:rPr>
                </m:ctrlPr>
              </m:sSubSupPr>
              <m:e>
                <m:r>
                  <w:rPr>
                    <w:rFonts w:ascii="Cambria Math" w:hAnsi="Cambria Math" w:cs="Times New Roman"/>
                    <w:sz w:val="20"/>
                    <w:szCs w:val="20"/>
                  </w:rPr>
                  <m:t>A</m:t>
                </m:r>
              </m:e>
              <m:sub>
                <m:r>
                  <w:rPr>
                    <w:rFonts w:ascii="Cambria Math" w:hAnsi="Cambria Math" w:cs="Times New Roman"/>
                    <w:sz w:val="20"/>
                    <w:szCs w:val="20"/>
                  </w:rPr>
                  <m:t>t</m:t>
                </m:r>
              </m:sub>
              <m:sup>
                <m:r>
                  <w:rPr>
                    <w:rFonts w:ascii="Cambria Math" w:hAnsi="Cambria Math" w:cs="Times New Roman"/>
                    <w:sz w:val="20"/>
                    <w:szCs w:val="20"/>
                  </w:rPr>
                  <m:t>2</m:t>
                </m:r>
              </m:sup>
            </m:sSubSup>
            <m:ctrlPr>
              <w:rPr>
                <w:rFonts w:ascii="Cambria Math" w:hAnsi="Cambria Math" w:cs="Times New Roman"/>
                <w:i/>
                <w:sz w:val="20"/>
                <w:szCs w:val="20"/>
              </w:rPr>
            </m:ctrlPr>
          </m:num>
          <m:den>
            <m:sSubSup>
              <m:sSubSupPr>
                <m:ctrlPr>
                  <w:rPr>
                    <w:rFonts w:ascii="Cambria Math" w:hAnsi="Cambria Math" w:cs="Times New Roman"/>
                    <w:i/>
                    <w:sz w:val="20"/>
                    <w:szCs w:val="20"/>
                  </w:rPr>
                </m:ctrlPr>
              </m:sSubSupPr>
              <m:e>
                <m:r>
                  <w:rPr>
                    <w:rFonts w:ascii="Cambria Math" w:hAnsi="Cambria Math" w:cs="Times New Roman"/>
                    <w:sz w:val="20"/>
                    <w:szCs w:val="20"/>
                  </w:rPr>
                  <m:t>K</m:t>
                </m:r>
              </m:e>
              <m:sub>
                <m:r>
                  <w:rPr>
                    <w:rFonts w:ascii="Cambria Math" w:hAnsi="Cambria Math" w:cs="Times New Roman"/>
                    <w:sz w:val="20"/>
                    <w:szCs w:val="20"/>
                  </w:rPr>
                  <m:t>t</m:t>
                </m:r>
              </m:sub>
              <m:sup>
                <m:r>
                  <w:rPr>
                    <w:rFonts w:ascii="Cambria Math" w:hAnsi="Cambria Math" w:cs="Times New Roman"/>
                    <w:sz w:val="20"/>
                    <w:szCs w:val="20"/>
                  </w:rPr>
                  <m:t>2</m:t>
                </m:r>
              </m:sup>
            </m:sSubSup>
            <m:sSup>
              <m:sSupPr>
                <m:ctrlPr>
                  <w:rPr>
                    <w:rFonts w:ascii="Cambria Math" w:hAnsi="Cambria Math" w:cs="Times New Roman"/>
                    <w:i/>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f>
                      <m:fPr>
                        <m:ctrlPr>
                          <w:rPr>
                            <w:rFonts w:ascii="Cambria Math" w:hAnsi="Cambria Math" w:cs="Times New Roman"/>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ctrlPr>
                          <w:rPr>
                            <w:rFonts w:ascii="Cambria Math" w:hAnsi="Cambria Math" w:cs="Times New Roman"/>
                            <w:i/>
                            <w:sz w:val="20"/>
                            <w:szCs w:val="20"/>
                          </w:rPr>
                        </m:ctrlPr>
                      </m:num>
                      <m:den>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ctrlPr>
                          <w:rPr>
                            <w:rFonts w:ascii="Cambria Math" w:hAnsi="Cambria Math" w:cs="Times New Roman"/>
                            <w:i/>
                            <w:sz w:val="20"/>
                            <w:szCs w:val="20"/>
                          </w:rPr>
                        </m:ctrlPr>
                      </m:den>
                    </m:f>
                    <m:ctrlPr>
                      <w:rPr>
                        <w:rFonts w:ascii="Cambria Math" w:hAnsi="Cambria Math" w:cs="Times New Roman"/>
                        <w:i/>
                        <w:sz w:val="20"/>
                        <w:szCs w:val="20"/>
                      </w:rPr>
                    </m:ctrlPr>
                  </m:e>
                </m:d>
              </m:e>
              <m:sup>
                <m:r>
                  <w:rPr>
                    <w:rFonts w:ascii="Cambria Math" w:hAnsi="Cambria Math" w:cs="Times New Roman"/>
                    <w:sz w:val="20"/>
                    <w:szCs w:val="20"/>
                  </w:rPr>
                  <m:t>2</m:t>
                </m:r>
              </m:sup>
            </m:sSup>
            <m:ctrlPr>
              <w:rPr>
                <w:rFonts w:ascii="Cambria Math" w:hAnsi="Cambria Math" w:cs="Times New Roman"/>
                <w:i/>
                <w:sz w:val="20"/>
                <w:szCs w:val="20"/>
              </w:rPr>
            </m:ctrlPr>
          </m:den>
        </m:f>
        <m:r>
          <m:rPr>
            <m:sty m:val="p"/>
          </m:rPr>
          <w:rPr>
            <w:rFonts w:ascii="Cambria Math" w:hAnsi="Cambria Math" w:cs="Times New Roman"/>
            <w:sz w:val="20"/>
            <w:szCs w:val="20"/>
          </w:rPr>
          <m:t> </m:t>
        </m:r>
        <m:r>
          <m:rPr>
            <m:nor/>
          </m:rPr>
          <w:rPr>
            <w:rFonts w:ascii="Times New Roman" w:hAnsi="Times New Roman" w:cs="Times New Roman"/>
            <w:sz w:val="20"/>
            <w:szCs w:val="20"/>
          </w:rPr>
          <m:t>(15b)</m:t>
        </m:r>
      </m:oMath>
      <w:r w:rsidR="00AA491A" w:rsidRPr="009668D3">
        <w:rPr>
          <w:rFonts w:ascii="Times New Roman" w:hAnsi="Times New Roman" w:cs="Times New Roman"/>
          <w:sz w:val="20"/>
          <w:szCs w:val="20"/>
        </w:rPr>
        <w:t xml:space="preserve"> </w:t>
      </w:r>
      <m:oMath>
        <m:f>
          <m:fPr>
            <m:ctrlPr>
              <w:rPr>
                <w:rFonts w:ascii="Cambria Math" w:eastAsia="Cambria Math" w:hAnsi="Cambria Math" w:cs="Times New Roman"/>
                <w:i/>
                <w:sz w:val="20"/>
                <w:szCs w:val="20"/>
              </w:rPr>
            </m:ctrlPr>
          </m:fPr>
          <m:num>
            <m:r>
              <w:rPr>
                <w:rFonts w:ascii="Cambria Math" w:eastAsia="Cambria Math" w:hAnsi="Cambria Math" w:cs="Times New Roman"/>
                <w:sz w:val="20"/>
                <w:szCs w:val="20"/>
              </w:rPr>
              <m:t>∂S</m:t>
            </m:r>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0</m:t>
                </m:r>
              </m:e>
            </m:d>
          </m:num>
          <m:den>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F</m:t>
                </m:r>
              </m:e>
              <m:sub>
                <m:r>
                  <w:rPr>
                    <w:rFonts w:ascii="Cambria Math" w:eastAsia="Cambria Math" w:hAnsi="Cambria Math" w:cs="Times New Roman"/>
                    <w:sz w:val="20"/>
                    <w:szCs w:val="20"/>
                  </w:rPr>
                  <m:t>t</m:t>
                </m:r>
              </m:sub>
            </m:sSub>
          </m:den>
        </m:f>
        <m:r>
          <w:rPr>
            <w:rFonts w:ascii="Cambria Math" w:eastAsia="Cambria Math" w:hAnsi="Cambria Math" w:cs="Times New Roman"/>
            <w:sz w:val="20"/>
            <w:szCs w:val="20"/>
          </w:rPr>
          <m:t>=</m:t>
        </m:r>
        <m:r>
          <w:rPr>
            <w:rFonts w:ascii="Cambria Math" w:hAnsi="Cambria Math" w:cs="Times New Roman"/>
            <w:sz w:val="20"/>
            <w:szCs w:val="20"/>
          </w:rPr>
          <m:t xml:space="preserve"> 0</m:t>
        </m:r>
      </m:oMath>
      <w:r w:rsidRPr="009668D3">
        <w:rPr>
          <w:rFonts w:ascii="Times New Roman" w:hAnsi="Times New Roman" w:cs="Times New Roman"/>
          <w:sz w:val="20"/>
          <w:szCs w:val="20"/>
        </w:rPr>
        <w:tab/>
        <w:t>(15c)</w:t>
      </w:r>
    </w:p>
    <w:p w14:paraId="6CEA31EE" w14:textId="0977C8A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Derivation of Equation (15a): </w:t>
      </w:r>
      <m:oMath>
        <m:r>
          <w:rPr>
            <w:rFonts w:ascii="Cambria Math" w:eastAsia="Times New Roman" w:hAnsi="Cambria Math" w:cs="Times New Roman"/>
            <w:sz w:val="20"/>
            <w:szCs w:val="20"/>
          </w:rPr>
          <m:t>S(0)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A×K / (K + A)</m:t>
        </m:r>
      </m:oMath>
      <w:r w:rsidR="0034411E" w:rsidRPr="001E6700">
        <w:rPr>
          <w:rFonts w:ascii="Times New Roman" w:eastAsia="Times New Roman" w:hAnsi="Times New Roman" w:cs="Times New Roman"/>
          <w:sz w:val="20"/>
          <w:szCs w:val="20"/>
        </w:rPr>
        <w:t xml:space="preserve"> (</w:t>
      </w:r>
      <w:r w:rsidR="0034411E" w:rsidRPr="009668D3">
        <w:rPr>
          <w:rFonts w:ascii="Times New Roman" w:hAnsi="Times New Roman" w:cs="Times New Roman"/>
          <w:sz w:val="20"/>
          <w:szCs w:val="20"/>
        </w:rPr>
        <w:t xml:space="preserve">t </w:t>
      </w:r>
      <w:r w:rsidR="0034411E" w:rsidRPr="001E6700">
        <w:rPr>
          <w:rFonts w:ascii="Times New Roman" w:eastAsia="Times New Roman" w:hAnsi="Times New Roman" w:cs="Times New Roman"/>
          <w:sz w:val="20"/>
          <w:szCs w:val="20"/>
        </w:rPr>
        <w:t>omitted</w:t>
      </w:r>
      <w:r w:rsidR="0034411E" w:rsidRPr="009668D3">
        <w:rPr>
          <w:rFonts w:ascii="Times New Roman" w:hAnsi="Times New Roman" w:cs="Times New Roman"/>
          <w:sz w:val="20"/>
          <w:szCs w:val="20"/>
        </w:rPr>
        <w:t xml:space="preserve"> for clarity</w:t>
      </w:r>
      <w:r w:rsidR="0034411E" w:rsidRPr="001E6700">
        <w:rPr>
          <w:rFonts w:ascii="Times New Roman" w:eastAsia="Times New Roman" w:hAnsi="Times New Roman" w:cs="Times New Roman"/>
          <w:sz w:val="20"/>
          <w:szCs w:val="20"/>
        </w:rPr>
        <w:t>)</w:t>
      </w:r>
      <w:r w:rsidR="006B19FB" w:rsidRPr="001E6700">
        <w:rPr>
          <w:rFonts w:ascii="Times New Roman" w:eastAsia="Times New Roman" w:hAnsi="Times New Roman" w:cs="Times New Roman"/>
          <w:sz w:val="20"/>
          <w:szCs w:val="20"/>
        </w:rPr>
        <w:t>,</w:t>
      </w:r>
      <w:r w:rsidRPr="001E6700">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∂S(0)/∂A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K / (K + A)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A ×K / (K + A)²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K² / (K + A)²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 (1 + A/K)².</m:t>
        </m:r>
      </m:oMath>
    </w:p>
    <w:p w14:paraId="6F8A79AF" w14:textId="1E6D339D"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Derivation of Equation (15b): </w:t>
      </w:r>
      <m:oMath>
        <m:r>
          <w:rPr>
            <w:rFonts w:ascii="Cambria Math" w:eastAsia="Times New Roman" w:hAnsi="Cambria Math" w:cs="Times New Roman"/>
            <w:sz w:val="20"/>
            <w:szCs w:val="20"/>
          </w:rPr>
          <m:t>∂S(0)/∂K  = R_</m:t>
        </m:r>
        <m:r>
          <w:rPr>
            <w:rFonts w:ascii="Cambria Math" w:eastAsia="Cambria Math" w:hAnsi="Cambria Math" w:cs="Times New Roman"/>
            <w:sz w:val="20"/>
            <w:szCs w:val="20"/>
            <w:vertAlign w:val="subscript"/>
          </w:rPr>
          <m:t xml:space="preserve">B </m:t>
        </m:r>
        <m:r>
          <w:rPr>
            <w:rFonts w:ascii="Cambria Math" w:eastAsia="Times New Roman" w:hAnsi="Cambria Math" w:cs="Times New Roman"/>
            <w:sz w:val="20"/>
            <w:szCs w:val="20"/>
          </w:rPr>
          <m:t xml:space="preserve"> A (K + A)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A_K) / (K + A)²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A² / (K + A)² = R_</m:t>
        </m:r>
        <m:r>
          <w:rPr>
            <w:rFonts w:ascii="Cambria Math" w:eastAsia="Cambria Math" w:hAnsi="Cambria Math" w:cs="Times New Roman"/>
            <w:sz w:val="20"/>
            <w:szCs w:val="20"/>
            <w:vertAlign w:val="subscript"/>
          </w:rPr>
          <m:t>B</m:t>
        </m:r>
        <m:r>
          <w:rPr>
            <w:rFonts w:ascii="Cambria Math" w:eastAsia="Times New Roman" w:hAnsi="Cambria Math" w:cs="Times New Roman"/>
            <w:sz w:val="20"/>
            <w:szCs w:val="20"/>
          </w:rPr>
          <m:t xml:space="preserve"> A² / [K²(1 + A/K)²]</m:t>
        </m:r>
      </m:oMath>
      <w:r w:rsidRPr="001E6700">
        <w:rPr>
          <w:rFonts w:ascii="Times New Roman" w:eastAsia="Times New Roman" w:hAnsi="Times New Roman" w:cs="Times New Roman"/>
          <w:sz w:val="20"/>
          <w:szCs w:val="20"/>
        </w:rPr>
        <w:t>.</w:t>
      </w:r>
    </w:p>
    <w:p w14:paraId="2E6B2317"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Additionally, from Equation (5): ∂F(0)/∂F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1, and ∂F(0)/∂A</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∂F(0)/∂K</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0, and ∂I(0)/∂x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0, ∂D(0)/∂x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 0 (since I(0) = 0 and D(0) = 0 are fixed constants each year).</w:t>
      </w:r>
    </w:p>
    <w:p w14:paraId="5F2DEE37"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Component (b): Flow sensitivities.</w:t>
      </w:r>
    </w:p>
    <w:p w14:paraId="00188B0D"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derivatives ∂S</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/∂S(0), ∂S</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/∂F(0), ∂F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/∂S(0), ∂F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/∂F(0),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/∂S(0),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/∂F(0) are obtained from the variational equations (Step 5). Note: only the sensitivities with respect to S(0) and F(0) are required, because I(0) = 0 and D(0) = 0 are not functions of the annual state 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w:t>
      </w:r>
    </w:p>
    <w:p w14:paraId="489B27BF"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Assembly of the full Jacobian.</w:t>
      </w:r>
    </w:p>
    <w:p w14:paraId="0350A2C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Combining components (a) and (b) via the chain rule, the three rows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 xml:space="preserve"> are:</w:t>
      </w:r>
    </w:p>
    <w:p w14:paraId="478286D6" w14:textId="17EFC480" w:rsidR="000875CC" w:rsidRPr="009668D3" w:rsidRDefault="009834C5" w:rsidP="002D21BC">
      <w:pPr>
        <w:tabs>
          <w:tab w:val="right" w:pos="9026"/>
        </w:tabs>
        <w:spacing w:before="160" w:line="240" w:lineRule="auto"/>
        <w:jc w:val="both"/>
        <w:rPr>
          <w:rFonts w:ascii="Times New Roman" w:hAnsi="Times New Roman" w:cs="Times New Roman"/>
          <w:sz w:val="20"/>
          <w:szCs w:val="20"/>
          <w:lang w:val="pt-PT"/>
        </w:rPr>
      </w:pPr>
      <m:oMath>
        <m:r>
          <w:rPr>
            <w:rFonts w:ascii="Cambria Math" w:hAnsi="Cambria Math" w:cs="Times New Roman"/>
            <w:sz w:val="20"/>
            <w:szCs w:val="20"/>
          </w:rPr>
          <m:t>∂A</m:t>
        </m:r>
        <m:r>
          <w:rPr>
            <w:rFonts w:ascii="Cambria Math" w:hAnsi="Cambria Math" w:cs="Times New Roman"/>
            <w:sz w:val="20"/>
            <w:szCs w:val="20"/>
            <w:lang w:val="pt-PT"/>
          </w:rPr>
          <m:t>ₜ₊₁/</m:t>
        </m:r>
        <m:r>
          <w:rPr>
            <w:rFonts w:ascii="Cambria Math" w:hAnsi="Cambria Math" w:cs="Times New Roman"/>
            <w:sz w:val="20"/>
            <w:szCs w:val="20"/>
          </w:rPr>
          <m:t>∂x</m:t>
        </m:r>
        <m:r>
          <w:rPr>
            <w:rFonts w:ascii="Cambria Math" w:hAnsi="Cambria Math" w:cs="Times New Roman"/>
            <w:sz w:val="20"/>
            <w:szCs w:val="20"/>
            <w:lang w:val="pt-PT"/>
          </w:rPr>
          <m:t xml:space="preserve">ₜ = </m:t>
        </m:r>
        <m:r>
          <w:rPr>
            <w:rFonts w:ascii="Cambria Math" w:hAnsi="Cambria Math" w:cs="Times New Roman"/>
            <w:sz w:val="20"/>
            <w:szCs w:val="20"/>
          </w:rPr>
          <m:t>σ</m:t>
        </m:r>
        <m:r>
          <w:rPr>
            <w:rFonts w:ascii="Cambria Math" w:hAnsi="Cambria Math" w:cs="Times New Roman"/>
            <w:sz w:val="20"/>
            <w:szCs w:val="20"/>
            <w:lang w:val="pt-PT"/>
          </w:rPr>
          <m:t>ₐ (</m:t>
        </m:r>
        <m:r>
          <w:rPr>
            <w:rFonts w:ascii="Cambria Math" w:hAnsi="Cambria Math" w:cs="Times New Roman"/>
            <w:sz w:val="20"/>
            <w:szCs w:val="20"/>
          </w:rPr>
          <m:t>∂S</m:t>
        </m:r>
        <m:r>
          <w:rPr>
            <w:rFonts w:ascii="Cambria Math" w:hAnsi="Cambria Math" w:cs="Times New Roman"/>
            <w:sz w:val="20"/>
            <w:szCs w:val="20"/>
            <w:lang w:val="pt-PT"/>
          </w:rPr>
          <m:t>ₜ/</m:t>
        </m:r>
        <m:r>
          <w:rPr>
            <w:rFonts w:ascii="Cambria Math" w:hAnsi="Cambria Math" w:cs="Times New Roman"/>
            <w:sz w:val="20"/>
            <w:szCs w:val="20"/>
          </w:rPr>
          <m:t>∂S</m:t>
        </m:r>
        <m:r>
          <w:rPr>
            <w:rFonts w:ascii="Cambria Math" w:hAnsi="Cambria Math" w:cs="Times New Roman"/>
            <w:sz w:val="20"/>
            <w:szCs w:val="20"/>
            <w:lang w:val="pt-PT"/>
          </w:rPr>
          <m:t xml:space="preserve">(0) · </m:t>
        </m:r>
        <m:r>
          <w:rPr>
            <w:rFonts w:ascii="Cambria Math" w:hAnsi="Cambria Math" w:cs="Times New Roman"/>
            <w:sz w:val="20"/>
            <w:szCs w:val="20"/>
          </w:rPr>
          <m:t>∂S</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 xml:space="preserve">ₜ + </m:t>
        </m:r>
        <m:r>
          <w:rPr>
            <w:rFonts w:ascii="Cambria Math" w:hAnsi="Cambria Math" w:cs="Times New Roman"/>
            <w:sz w:val="20"/>
            <w:szCs w:val="20"/>
          </w:rPr>
          <m:t>∂S</m:t>
        </m:r>
        <m:r>
          <w:rPr>
            <w:rFonts w:ascii="Cambria Math" w:hAnsi="Cambria Math" w:cs="Times New Roman"/>
            <w:sz w:val="20"/>
            <w:szCs w:val="20"/>
            <w:lang w:val="pt-PT"/>
          </w:rPr>
          <m:t>ₜ/</m:t>
        </m:r>
        <m:r>
          <w:rPr>
            <w:rFonts w:ascii="Cambria Math" w:hAnsi="Cambria Math" w:cs="Times New Roman"/>
            <w:sz w:val="20"/>
            <w:szCs w:val="20"/>
          </w:rPr>
          <m:t>∂F</m:t>
        </m:r>
        <m:r>
          <w:rPr>
            <w:rFonts w:ascii="Cambria Math" w:hAnsi="Cambria Math" w:cs="Times New Roman"/>
            <w:sz w:val="20"/>
            <w:szCs w:val="20"/>
            <w:lang w:val="pt-PT"/>
          </w:rPr>
          <m:t xml:space="preserve">(0) · </m:t>
        </m:r>
        <m:r>
          <w:rPr>
            <w:rFonts w:ascii="Cambria Math" w:hAnsi="Cambria Math" w:cs="Times New Roman"/>
            <w:sz w:val="20"/>
            <w:szCs w:val="20"/>
          </w:rPr>
          <m:t>∂F</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ₜ)</m:t>
        </m:r>
      </m:oMath>
      <w:r w:rsidR="000875CC" w:rsidRPr="009668D3">
        <w:rPr>
          <w:rFonts w:ascii="Times New Roman" w:hAnsi="Times New Roman" w:cs="Times New Roman"/>
          <w:sz w:val="20"/>
          <w:szCs w:val="20"/>
          <w:lang w:val="pt-PT"/>
        </w:rPr>
        <w:tab/>
        <w:t>(16a)</w:t>
      </w:r>
    </w:p>
    <w:p w14:paraId="757B9CF4" w14:textId="5CF657CE" w:rsidR="000875CC" w:rsidRPr="009668D3" w:rsidRDefault="009834C5" w:rsidP="002D21BC">
      <w:pPr>
        <w:tabs>
          <w:tab w:val="right" w:pos="9026"/>
        </w:tabs>
        <w:spacing w:before="160" w:line="240" w:lineRule="auto"/>
        <w:jc w:val="both"/>
        <w:rPr>
          <w:rFonts w:ascii="Times New Roman" w:hAnsi="Times New Roman" w:cs="Times New Roman"/>
          <w:sz w:val="20"/>
          <w:szCs w:val="20"/>
          <w:lang w:val="pt-PT"/>
        </w:rPr>
      </w:pPr>
      <m:oMath>
        <m:r>
          <w:rPr>
            <w:rFonts w:ascii="Cambria Math" w:hAnsi="Cambria Math" w:cs="Times New Roman"/>
            <w:sz w:val="20"/>
            <w:szCs w:val="20"/>
          </w:rPr>
          <m:t>∂F</m:t>
        </m:r>
        <m:r>
          <w:rPr>
            <w:rFonts w:ascii="Cambria Math" w:hAnsi="Cambria Math" w:cs="Times New Roman"/>
            <w:sz w:val="20"/>
            <w:szCs w:val="20"/>
            <w:lang w:val="pt-PT"/>
          </w:rPr>
          <m:t>ₜ₊₁/</m:t>
        </m:r>
        <m:r>
          <w:rPr>
            <w:rFonts w:ascii="Cambria Math" w:hAnsi="Cambria Math" w:cs="Times New Roman"/>
            <w:sz w:val="20"/>
            <w:szCs w:val="20"/>
          </w:rPr>
          <m:t>∂x</m:t>
        </m:r>
        <m:r>
          <w:rPr>
            <w:rFonts w:ascii="Cambria Math" w:hAnsi="Cambria Math" w:cs="Times New Roman"/>
            <w:sz w:val="20"/>
            <w:szCs w:val="20"/>
            <w:lang w:val="pt-PT"/>
          </w:rPr>
          <m:t xml:space="preserve">ₜ = </m:t>
        </m:r>
        <m:sSub>
          <m:sSubPr>
            <m:ctrlPr>
              <w:rPr>
                <w:rFonts w:ascii="Cambria Math" w:eastAsia="Cambria Math" w:hAnsi="Cambria Math" w:cs="Times New Roman"/>
                <w:i/>
                <w:sz w:val="20"/>
                <w:szCs w:val="20"/>
                <w:lang w:val="pt-PT"/>
              </w:rPr>
            </m:ctrlPr>
          </m:sSubPr>
          <m:e>
            <m:r>
              <w:rPr>
                <w:rFonts w:ascii="Cambria Math" w:eastAsia="Cambria Math" w:hAnsi="Cambria Math" w:cs="Times New Roman"/>
                <w:sz w:val="20"/>
                <w:szCs w:val="20"/>
              </w:rPr>
              <m:t>σ</m:t>
            </m:r>
          </m:e>
          <m:sub>
            <m:r>
              <w:rPr>
                <w:rFonts w:ascii="Cambria Math" w:eastAsia="Cambria Math" w:hAnsi="Cambria Math" w:cs="Times New Roman"/>
                <w:sz w:val="20"/>
                <w:szCs w:val="20"/>
              </w:rPr>
              <m:t>F</m:t>
            </m:r>
          </m:sub>
        </m:sSub>
        <m:r>
          <w:rPr>
            <w:rFonts w:ascii="Cambria Math" w:hAnsi="Cambria Math" w:cs="Times New Roman"/>
            <w:sz w:val="20"/>
            <w:szCs w:val="20"/>
            <w:lang w:val="pt-PT"/>
          </w:rPr>
          <m:t xml:space="preserve"> (</m:t>
        </m:r>
        <m:r>
          <w:rPr>
            <w:rFonts w:ascii="Cambria Math" w:hAnsi="Cambria Math" w:cs="Times New Roman"/>
            <w:sz w:val="20"/>
            <w:szCs w:val="20"/>
          </w:rPr>
          <m:t>∂F</m:t>
        </m:r>
        <m:r>
          <w:rPr>
            <w:rFonts w:ascii="Cambria Math" w:hAnsi="Cambria Math" w:cs="Times New Roman"/>
            <w:sz w:val="20"/>
            <w:szCs w:val="20"/>
            <w:lang w:val="pt-PT"/>
          </w:rPr>
          <m:t>ₜ/</m:t>
        </m:r>
        <m:r>
          <w:rPr>
            <w:rFonts w:ascii="Cambria Math" w:hAnsi="Cambria Math" w:cs="Times New Roman"/>
            <w:sz w:val="20"/>
            <w:szCs w:val="20"/>
          </w:rPr>
          <m:t>∂S</m:t>
        </m:r>
        <m:r>
          <w:rPr>
            <w:rFonts w:ascii="Cambria Math" w:hAnsi="Cambria Math" w:cs="Times New Roman"/>
            <w:sz w:val="20"/>
            <w:szCs w:val="20"/>
            <w:lang w:val="pt-PT"/>
          </w:rPr>
          <m:t xml:space="preserve">(0) · </m:t>
        </m:r>
        <m:r>
          <w:rPr>
            <w:rFonts w:ascii="Cambria Math" w:hAnsi="Cambria Math" w:cs="Times New Roman"/>
            <w:sz w:val="20"/>
            <w:szCs w:val="20"/>
          </w:rPr>
          <m:t>∂S</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 xml:space="preserve">ₜ + </m:t>
        </m:r>
        <m:r>
          <w:rPr>
            <w:rFonts w:ascii="Cambria Math" w:hAnsi="Cambria Math" w:cs="Times New Roman"/>
            <w:sz w:val="20"/>
            <w:szCs w:val="20"/>
          </w:rPr>
          <m:t>∂F</m:t>
        </m:r>
        <m:r>
          <w:rPr>
            <w:rFonts w:ascii="Cambria Math" w:hAnsi="Cambria Math" w:cs="Times New Roman"/>
            <w:sz w:val="20"/>
            <w:szCs w:val="20"/>
            <w:lang w:val="pt-PT"/>
          </w:rPr>
          <m:t>ₜ/</m:t>
        </m:r>
        <m:r>
          <w:rPr>
            <w:rFonts w:ascii="Cambria Math" w:hAnsi="Cambria Math" w:cs="Times New Roman"/>
            <w:sz w:val="20"/>
            <w:szCs w:val="20"/>
          </w:rPr>
          <m:t>∂F</m:t>
        </m:r>
        <m:r>
          <w:rPr>
            <w:rFonts w:ascii="Cambria Math" w:hAnsi="Cambria Math" w:cs="Times New Roman"/>
            <w:sz w:val="20"/>
            <w:szCs w:val="20"/>
            <w:lang w:val="pt-PT"/>
          </w:rPr>
          <m:t xml:space="preserve">(0) · </m:t>
        </m:r>
        <m:r>
          <w:rPr>
            <w:rFonts w:ascii="Cambria Math" w:hAnsi="Cambria Math" w:cs="Times New Roman"/>
            <w:sz w:val="20"/>
            <w:szCs w:val="20"/>
          </w:rPr>
          <m:t>∂F</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ₜ)</m:t>
        </m:r>
      </m:oMath>
      <w:r w:rsidR="000875CC" w:rsidRPr="009668D3">
        <w:rPr>
          <w:rFonts w:ascii="Times New Roman" w:hAnsi="Times New Roman" w:cs="Times New Roman"/>
          <w:sz w:val="20"/>
          <w:szCs w:val="20"/>
          <w:lang w:val="pt-PT"/>
        </w:rPr>
        <w:tab/>
        <w:t>(16b)</w:t>
      </w:r>
    </w:p>
    <w:p w14:paraId="22412BFC" w14:textId="2ABC359C" w:rsidR="000875CC" w:rsidRPr="009668D3" w:rsidRDefault="009834C5" w:rsidP="002D21BC">
      <w:pPr>
        <w:tabs>
          <w:tab w:val="right" w:pos="9026"/>
        </w:tabs>
        <w:spacing w:before="160" w:line="240" w:lineRule="auto"/>
        <w:jc w:val="both"/>
        <w:rPr>
          <w:rFonts w:ascii="Times New Roman" w:hAnsi="Times New Roman" w:cs="Times New Roman"/>
          <w:sz w:val="20"/>
          <w:szCs w:val="20"/>
          <w:lang w:val="pt-PT"/>
        </w:rPr>
      </w:pPr>
      <m:oMath>
        <m:r>
          <w:rPr>
            <w:rFonts w:ascii="Cambria Math" w:hAnsi="Cambria Math" w:cs="Times New Roman"/>
            <w:sz w:val="20"/>
            <w:szCs w:val="20"/>
          </w:rPr>
          <m:t>∂K</m:t>
        </m:r>
        <m:r>
          <w:rPr>
            <w:rFonts w:ascii="Cambria Math" w:hAnsi="Cambria Math" w:cs="Times New Roman"/>
            <w:sz w:val="20"/>
            <w:szCs w:val="20"/>
            <w:lang w:val="pt-PT"/>
          </w:rPr>
          <m:t>ₜ₊₁/</m:t>
        </m:r>
        <m:r>
          <w:rPr>
            <w:rFonts w:ascii="Cambria Math" w:hAnsi="Cambria Math" w:cs="Times New Roman"/>
            <w:sz w:val="20"/>
            <w:szCs w:val="20"/>
          </w:rPr>
          <m:t>∂x</m:t>
        </m:r>
        <m:r>
          <w:rPr>
            <w:rFonts w:ascii="Cambria Math" w:hAnsi="Cambria Math" w:cs="Times New Roman"/>
            <w:sz w:val="20"/>
            <w:szCs w:val="20"/>
            <w:lang w:val="pt-PT"/>
          </w:rPr>
          <m:t>ₜ = -</m:t>
        </m:r>
        <m:r>
          <w:rPr>
            <w:rFonts w:ascii="Cambria Math" w:hAnsi="Cambria Math" w:cs="Times New Roman"/>
            <w:sz w:val="20"/>
            <w:szCs w:val="20"/>
          </w:rPr>
          <m:t>ϕ</m:t>
        </m:r>
        <m:r>
          <w:rPr>
            <w:rFonts w:ascii="Cambria Math" w:hAnsi="Cambria Math" w:cs="Times New Roman"/>
            <w:sz w:val="20"/>
            <w:szCs w:val="20"/>
            <w:lang w:val="pt-PT"/>
          </w:rPr>
          <m:t xml:space="preserve"> </m:t>
        </m:r>
        <m:r>
          <w:rPr>
            <w:rFonts w:ascii="Cambria Math" w:hAnsi="Cambria Math" w:cs="Times New Roman"/>
            <w:sz w:val="20"/>
            <w:szCs w:val="20"/>
          </w:rPr>
          <m:t>K</m:t>
        </m:r>
        <m:r>
          <w:rPr>
            <w:rFonts w:ascii="Cambria Math" w:hAnsi="Cambria Math" w:cs="Times New Roman"/>
            <w:sz w:val="20"/>
            <w:szCs w:val="20"/>
            <w:lang w:val="pt-PT"/>
          </w:rPr>
          <m:t>ₜ₊₁ (</m:t>
        </m:r>
        <m:r>
          <w:rPr>
            <w:rFonts w:ascii="Cambria Math" w:hAnsi="Cambria Math" w:cs="Times New Roman"/>
            <w:sz w:val="20"/>
            <w:szCs w:val="20"/>
          </w:rPr>
          <m:t>∂D</m:t>
        </m:r>
        <m:r>
          <w:rPr>
            <w:rFonts w:ascii="Cambria Math" w:hAnsi="Cambria Math" w:cs="Times New Roman"/>
            <w:sz w:val="20"/>
            <w:szCs w:val="20"/>
            <w:lang w:val="pt-PT"/>
          </w:rPr>
          <m:t>ₜ/</m:t>
        </m:r>
        <m:r>
          <w:rPr>
            <w:rFonts w:ascii="Cambria Math" w:hAnsi="Cambria Math" w:cs="Times New Roman"/>
            <w:sz w:val="20"/>
            <w:szCs w:val="20"/>
          </w:rPr>
          <m:t>∂S</m:t>
        </m:r>
        <m:r>
          <w:rPr>
            <w:rFonts w:ascii="Cambria Math" w:hAnsi="Cambria Math" w:cs="Times New Roman"/>
            <w:sz w:val="20"/>
            <w:szCs w:val="20"/>
            <w:lang w:val="pt-PT"/>
          </w:rPr>
          <m:t xml:space="preserve">(0) · </m:t>
        </m:r>
        <m:r>
          <w:rPr>
            <w:rFonts w:ascii="Cambria Math" w:hAnsi="Cambria Math" w:cs="Times New Roman"/>
            <w:sz w:val="20"/>
            <w:szCs w:val="20"/>
          </w:rPr>
          <m:t>∂S</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 xml:space="preserve">ₜ + </m:t>
        </m:r>
        <m:r>
          <w:rPr>
            <w:rFonts w:ascii="Cambria Math" w:hAnsi="Cambria Math" w:cs="Times New Roman"/>
            <w:sz w:val="20"/>
            <w:szCs w:val="20"/>
          </w:rPr>
          <m:t>∂D</m:t>
        </m:r>
        <m:r>
          <w:rPr>
            <w:rFonts w:ascii="Cambria Math" w:hAnsi="Cambria Math" w:cs="Times New Roman"/>
            <w:sz w:val="20"/>
            <w:szCs w:val="20"/>
            <w:lang w:val="pt-PT"/>
          </w:rPr>
          <m:t>ₜ/</m:t>
        </m:r>
        <m:r>
          <w:rPr>
            <w:rFonts w:ascii="Cambria Math" w:hAnsi="Cambria Math" w:cs="Times New Roman"/>
            <w:sz w:val="20"/>
            <w:szCs w:val="20"/>
          </w:rPr>
          <m:t>∂F</m:t>
        </m:r>
        <m:r>
          <w:rPr>
            <w:rFonts w:ascii="Cambria Math" w:hAnsi="Cambria Math" w:cs="Times New Roman"/>
            <w:sz w:val="20"/>
            <w:szCs w:val="20"/>
            <w:lang w:val="pt-PT"/>
          </w:rPr>
          <m:t xml:space="preserve">(0) · </m:t>
        </m:r>
        <m:r>
          <w:rPr>
            <w:rFonts w:ascii="Cambria Math" w:hAnsi="Cambria Math" w:cs="Times New Roman"/>
            <w:sz w:val="20"/>
            <w:szCs w:val="20"/>
          </w:rPr>
          <m:t>∂F</m:t>
        </m:r>
        <m:r>
          <w:rPr>
            <w:rFonts w:ascii="Cambria Math" w:hAnsi="Cambria Math" w:cs="Times New Roman"/>
            <w:sz w:val="20"/>
            <w:szCs w:val="20"/>
            <w:lang w:val="pt-PT"/>
          </w:rPr>
          <m:t>(0)/</m:t>
        </m:r>
        <m:r>
          <w:rPr>
            <w:rFonts w:ascii="Cambria Math" w:hAnsi="Cambria Math" w:cs="Times New Roman"/>
            <w:sz w:val="20"/>
            <w:szCs w:val="20"/>
          </w:rPr>
          <m:t>∂x</m:t>
        </m:r>
        <m:r>
          <w:rPr>
            <w:rFonts w:ascii="Cambria Math" w:hAnsi="Cambria Math" w:cs="Times New Roman"/>
            <w:sz w:val="20"/>
            <w:szCs w:val="20"/>
            <w:lang w:val="pt-PT"/>
          </w:rPr>
          <m:t>ₜ)</m:t>
        </m:r>
      </m:oMath>
      <w:r w:rsidR="000875CC" w:rsidRPr="009668D3">
        <w:rPr>
          <w:rFonts w:ascii="Times New Roman" w:hAnsi="Times New Roman" w:cs="Times New Roman"/>
          <w:sz w:val="20"/>
          <w:szCs w:val="20"/>
          <w:lang w:val="pt-PT"/>
        </w:rPr>
        <w:tab/>
        <w:t>(16c)</w:t>
      </w:r>
    </w:p>
    <w:p w14:paraId="39413964"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lang w:val="pt-PT"/>
        </w:rPr>
        <w:t xml:space="preserve">Derivation of Equation (16c): </w:t>
      </w:r>
      <w:r w:rsidRPr="009668D3">
        <w:rPr>
          <w:rFonts w:ascii="Times New Roman" w:hAnsi="Times New Roman" w:cs="Times New Roman"/>
          <w:sz w:val="20"/>
          <w:szCs w:val="20"/>
          <w:lang w:val="pt-PT"/>
        </w:rPr>
        <w:t>From K</w:t>
      </w:r>
      <w:r w:rsidRPr="009668D3">
        <w:rPr>
          <w:rFonts w:ascii="Times New Roman" w:hAnsi="Times New Roman" w:cs="Times New Roman"/>
          <w:sz w:val="20"/>
          <w:szCs w:val="20"/>
          <w:vertAlign w:val="subscript"/>
          <w:lang w:val="pt-PT"/>
        </w:rPr>
        <w:t>t+1</w:t>
      </w:r>
      <w:r w:rsidRPr="009668D3">
        <w:rPr>
          <w:rFonts w:ascii="Times New Roman" w:hAnsi="Times New Roman" w:cs="Times New Roman"/>
          <w:sz w:val="20"/>
          <w:szCs w:val="20"/>
          <w:lang w:val="pt-PT"/>
        </w:rPr>
        <w:t xml:space="preserve"> = K₀ exp(−</w:t>
      </w:r>
      <w:r w:rsidRPr="009668D3">
        <w:rPr>
          <w:rFonts w:ascii="Times New Roman" w:hAnsi="Times New Roman" w:cs="Times New Roman"/>
          <w:sz w:val="20"/>
          <w:szCs w:val="20"/>
        </w:rPr>
        <w:t>ϕ</w:t>
      </w:r>
      <w:r w:rsidRPr="009668D3">
        <w:rPr>
          <w:rFonts w:ascii="Times New Roman" w:hAnsi="Times New Roman" w:cs="Times New Roman"/>
          <w:sz w:val="20"/>
          <w:szCs w:val="20"/>
          <w:lang w:val="pt-PT"/>
        </w:rPr>
        <w:t xml:space="preserve"> D</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differentiate: ∂K</w:t>
      </w:r>
      <w:r w:rsidRPr="009668D3">
        <w:rPr>
          <w:rFonts w:ascii="Times New Roman" w:hAnsi="Times New Roman" w:cs="Times New Roman"/>
          <w:sz w:val="20"/>
          <w:szCs w:val="20"/>
          <w:vertAlign w:val="subscript"/>
          <w:lang w:val="pt-PT"/>
        </w:rPr>
        <w:t>t+1</w:t>
      </w:r>
      <w:r w:rsidRPr="009668D3">
        <w:rPr>
          <w:rFonts w:ascii="Times New Roman" w:hAnsi="Times New Roman" w:cs="Times New Roman"/>
          <w:sz w:val="20"/>
          <w:szCs w:val="20"/>
          <w:lang w:val="pt-PT"/>
        </w:rPr>
        <w:t>/∂x</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xml:space="preserve"> = K₀ exp(−</w:t>
      </w:r>
      <w:r w:rsidRPr="009668D3">
        <w:rPr>
          <w:rFonts w:ascii="Times New Roman" w:hAnsi="Times New Roman" w:cs="Times New Roman"/>
          <w:sz w:val="20"/>
          <w:szCs w:val="20"/>
        </w:rPr>
        <w:t>ϕ</w:t>
      </w:r>
      <w:r w:rsidRPr="009668D3">
        <w:rPr>
          <w:rFonts w:ascii="Times New Roman" w:hAnsi="Times New Roman" w:cs="Times New Roman"/>
          <w:sz w:val="20"/>
          <w:szCs w:val="20"/>
          <w:lang w:val="pt-PT"/>
        </w:rPr>
        <w:t xml:space="preserve"> D</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 (−</w:t>
      </w:r>
      <w:r w:rsidRPr="009668D3">
        <w:rPr>
          <w:rFonts w:ascii="Times New Roman" w:hAnsi="Times New Roman" w:cs="Times New Roman"/>
          <w:sz w:val="20"/>
          <w:szCs w:val="20"/>
        </w:rPr>
        <w:t>ϕ</w:t>
      </w:r>
      <w:r w:rsidRPr="009668D3">
        <w:rPr>
          <w:rFonts w:ascii="Times New Roman" w:hAnsi="Times New Roman" w:cs="Times New Roman"/>
          <w:sz w:val="20"/>
          <w:szCs w:val="20"/>
          <w:lang w:val="pt-PT"/>
        </w:rPr>
        <w:t>) · ∂D</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/∂x</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xml:space="preserve"> = −</w:t>
      </w:r>
      <w:r w:rsidRPr="009668D3">
        <w:rPr>
          <w:rFonts w:ascii="Times New Roman" w:hAnsi="Times New Roman" w:cs="Times New Roman"/>
          <w:sz w:val="20"/>
          <w:szCs w:val="20"/>
        </w:rPr>
        <w:t>ϕ</w:t>
      </w:r>
      <w:r w:rsidRPr="009668D3">
        <w:rPr>
          <w:rFonts w:ascii="Times New Roman" w:hAnsi="Times New Roman" w:cs="Times New Roman"/>
          <w:sz w:val="20"/>
          <w:szCs w:val="20"/>
          <w:lang w:val="pt-PT"/>
        </w:rPr>
        <w:t xml:space="preserve"> K</w:t>
      </w:r>
      <w:r w:rsidRPr="009668D3">
        <w:rPr>
          <w:rFonts w:ascii="Times New Roman" w:hAnsi="Times New Roman" w:cs="Times New Roman"/>
          <w:sz w:val="20"/>
          <w:szCs w:val="20"/>
          <w:vertAlign w:val="subscript"/>
          <w:lang w:val="pt-PT"/>
        </w:rPr>
        <w:t>t+1</w:t>
      </w:r>
      <w:r w:rsidRPr="009668D3">
        <w:rPr>
          <w:rFonts w:ascii="Times New Roman" w:hAnsi="Times New Roman" w:cs="Times New Roman"/>
          <w:sz w:val="20"/>
          <w:szCs w:val="20"/>
          <w:lang w:val="pt-PT"/>
        </w:rPr>
        <w:t xml:space="preserve"> · ∂D</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/∂x</w:t>
      </w:r>
      <w:r w:rsidRPr="009668D3">
        <w:rPr>
          <w:rFonts w:ascii="Times New Roman" w:hAnsi="Times New Roman" w:cs="Times New Roman"/>
          <w:sz w:val="20"/>
          <w:szCs w:val="20"/>
          <w:vertAlign w:val="subscript"/>
          <w:lang w:val="pt-PT"/>
        </w:rPr>
        <w:t>t</w:t>
      </w:r>
      <w:r w:rsidRPr="009668D3">
        <w:rPr>
          <w:rFonts w:ascii="Times New Roman" w:hAnsi="Times New Roman" w:cs="Times New Roman"/>
          <w:sz w:val="20"/>
          <w:szCs w:val="20"/>
          <w:lang w:val="pt-PT"/>
        </w:rPr>
        <w:t xml:space="preserve">. </w:t>
      </w:r>
      <w:r w:rsidRPr="009668D3">
        <w:rPr>
          <w:rFonts w:ascii="Times New Roman" w:hAnsi="Times New Roman" w:cs="Times New Roman"/>
          <w:sz w:val="20"/>
          <w:szCs w:val="20"/>
        </w:rPr>
        <w:t>The chain rule then expands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through the initial conditions.</w:t>
      </w:r>
    </w:p>
    <w:p w14:paraId="164378D0"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Jacobian is thus analytically defined but numerically evaluated—this is standard and mathematically rigorous for hybrid eco-epidemic models with nonlinear functional responses (Kot, 2001).</w:t>
      </w:r>
    </w:p>
    <w:p w14:paraId="357E81FB" w14:textId="77777777"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5: Derivatives of the seasonal flow via variational (sensitivity) equations</w:t>
      </w:r>
    </w:p>
    <w:p w14:paraId="514D396C"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Purpose.</w:t>
      </w:r>
    </w:p>
    <w:p w14:paraId="1AA0C9C4"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lastRenderedPageBreak/>
        <w:t>Compute the partial derivatives of the seasonal terminal values (S</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I</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F</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D</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with respect to the initial conditions (S(0), I(0), F(0), D(0)), which are required for assembling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 xml:space="preserve"> in Step 4.</w:t>
      </w:r>
    </w:p>
    <w:p w14:paraId="25691C67"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Mathematical framework: Tangent linear model (variational equations).</w:t>
      </w:r>
    </w:p>
    <w:p w14:paraId="7FF9A999" w14:textId="7193674E"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Principle</w:t>
      </w:r>
      <w:r w:rsidRPr="009668D3">
        <w:rPr>
          <w:rFonts w:ascii="Times New Roman" w:hAnsi="Times New Roman" w:cs="Times New Roman"/>
          <w:sz w:val="20"/>
          <w:szCs w:val="20"/>
        </w:rPr>
        <w:t xml:space="preserve"> (Hartman, 1964, Chapter V; Khalil, 2002, §3.1): Let y(τ) be a solution of y′ = f(y) with y(0) = y₀. If f is continuously differentiable, then the sensitivity of y(τ) to perturbations in y₀ is captured by the sensitivity (monodromy) matrix </w:t>
      </w:r>
      <m:oMath>
        <m:r>
          <w:rPr>
            <w:rFonts w:ascii="Cambria Math" w:eastAsia="Times New Roman" w:hAnsi="Cambria Math" w:cs="Times New Roman"/>
            <w:sz w:val="20"/>
            <w:szCs w:val="20"/>
          </w:rPr>
          <m:t>M(τ) = ∂y(τ)/∂y(0)</m:t>
        </m:r>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which satisfies the 4 × 4 linear matrix ODE:</w:t>
      </w:r>
      <m:oMath>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m:t>
            </m:r>
          </m:sup>
        </m:sSup>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sSub>
          <m:sSubPr>
            <m:ctrlPr>
              <w:rPr>
                <w:rFonts w:ascii="Cambria Math" w:hAnsi="Cambria Math" w:cs="Times New Roman"/>
                <w:i/>
                <w:sz w:val="20"/>
                <w:szCs w:val="20"/>
              </w:rPr>
            </m:ctrlPr>
          </m:sSubPr>
          <m:e>
            <m:d>
              <m:dPr>
                <m:begChr m:val="["/>
                <m:endChr m:val="]"/>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m:t>
                    </m:r>
                    <m:r>
                      <m:rPr>
                        <m:sty m:val="bi"/>
                      </m:rPr>
                      <w:rPr>
                        <w:rFonts w:ascii="Cambria Math" w:hAnsi="Cambria Math" w:cs="Times New Roman"/>
                        <w:sz w:val="20"/>
                        <w:szCs w:val="20"/>
                      </w:rPr>
                      <m:t>f</m:t>
                    </m:r>
                    <m:ctrlPr>
                      <w:rPr>
                        <w:rFonts w:ascii="Cambria Math" w:hAnsi="Cambria Math" w:cs="Times New Roman"/>
                        <w:i/>
                        <w:sz w:val="20"/>
                        <w:szCs w:val="20"/>
                      </w:rPr>
                    </m:ctrlPr>
                  </m:num>
                  <m:den>
                    <m:r>
                      <w:rPr>
                        <w:rFonts w:ascii="Cambria Math" w:hAnsi="Cambria Math" w:cs="Times New Roman"/>
                        <w:sz w:val="20"/>
                        <w:szCs w:val="20"/>
                      </w:rPr>
                      <m:t>∂</m:t>
                    </m:r>
                    <m:r>
                      <m:rPr>
                        <m:sty m:val="bi"/>
                      </m:rPr>
                      <w:rPr>
                        <w:rFonts w:ascii="Cambria Math" w:hAnsi="Cambria Math" w:cs="Times New Roman"/>
                        <w:sz w:val="20"/>
                        <w:szCs w:val="20"/>
                      </w:rPr>
                      <m:t>y</m:t>
                    </m:r>
                    <m:ctrlPr>
                      <w:rPr>
                        <w:rFonts w:ascii="Cambria Math" w:hAnsi="Cambria Math" w:cs="Times New Roman"/>
                        <w:i/>
                        <w:sz w:val="20"/>
                        <w:szCs w:val="20"/>
                      </w:rPr>
                    </m:ctrlPr>
                  </m:den>
                </m:f>
                <m:ctrlPr>
                  <w:rPr>
                    <w:rFonts w:ascii="Cambria Math" w:hAnsi="Cambria Math" w:cs="Times New Roman"/>
                    <w:i/>
                    <w:sz w:val="20"/>
                    <w:szCs w:val="20"/>
                  </w:rPr>
                </m:ctrlPr>
              </m:e>
            </m:d>
          </m:e>
          <m:sub>
            <m:r>
              <m:rPr>
                <m:sty m:val="bi"/>
              </m:rPr>
              <w:rPr>
                <w:rFonts w:ascii="Cambria Math" w:hAnsi="Cambria Math" w:cs="Times New Roman"/>
                <w:sz w:val="20"/>
                <w:szCs w:val="20"/>
              </w:rPr>
              <m:t>y</m:t>
            </m:r>
            <m:d>
              <m:dPr>
                <m:ctrlPr>
                  <w:rPr>
                    <w:rFonts w:ascii="Cambria Math" w:hAnsi="Cambria Math" w:cs="Times New Roman"/>
                    <w:i/>
                    <w:sz w:val="20"/>
                    <w:szCs w:val="20"/>
                  </w:rPr>
                </m:ctrlPr>
              </m:dPr>
              <m:e>
                <m:r>
                  <w:rPr>
                    <w:rFonts w:ascii="Cambria Math" w:hAnsi="Cambria Math" w:cs="Times New Roman"/>
                    <w:sz w:val="20"/>
                    <w:szCs w:val="20"/>
                  </w:rPr>
                  <m:t>τ</m:t>
                </m:r>
              </m:e>
            </m:d>
          </m:sub>
        </m:sSub>
        <m:r>
          <m:rPr>
            <m:sty m:val="p"/>
          </m:rPr>
          <w:rPr>
            <w:rFonts w:ascii="Cambria Math" w:hAnsi="Cambria Math" w:cs="Times New Roman"/>
            <w:sz w:val="20"/>
            <w:szCs w:val="20"/>
          </w:rPr>
          <m:t>⋅</m:t>
        </m:r>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τ</m:t>
            </m:r>
          </m:e>
        </m:d>
        <m:r>
          <w:rPr>
            <w:rFonts w:ascii="Cambria Math" w:hAnsi="Cambria Math" w:cs="Times New Roman"/>
            <w:sz w:val="20"/>
            <w:szCs w:val="20"/>
          </w:rPr>
          <m:t>,</m:t>
        </m:r>
        <m:r>
          <m:rPr>
            <m:sty m:val="p"/>
          </m:rPr>
          <w:rPr>
            <w:rFonts w:ascii="Cambria Math" w:hAnsi="Cambria Math" w:cs="Times New Roman"/>
            <w:sz w:val="20"/>
            <w:szCs w:val="20"/>
          </w:rPr>
          <m:t> </m:t>
        </m:r>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4</m:t>
            </m:r>
          </m:sub>
        </m:sSub>
      </m:oMath>
      <w:r w:rsidRPr="009668D3">
        <w:rPr>
          <w:rFonts w:ascii="Times New Roman" w:hAnsi="Times New Roman" w:cs="Times New Roman"/>
          <w:sz w:val="20"/>
          <w:szCs w:val="20"/>
        </w:rPr>
        <w:tab/>
        <w:t>(17)</w:t>
      </w:r>
    </w:p>
    <w:p w14:paraId="27EC5EC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where ∂f/∂y is the Jacobian of the within-season ODE right-hand side evaluated along the trajectory y(τ), and I₄ is the 4 × 4 identity matrix. Equation (17) is a linear, non-autonomous ODE (the coefficient matrix varies with τ through the reference trajectory y(τ)), integrated numerically alongside the state equations from τ = 0 to τ = T.</w:t>
      </w:r>
    </w:p>
    <w:p w14:paraId="31FCA613"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Extraction of required sensitivities.</w:t>
      </w:r>
    </w:p>
    <w:p w14:paraId="447C0011"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terminal value M(T) provides all required sensitivities. Only the columns corresponding to initial conditions that depend on the annual state are needed. Since I(0) = 0 and D(0) = 0 are fixed constants (not functions of 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only columns 1 (derivatives w.r.t. S(0)) and 3 (derivatives w.r.t. F(0)) of M(T) are required:</w:t>
      </w:r>
    </w:p>
    <w:p w14:paraId="641B6BDB" w14:textId="3EEF03A3" w:rsidR="000875CC" w:rsidRPr="009668D3" w:rsidRDefault="00FB510D" w:rsidP="009668D3">
      <w:pPr>
        <w:spacing w:before="80" w:after="80" w:line="240" w:lineRule="auto"/>
        <w:jc w:val="both"/>
        <w:rPr>
          <w:rFonts w:ascii="Times New Roman" w:hAnsi="Times New Roman" w:cs="Times New Roman"/>
          <w:sz w:val="20"/>
          <w:szCs w:val="20"/>
        </w:rPr>
      </w:pPr>
      <m:oMath>
        <m:r>
          <w:rPr>
            <w:rFonts w:ascii="Cambria Math" w:eastAsia="Cambria Math" w:hAnsi="Cambria Math" w:cs="Times New Roman"/>
            <w:sz w:val="20"/>
            <w:szCs w:val="20"/>
          </w:rPr>
          <m:t>∂S</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∂S</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₁,₁(</m:t>
        </m:r>
        <m:r>
          <w:rPr>
            <w:rFonts w:ascii="Cambria Math" w:eastAsia="Cambria Math" w:hAnsi="Cambria Math" w:cs="Times New Roman"/>
            <w:sz w:val="20"/>
            <w:szCs w:val="20"/>
          </w:rPr>
          <m:t>T</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∂S</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∂F</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₁,₃(</m:t>
        </m:r>
        <m:r>
          <w:rPr>
            <w:rFonts w:ascii="Cambria Math" w:eastAsia="Cambria Math" w:hAnsi="Cambria Math" w:cs="Times New Roman"/>
            <w:sz w:val="20"/>
            <w:szCs w:val="20"/>
          </w:rPr>
          <m:t>T</m:t>
        </m:r>
        <m:r>
          <w:rPr>
            <w:rFonts w:ascii="Cambria Math" w:eastAsia="Cambria Math" w:hAnsi="Cambria Math" w:cs="Times New Roman"/>
            <w:sz w:val="20"/>
            <w:szCs w:val="20"/>
          </w:rPr>
          <m:t>)</m:t>
        </m:r>
      </m:oMath>
      <w:r w:rsidR="00AD21ED" w:rsidRPr="001E6700">
        <w:rPr>
          <w:rFonts w:ascii="Times New Roman" w:eastAsiaTheme="minorEastAsia" w:hAnsi="Times New Roman" w:cs="Times New Roman"/>
          <w:sz w:val="20"/>
          <w:szCs w:val="20"/>
        </w:rPr>
        <w:t xml:space="preserve"> </w:t>
      </w:r>
    </w:p>
    <w:p w14:paraId="0B05AF0B" w14:textId="1B1E1B1B" w:rsidR="000875CC" w:rsidRPr="009668D3" w:rsidRDefault="00FB510D" w:rsidP="002D21BC">
      <w:pPr>
        <w:tabs>
          <w:tab w:val="right" w:pos="9026"/>
        </w:tabs>
        <w:spacing w:before="80" w:after="80" w:line="240" w:lineRule="auto"/>
        <w:ind w:left="720"/>
        <w:jc w:val="both"/>
        <w:rPr>
          <w:rFonts w:ascii="Times New Roman" w:hAnsi="Times New Roman" w:cs="Times New Roman"/>
          <w:sz w:val="20"/>
          <w:szCs w:val="20"/>
        </w:rPr>
      </w:pPr>
      <m:oMath>
        <m:r>
          <w:rPr>
            <w:rFonts w:ascii="Cambria Math" w:eastAsia="Cambria Math" w:hAnsi="Cambria Math" w:cs="Times New Roman"/>
            <w:sz w:val="20"/>
            <w:szCs w:val="20"/>
          </w:rPr>
          <m:t>∂F</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∂S</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₃,₁(</m:t>
        </m:r>
        <m:r>
          <w:rPr>
            <w:rFonts w:ascii="Cambria Math" w:eastAsia="Cambria Math" w:hAnsi="Cambria Math" w:cs="Times New Roman"/>
            <w:sz w:val="20"/>
            <w:szCs w:val="20"/>
          </w:rPr>
          <m:t>T</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∂F</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∂F</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₃,₃(</m:t>
        </m:r>
        <m:r>
          <w:rPr>
            <w:rFonts w:ascii="Cambria Math" w:eastAsia="Cambria Math" w:hAnsi="Cambria Math" w:cs="Times New Roman"/>
            <w:sz w:val="20"/>
            <w:szCs w:val="20"/>
          </w:rPr>
          <m:t>T</m:t>
        </m:r>
        <m:r>
          <w:rPr>
            <w:rFonts w:ascii="Cambria Math" w:eastAsia="Cambria Math" w:hAnsi="Cambria Math" w:cs="Times New Roman"/>
            <w:sz w:val="20"/>
            <w:szCs w:val="20"/>
          </w:rPr>
          <m:t>)</m:t>
        </m:r>
      </m:oMath>
      <w:r w:rsidR="000875CC" w:rsidRPr="001E6700">
        <w:rPr>
          <w:rFonts w:ascii="Times New Roman" w:eastAsia="Times New Roman" w:hAnsi="Times New Roman" w:cs="Times New Roman"/>
          <w:sz w:val="20"/>
          <w:szCs w:val="20"/>
        </w:rPr>
        <w:tab/>
        <w:t>(18)</w:t>
      </w:r>
    </w:p>
    <w:p w14:paraId="7418DD7C" w14:textId="6D02A4C3" w:rsidR="000875CC" w:rsidRPr="009668D3" w:rsidRDefault="00FB510D" w:rsidP="002D21BC">
      <w:pPr>
        <w:spacing w:before="80" w:after="80" w:line="240" w:lineRule="auto"/>
        <w:ind w:left="720"/>
        <w:jc w:val="both"/>
        <w:rPr>
          <w:rFonts w:ascii="Times New Roman" w:hAnsi="Times New Roman" w:cs="Times New Roman"/>
          <w:sz w:val="20"/>
          <w:szCs w:val="20"/>
        </w:rPr>
      </w:pPr>
      <m:oMath>
        <m:r>
          <w:rPr>
            <w:rFonts w:ascii="Cambria Math" w:eastAsia="Cambria Math" w:hAnsi="Cambria Math" w:cs="Times New Roman"/>
            <w:sz w:val="20"/>
            <w:szCs w:val="20"/>
          </w:rPr>
          <m:t>∂D</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∂S</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₄,₁(</m:t>
        </m:r>
        <m:r>
          <w:rPr>
            <w:rFonts w:ascii="Cambria Math" w:eastAsia="Cambria Math" w:hAnsi="Cambria Math" w:cs="Times New Roman"/>
            <w:sz w:val="20"/>
            <w:szCs w:val="20"/>
          </w:rPr>
          <m:t>T</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∂D</m:t>
        </m:r>
        <m:r>
          <w:rPr>
            <w:rFonts w:ascii="Cambria Math" w:eastAsia="Cambria Math" w:hAnsi="Cambria Math" w:cs="Times New Roman"/>
            <w:sz w:val="20"/>
            <w:szCs w:val="20"/>
          </w:rPr>
          <m:t>ₜ</m:t>
        </m:r>
        <m:r>
          <w:rPr>
            <w:rFonts w:ascii="Cambria Math" w:eastAsia="Cambria Math" w:hAnsi="Cambria Math" w:cs="Times New Roman"/>
            <w:sz w:val="20"/>
            <w:szCs w:val="20"/>
          </w:rPr>
          <m:t>/</m:t>
        </m:r>
        <m:r>
          <w:rPr>
            <w:rFonts w:ascii="Cambria Math" w:eastAsia="Cambria Math" w:hAnsi="Cambria Math" w:cs="Times New Roman"/>
            <w:sz w:val="20"/>
            <w:szCs w:val="20"/>
          </w:rPr>
          <m:t>∂F</m:t>
        </m:r>
        <m:r>
          <w:rPr>
            <w:rFonts w:ascii="Cambria Math" w:eastAsia="Cambria Math" w:hAnsi="Cambria Math" w:cs="Times New Roman"/>
            <w:sz w:val="20"/>
            <w:szCs w:val="20"/>
          </w:rPr>
          <m:t xml:space="preserve">(0) = </m:t>
        </m:r>
        <m:r>
          <w:rPr>
            <w:rFonts w:ascii="Cambria Math" w:eastAsia="Cambria Math" w:hAnsi="Cambria Math" w:cs="Times New Roman"/>
            <w:sz w:val="20"/>
            <w:szCs w:val="20"/>
          </w:rPr>
          <m:t>M</m:t>
        </m:r>
        <m:r>
          <w:rPr>
            <w:rFonts w:ascii="Cambria Math" w:eastAsia="Cambria Math" w:hAnsi="Cambria Math" w:cs="Times New Roman"/>
            <w:sz w:val="20"/>
            <w:szCs w:val="20"/>
          </w:rPr>
          <m:t>₄,₃(</m:t>
        </m:r>
        <m:r>
          <w:rPr>
            <w:rFonts w:ascii="Cambria Math" w:eastAsia="Cambria Math" w:hAnsi="Cambria Math" w:cs="Times New Roman"/>
            <w:sz w:val="20"/>
            <w:szCs w:val="20"/>
          </w:rPr>
          <m:t>T</m:t>
        </m:r>
        <m:r>
          <w:rPr>
            <w:rFonts w:ascii="Cambria Math" w:eastAsia="Cambria Math" w:hAnsi="Cambria Math" w:cs="Times New Roman"/>
            <w:sz w:val="20"/>
            <w:szCs w:val="20"/>
          </w:rPr>
          <m:t>)</m:t>
        </m:r>
      </m:oMath>
      <w:r w:rsidR="00AD21ED" w:rsidRPr="001E6700">
        <w:rPr>
          <w:rFonts w:ascii="Times New Roman" w:eastAsiaTheme="minorEastAsia" w:hAnsi="Times New Roman" w:cs="Times New Roman"/>
          <w:sz w:val="20"/>
          <w:szCs w:val="20"/>
        </w:rPr>
        <w:t xml:space="preserve"> </w:t>
      </w:r>
    </w:p>
    <w:p w14:paraId="78F5C97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These derivatives, combined with the analytic initial-condition derivatives (Equations 15a–c), fully determine the Jacobian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 via Equations (16a–c).</w:t>
      </w:r>
    </w:p>
    <w:p w14:paraId="083FD2E6"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Extension to parameter sensitivities.</w:t>
      </w:r>
    </w:p>
    <w:p w14:paraId="138A793B" w14:textId="1977B165"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same variational framework extends to parameter sensitivities </w:t>
      </w:r>
      <m:oMath>
        <m:r>
          <w:rPr>
            <w:rFonts w:ascii="Cambria Math" w:eastAsia="Times New Roman" w:hAnsi="Cambria Math" w:cs="Times New Roman"/>
            <w:sz w:val="20"/>
            <w:szCs w:val="20"/>
          </w:rPr>
          <m:t>∂y(T)/∂θ</m:t>
        </m:r>
      </m:oMath>
      <w:r w:rsidRPr="009668D3">
        <w:rPr>
          <w:rFonts w:ascii="Times New Roman" w:hAnsi="Times New Roman" w:cs="Times New Roman"/>
          <w:sz w:val="20"/>
          <w:szCs w:val="20"/>
        </w:rPr>
        <w:t xml:space="preserve"> by augmenting Equation (17) with the inhomogeneous term ∂f/∂θ:</w:t>
      </w:r>
    </w:p>
    <w:p w14:paraId="42597E56" w14:textId="1FDD408B" w:rsidR="000875CC" w:rsidRPr="009668D3" w:rsidRDefault="00FB510D" w:rsidP="002D21BC">
      <w:pPr>
        <w:spacing w:before="160" w:line="240" w:lineRule="auto"/>
        <w:jc w:val="both"/>
        <w:rPr>
          <w:rFonts w:ascii="Times New Roman" w:hAnsi="Times New Roman" w:cs="Times New Roman"/>
          <w:sz w:val="20"/>
          <w:szCs w:val="20"/>
        </w:rPr>
      </w:pPr>
      <m:oMathPara>
        <m:oMath>
          <m:r>
            <w:rPr>
              <w:rFonts w:ascii="Cambria Math" w:eastAsia="Cambria Math" w:hAnsi="Cambria Math" w:cs="Times New Roman"/>
              <w:sz w:val="20"/>
              <w:szCs w:val="20"/>
            </w:rPr>
            <m:t>d</m:t>
          </m:r>
          <m:r>
            <w:rPr>
              <w:rFonts w:ascii="Cambria Math" w:eastAsia="Cambria Math" w:hAnsi="Cambria Math" w:cs="Times New Roman"/>
              <w:sz w:val="20"/>
              <w:szCs w:val="20"/>
            </w:rPr>
            <m:t>/</m:t>
          </m:r>
          <m:r>
            <w:rPr>
              <w:rFonts w:ascii="Cambria Math" w:eastAsia="Cambria Math" w:hAnsi="Cambria Math" w:cs="Times New Roman"/>
              <w:sz w:val="20"/>
              <w:szCs w:val="20"/>
            </w:rPr>
            <m:t>dτ</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∂y</m:t>
          </m:r>
          <m:r>
            <w:rPr>
              <w:rFonts w:ascii="Cambria Math" w:eastAsia="Cambria Math" w:hAnsi="Cambria Math" w:cs="Times New Roman"/>
              <w:sz w:val="20"/>
              <w:szCs w:val="20"/>
            </w:rPr>
            <m:t>/</m:t>
          </m:r>
          <m:r>
            <w:rPr>
              <w:rFonts w:ascii="Cambria Math" w:eastAsia="Cambria Math" w:hAnsi="Cambria Math" w:cs="Times New Roman"/>
              <w:sz w:val="20"/>
              <w:szCs w:val="20"/>
            </w:rPr>
            <m:t>∂θ</m:t>
          </m:r>
          <m:r>
            <w:rPr>
              <w:rFonts w:ascii="Cambria Math" w:eastAsia="Cambria Math" w:hAnsi="Cambria Math" w:cs="Times New Roman"/>
              <w:sz w:val="20"/>
              <w:szCs w:val="20"/>
            </w:rPr>
            <m:t>] = [</m:t>
          </m:r>
          <m:r>
            <w:rPr>
              <w:rFonts w:ascii="Cambria Math" w:eastAsia="Cambria Math" w:hAnsi="Cambria Math" w:cs="Times New Roman"/>
              <w:sz w:val="20"/>
              <w:szCs w:val="20"/>
            </w:rPr>
            <m:t>∂f</m:t>
          </m:r>
          <m:r>
            <w:rPr>
              <w:rFonts w:ascii="Cambria Math" w:eastAsia="Cambria Math" w:hAnsi="Cambria Math" w:cs="Times New Roman"/>
              <w:sz w:val="20"/>
              <w:szCs w:val="20"/>
            </w:rPr>
            <m:t>/</m:t>
          </m:r>
          <m:r>
            <w:rPr>
              <w:rFonts w:ascii="Cambria Math" w:eastAsia="Cambria Math" w:hAnsi="Cambria Math" w:cs="Times New Roman"/>
              <w:sz w:val="20"/>
              <w:szCs w:val="20"/>
            </w:rPr>
            <m:t>∂y</m:t>
          </m:r>
          <m:r>
            <w:rPr>
              <w:rFonts w:ascii="Cambria Math" w:eastAsia="Cambria Math" w:hAnsi="Cambria Math" w:cs="Times New Roman"/>
              <w:sz w:val="20"/>
              <w:szCs w:val="20"/>
            </w:rPr>
            <m:t>] · [</m:t>
          </m:r>
          <m:r>
            <w:rPr>
              <w:rFonts w:ascii="Cambria Math" w:eastAsia="Cambria Math" w:hAnsi="Cambria Math" w:cs="Times New Roman"/>
              <w:sz w:val="20"/>
              <w:szCs w:val="20"/>
            </w:rPr>
            <m:t>∂y</m:t>
          </m:r>
          <m:r>
            <w:rPr>
              <w:rFonts w:ascii="Cambria Math" w:eastAsia="Cambria Math" w:hAnsi="Cambria Math" w:cs="Times New Roman"/>
              <w:sz w:val="20"/>
              <w:szCs w:val="20"/>
            </w:rPr>
            <m:t>/</m:t>
          </m:r>
          <m:r>
            <w:rPr>
              <w:rFonts w:ascii="Cambria Math" w:eastAsia="Cambria Math" w:hAnsi="Cambria Math" w:cs="Times New Roman"/>
              <w:sz w:val="20"/>
              <w:szCs w:val="20"/>
            </w:rPr>
            <m:t>∂θ</m:t>
          </m:r>
          <m:r>
            <w:rPr>
              <w:rFonts w:ascii="Cambria Math" w:eastAsia="Cambria Math" w:hAnsi="Cambria Math" w:cs="Times New Roman"/>
              <w:sz w:val="20"/>
              <w:szCs w:val="20"/>
            </w:rPr>
            <m:t xml:space="preserve">] + </m:t>
          </m:r>
          <m:r>
            <w:rPr>
              <w:rFonts w:ascii="Cambria Math" w:eastAsia="Cambria Math" w:hAnsi="Cambria Math" w:cs="Times New Roman"/>
              <w:sz w:val="20"/>
              <w:szCs w:val="20"/>
            </w:rPr>
            <m:t>∂f</m:t>
          </m:r>
          <m:r>
            <w:rPr>
              <w:rFonts w:ascii="Cambria Math" w:eastAsia="Cambria Math" w:hAnsi="Cambria Math" w:cs="Times New Roman"/>
              <w:sz w:val="20"/>
              <w:szCs w:val="20"/>
            </w:rPr>
            <m:t>/</m:t>
          </m:r>
          <m:r>
            <w:rPr>
              <w:rFonts w:ascii="Cambria Math" w:eastAsia="Cambria Math" w:hAnsi="Cambria Math" w:cs="Times New Roman"/>
              <w:sz w:val="20"/>
              <w:szCs w:val="20"/>
            </w:rPr>
            <m:t>∂θ</m:t>
          </m:r>
          <m:r>
            <w:rPr>
              <w:rFonts w:ascii="Cambria Math" w:eastAsia="Cambria Math" w:hAnsi="Cambria Math" w:cs="Times New Roman"/>
              <w:sz w:val="20"/>
              <w:szCs w:val="20"/>
            </w:rPr>
            <m:t xml:space="preserve">,    </m:t>
          </m:r>
          <m:r>
            <w:rPr>
              <w:rFonts w:ascii="Cambria Math" w:eastAsia="Cambria Math" w:hAnsi="Cambria Math" w:cs="Times New Roman"/>
              <w:sz w:val="20"/>
              <w:szCs w:val="20"/>
            </w:rPr>
            <m:t>∂y</m:t>
          </m:r>
          <m:r>
            <w:rPr>
              <w:rFonts w:ascii="Cambria Math" w:eastAsia="Cambria Math" w:hAnsi="Cambria Math" w:cs="Times New Roman"/>
              <w:sz w:val="20"/>
              <w:szCs w:val="20"/>
            </w:rPr>
            <m:t>(0)/</m:t>
          </m:r>
          <m:r>
            <w:rPr>
              <w:rFonts w:ascii="Cambria Math" w:eastAsia="Cambria Math" w:hAnsi="Cambria Math" w:cs="Times New Roman"/>
              <w:sz w:val="20"/>
              <w:szCs w:val="20"/>
            </w:rPr>
            <m:t>∂θ</m:t>
          </m:r>
          <m:r>
            <w:rPr>
              <w:rFonts w:ascii="Cambria Math" w:eastAsia="Cambria Math" w:hAnsi="Cambria Math" w:cs="Times New Roman"/>
              <w:sz w:val="20"/>
              <w:szCs w:val="20"/>
            </w:rPr>
            <m:t xml:space="preserve"> = 0</m:t>
          </m:r>
        </m:oMath>
      </m:oMathPara>
    </w:p>
    <w:p w14:paraId="7E508207"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This augmented system supports the global sensitivity analysis in Step 10.</w:t>
      </w:r>
    </w:p>
    <w:p w14:paraId="17FEC9DE" w14:textId="77777777" w:rsidR="00977094"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6: Parasitoid invasion threshold from the annual map</w:t>
      </w:r>
    </w:p>
    <w:p w14:paraId="2D23DE8C" w14:textId="693100F6"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Definition.</w:t>
      </w:r>
    </w:p>
    <w:p w14:paraId="541D7CA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parasitoid invasion threshold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(Equation 11 of the main text) is defined as the linearised one-year growth factor of the parasitoid at the parasitoid-free fixed point x₁* = (A*, 0, K*):</w:t>
      </w:r>
    </w:p>
    <w:p w14:paraId="0A43B357" w14:textId="3A486DDB" w:rsidR="000875CC" w:rsidRPr="009668D3" w:rsidRDefault="00FB510D" w:rsidP="002D21BC">
      <w:pPr>
        <w:tabs>
          <w:tab w:val="right" w:pos="9026"/>
        </w:tabs>
        <w:spacing w:before="160" w:line="240" w:lineRule="auto"/>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d>
                  <m:dPr>
                    <m:begChr m:val="{"/>
                    <m:endChr m:val="}"/>
                    <m:ctrlPr>
                      <w:rPr>
                        <w:rFonts w:ascii="Cambria Math" w:hAnsi="Cambria Math" w:cs="Times New Roman"/>
                        <w:i/>
                        <w:sz w:val="20"/>
                        <w:szCs w:val="20"/>
                      </w:rPr>
                    </m:ctrlPr>
                  </m:dPr>
                  <m:e>
                    <m:r>
                      <w:rPr>
                        <w:rFonts w:ascii="Cambria Math" w:hAnsi="Cambria Math" w:cs="Times New Roman"/>
                        <w:sz w:val="20"/>
                        <w:szCs w:val="20"/>
                      </w:rPr>
                      <m:t>t</m:t>
                    </m:r>
                    <m:r>
                      <w:rPr>
                        <w:rFonts w:ascii="Cambria Math" w:hAnsi="Cambria Math" w:cs="Times New Roman"/>
                        <w:sz w:val="20"/>
                        <w:szCs w:val="20"/>
                      </w:rPr>
                      <m:t>+1</m:t>
                    </m:r>
                  </m:e>
                </m:d>
              </m:sub>
            </m:sSub>
          </m:num>
          <m:den>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den>
        </m:f>
        <m:r>
          <w:rPr>
            <w:rFonts w:ascii="Cambria Math" w:hAnsi="Cambria Math" w:cs="Times New Roman"/>
            <w:sz w:val="20"/>
            <w:szCs w:val="20"/>
          </w:rPr>
          <m:t>)|{</m:t>
        </m:r>
        <m:sSup>
          <m:sSupPr>
            <m:ctrlPr>
              <w:rPr>
                <w:rFonts w:ascii="Cambria Math" w:hAnsi="Cambria Math" w:cs="Times New Roman"/>
                <w:i/>
                <w:sz w:val="20"/>
                <w:szCs w:val="20"/>
              </w:rPr>
            </m:ctrlPr>
          </m:sSupPr>
          <m:e>
            <m:r>
              <m:rPr>
                <m:sty m:val="bi"/>
              </m:rPr>
              <w:rPr>
                <w:rFonts w:ascii="Cambria Math" w:hAnsi="Cambria Math" w:cs="Times New Roman"/>
                <w:sz w:val="20"/>
                <w:szCs w:val="20"/>
              </w:rPr>
              <m:t>x</m:t>
            </m:r>
          </m:e>
          <m:sup>
            <m:r>
              <w:rPr>
                <w:rFonts w:ascii="Cambria Math" w:hAnsi="Cambria Math" w:cs="Times New Roman"/>
                <w:sz w:val="20"/>
                <w:szCs w:val="20"/>
              </w:rPr>
              <m:t>1*</m:t>
            </m:r>
          </m:sup>
        </m:sSup>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xml:space="preserve"> · </m:t>
        </m:r>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0</m:t>
                    </m:r>
                  </m:e>
                </m:d>
              </m:den>
            </m:f>
          </m:e>
        </m:d>
        <m:r>
          <w:rPr>
            <w:rFonts w:ascii="Cambria Math" w:hAnsi="Cambria Math" w:cs="Times New Roman"/>
            <w:sz w:val="20"/>
            <w:szCs w:val="20"/>
          </w:rPr>
          <m:t>|{</m:t>
        </m:r>
        <m:r>
          <w:rPr>
            <w:rFonts w:ascii="Cambria Math" w:hAnsi="Cambria Math" w:cs="Times New Roman"/>
            <w:sz w:val="20"/>
            <w:szCs w:val="20"/>
          </w:rPr>
          <m:t>S</m:t>
        </m:r>
        <m:r>
          <w:rPr>
            <w:rFonts w:ascii="Cambria Math" w:hAnsi="Cambria Math" w:cs="Times New Roman"/>
            <w:sz w:val="20"/>
            <w:szCs w:val="20"/>
          </w:rPr>
          <m:t xml:space="preserve">(0)=Ŝ, </m:t>
        </m:r>
        <m:r>
          <w:rPr>
            <w:rFonts w:ascii="Cambria Math" w:hAnsi="Cambria Math" w:cs="Times New Roman"/>
            <w:sz w:val="20"/>
            <w:szCs w:val="20"/>
          </w:rPr>
          <m:t>I</m:t>
        </m:r>
        <m:r>
          <w:rPr>
            <w:rFonts w:ascii="Cambria Math" w:hAnsi="Cambria Math" w:cs="Times New Roman"/>
            <w:sz w:val="20"/>
            <w:szCs w:val="20"/>
          </w:rPr>
          <m:t xml:space="preserve">(0)=0, </m:t>
        </m:r>
        <m:r>
          <w:rPr>
            <w:rFonts w:ascii="Cambria Math" w:hAnsi="Cambria Math" w:cs="Times New Roman"/>
            <w:sz w:val="20"/>
            <w:szCs w:val="20"/>
          </w:rPr>
          <m:t>F</m:t>
        </m:r>
        <m:r>
          <w:rPr>
            <w:rFonts w:ascii="Cambria Math" w:hAnsi="Cambria Math" w:cs="Times New Roman"/>
            <w:sz w:val="20"/>
            <w:szCs w:val="20"/>
          </w:rPr>
          <m:t>(0)=0}</m:t>
        </m:r>
      </m:oMath>
      <w:r w:rsidR="000875CC" w:rsidRPr="009668D3">
        <w:rPr>
          <w:rFonts w:ascii="Times New Roman" w:hAnsi="Times New Roman" w:cs="Times New Roman"/>
          <w:sz w:val="20"/>
          <w:szCs w:val="20"/>
        </w:rPr>
        <w:tab/>
        <w:t>(11)</w:t>
      </w:r>
    </w:p>
    <w:p w14:paraId="6243CB9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where ∂F(T)/∂F(0) is the variational sensitivity obtained from the sensitivity matrix M(T) (Step 5), evaluated along the parasitoid-free seasonal trajectory.</w:t>
      </w:r>
    </w:p>
    <w:p w14:paraId="5DE59E5E"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Mathematical basis: Block-triangular structure of Jₓ at x₁*.</w:t>
      </w:r>
    </w:p>
    <w:p w14:paraId="4CF95F6E" w14:textId="39BE538E"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Proof that </w:t>
      </w:r>
      <m:oMath>
        <m:sSub>
          <m:sSubPr>
            <m:ctrlPr>
              <w:rPr>
                <w:rFonts w:ascii="Cambria Math" w:hAnsi="Cambria Math" w:cs="Times New Roman"/>
                <w:b/>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P</m:t>
            </m:r>
          </m:sub>
        </m:sSub>
      </m:oMath>
      <w:r w:rsidRPr="009668D3">
        <w:rPr>
          <w:rFonts w:ascii="Times New Roman" w:hAnsi="Times New Roman" w:cs="Times New Roman"/>
          <w:b/>
          <w:sz w:val="20"/>
          <w:szCs w:val="20"/>
        </w:rPr>
        <w:t xml:space="preserve"> is an eigenvalue of Jₓ(x₁*).</w:t>
      </w:r>
      <w:r w:rsidRPr="009668D3">
        <w:rPr>
          <w:rFonts w:ascii="Times New Roman" w:hAnsi="Times New Roman" w:cs="Times New Roman"/>
          <w:sz w:val="20"/>
          <w:szCs w:val="20"/>
        </w:rPr>
        <w:t xml:space="preserve"> At the parasitoid-free </w:t>
      </w:r>
      <w:r w:rsidR="00F506BB" w:rsidRPr="009668D3">
        <w:rPr>
          <w:rFonts w:ascii="Times New Roman" w:hAnsi="Times New Roman" w:cs="Times New Roman"/>
          <w:sz w:val="20"/>
          <w:szCs w:val="20"/>
        </w:rPr>
        <w:t>fixed-point</w:t>
      </w:r>
      <w:r w:rsidRPr="009668D3">
        <w:rPr>
          <w:rFonts w:ascii="Times New Roman" w:hAnsi="Times New Roman" w:cs="Times New Roman"/>
          <w:sz w:val="20"/>
          <w:szCs w:val="20"/>
        </w:rPr>
        <w:t xml:space="preserve"> x₁* = (A*, 0, K*), the parasitoid is absent (F* = 0) and no larvae are parasitised (I* = 0 throughout the season). Under the parasitoid-free seasonal trajectory, F(τ) ≡ 0 and I(τ) ≡ 0 for all τ </w:t>
      </w:r>
      <w:r w:rsidRPr="009668D3">
        <w:rPr>
          <w:rFonts w:ascii="Cambria Math" w:hAnsi="Cambria Math" w:cs="Cambria Math"/>
          <w:sz w:val="20"/>
          <w:szCs w:val="20"/>
        </w:rPr>
        <w:t>∈</w:t>
      </w:r>
      <w:r w:rsidRPr="009668D3">
        <w:rPr>
          <w:rFonts w:ascii="Times New Roman" w:hAnsi="Times New Roman" w:cs="Times New Roman"/>
          <w:sz w:val="20"/>
          <w:szCs w:val="20"/>
        </w:rPr>
        <w:t xml:space="preserve"> [0, T]. Examining the within-season Jacobian ∂f/∂y along this trajectory:</w:t>
      </w:r>
    </w:p>
    <w:p w14:paraId="15CECC4A" w14:textId="533D54BD"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entry </w:t>
      </w:r>
      <m:oMath>
        <m:r>
          <w:rPr>
            <w:rFonts w:ascii="Cambria Math" w:hAnsi="Cambria Math" w:cs="Times New Roman"/>
            <w:sz w:val="20"/>
            <w:szCs w:val="20"/>
          </w:rPr>
          <m:t xml:space="preserve">∂(dI/dτ)/∂S = βF/(1 + </m:t>
        </m:r>
        <m:r>
          <w:rPr>
            <w:rFonts w:ascii="Cambria Math" w:hAnsi="Cambria Math" w:cs="Times New Roman"/>
            <w:sz w:val="20"/>
            <w:szCs w:val="20"/>
          </w:rPr>
          <m:t>hS)² = 0</m:t>
        </m:r>
      </m:oMath>
      <w:r w:rsidRPr="009668D3">
        <w:rPr>
          <w:rFonts w:ascii="Times New Roman" w:hAnsi="Times New Roman" w:cs="Times New Roman"/>
          <w:sz w:val="20"/>
          <w:szCs w:val="20"/>
        </w:rPr>
        <w:t xml:space="preserve"> (because F = 0), and the entry </w:t>
      </w:r>
      <m:oMath>
        <m:r>
          <w:rPr>
            <w:rFonts w:ascii="Cambria Math" w:hAnsi="Cambria Math" w:cs="Times New Roman"/>
            <w:sz w:val="20"/>
            <w:szCs w:val="20"/>
          </w:rPr>
          <m:t xml:space="preserve">∂(dF/dτ)/∂S = 0 </m:t>
        </m:r>
      </m:oMath>
      <w:r w:rsidRPr="009668D3">
        <w:rPr>
          <w:rFonts w:ascii="Times New Roman" w:hAnsi="Times New Roman" w:cs="Times New Roman"/>
          <w:sz w:val="20"/>
          <w:szCs w:val="20"/>
        </w:rPr>
        <w:t>(Equation 3 does not depend on S directly). Consequently, the variational equation for M</w:t>
      </w:r>
      <w:r w:rsidRPr="009668D3">
        <w:rPr>
          <w:rFonts w:ascii="Times New Roman" w:hAnsi="Times New Roman" w:cs="Times New Roman"/>
          <w:sz w:val="20"/>
          <w:szCs w:val="20"/>
          <w:vertAlign w:val="subscript"/>
        </w:rPr>
        <w:t>3,1</w:t>
      </w:r>
      <w:r w:rsidRPr="009668D3">
        <w:rPr>
          <w:rFonts w:ascii="Times New Roman" w:hAnsi="Times New Roman" w:cs="Times New Roman"/>
          <w:sz w:val="20"/>
          <w:szCs w:val="20"/>
        </w:rPr>
        <w:t>(τ) = ∂F(τ)/∂S(0) receives no forcing from the S-perturbation (M</w:t>
      </w:r>
      <w:r w:rsidRPr="009668D3">
        <w:rPr>
          <w:rFonts w:ascii="Times New Roman" w:hAnsi="Times New Roman" w:cs="Times New Roman"/>
          <w:sz w:val="20"/>
          <w:szCs w:val="20"/>
          <w:vertAlign w:val="subscript"/>
        </w:rPr>
        <w:t>3,1</w:t>
      </w:r>
      <w:r w:rsidRPr="009668D3">
        <w:rPr>
          <w:rFonts w:ascii="Times New Roman" w:hAnsi="Times New Roman" w:cs="Times New Roman"/>
          <w:sz w:val="20"/>
          <w:szCs w:val="20"/>
        </w:rPr>
        <w:t xml:space="preserve">(0) = 0 and the coupling coefficients are zero), so </w:t>
      </w:r>
      <m:oMath>
        <m:r>
          <w:rPr>
            <w:rFonts w:ascii="Cambria Math" w:hAnsi="Cambria Math" w:cs="Times New Roman"/>
            <w:sz w:val="20"/>
            <w:szCs w:val="20"/>
          </w:rPr>
          <m:t>M</m:t>
        </m:r>
        <m:r>
          <w:rPr>
            <w:rFonts w:ascii="Cambria Math" w:hAnsi="Cambria Math" w:cs="Times New Roman"/>
            <w:sz w:val="20"/>
            <w:szCs w:val="20"/>
            <w:vertAlign w:val="subscript"/>
          </w:rPr>
          <m:t>3,1</m:t>
        </m:r>
        <m:r>
          <w:rPr>
            <w:rFonts w:ascii="Cambria Math" w:hAnsi="Cambria Math" w:cs="Times New Roman"/>
            <w:sz w:val="20"/>
            <w:szCs w:val="20"/>
          </w:rPr>
          <m:t>(T) = ∂F</m:t>
        </m:r>
        <m:r>
          <w:rPr>
            <w:rFonts w:ascii="Cambria Math" w:hAnsi="Cambria Math" w:cs="Times New Roman"/>
            <w:sz w:val="20"/>
            <w:szCs w:val="20"/>
            <w:vertAlign w:val="subscript"/>
          </w:rPr>
          <m:t>T</m:t>
        </m:r>
        <m:r>
          <w:rPr>
            <w:rFonts w:ascii="Cambria Math" w:hAnsi="Cambria Math" w:cs="Times New Roman"/>
            <w:sz w:val="20"/>
            <w:szCs w:val="20"/>
          </w:rPr>
          <m:t>/∂S(0) = 0</m:t>
        </m:r>
      </m:oMath>
      <w:r w:rsidRPr="009668D3">
        <w:rPr>
          <w:rFonts w:ascii="Times New Roman" w:hAnsi="Times New Roman" w:cs="Times New Roman"/>
          <w:sz w:val="20"/>
          <w:szCs w:val="20"/>
        </w:rPr>
        <w:t xml:space="preserve"> at x₁*.</w:t>
      </w:r>
    </w:p>
    <w:p w14:paraId="397FF7B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In the annual state ordering x = (A, F, K), the second row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 xml:space="preserve"> at x₁* therefore becomes:</w:t>
      </w:r>
    </w:p>
    <w:p w14:paraId="7D500B16" w14:textId="2C16191D" w:rsidR="000875CC" w:rsidRPr="009668D3" w:rsidRDefault="00F506BB" w:rsidP="002D21BC">
      <w:pPr>
        <w:spacing w:before="80" w:after="80" w:line="240" w:lineRule="auto"/>
        <w:ind w:left="720"/>
        <w:jc w:val="both"/>
        <w:rPr>
          <w:rFonts w:ascii="Times New Roman" w:hAnsi="Times New Roman" w:cs="Times New Roman"/>
          <w:sz w:val="20"/>
          <w:szCs w:val="20"/>
        </w:rPr>
      </w:pPr>
      <m:oMathPara>
        <m:oMath>
          <m:r>
            <w:rPr>
              <w:rFonts w:ascii="Cambria Math" w:hAnsi="Cambria Math" w:cs="Times New Roman"/>
              <w:sz w:val="20"/>
              <w:szCs w:val="20"/>
            </w:rPr>
            <m:t xml:space="preserve">∂Fₜ₊₁/∂Aₜ = </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xml:space="preserve"> · ∂Fₜ/∂S(0) · ∂S(0)/∂Aₜ = σₑ · 0 · (·) = 0</m:t>
          </m:r>
        </m:oMath>
      </m:oMathPara>
    </w:p>
    <w:p w14:paraId="02C64DBF" w14:textId="464452ED" w:rsidR="000875CC" w:rsidRPr="009668D3" w:rsidRDefault="00F506BB" w:rsidP="002D21BC">
      <w:pPr>
        <w:spacing w:before="80" w:after="80" w:line="240" w:lineRule="auto"/>
        <w:ind w:left="720"/>
        <w:jc w:val="both"/>
        <w:rPr>
          <w:rFonts w:ascii="Times New Roman" w:hAnsi="Times New Roman" w:cs="Times New Roman"/>
          <w:sz w:val="20"/>
          <w:szCs w:val="20"/>
        </w:rPr>
      </w:pPr>
      <m:oMathPara>
        <m:oMath>
          <m:r>
            <w:rPr>
              <w:rFonts w:ascii="Cambria Math" w:hAnsi="Cambria Math" w:cs="Times New Roman"/>
              <w:sz w:val="20"/>
              <w:szCs w:val="20"/>
            </w:rPr>
            <m:t xml:space="preserve">∂Fₜ₊₁/∂Fₜ = </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xml:space="preserve"> · ∂Fₜ/∂F(0) = </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R</m:t>
              </m:r>
            </m:e>
            <m:sub>
              <m:r>
                <w:rPr>
                  <w:rFonts w:ascii="Cambria Math" w:eastAsia="Cambria Math" w:hAnsi="Cambria Math" w:cs="Times New Roman"/>
                  <w:sz w:val="20"/>
                  <w:szCs w:val="20"/>
                </w:rPr>
                <m:t>P</m:t>
              </m:r>
            </m:sub>
          </m:sSub>
        </m:oMath>
      </m:oMathPara>
    </w:p>
    <w:p w14:paraId="0CA14A84" w14:textId="6DF494DB" w:rsidR="000875CC" w:rsidRPr="009668D3" w:rsidRDefault="00F506BB" w:rsidP="002D21BC">
      <w:pPr>
        <w:spacing w:before="80" w:after="80" w:line="240" w:lineRule="auto"/>
        <w:ind w:left="720"/>
        <w:jc w:val="both"/>
        <w:rPr>
          <w:rFonts w:ascii="Times New Roman" w:hAnsi="Times New Roman" w:cs="Times New Roman"/>
          <w:sz w:val="20"/>
          <w:szCs w:val="20"/>
        </w:rPr>
      </w:pPr>
      <m:oMathPara>
        <m:oMath>
          <m:r>
            <w:rPr>
              <w:rFonts w:ascii="Cambria Math" w:hAnsi="Cambria Math" w:cs="Times New Roman"/>
              <w:sz w:val="20"/>
              <w:szCs w:val="20"/>
            </w:rPr>
            <w:lastRenderedPageBreak/>
            <m:t xml:space="preserve">∂Fₜ₊₁/∂Kₜ = </m:t>
          </m:r>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F</m:t>
              </m:r>
            </m:sub>
          </m:sSub>
          <m:r>
            <w:rPr>
              <w:rFonts w:ascii="Cambria Math" w:hAnsi="Cambria Math" w:cs="Times New Roman"/>
              <w:sz w:val="20"/>
              <w:szCs w:val="20"/>
            </w:rPr>
            <m:t xml:space="preserve"> · ∂Fₜ/∂S(0) · ∂S(0)/∂Kₜ = 0</m:t>
          </m:r>
        </m:oMath>
      </m:oMathPara>
    </w:p>
    <w:p w14:paraId="22B4714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second row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(x₁*) is [0,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0]. The characteristic polynomial of the 3 × 3 Jacobian therefore factors as:</w:t>
      </w:r>
    </w:p>
    <w:p w14:paraId="7F6AEB5A" w14:textId="6F13F458" w:rsidR="000875CC" w:rsidRPr="009668D3" w:rsidRDefault="00FB510D" w:rsidP="002D21BC">
      <w:pPr>
        <w:spacing w:before="160" w:line="240" w:lineRule="auto"/>
        <w:jc w:val="both"/>
        <w:rPr>
          <w:rFonts w:ascii="Times New Roman" w:hAnsi="Times New Roman" w:cs="Times New Roman"/>
          <w:sz w:val="20"/>
          <w:szCs w:val="20"/>
        </w:rPr>
      </w:pPr>
      <m:oMathPara>
        <m:oMath>
          <m:func>
            <m:funcPr>
              <m:ctrlPr>
                <w:rPr>
                  <w:rFonts w:ascii="Cambria Math" w:hAnsi="Cambria Math" w:cs="Times New Roman"/>
                  <w:sz w:val="20"/>
                  <w:szCs w:val="20"/>
                </w:rPr>
              </m:ctrlPr>
            </m:funcPr>
            <m:fName>
              <m:r>
                <m:rPr>
                  <m:sty m:val="p"/>
                </m:rPr>
                <w:rPr>
                  <w:rFonts w:ascii="Cambria Math" w:hAnsi="Cambria Math" w:cs="Times New Roman"/>
                  <w:sz w:val="20"/>
                  <w:szCs w:val="20"/>
                </w:rPr>
                <m:t>det</m:t>
              </m:r>
            </m:fName>
            <m:e>
              <m:d>
                <m:dPr>
                  <m:ctrlPr>
                    <w:rPr>
                      <w:rFonts w:ascii="Cambria Math" w:hAnsi="Cambria Math" w:cs="Times New Roman"/>
                      <w:i/>
                      <w:sz w:val="20"/>
                      <w:szCs w:val="20"/>
                    </w:rPr>
                  </m:ctrlPr>
                </m:dPr>
                <m:e>
                  <m:r>
                    <w:rPr>
                      <w:rFonts w:ascii="Cambria Math" w:hAnsi="Cambria Math" w:cs="Times New Roman"/>
                      <w:sz w:val="20"/>
                      <w:szCs w:val="20"/>
                    </w:rPr>
                    <m:t>J</m:t>
                  </m:r>
                  <m:r>
                    <w:rPr>
                      <w:rFonts w:ascii="Cambria Math" w:hAnsi="Cambria Math" w:cs="Times New Roman"/>
                      <w:sz w:val="20"/>
                      <w:szCs w:val="20"/>
                    </w:rPr>
                    <m:t>ₓ</m:t>
                  </m:r>
                  <m:r>
                    <w:rPr>
                      <w:rFonts w:ascii="Cambria Math" w:hAnsi="Cambria Math" w:cs="Times New Roman"/>
                      <w:sz w:val="20"/>
                      <w:szCs w:val="20"/>
                    </w:rPr>
                    <m:t xml:space="preserve"> - </m:t>
                  </m:r>
                  <m:r>
                    <w:rPr>
                      <w:rFonts w:ascii="Cambria Math" w:hAnsi="Cambria Math" w:cs="Times New Roman"/>
                      <w:sz w:val="20"/>
                      <w:szCs w:val="20"/>
                    </w:rPr>
                    <m:t>λl</m:t>
                  </m:r>
                </m:e>
              </m:d>
            </m:e>
          </m:func>
          <m:r>
            <w:rPr>
              <w:rFonts w:ascii="Cambria Math" w:hAnsi="Cambria Math" w:cs="Times New Roman"/>
              <w:sz w:val="20"/>
              <w:szCs w:val="20"/>
            </w:rPr>
            <m:t xml:space="preserve">= </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m:t>
              </m:r>
              <m:r>
                <w:rPr>
                  <w:rFonts w:ascii="Cambria Math" w:hAnsi="Cambria Math" w:cs="Times New Roman"/>
                  <w:sz w:val="20"/>
                  <w:szCs w:val="20"/>
                </w:rPr>
                <m:t xml:space="preserve"> </m:t>
              </m:r>
              <m:r>
                <w:rPr>
                  <w:rFonts w:ascii="Cambria Math" w:hAnsi="Cambria Math" w:cs="Times New Roman"/>
                  <w:sz w:val="20"/>
                  <w:szCs w:val="20"/>
                </w:rPr>
                <m:t>λ</m:t>
              </m:r>
            </m:e>
          </m:d>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det</m:t>
              </m:r>
              <m:ctrlPr>
                <w:rPr>
                  <w:rFonts w:ascii="Cambria Math" w:hAnsi="Cambria Math" w:cs="Times New Roman"/>
                  <w:i/>
                  <w:sz w:val="20"/>
                  <w:szCs w:val="20"/>
                </w:rPr>
              </m:ctrlPr>
            </m:fName>
            <m:e>
              <m:d>
                <m:dPr>
                  <m:ctrlPr>
                    <w:rPr>
                      <w:rFonts w:ascii="Cambria Math" w:hAnsi="Cambria Math" w:cs="Times New Roman"/>
                      <w:i/>
                      <w:sz w:val="20"/>
                      <w:szCs w:val="20"/>
                    </w:rPr>
                  </m:ctrlPr>
                </m:dPr>
                <m:e>
                  <m:d>
                    <m:dPr>
                      <m:begChr m:val="["/>
                      <m:endChr m:val="]"/>
                      <m:ctrlPr>
                        <w:rPr>
                          <w:rFonts w:ascii="Cambria Math" w:hAnsi="Cambria Math" w:cs="Times New Roman"/>
                          <w:i/>
                          <w:sz w:val="20"/>
                          <w:szCs w:val="20"/>
                        </w:rPr>
                      </m:ctrlPr>
                    </m:dPr>
                    <m:e>
                      <m:r>
                        <w:rPr>
                          <w:rFonts w:ascii="Cambria Math" w:hAnsi="Cambria Math" w:cs="Times New Roman"/>
                          <w:sz w:val="20"/>
                          <w:szCs w:val="20"/>
                        </w:rPr>
                        <m:t>J</m:t>
                      </m:r>
                      <m:r>
                        <w:rPr>
                          <w:rFonts w:ascii="Cambria Math" w:hAnsi="Cambria Math" w:cs="Times New Roman"/>
                          <w:sz w:val="20"/>
                          <w:szCs w:val="20"/>
                        </w:rPr>
                        <m:t>ₐₐ</m:t>
                      </m:r>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 xml:space="preserve">, </m:t>
                      </m:r>
                      <m:r>
                        <w:rPr>
                          <w:rFonts w:ascii="Cambria Math" w:hAnsi="Cambria Math" w:cs="Times New Roman"/>
                          <w:sz w:val="20"/>
                          <w:szCs w:val="20"/>
                        </w:rPr>
                        <m:t>J</m:t>
                      </m:r>
                      <m:r>
                        <w:rPr>
                          <w:rFonts w:ascii="Cambria Math" w:hAnsi="Cambria Math" w:cs="Times New Roman"/>
                          <w:sz w:val="20"/>
                          <w:szCs w:val="20"/>
                        </w:rPr>
                        <m:t>ₐₖ</m:t>
                      </m:r>
                      <m:r>
                        <w:rPr>
                          <w:rFonts w:ascii="Cambria Math" w:hAnsi="Cambria Math" w:cs="Times New Roman"/>
                          <w:sz w:val="20"/>
                          <w:szCs w:val="20"/>
                        </w:rPr>
                        <m:t xml:space="preserve">; </m:t>
                      </m:r>
                      <m:r>
                        <w:rPr>
                          <w:rFonts w:ascii="Cambria Math" w:hAnsi="Cambria Math" w:cs="Times New Roman"/>
                          <w:sz w:val="20"/>
                          <w:szCs w:val="20"/>
                        </w:rPr>
                        <m:t>J</m:t>
                      </m:r>
                      <m:r>
                        <w:rPr>
                          <w:rFonts w:ascii="Cambria Math" w:hAnsi="Cambria Math" w:cs="Times New Roman"/>
                          <w:sz w:val="20"/>
                          <w:szCs w:val="20"/>
                        </w:rPr>
                        <m:t>ₖₐ</m:t>
                      </m:r>
                      <m:r>
                        <w:rPr>
                          <w:rFonts w:ascii="Cambria Math" w:hAnsi="Cambria Math" w:cs="Times New Roman"/>
                          <w:sz w:val="20"/>
                          <w:szCs w:val="20"/>
                        </w:rPr>
                        <m:t xml:space="preserve">, </m:t>
                      </m:r>
                      <m:r>
                        <w:rPr>
                          <w:rFonts w:ascii="Cambria Math" w:hAnsi="Cambria Math" w:cs="Times New Roman"/>
                          <w:sz w:val="20"/>
                          <w:szCs w:val="20"/>
                        </w:rPr>
                        <m:t>J</m:t>
                      </m:r>
                      <m:r>
                        <w:rPr>
                          <w:rFonts w:ascii="Cambria Math" w:hAnsi="Cambria Math" w:cs="Times New Roman"/>
                          <w:sz w:val="20"/>
                          <w:szCs w:val="20"/>
                        </w:rPr>
                        <m:t>ₖₖ</m:t>
                      </m:r>
                      <m:r>
                        <w:rPr>
                          <w:rFonts w:ascii="Cambria Math" w:hAnsi="Cambria Math" w:cs="Times New Roman"/>
                          <w:sz w:val="20"/>
                          <w:szCs w:val="20"/>
                        </w:rPr>
                        <m:t xml:space="preserve"> - </m:t>
                      </m:r>
                      <m:r>
                        <w:rPr>
                          <w:rFonts w:ascii="Cambria Math" w:hAnsi="Cambria Math" w:cs="Times New Roman"/>
                          <w:sz w:val="20"/>
                          <w:szCs w:val="20"/>
                        </w:rPr>
                        <m:t>λ</m:t>
                      </m:r>
                    </m:e>
                  </m:d>
                </m:e>
              </m:d>
            </m:e>
          </m:func>
        </m:oMath>
      </m:oMathPara>
    </w:p>
    <w:p w14:paraId="43D3D797" w14:textId="36446658"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where J</w:t>
      </w:r>
      <w:r w:rsidRPr="009668D3">
        <w:rPr>
          <w:rFonts w:ascii="Times New Roman" w:hAnsi="Times New Roman" w:cs="Times New Roman"/>
          <w:sz w:val="20"/>
          <w:szCs w:val="20"/>
          <w:vertAlign w:val="subscript"/>
        </w:rPr>
        <w:t>AA</w:t>
      </w:r>
      <w:r w:rsidRPr="009668D3">
        <w:rPr>
          <w:rFonts w:ascii="Times New Roman" w:hAnsi="Times New Roman" w:cs="Times New Roman"/>
          <w:sz w:val="20"/>
          <w:szCs w:val="20"/>
        </w:rPr>
        <w:t>, J</w:t>
      </w:r>
      <w:r w:rsidRPr="009668D3">
        <w:rPr>
          <w:rFonts w:ascii="Times New Roman" w:hAnsi="Times New Roman" w:cs="Times New Roman"/>
          <w:sz w:val="20"/>
          <w:szCs w:val="20"/>
          <w:vertAlign w:val="subscript"/>
        </w:rPr>
        <w:t>AK</w:t>
      </w:r>
      <w:r w:rsidRPr="009668D3">
        <w:rPr>
          <w:rFonts w:ascii="Times New Roman" w:hAnsi="Times New Roman" w:cs="Times New Roman"/>
          <w:sz w:val="20"/>
          <w:szCs w:val="20"/>
        </w:rPr>
        <w:t>, J</w:t>
      </w:r>
      <w:r w:rsidRPr="009668D3">
        <w:rPr>
          <w:rFonts w:ascii="Times New Roman" w:hAnsi="Times New Roman" w:cs="Times New Roman"/>
          <w:sz w:val="20"/>
          <w:szCs w:val="20"/>
          <w:vertAlign w:val="subscript"/>
        </w:rPr>
        <w:t>KA</w:t>
      </w:r>
      <w:r w:rsidRPr="009668D3">
        <w:rPr>
          <w:rFonts w:ascii="Times New Roman" w:hAnsi="Times New Roman" w:cs="Times New Roman"/>
          <w:sz w:val="20"/>
          <w:szCs w:val="20"/>
        </w:rPr>
        <w:t>, J</w:t>
      </w:r>
      <w:r w:rsidRPr="009668D3">
        <w:rPr>
          <w:rFonts w:ascii="Times New Roman" w:hAnsi="Times New Roman" w:cs="Times New Roman"/>
          <w:sz w:val="20"/>
          <w:szCs w:val="20"/>
          <w:vertAlign w:val="subscript"/>
        </w:rPr>
        <w:t>KK</w:t>
      </w:r>
      <w:r w:rsidRPr="009668D3">
        <w:rPr>
          <w:rFonts w:ascii="Times New Roman" w:hAnsi="Times New Roman" w:cs="Times New Roman"/>
          <w:sz w:val="20"/>
          <w:szCs w:val="20"/>
        </w:rPr>
        <w:t xml:space="preserve"> are the entries of the (A, K) beetle–foliage subsystem block. Therefore, R</w:t>
      </w:r>
      <w:r w:rsidR="001C61B3" w:rsidRPr="009668D3">
        <w:rPr>
          <w:rFonts w:ascii="Times New Roman" w:hAnsi="Times New Roman" w:cs="Times New Roman"/>
          <w:sz w:val="20"/>
          <w:szCs w:val="20"/>
        </w:rPr>
        <w:t>_P</w:t>
      </w:r>
      <w:r w:rsidRPr="009668D3">
        <w:rPr>
          <w:rFonts w:ascii="Times New Roman" w:hAnsi="Times New Roman" w:cs="Times New Roman"/>
          <w:sz w:val="20"/>
          <w:szCs w:val="20"/>
        </w:rPr>
        <w:t xml:space="preserve"> is always an eigenvalue of Jₓ at the parasitoid-free fixed point—this is an exact structural result, not an approximation. The remaining two eigenvalues govern the stability of the resident beetle–foliage dynamics.</w:t>
      </w:r>
    </w:p>
    <w:p w14:paraId="31028FB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Ecological interpretation.</w:t>
      </w:r>
    </w:p>
    <w:p w14:paraId="4A4FA9A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measures the expected number of new parasitoid adults produced per parasitoid introduced over one full annual cycle (within-season parasitism, host mortality, parasitoid emergence, and overwinter survival) at the resident beetle density. This interpretation connects the next-generation logic of van den Driessche and Watmough (2002) to the Floquet theory for periodically forced systems (Wiggins, 2003, §1.2).</w:t>
      </w:r>
    </w:p>
    <w:p w14:paraId="6D2D6860"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Stability implications.</w:t>
      </w:r>
    </w:p>
    <w:p w14:paraId="020A27D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parasitoid-free fixed point x₁* is locally asymptotically stable as an annual equilibrium if and only if (a)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&lt; 1, and (b) the beetle–foliage eigenvalues of the resident subsystem also lie inside the unit circle. At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1, a transcritical bifurcation occurs: the coexistence fixed point x₂* becomes biologically feasible (F* &gt; 0) and, generically, inherits stability for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&gt; 1 while x₁* loses stability in the parasitoid direction.</w:t>
      </w:r>
    </w:p>
    <w:p w14:paraId="5AA7D57F"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Approximate formula.</w:t>
      </w:r>
    </w:p>
    <w:p w14:paraId="35B25147" w14:textId="462E1A73"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When the within-season dynamics are evaluated under the simplifying assumption that S ≈ Ś (constant host density), with constant bird pressure 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and including the Holling Type II saturation correction, the rigorous definition reduces to the interpretable next-generation approximation</w:t>
      </w:r>
      <w:r w:rsidR="00AA491A" w:rsidRPr="009668D3">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P</m:t>
            </m:r>
          </m:sub>
        </m:sSub>
        <m:r>
          <m:rPr>
            <m:sty m:val="p"/>
          </m:rPr>
          <w:rPr>
            <w:rFonts w:ascii="Cambria Math" w:hAnsi="Cambria Math" w:cs="Times New Roman"/>
            <w:sz w:val="20"/>
            <w:szCs w:val="20"/>
          </w:rPr>
          <m:t>≈</m:t>
        </m:r>
        <m:f>
          <m:fPr>
            <m:ctrlPr>
              <w:rPr>
                <w:rFonts w:ascii="Cambria Math" w:eastAsia="Times New Roman" w:hAnsi="Cambria Math" w:cs="Times New Roman"/>
                <w:sz w:val="20"/>
                <w:szCs w:val="20"/>
              </w:rPr>
            </m:ctrlPr>
          </m:fPr>
          <m:num>
            <m:r>
              <w:rPr>
                <w:rFonts w:ascii="Cambria Math" w:eastAsia="Times New Roman" w:hAnsi="Cambria Math" w:cs="Times New Roman"/>
                <w:sz w:val="20"/>
                <w:szCs w:val="20"/>
              </w:rPr>
              <m:t>η ×δ× β× </m:t>
            </m:r>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S</m:t>
                </m:r>
              </m:e>
            </m:acc>
            <m:ctrlPr>
              <w:rPr>
                <w:rFonts w:ascii="Cambria Math" w:eastAsia="Times New Roman" w:hAnsi="Cambria Math" w:cs="Times New Roman"/>
                <w:i/>
                <w:sz w:val="20"/>
                <w:szCs w:val="20"/>
              </w:rPr>
            </m:ctrlPr>
          </m:num>
          <m:den>
            <m:d>
              <m:dPr>
                <m:ctrlPr>
                  <w:rPr>
                    <w:rFonts w:ascii="Cambria Math" w:eastAsia="Times New Roman" w:hAnsi="Cambria Math" w:cs="Times New Roman"/>
                    <w:sz w:val="20"/>
                    <w:szCs w:val="20"/>
                  </w:rPr>
                </m:ctrlPr>
              </m:dPr>
              <m:e>
                <m:r>
                  <w:rPr>
                    <w:rFonts w:ascii="Cambria Math" w:eastAsia="Times New Roman" w:hAnsi="Cambria Math" w:cs="Times New Roman"/>
                    <w:sz w:val="20"/>
                    <w:szCs w:val="20"/>
                  </w:rPr>
                  <m:t>1+</m:t>
                </m:r>
                <m:r>
                  <w:rPr>
                    <w:rFonts w:ascii="Cambria Math" w:eastAsia="Times New Roman" w:hAnsi="Cambria Math" w:cs="Times New Roman"/>
                    <w:sz w:val="20"/>
                    <w:szCs w:val="20"/>
                  </w:rPr>
                  <m:t>h</m:t>
                </m:r>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S</m:t>
                    </m:r>
                  </m:e>
                </m:acc>
                <m:ctrlPr>
                  <w:rPr>
                    <w:rFonts w:ascii="Cambria Math" w:eastAsia="Times New Roman" w:hAnsi="Cambria Math" w:cs="Times New Roman"/>
                    <w:i/>
                    <w:sz w:val="20"/>
                    <w:szCs w:val="20"/>
                  </w:rPr>
                </m:ctrlPr>
              </m:e>
            </m:d>
            <m:r>
              <m:rPr>
                <m:sty m:val="p"/>
              </m:rP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ctrlPr>
                  <w:rPr>
                    <w:rFonts w:ascii="Cambria Math" w:eastAsia="Times New Roman" w:hAnsi="Cambria Math" w:cs="Times New Roman"/>
                    <w:sz w:val="20"/>
                    <w:szCs w:val="20"/>
                  </w:rPr>
                </m:ctrlPr>
              </m:e>
              <m:sub>
                <m:r>
                  <w:rPr>
                    <w:rFonts w:ascii="Cambria Math" w:eastAsia="Times New Roman" w:hAnsi="Cambria Math" w:cs="Times New Roman"/>
                    <w:sz w:val="20"/>
                    <w:szCs w:val="20"/>
                  </w:rPr>
                  <m:t>F</m:t>
                </m:r>
              </m:sub>
            </m:sSub>
            <m:r>
              <m:rPr>
                <m:sty m:val="p"/>
              </m:rPr>
              <w:rPr>
                <w:rFonts w:ascii="Cambria Math" w:eastAsia="Times New Roman" w:hAnsi="Cambria Math" w:cs="Times New Roman"/>
                <w:sz w:val="20"/>
                <w:szCs w:val="20"/>
              </w:rPr>
              <m:t>⋅</m:t>
            </m:r>
            <m:d>
              <m:dPr>
                <m:ctrlPr>
                  <w:rPr>
                    <w:rFonts w:ascii="Cambria Math" w:eastAsia="Times New Roman" w:hAnsi="Cambria Math" w:cs="Times New Roman"/>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ctrlPr>
                      <w:rPr>
                        <w:rFonts w:ascii="Cambria Math" w:eastAsia="Times New Roman" w:hAnsi="Cambria Math" w:cs="Times New Roman"/>
                        <w:sz w:val="20"/>
                        <w:szCs w:val="20"/>
                      </w:rPr>
                    </m:ctrlP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+δ+</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m:t>
                    </m:r>
                  </m:e>
                  <m:sub>
                    <m:r>
                      <w:rPr>
                        <w:rFonts w:ascii="Cambria Math" w:eastAsia="Times New Roman" w:hAnsi="Cambria Math" w:cs="Times New Roman"/>
                        <w:sz w:val="20"/>
                        <w:szCs w:val="20"/>
                      </w:rPr>
                      <m:t>C</m:t>
                    </m:r>
                  </m:sub>
                </m:sSub>
                <m:r>
                  <w:rPr>
                    <w:rFonts w:ascii="Cambria Math" w:eastAsia="Times New Roman" w:hAnsi="Cambria Math" w:cs="Times New Roman"/>
                    <w:sz w:val="20"/>
                    <w:szCs w:val="20"/>
                  </w:rPr>
                  <m:t>+</m:t>
                </m:r>
                <m:f>
                  <m:fPr>
                    <m:ctrlPr>
                      <w:rPr>
                        <w:rFonts w:ascii="Cambria Math" w:eastAsia="Times New Roman" w:hAnsi="Cambria Math" w:cs="Times New Roman"/>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B</m:t>
                        </m:r>
                      </m:sub>
                    </m:sSub>
                    <m:r>
                      <w:rPr>
                        <w:rFonts w:ascii="Cambria Math" w:eastAsia="Times New Roman" w:hAnsi="Cambria Math" w:cs="Times New Roman"/>
                        <w:sz w:val="20"/>
                        <w:szCs w:val="20"/>
                      </w:rPr>
                      <m:t>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B</m:t>
                        </m:r>
                      </m:e>
                      <m:sub>
                        <m:r>
                          <w:rPr>
                            <w:rFonts w:ascii="Cambria Math" w:eastAsia="Times New Roman" w:hAnsi="Cambria Math" w:cs="Times New Roman"/>
                            <w:sz w:val="20"/>
                            <w:szCs w:val="20"/>
                          </w:rPr>
                          <m:t>t</m:t>
                        </m:r>
                      </m:sub>
                    </m:sSub>
                    <m:ctrlPr>
                      <w:rPr>
                        <w:rFonts w:ascii="Cambria Math" w:eastAsia="Times New Roman" w:hAnsi="Cambria Math" w:cs="Times New Roman"/>
                        <w:i/>
                        <w:sz w:val="20"/>
                        <w:szCs w:val="20"/>
                      </w:rPr>
                    </m:ctrlPr>
                  </m:num>
                  <m:den>
                    <m:r>
                      <w:rPr>
                        <w:rFonts w:ascii="Cambria Math" w:eastAsia="Times New Roman" w:hAnsi="Cambria Math" w:cs="Times New Roman"/>
                        <w:sz w:val="20"/>
                        <w:szCs w:val="20"/>
                      </w:rPr>
                      <m:t>1+</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B</m:t>
                        </m:r>
                      </m:sub>
                    </m:sSub>
                    <m:r>
                      <w:rPr>
                        <w:rFonts w:ascii="Cambria Math" w:eastAsia="Times New Roman" w:hAnsi="Cambria Math" w:cs="Times New Roman"/>
                        <w:sz w:val="20"/>
                        <w:szCs w:val="20"/>
                      </w:rPr>
                      <m:t> </m:t>
                    </m:r>
                    <m:acc>
                      <m:accPr>
                        <m:ctrlPr>
                          <w:rPr>
                            <w:rFonts w:ascii="Cambria Math" w:eastAsia="Times New Roman" w:hAnsi="Cambria Math" w:cs="Times New Roman"/>
                            <w:sz w:val="20"/>
                            <w:szCs w:val="20"/>
                          </w:rPr>
                        </m:ctrlPr>
                      </m:accPr>
                      <m:e>
                        <m:r>
                          <w:rPr>
                            <w:rFonts w:ascii="Cambria Math" w:eastAsia="Times New Roman" w:hAnsi="Cambria Math" w:cs="Times New Roman"/>
                            <w:sz w:val="20"/>
                            <w:szCs w:val="20"/>
                          </w:rPr>
                          <m:t>S</m:t>
                        </m:r>
                      </m:e>
                    </m:acc>
                    <m:ctrlPr>
                      <w:rPr>
                        <w:rFonts w:ascii="Cambria Math" w:eastAsia="Times New Roman" w:hAnsi="Cambria Math" w:cs="Times New Roman"/>
                        <w:i/>
                        <w:sz w:val="20"/>
                        <w:szCs w:val="20"/>
                      </w:rPr>
                    </m:ctrlPr>
                  </m:den>
                </m:f>
                <m:ctrlPr>
                  <w:rPr>
                    <w:rFonts w:ascii="Cambria Math" w:eastAsia="Times New Roman" w:hAnsi="Cambria Math" w:cs="Times New Roman"/>
                    <w:i/>
                    <w:sz w:val="20"/>
                    <w:szCs w:val="20"/>
                  </w:rPr>
                </m:ctrlPr>
              </m:e>
            </m:d>
            <m:ctrlPr>
              <w:rPr>
                <w:rFonts w:ascii="Cambria Math" w:eastAsia="Times New Roman" w:hAnsi="Cambria Math" w:cs="Times New Roman"/>
                <w:i/>
                <w:sz w:val="20"/>
                <w:szCs w:val="20"/>
              </w:rPr>
            </m:ctrlPr>
          </m:den>
        </m:f>
        <m:r>
          <m:rPr>
            <m:sty m:val="p"/>
          </m:rPr>
          <w:rPr>
            <w:rFonts w:ascii="Cambria Math" w:hAnsi="Cambria Math" w:cs="Times New Roman"/>
            <w:sz w:val="20"/>
            <w:szCs w:val="20"/>
          </w:rPr>
          <m:t> </m:t>
        </m:r>
        <m:r>
          <m:rPr>
            <m:nor/>
          </m:rPr>
          <w:rPr>
            <w:rFonts w:ascii="Times New Roman" w:hAnsi="Times New Roman" w:cs="Times New Roman"/>
            <w:sz w:val="20"/>
            <w:szCs w:val="20"/>
          </w:rPr>
          <m:t>(11a)</m:t>
        </m:r>
      </m:oMath>
    </w:p>
    <w:p w14:paraId="14E4D17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Note the factor (1 + hŚ) in the denominator, which arises from the Holling Type II functional response. This factor is negligible when hŚ </w:t>
      </w:r>
      <w:r w:rsidRPr="009668D3">
        <w:rPr>
          <w:rFonts w:ascii="Cambria Math" w:hAnsi="Cambria Math" w:cs="Cambria Math"/>
          <w:sz w:val="20"/>
          <w:szCs w:val="20"/>
        </w:rPr>
        <w:t>≪</w:t>
      </w:r>
      <w:r w:rsidRPr="009668D3">
        <w:rPr>
          <w:rFonts w:ascii="Times New Roman" w:hAnsi="Times New Roman" w:cs="Times New Roman"/>
          <w:sz w:val="20"/>
          <w:szCs w:val="20"/>
        </w:rPr>
        <w:t xml:space="preserve"> 1 but should be retained when handling time h is appreciable relative to the inverse of the host density.</w:t>
      </w:r>
    </w:p>
    <w:p w14:paraId="294445FB" w14:textId="77777777"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Step 7: Identification of tipping points as bifurcation boundaries of the annual map</w:t>
      </w:r>
    </w:p>
    <w:p w14:paraId="3D511CA3" w14:textId="25F34988" w:rsidR="000875CC" w:rsidRPr="009668D3" w:rsidRDefault="002F0864"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operational definitions of resistance, resilience, adaptive stability, tipping, and the strategy comparison protocol are given in Section 2.2 of the main text</w:t>
      </w:r>
      <w:r w:rsidR="00977094" w:rsidRPr="009668D3">
        <w:rPr>
          <w:rFonts w:ascii="Times New Roman" w:hAnsi="Times New Roman" w:cs="Times New Roman"/>
          <w:sz w:val="20"/>
          <w:szCs w:val="20"/>
        </w:rPr>
        <w:t>; Annex 2 provides the mathematical derivations underlying those quantities.</w:t>
      </w:r>
    </w:p>
    <w:p w14:paraId="6BC45EF9"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Criterion used: Bifurcation theory for discrete-time maps.</w:t>
      </w:r>
    </w:p>
    <w:p w14:paraId="677C546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Theorem</w:t>
      </w:r>
      <w:r w:rsidRPr="009668D3">
        <w:rPr>
          <w:rFonts w:ascii="Times New Roman" w:hAnsi="Times New Roman" w:cs="Times New Roman"/>
          <w:sz w:val="20"/>
          <w:szCs w:val="20"/>
        </w:rPr>
        <w:t xml:space="preserve"> (Kuznetsov, 2004, Chapter 4): A fixed point x*(p) of a parametrised discrete-time map x</w:t>
      </w:r>
      <w:r w:rsidRPr="009668D3">
        <w:rPr>
          <w:rFonts w:ascii="Times New Roman" w:hAnsi="Times New Roman" w:cs="Times New Roman"/>
          <w:sz w:val="20"/>
          <w:szCs w:val="20"/>
          <w:vertAlign w:val="subscript"/>
        </w:rPr>
        <w:t>t+1</w:t>
      </w:r>
      <w:r w:rsidRPr="009668D3">
        <w:rPr>
          <w:rFonts w:ascii="Times New Roman" w:hAnsi="Times New Roman" w:cs="Times New Roman"/>
          <w:sz w:val="20"/>
          <w:szCs w:val="20"/>
        </w:rPr>
        <w:t xml:space="preserve"> = G(x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p) undergoes a bifurcation at p = p</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when an eigenvalue (or a pair of eigenvalues)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(x*(p)) crosses the unit circle. The generic codimension-one bifurcations of discrete-time maps are: (a) saddle-node (fold), (b) period-doubling (flip), and (c) Neimark–Sacker (discrete Hopf).</w:t>
      </w:r>
    </w:p>
    <w:p w14:paraId="27BF5E52"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Application.</w:t>
      </w:r>
    </w:p>
    <w:p w14:paraId="73923445" w14:textId="02A35219"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A tipping parameter p (chosen from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Cambria Math" w:hAnsi="Cambria Math" w:cs="Times New Roman"/>
                <w:sz w:val="20"/>
                <w:szCs w:val="20"/>
                <w:vertAlign w:val="subscript"/>
              </w:rPr>
              <m:t>B</m:t>
            </m:r>
          </m:sub>
        </m:sSub>
        <m:r>
          <w:rPr>
            <w:rFonts w:ascii="Cambria Math" w:eastAsia="Times New Roman" w:hAnsi="Cambria Math" w:cs="Times New Roman"/>
            <w:sz w:val="20"/>
            <w:szCs w:val="20"/>
          </w:rPr>
          <m:t xml:space="preserve">, ϕ,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Cambria Math" w:hAnsi="Cambria Math" w:cs="Times New Roman"/>
                <w:sz w:val="20"/>
                <w:szCs w:val="20"/>
                <w:vertAlign w:val="subscript"/>
              </w:rPr>
              <m:t>B</m:t>
            </m:r>
          </m:sub>
        </m:sSub>
        <m:r>
          <w:rPr>
            <w:rFonts w:ascii="Cambria Math" w:eastAsia="Times New Roman" w:hAnsi="Cambria Math" w:cs="Times New Roman"/>
            <w:sz w:val="20"/>
            <w:szCs w:val="20"/>
          </w:rPr>
          <m:t xml:space="preserve">, β,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m:t>
            </m:r>
          </m:e>
          <m:sub>
            <m:r>
              <w:rPr>
                <w:rFonts w:ascii="Cambria Math" w:eastAsia="Cambria Math" w:hAnsi="Cambria Math" w:cs="Times New Roman"/>
                <w:sz w:val="20"/>
                <w:szCs w:val="20"/>
                <w:vertAlign w:val="subscript"/>
              </w:rPr>
              <m:t>P,max</m:t>
            </m:r>
          </m:sub>
        </m:sSub>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m:t>
            </m:r>
          </m:e>
          <m:sub>
            <m:r>
              <w:rPr>
                <w:rFonts w:ascii="Cambria Math" w:eastAsia="Cambria Math" w:hAnsi="Cambria Math" w:cs="Times New Roman"/>
                <w:sz w:val="20"/>
                <w:szCs w:val="20"/>
                <w:vertAlign w:val="subscript"/>
              </w:rPr>
              <m:t>B,max</m:t>
            </m:r>
          </m:sub>
        </m:sSub>
      </m:oMath>
      <w:r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according to the management question) is varied, and the eigenvalues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(p) of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(x*(p)) are tracked. The regulated (low-damage) fixed point x*(p) is locally asymptotically stable as long as max</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(p)| &lt; 1. A tipping boundary occurs at the critical value p = p</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where:</w:t>
      </w:r>
    </w:p>
    <w:p w14:paraId="4AEC3C05" w14:textId="77777777" w:rsidR="000875CC" w:rsidRPr="009668D3" w:rsidRDefault="000875CC" w:rsidP="002D21BC">
      <w:pPr>
        <w:tabs>
          <w:tab w:val="right" w:pos="9026"/>
        </w:tabs>
        <w:spacing w:before="160" w:line="240" w:lineRule="auto"/>
        <w:jc w:val="both"/>
        <w:rPr>
          <w:rFonts w:ascii="Times New Roman" w:hAnsi="Times New Roman" w:cs="Times New Roman"/>
          <w:sz w:val="20"/>
          <w:szCs w:val="20"/>
        </w:rPr>
      </w:pPr>
      <w:r w:rsidRPr="009668D3">
        <w:rPr>
          <w:rFonts w:ascii="Times New Roman" w:hAnsi="Times New Roman" w:cs="Times New Roman"/>
          <w:sz w:val="20"/>
          <w:szCs w:val="20"/>
        </w:rPr>
        <w:t>maxᵢ |λᵢ(pᴄ)| = 1</w:t>
      </w:r>
      <w:r w:rsidRPr="009668D3">
        <w:rPr>
          <w:rFonts w:ascii="Times New Roman" w:hAnsi="Times New Roman" w:cs="Times New Roman"/>
          <w:sz w:val="20"/>
          <w:szCs w:val="20"/>
        </w:rPr>
        <w:tab/>
        <w:t>(19)</w:t>
      </w:r>
    </w:p>
    <w:p w14:paraId="63C75685"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Classification of tipping types.</w:t>
      </w:r>
    </w:p>
    <w:p w14:paraId="714F09D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(a) Saddle-node (fold) tipping: </w:t>
      </w:r>
      <w:r w:rsidRPr="009668D3">
        <w:rPr>
          <w:rFonts w:ascii="Times New Roman" w:hAnsi="Times New Roman" w:cs="Times New Roman"/>
          <w:sz w:val="20"/>
          <w:szCs w:val="20"/>
        </w:rPr>
        <w:t>A real eigenvalue crosses +1. This corresponds to the collision and disappearance of the low-damage and high-damage fixed points. Ecologically, the stable low-damage equilibrium ceases to exist and the system collapses abruptly to a high-damage state.</w:t>
      </w:r>
    </w:p>
    <w:p w14:paraId="0038D7D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(b) Flip (period-doubling) tipping: </w:t>
      </w:r>
      <w:r w:rsidRPr="009668D3">
        <w:rPr>
          <w:rFonts w:ascii="Times New Roman" w:hAnsi="Times New Roman" w:cs="Times New Roman"/>
          <w:sz w:val="20"/>
          <w:szCs w:val="20"/>
        </w:rPr>
        <w:t>A real eigenvalue crosses −1. This corresponds to the onset of biennial outbreak cycling. Ecologically, this produces alternating outbreak and recovery years—the system oscillates between high-damage and low-damage states with period 2.</w:t>
      </w:r>
    </w:p>
    <w:p w14:paraId="1FBE2F00"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lastRenderedPageBreak/>
        <w:t xml:space="preserve">(c) Neimark–Sacker (discrete Hopf) tipping: </w:t>
      </w:r>
      <w:r w:rsidRPr="009668D3">
        <w:rPr>
          <w:rFonts w:ascii="Times New Roman" w:hAnsi="Times New Roman" w:cs="Times New Roman"/>
          <w:sz w:val="20"/>
          <w:szCs w:val="20"/>
        </w:rPr>
        <w:t>A complex conjugate pair of eigenvalues crosses the unit circle. This corresponds to the onset of quasi-periodic outbreak oscillations. Ecologically, this produces irregular multi-year outbreak cycles whose period is generally incommensurate with the annual timescale.</w:t>
      </w:r>
    </w:p>
    <w:p w14:paraId="5E1DD430"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Functional tipping criteria.</w:t>
      </w:r>
    </w:p>
    <w:p w14:paraId="39621EB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In addition to the dynamical tipping boundary (Equation 19), a functional tipping criterion is defined to capture ecological collapse that may not coincide exactly with the mathematical bifurcation. Two functional thresholds are monitored: (i) the carrying capacity K</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falls below a regeneration threshold K</w:t>
      </w:r>
      <w:r w:rsidRPr="009668D3">
        <w:rPr>
          <w:rFonts w:ascii="Times New Roman" w:hAnsi="Times New Roman" w:cs="Times New Roman"/>
          <w:sz w:val="20"/>
          <w:szCs w:val="20"/>
          <w:vertAlign w:val="subscript"/>
        </w:rPr>
        <w:t>min</w:t>
      </w:r>
      <w:r w:rsidRPr="009668D3">
        <w:rPr>
          <w:rFonts w:ascii="Times New Roman" w:hAnsi="Times New Roman" w:cs="Times New Roman"/>
          <w:sz w:val="20"/>
          <w:szCs w:val="20"/>
        </w:rPr>
        <w:t xml:space="preserve"> for m ≥ 3 consecutive years, indicating persistent canopy degradation; or (ii) the long-run mean damage exceeds a critical threshold D</w:t>
      </w:r>
      <w:r w:rsidRPr="009668D3">
        <w:rPr>
          <w:rFonts w:ascii="Times New Roman" w:hAnsi="Times New Roman" w:cs="Times New Roman"/>
          <w:sz w:val="20"/>
          <w:szCs w:val="20"/>
          <w:vertAlign w:val="subscript"/>
        </w:rPr>
        <w:t>crit</w:t>
      </w:r>
      <w:r w:rsidRPr="009668D3">
        <w:rPr>
          <w:rFonts w:ascii="Times New Roman" w:hAnsi="Times New Roman" w:cs="Times New Roman"/>
          <w:sz w:val="20"/>
          <w:szCs w:val="20"/>
        </w:rPr>
        <w:t>. The functional tipping boundary is located relative to the dynamical bifurcation boundary to assess whether ecological collapse precedes or follows the loss of mathematical stability.</w:t>
      </w:r>
    </w:p>
    <w:p w14:paraId="04410DD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Multistability and basin boundaries.</w:t>
      </w:r>
    </w:p>
    <w:p w14:paraId="4EBC2C1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For parameter values near p</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the annual map is iterated forward from multiple initial conditions to detect multistability—the coexistence of a low-damage attractor and a high-damage attractor (or stable cycle) separated by a basin boundary. If multistability exists, tipping can occur by perturbation (basin crossing) even before the dynamical bifurcation, and the relative basin sizes are reported as a measure of tipping risk.</w:t>
      </w:r>
    </w:p>
    <w:p w14:paraId="23F489C2" w14:textId="77777777" w:rsidR="000875CC" w:rsidRPr="009668D3" w:rsidRDefault="000875CC" w:rsidP="002D21BC">
      <w:pPr>
        <w:spacing w:line="240" w:lineRule="auto"/>
        <w:jc w:val="both"/>
        <w:rPr>
          <w:rFonts w:ascii="Times New Roman" w:hAnsi="Times New Roman" w:cs="Times New Roman"/>
          <w:sz w:val="20"/>
          <w:szCs w:val="20"/>
        </w:rPr>
      </w:pPr>
      <w:r w:rsidRPr="009668D3">
        <w:rPr>
          <w:rFonts w:ascii="Times New Roman" w:hAnsi="Times New Roman" w:cs="Times New Roman"/>
          <w:sz w:val="20"/>
          <w:szCs w:val="20"/>
        </w:rPr>
        <w:br w:type="page"/>
      </w:r>
    </w:p>
    <w:p w14:paraId="7755A6AC" w14:textId="77777777"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lastRenderedPageBreak/>
        <w:t>Step 8: Optimal control via Pontryagin’s Maximum Principle and the forward–backward sweep method</w:t>
      </w:r>
    </w:p>
    <w:p w14:paraId="2BE81477"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Purpose.</w:t>
      </w:r>
    </w:p>
    <w:p w14:paraId="0165D600"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Determine the optimal allocation of within-season control effort (parasitoid augmentation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and targeted larval removal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that minimises the combined ecological and economic cost.</w:t>
      </w:r>
    </w:p>
    <w:p w14:paraId="3ACF7D6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Theorem used: Pontryagin’s Maximum Principle (PMP).</w:t>
      </w:r>
    </w:p>
    <w:p w14:paraId="450A326E" w14:textId="47E56D7C"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Theorem</w:t>
      </w:r>
      <w:r w:rsidRPr="009668D3">
        <w:rPr>
          <w:rFonts w:ascii="Times New Roman" w:hAnsi="Times New Roman" w:cs="Times New Roman"/>
          <w:sz w:val="20"/>
          <w:szCs w:val="20"/>
        </w:rPr>
        <w:t xml:space="preserve"> (Pontryagin et al., 1962; Fleming and Rishel, 1975): For a control system </w:t>
      </w:r>
      <w:r w:rsidR="00FB510D" w:rsidRPr="001E6700">
        <w:rPr>
          <w:rFonts w:ascii="Times New Roman" w:eastAsia="Times New Roman" w:hAnsi="Times New Roman" w:cs="Times New Roman"/>
          <w:sz w:val="20"/>
          <w:szCs w:val="20"/>
        </w:rPr>
        <w:t>y′ = f(y, u)</w:t>
      </w:r>
      <w:r w:rsidRPr="009668D3">
        <w:rPr>
          <w:rFonts w:ascii="Times New Roman" w:hAnsi="Times New Roman" w:cs="Times New Roman"/>
          <w:sz w:val="20"/>
          <w:szCs w:val="20"/>
        </w:rPr>
        <w:t xml:space="preserve"> with cost functional J = ∫ L(y, u) dτ + Ψ(y(T)), there exist costate variables λ(τ) such that, at the optimum, the Hamiltonian H = L + λᵀf satisfies: (a) the state equations y′ = ∂H/∂λ = f; (b) the costate equations λ′ = −∂H/∂y; (c) the stationarity condition ∂H/∂u = 0 at the optimal control; and (d) the transversality condition λ(T) = ∂Ψ/∂y(T).</w:t>
      </w:r>
    </w:p>
    <w:p w14:paraId="333D87BE"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Sign convention (minimisation).</w:t>
      </w:r>
    </w:p>
    <w:p w14:paraId="5A8D5F6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Convention adopted: </w:t>
      </w:r>
      <w:r w:rsidRPr="009668D3">
        <w:rPr>
          <w:rFonts w:ascii="Times New Roman" w:hAnsi="Times New Roman" w:cs="Times New Roman"/>
          <w:sz w:val="20"/>
          <w:szCs w:val="20"/>
        </w:rPr>
        <w:t>The Hamiltonian is defined in the standard minimisation form H = L + λᵀf, and the optimal control minimises H. This convention, used throughout Lenhart and Workman (2007) and Fleming and Rishel (1975), determines the signs of all subsequent control characterisations. The costate equations are λ′ = −∂H/∂y, and the transversality conditions are λ(T) = ∂Ψ/∂y(T).</w:t>
      </w:r>
    </w:p>
    <w:p w14:paraId="7C93163D"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Hamiltonian.</w:t>
      </w:r>
    </w:p>
    <w:p w14:paraId="31C9181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Hamiltonian H is constructed by adjoining the state equations (1)–(4) to the objective integrand via costate (adjoint) variables λ</w:t>
      </w:r>
      <w:r w:rsidRPr="009668D3">
        <w:rPr>
          <w:rFonts w:ascii="Times New Roman" w:hAnsi="Times New Roman" w:cs="Times New Roman"/>
          <w:sz w:val="20"/>
          <w:szCs w:val="20"/>
          <w:vertAlign w:val="subscript"/>
        </w:rPr>
        <w:t>S</w:t>
      </w:r>
      <w:r w:rsidRPr="009668D3">
        <w:rPr>
          <w:rFonts w:ascii="Times New Roman" w:hAnsi="Times New Roman" w:cs="Times New Roman"/>
          <w:sz w:val="20"/>
          <w:szCs w:val="20"/>
        </w:rPr>
        <w:t>,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λ</w:t>
      </w:r>
      <w:r w:rsidRPr="009668D3">
        <w:rPr>
          <w:rFonts w:ascii="Times New Roman" w:hAnsi="Times New Roman" w:cs="Times New Roman"/>
          <w:sz w:val="20"/>
          <w:szCs w:val="20"/>
          <w:vertAlign w:val="subscript"/>
        </w:rPr>
        <w:t>D</w:t>
      </w:r>
      <w:r w:rsidRPr="009668D3">
        <w:rPr>
          <w:rFonts w:ascii="Times New Roman" w:hAnsi="Times New Roman" w:cs="Times New Roman"/>
          <w:sz w:val="20"/>
          <w:szCs w:val="20"/>
        </w:rPr>
        <w:t>:</w:t>
      </w:r>
    </w:p>
    <w:p w14:paraId="0AAE4D54" w14:textId="22C6F34C" w:rsidR="000875CC" w:rsidRPr="009668D3" w:rsidRDefault="00643DAE" w:rsidP="002D21BC">
      <w:pPr>
        <w:tabs>
          <w:tab w:val="right" w:pos="9026"/>
        </w:tabs>
        <w:spacing w:before="160" w:line="240" w:lineRule="auto"/>
        <w:jc w:val="both"/>
        <w:rPr>
          <w:rFonts w:ascii="Times New Roman" w:hAnsi="Times New Roman" w:cs="Times New Roman"/>
          <w:sz w:val="20"/>
          <w:szCs w:val="20"/>
        </w:rPr>
      </w:pPr>
      <m:oMath>
        <m:r>
          <w:rPr>
            <w:rFonts w:ascii="Cambria Math" w:hAnsi="Cambria Math" w:cs="Times New Roman"/>
            <w:sz w:val="20"/>
            <w:szCs w:val="20"/>
          </w:rPr>
          <m:t>H=</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D</m:t>
            </m:r>
          </m:sub>
        </m:sSub>
        <m:r>
          <w:rPr>
            <w:rFonts w:ascii="Cambria Math" w:hAnsi="Cambria Math" w:cs="Times New Roman"/>
            <w:sz w:val="20"/>
            <w:szCs w:val="20"/>
          </w:rPr>
          <m:t>D+</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S</m:t>
            </m:r>
          </m:sub>
        </m:sSub>
        <m:r>
          <w:rPr>
            <w:rFonts w:ascii="Cambria Math" w:hAnsi="Cambria Math" w:cs="Times New Roman"/>
            <w:sz w:val="20"/>
            <w:szCs w:val="20"/>
          </w:rPr>
          <m:t>S+</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r>
              <m:rPr>
                <m:lit/>
              </m:rPr>
              <w:rPr>
                <w:rFonts w:ascii="Cambria Math" w:hAnsi="Cambria Math" w:cs="Times New Roman"/>
                <w:sz w:val="20"/>
                <w:szCs w:val="20"/>
              </w:rPr>
              <m:t>/</m:t>
            </m:r>
            <m:r>
              <w:rPr>
                <w:rFonts w:ascii="Cambria Math" w:hAnsi="Cambria Math" w:cs="Times New Roman"/>
                <w:sz w:val="20"/>
                <w:szCs w:val="20"/>
              </w:rPr>
              <m:t>2</m:t>
            </m:r>
          </m:e>
        </m:d>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P</m:t>
            </m:r>
          </m:sub>
          <m:sup>
            <m:r>
              <w:rPr>
                <w:rFonts w:ascii="Cambria Math" w:hAnsi="Cambria Math" w:cs="Times New Roman"/>
                <w:sz w:val="20"/>
                <w:szCs w:val="20"/>
              </w:rPr>
              <m:t>2</m:t>
            </m:r>
          </m:sup>
        </m:sSubSup>
        <m:r>
          <w:rPr>
            <w:rFonts w:ascii="Cambria Math" w:hAnsi="Cambria Math" w:cs="Times New Roman"/>
            <w:sz w:val="20"/>
            <w:szCs w:val="20"/>
          </w:rPr>
          <m:t>+</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sub>
            </m:sSub>
            <m:r>
              <m:rPr>
                <m:lit/>
              </m:rPr>
              <w:rPr>
                <w:rFonts w:ascii="Cambria Math" w:hAnsi="Cambria Math" w:cs="Times New Roman"/>
                <w:sz w:val="20"/>
                <w:szCs w:val="20"/>
              </w:rPr>
              <m:t>/</m:t>
            </m:r>
            <m:r>
              <w:rPr>
                <w:rFonts w:ascii="Cambria Math" w:hAnsi="Cambria Math" w:cs="Times New Roman"/>
                <w:sz w:val="20"/>
                <w:szCs w:val="20"/>
              </w:rPr>
              <m:t>2</m:t>
            </m:r>
          </m:e>
        </m:d>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C</m:t>
            </m:r>
          </m:sub>
          <m:sup>
            <m:r>
              <w:rPr>
                <w:rFonts w:ascii="Cambria Math" w:hAnsi="Cambria Math" w:cs="Times New Roman"/>
                <w:sz w:val="20"/>
                <w:szCs w:val="20"/>
              </w:rPr>
              <m:t>2</m:t>
            </m:r>
          </m:sup>
        </m:sSub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dS</m:t>
            </m:r>
            <m:r>
              <m:rPr>
                <m:lit/>
              </m:rPr>
              <w:rPr>
                <w:rFonts w:ascii="Cambria Math" w:hAnsi="Cambria Math" w:cs="Times New Roman"/>
                <w:sz w:val="20"/>
                <w:szCs w:val="20"/>
              </w:rPr>
              <m:t>/</m:t>
            </m:r>
            <m:r>
              <w:rPr>
                <w:rFonts w:ascii="Cambria Math" w:hAnsi="Cambria Math" w:cs="Times New Roman"/>
                <w:sz w:val="20"/>
                <w:szCs w:val="20"/>
              </w:rPr>
              <m:t>dτ</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I</m:t>
            </m:r>
          </m:sub>
        </m:sSub>
        <m:d>
          <m:dPr>
            <m:ctrlPr>
              <w:rPr>
                <w:rFonts w:ascii="Cambria Math" w:hAnsi="Cambria Math" w:cs="Times New Roman"/>
                <w:i/>
                <w:sz w:val="20"/>
                <w:szCs w:val="20"/>
              </w:rPr>
            </m:ctrlPr>
          </m:dPr>
          <m:e>
            <m:r>
              <w:rPr>
                <w:rFonts w:ascii="Cambria Math" w:hAnsi="Cambria Math" w:cs="Times New Roman"/>
                <w:sz w:val="20"/>
                <w:szCs w:val="20"/>
              </w:rPr>
              <m:t>dI</m:t>
            </m:r>
            <m:r>
              <m:rPr>
                <m:lit/>
              </m:rPr>
              <w:rPr>
                <w:rFonts w:ascii="Cambria Math" w:hAnsi="Cambria Math" w:cs="Times New Roman"/>
                <w:sz w:val="20"/>
                <w:szCs w:val="20"/>
              </w:rPr>
              <m:t>/</m:t>
            </m:r>
            <m:r>
              <w:rPr>
                <w:rFonts w:ascii="Cambria Math" w:hAnsi="Cambria Math" w:cs="Times New Roman"/>
                <w:sz w:val="20"/>
                <w:szCs w:val="20"/>
              </w:rPr>
              <m:t>dτ</m:t>
            </m:r>
          </m:e>
        </m:d>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λ</m:t>
            </m:r>
            <m:ctrlPr>
              <w:rPr>
                <w:rFonts w:ascii="Cambria Math" w:hAnsi="Cambria Math" w:cs="Times New Roman"/>
                <w:sz w:val="20"/>
                <w:szCs w:val="20"/>
              </w:rPr>
            </m:ctrlPr>
          </m:e>
          <m:sub>
            <m:r>
              <w:rPr>
                <w:rFonts w:ascii="Cambria Math" w:hAnsi="Cambria Math" w:cs="Times New Roman"/>
                <w:sz w:val="20"/>
                <w:szCs w:val="20"/>
              </w:rPr>
              <m:t>F</m:t>
            </m:r>
          </m:sub>
        </m:sSub>
        <m:r>
          <w:rPr>
            <w:rFonts w:ascii="Cambria Math" w:hAnsi="Cambria Math" w:cs="Times New Roman"/>
            <w:sz w:val="20"/>
            <w:szCs w:val="20"/>
          </w:rPr>
          <m:t xml:space="preserve"> (dF/dτ) +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D</m:t>
            </m:r>
          </m:sub>
        </m:sSub>
        <m:r>
          <w:rPr>
            <w:rFonts w:ascii="Cambria Math" w:hAnsi="Cambria Math" w:cs="Times New Roman"/>
            <w:sz w:val="20"/>
            <w:szCs w:val="20"/>
          </w:rPr>
          <m:t xml:space="preserve">(dD/dτ) </m:t>
        </m:r>
      </m:oMath>
      <w:r w:rsidR="000875CC" w:rsidRPr="009668D3">
        <w:rPr>
          <w:rFonts w:ascii="Times New Roman" w:hAnsi="Times New Roman" w:cs="Times New Roman"/>
          <w:sz w:val="20"/>
          <w:szCs w:val="20"/>
        </w:rPr>
        <w:tab/>
        <w:t>(20)</w:t>
      </w:r>
    </w:p>
    <w:p w14:paraId="5BD9459D"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Costate (adjoint) equations.</w:t>
      </w:r>
    </w:p>
    <w:p w14:paraId="3950776B" w14:textId="56F9AF0F"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backward costate equations are dλ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/dτ = −∂H/∂y</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for each state variable y</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w:t>
      </w:r>
      <w:r w:rsidRPr="009668D3">
        <w:rPr>
          <w:rFonts w:ascii="Cambria Math" w:hAnsi="Cambria Math" w:cs="Cambria Math"/>
          <w:sz w:val="20"/>
          <w:szCs w:val="20"/>
        </w:rPr>
        <w:t>∈</w:t>
      </w:r>
      <w:r w:rsidRPr="009668D3">
        <w:rPr>
          <w:rFonts w:ascii="Times New Roman" w:hAnsi="Times New Roman" w:cs="Times New Roman"/>
          <w:sz w:val="20"/>
          <w:szCs w:val="20"/>
        </w:rPr>
        <w:t xml:space="preserve"> {S, I, F, D}. These are integrated backward in time from the transversality conditions at τ = T. The terminal conditions are: </w:t>
      </w:r>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sub>
        </m:sSub>
        <m:r>
          <w:rPr>
            <w:rFonts w:ascii="Cambria Math" w:hAnsi="Cambria Math" w:cs="Times New Roman"/>
            <w:sz w:val="20"/>
            <w:szCs w:val="20"/>
          </w:rPr>
          <m:t xml:space="preserve">= 0,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T</m:t>
                </m:r>
              </m:e>
            </m:d>
          </m:sub>
        </m:sSub>
        <m:r>
          <w:rPr>
            <w:rFonts w:ascii="Cambria Math" w:hAnsi="Cambria Math" w:cs="Times New Roman"/>
            <w:sz w:val="20"/>
            <w:szCs w:val="20"/>
          </w:rPr>
          <m:t xml:space="preserve">= 0,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T</m:t>
                </m:r>
              </m:e>
            </m:d>
          </m:sub>
        </m:sSub>
        <m:r>
          <w:rPr>
            <w:rFonts w:ascii="Cambria Math" w:hAnsi="Cambria Math" w:cs="Times New Roman"/>
            <w:sz w:val="20"/>
            <w:szCs w:val="20"/>
          </w:rPr>
          <m:t xml:space="preserve">= 0,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T</m:t>
                </m:r>
              </m:e>
            </m:d>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ω</m:t>
            </m:r>
          </m:e>
          <m:sub>
            <m:r>
              <w:rPr>
                <w:rFonts w:ascii="Cambria Math" w:hAnsi="Cambria Math" w:cs="Times New Roman"/>
                <w:sz w:val="20"/>
                <w:szCs w:val="20"/>
              </w:rPr>
              <m:t>T</m:t>
            </m:r>
          </m:sub>
        </m:sSub>
      </m:oMath>
      <w:r w:rsidRPr="009668D3">
        <w:rPr>
          <w:rFonts w:ascii="Times New Roman" w:hAnsi="Times New Roman" w:cs="Times New Roman"/>
          <w:sz w:val="20"/>
          <w:szCs w:val="20"/>
        </w:rPr>
        <w:t xml:space="preserve"> (the terminal damage weight from the objective functional, Equation 9).</w:t>
      </w:r>
    </w:p>
    <w:p w14:paraId="5F02267A"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Optimal control characterisation.</w:t>
      </w:r>
    </w:p>
    <w:p w14:paraId="708AF1A8"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Derivation of u*ᴄ: </w:t>
      </w:r>
      <w:r w:rsidRPr="009668D3">
        <w:rPr>
          <w:rFonts w:ascii="Times New Roman" w:hAnsi="Times New Roman" w:cs="Times New Roman"/>
          <w:sz w:val="20"/>
          <w:szCs w:val="20"/>
        </w:rPr>
        <w:t>The control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enters the state equations via ∂(dS/dτ)/∂u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−S and ∂(dI/dτ)/∂u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−I (Equations 1–2). Setting ∂H/∂u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0:</w:t>
      </w:r>
    </w:p>
    <w:p w14:paraId="1D65A3FB" w14:textId="2856B15A" w:rsidR="000875CC" w:rsidRPr="009668D3" w:rsidRDefault="00FB510D" w:rsidP="002D21BC">
      <w:pPr>
        <w:spacing w:before="16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ᴄ</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ᴄ</m:t>
              </m:r>
            </m:sub>
          </m:sSub>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ₛ</m:t>
          </m:r>
          <m:r>
            <w:rPr>
              <w:rFonts w:ascii="Cambria Math" w:hAnsi="Cambria Math" w:cs="Times New Roman"/>
              <w:sz w:val="20"/>
              <w:szCs w:val="20"/>
            </w:rPr>
            <m:t>(-</m:t>
          </m:r>
          <m:r>
            <w:rPr>
              <w:rFonts w:ascii="Cambria Math" w:hAnsi="Cambria Math" w:cs="Times New Roman"/>
              <w:sz w:val="20"/>
              <w:szCs w:val="20"/>
            </w:rPr>
            <m:t>S</m:t>
          </m:r>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ᵢ</m:t>
          </m:r>
          <m:r>
            <w:rPr>
              <w:rFonts w:ascii="Cambria Math" w:hAnsi="Cambria Math" w:cs="Times New Roman"/>
              <w:sz w:val="20"/>
              <w:szCs w:val="20"/>
            </w:rPr>
            <m:t>(-</m:t>
          </m:r>
          <m:r>
            <w:rPr>
              <w:rFonts w:ascii="Cambria Math" w:hAnsi="Cambria Math" w:cs="Times New Roman"/>
              <w:sz w:val="20"/>
              <w:szCs w:val="20"/>
            </w:rPr>
            <m:t>I</m:t>
          </m:r>
          <m:r>
            <w:rPr>
              <w:rFonts w:ascii="Cambria Math" w:hAnsi="Cambria Math" w:cs="Times New Roman"/>
              <w:sz w:val="20"/>
              <w:szCs w:val="20"/>
            </w:rPr>
            <m:t>) = 0</m:t>
          </m:r>
        </m:oMath>
      </m:oMathPara>
    </w:p>
    <w:p w14:paraId="5F50A807" w14:textId="45F13380" w:rsidR="000875CC" w:rsidRPr="009668D3" w:rsidRDefault="00FB510D" w:rsidP="002D21BC">
      <w:pPr>
        <w:spacing w:before="16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ᴄ</m:t>
              </m:r>
            </m:sub>
          </m:sSub>
          <m:r>
            <w:rPr>
              <w:rFonts w:ascii="Cambria Math" w:hAnsi="Cambria Math" w:cs="Times New Roman"/>
              <w:sz w:val="20"/>
              <w:szCs w:val="20"/>
            </w:rPr>
            <m:t xml:space="preserve"> =</m:t>
          </m:r>
          <m:f>
            <m:fPr>
              <m:ctrlPr>
                <w:rPr>
                  <w:rFonts w:ascii="Cambria Math" w:eastAsia="Cambria Math" w:hAnsi="Cambria Math" w:cs="Times New Roman"/>
                  <w:i/>
                  <w:sz w:val="20"/>
                  <w:szCs w:val="20"/>
                </w:rPr>
              </m:ctrlPr>
            </m:fPr>
            <m:num>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λ</m:t>
                  </m:r>
                  <m:r>
                    <w:rPr>
                      <w:rFonts w:ascii="Cambria Math" w:eastAsia="Cambria Math" w:hAnsi="Cambria Math" w:cs="Times New Roman"/>
                      <w:sz w:val="20"/>
                      <w:szCs w:val="20"/>
                    </w:rPr>
                    <m:t>ₛ</m:t>
                  </m:r>
                  <m:r>
                    <w:rPr>
                      <w:rFonts w:ascii="Cambria Math" w:eastAsia="Cambria Math" w:hAnsi="Cambria Math" w:cs="Times New Roman"/>
                      <w:sz w:val="20"/>
                      <w:szCs w:val="20"/>
                    </w:rPr>
                    <m:t>S</m:t>
                  </m:r>
                  <m:r>
                    <w:rPr>
                      <w:rFonts w:ascii="Cambria Math" w:eastAsia="Cambria Math" w:hAnsi="Cambria Math" w:cs="Times New Roman"/>
                      <w:sz w:val="20"/>
                      <w:szCs w:val="20"/>
                    </w:rPr>
                    <m:t xml:space="preserve"> + </m:t>
                  </m:r>
                  <m:r>
                    <w:rPr>
                      <w:rFonts w:ascii="Cambria Math" w:eastAsia="Cambria Math" w:hAnsi="Cambria Math" w:cs="Times New Roman"/>
                      <w:sz w:val="20"/>
                      <w:szCs w:val="20"/>
                    </w:rPr>
                    <m:t>λ</m:t>
                  </m:r>
                  <m:r>
                    <w:rPr>
                      <w:rFonts w:ascii="Cambria Math" w:eastAsia="Cambria Math" w:hAnsi="Cambria Math" w:cs="Times New Roman"/>
                      <w:sz w:val="20"/>
                      <w:szCs w:val="20"/>
                    </w:rPr>
                    <m:t>ᵢ</m:t>
                  </m:r>
                  <m:r>
                    <w:rPr>
                      <w:rFonts w:ascii="Cambria Math" w:eastAsia="Cambria Math" w:hAnsi="Cambria Math" w:cs="Times New Roman"/>
                      <w:sz w:val="20"/>
                      <w:szCs w:val="20"/>
                    </w:rPr>
                    <m:t>I</m:t>
                  </m:r>
                </m:e>
              </m:d>
            </m:num>
            <m:den>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c</m:t>
                  </m:r>
                </m:sub>
              </m:sSub>
            </m:den>
          </m:f>
        </m:oMath>
      </m:oMathPara>
    </w:p>
    <w:p w14:paraId="344AF83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With box constraints:</w:t>
      </w:r>
    </w:p>
    <w:p w14:paraId="3B208655" w14:textId="48DEA77B" w:rsidR="000875CC" w:rsidRPr="009668D3" w:rsidRDefault="00FB510D" w:rsidP="002D21BC">
      <w:pPr>
        <w:tabs>
          <w:tab w:val="right" w:pos="9026"/>
        </w:tabs>
        <w:spacing w:before="160" w:line="240" w:lineRule="auto"/>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ᴄ</m:t>
            </m:r>
            <m:d>
              <m:dPr>
                <m:ctrlPr>
                  <w:rPr>
                    <w:rFonts w:ascii="Cambria Math" w:hAnsi="Cambria Math" w:cs="Times New Roman"/>
                    <w:i/>
                    <w:sz w:val="20"/>
                    <w:szCs w:val="20"/>
                  </w:rPr>
                </m:ctrlPr>
              </m:dPr>
              <m:e>
                <m:r>
                  <w:rPr>
                    <w:rFonts w:ascii="Cambria Math" w:hAnsi="Cambria Math" w:cs="Times New Roman"/>
                    <w:sz w:val="20"/>
                    <w:szCs w:val="20"/>
                  </w:rPr>
                  <m:t>τ</m:t>
                </m:r>
              </m:e>
            </m:d>
          </m:sub>
          <m:sup>
            <m:r>
              <w:rPr>
                <w:rFonts w:ascii="Cambria Math" w:hAnsi="Cambria Math" w:cs="Times New Roman"/>
                <w:sz w:val="20"/>
                <w:szCs w:val="20"/>
              </w:rPr>
              <m:t>*</m:t>
            </m:r>
          </m:sup>
        </m:sSubSup>
        <m:r>
          <w:rPr>
            <w:rFonts w:ascii="Cambria Math" w:hAnsi="Cambria Math" w:cs="Times New Roman"/>
            <w:sz w:val="20"/>
            <w:szCs w:val="20"/>
          </w:rPr>
          <m:t xml:space="preserve"> = </m:t>
        </m:r>
        <m:r>
          <w:rPr>
            <w:rFonts w:ascii="Cambria Math" w:hAnsi="Cambria Math" w:cs="Times New Roman"/>
            <w:sz w:val="20"/>
            <w:szCs w:val="20"/>
          </w:rPr>
          <m:t>min</m:t>
        </m:r>
        <m:r>
          <w:rPr>
            <w:rFonts w:ascii="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u</m:t>
            </m:r>
          </m:e>
          <m:sub>
            <m:d>
              <m:dPr>
                <m:begChr m:val="{"/>
                <m:endChr m:val="}"/>
                <m:ctrlPr>
                  <w:rPr>
                    <w:rFonts w:ascii="Cambria Math" w:eastAsia="Cambria Math" w:hAnsi="Cambria Math" w:cs="Times New Roman"/>
                    <w:i/>
                    <w:sz w:val="20"/>
                    <w:szCs w:val="20"/>
                  </w:rPr>
                </m:ctrlPr>
              </m:dPr>
              <m:e>
                <m:r>
                  <w:rPr>
                    <w:rFonts w:ascii="Cambria Math" w:eastAsia="Cambria Math" w:hAnsi="Cambria Math" w:cs="Times New Roman"/>
                    <w:sz w:val="20"/>
                    <w:szCs w:val="20"/>
                  </w:rPr>
                  <m:t>ᴄ</m:t>
                </m:r>
                <m:r>
                  <w:rPr>
                    <w:rFonts w:ascii="Cambria Math" w:eastAsia="Cambria Math" w:hAnsi="Cambria Math" w:cs="Times New Roman"/>
                    <w:sz w:val="20"/>
                    <w:szCs w:val="20"/>
                  </w:rPr>
                  <m:t>,</m:t>
                </m:r>
                <m:r>
                  <w:rPr>
                    <w:rFonts w:ascii="Cambria Math" w:eastAsia="Cambria Math" w:hAnsi="Cambria Math" w:cs="Times New Roman"/>
                    <w:sz w:val="20"/>
                    <w:szCs w:val="20"/>
                  </w:rPr>
                  <m:t>max</m:t>
                </m:r>
              </m:e>
            </m:d>
          </m:sub>
        </m:sSub>
        <m:r>
          <w:rPr>
            <w:rFonts w:ascii="Cambria Math" w:eastAsia="Cambria Math" w:hAnsi="Cambria Math" w:cs="Times New Roman"/>
            <w:sz w:val="20"/>
            <w:szCs w:val="20"/>
          </w:rPr>
          <m:t>,</m:t>
        </m:r>
        <m:r>
          <w:rPr>
            <w:rFonts w:ascii="Cambria Math" w:hAnsi="Cambria Math" w:cs="Times New Roman"/>
            <w:sz w:val="20"/>
            <w:szCs w:val="20"/>
          </w:rPr>
          <m:t xml:space="preserve"> </m:t>
        </m:r>
        <m:r>
          <w:rPr>
            <w:rFonts w:ascii="Cambria Math" w:hAnsi="Cambria Math" w:cs="Times New Roman"/>
            <w:sz w:val="20"/>
            <w:szCs w:val="20"/>
          </w:rPr>
          <m:t>max</m:t>
        </m:r>
        <m:r>
          <w:rPr>
            <w:rFonts w:ascii="Cambria Math" w:hAnsi="Cambria Math" w:cs="Times New Roman"/>
            <w:sz w:val="20"/>
            <w:szCs w:val="20"/>
          </w:rPr>
          <m:t>(0, (</m:t>
        </m:r>
        <m:r>
          <w:rPr>
            <w:rFonts w:ascii="Cambria Math" w:hAnsi="Cambria Math" w:cs="Times New Roman"/>
            <w:sz w:val="20"/>
            <w:szCs w:val="20"/>
          </w:rPr>
          <m:t>λ</m:t>
        </m:r>
        <m:r>
          <w:rPr>
            <w:rFonts w:ascii="Cambria Math" w:hAnsi="Cambria Math" w:cs="Times New Roman"/>
            <w:sz w:val="20"/>
            <w:szCs w:val="20"/>
          </w:rPr>
          <m:t>ₛ</m:t>
        </m:r>
        <m:r>
          <w:rPr>
            <w:rFonts w:ascii="Cambria Math" w:hAnsi="Cambria Math" w:cs="Times New Roman"/>
            <w:sz w:val="20"/>
            <w:szCs w:val="20"/>
          </w:rPr>
          <m:t>S</m:t>
        </m:r>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ᵢ</m:t>
        </m:r>
        <m:r>
          <w:rPr>
            <w:rFonts w:ascii="Cambria Math" w:hAnsi="Cambria Math" w:cs="Times New Roman"/>
            <w:sz w:val="20"/>
            <w:szCs w:val="20"/>
          </w:rPr>
          <m:t>I</m:t>
        </m:r>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ᴄ</m:t>
            </m:r>
          </m:sub>
        </m:sSub>
        <m:r>
          <w:rPr>
            <w:rFonts w:ascii="Cambria Math" w:hAnsi="Cambria Math" w:cs="Times New Roman"/>
            <w:sz w:val="20"/>
            <w:szCs w:val="20"/>
          </w:rPr>
          <m:t>))</m:t>
        </m:r>
      </m:oMath>
      <w:r w:rsidR="000875CC" w:rsidRPr="009668D3">
        <w:rPr>
          <w:rFonts w:ascii="Times New Roman" w:hAnsi="Times New Roman" w:cs="Times New Roman"/>
          <w:sz w:val="20"/>
          <w:szCs w:val="20"/>
        </w:rPr>
        <w:tab/>
        <w:t>(21)</w:t>
      </w:r>
    </w:p>
    <w:p w14:paraId="69CE417E" w14:textId="20CBF506"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Sign interpretation: </w:t>
      </w:r>
      <w:r w:rsidRPr="009668D3">
        <w:rPr>
          <w:rFonts w:ascii="Times New Roman" w:hAnsi="Times New Roman" w:cs="Times New Roman"/>
          <w:sz w:val="20"/>
          <w:szCs w:val="20"/>
        </w:rPr>
        <w:t>The costates λ</w:t>
      </w:r>
      <w:r w:rsidRPr="009668D3">
        <w:rPr>
          <w:rFonts w:ascii="Times New Roman" w:hAnsi="Times New Roman" w:cs="Times New Roman"/>
          <w:sz w:val="20"/>
          <w:szCs w:val="20"/>
          <w:vertAlign w:val="subscript"/>
        </w:rPr>
        <w:t>S</w:t>
      </w:r>
      <w:r w:rsidRPr="009668D3">
        <w:rPr>
          <w:rFonts w:ascii="Times New Roman" w:hAnsi="Times New Roman" w:cs="Times New Roman"/>
          <w:sz w:val="20"/>
          <w:szCs w:val="20"/>
        </w:rPr>
        <w:t xml:space="preserve"> and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 xml:space="preserve"> represent the marginal cost of an additional susceptible or parasitised larva, respectively. Under minimisation, these are typically positive (∂V/∂S &gt; 0, since more larvae increase damage). Hence</w:t>
      </w:r>
      <w:r w:rsidR="004358A4" w:rsidRPr="001E6700">
        <w:rPr>
          <w:rFonts w:ascii="Times New Roman" w:eastAsia="Times New Roman" w:hAnsi="Times New Roman" w:cs="Times New Roman"/>
          <w:sz w:val="20"/>
          <w:szCs w:val="20"/>
        </w:rPr>
        <w:t>,</w:t>
      </w:r>
      <w:r w:rsidRPr="009668D3">
        <w:rPr>
          <w:rFonts w:ascii="Times New Roman" w:hAnsi="Times New Roman" w:cs="Times New Roman"/>
          <w:sz w:val="20"/>
          <w:szCs w:val="20"/>
        </w:rPr>
        <w:t xml:space="preserve"> (λ</w:t>
      </w:r>
      <w:r w:rsidRPr="009668D3">
        <w:rPr>
          <w:rFonts w:ascii="Times New Roman" w:hAnsi="Times New Roman" w:cs="Times New Roman"/>
          <w:sz w:val="20"/>
          <w:szCs w:val="20"/>
          <w:vertAlign w:val="subscript"/>
        </w:rPr>
        <w:t>S</w:t>
      </w:r>
      <w:r w:rsidRPr="009668D3">
        <w:rPr>
          <w:rFonts w:ascii="Times New Roman" w:hAnsi="Times New Roman" w:cs="Times New Roman"/>
          <w:sz w:val="20"/>
          <w:szCs w:val="20"/>
        </w:rPr>
        <w:t>S + λ</w:t>
      </w:r>
      <w:r w:rsidRPr="009668D3">
        <w:rPr>
          <w:rFonts w:ascii="Times New Roman" w:hAnsi="Times New Roman" w:cs="Times New Roman"/>
          <w:sz w:val="20"/>
          <w:szCs w:val="20"/>
          <w:vertAlign w:val="subscript"/>
        </w:rPr>
        <w:t>I</w:t>
      </w:r>
      <w:r w:rsidRPr="009668D3">
        <w:rPr>
          <w:rFonts w:ascii="Times New Roman" w:hAnsi="Times New Roman" w:cs="Times New Roman"/>
          <w:sz w:val="20"/>
          <w:szCs w:val="20"/>
        </w:rPr>
        <w:t>I)/c</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is positive, and </w:t>
      </w:r>
      <w:r w:rsidR="00FB510D" w:rsidRPr="001E6700">
        <w:rPr>
          <w:rFonts w:ascii="Times New Roman" w:eastAsia="Times New Roman" w:hAnsi="Times New Roman" w:cs="Times New Roman"/>
          <w:sz w:val="20"/>
          <w:szCs w:val="20"/>
        </w:rPr>
        <w:t>u*</w:t>
      </w:r>
      <w:r w:rsidR="00FB510D" w:rsidRPr="001E6700">
        <w:rPr>
          <w:rFonts w:ascii="Times New Roman" w:eastAsia="Cambria Math" w:hAnsi="Times New Roman" w:cs="Times New Roman"/>
          <w:sz w:val="20"/>
          <w:szCs w:val="20"/>
          <w:vertAlign w:val="subscript"/>
        </w:rPr>
        <w:t>C</w:t>
      </w:r>
      <w:r w:rsidR="00FB510D" w:rsidRPr="001E6700">
        <w:rPr>
          <w:rFonts w:ascii="Times New Roman" w:eastAsia="Times New Roman" w:hAnsi="Times New Roman" w:cs="Times New Roman"/>
          <w:sz w:val="20"/>
          <w:szCs w:val="20"/>
        </w:rPr>
        <w:t xml:space="preserve"> </w:t>
      </w:r>
      <w:r w:rsidRPr="009668D3">
        <w:rPr>
          <w:rFonts w:ascii="Times New Roman" w:hAnsi="Times New Roman" w:cs="Times New Roman"/>
          <w:sz w:val="20"/>
          <w:szCs w:val="20"/>
        </w:rPr>
        <w:t>is active (positive) when the marginal benefit of removal exceeds the marginal cost.</w:t>
      </w:r>
    </w:p>
    <w:p w14:paraId="28B37E14"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Derivation of u*ₖ: </w:t>
      </w:r>
      <w:r w:rsidRPr="009668D3">
        <w:rPr>
          <w:rFonts w:ascii="Times New Roman" w:hAnsi="Times New Roman" w:cs="Times New Roman"/>
          <w:sz w:val="20"/>
          <w:szCs w:val="20"/>
        </w:rPr>
        <w:t>The control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enters the state equations via ∂(dF/dτ)/∂u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+1 (Equation 3: dF/dτ = ηδI − µ</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F +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Setting ∂H/∂u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0:</w:t>
      </w:r>
    </w:p>
    <w:p w14:paraId="08F8900C" w14:textId="1D2334AD" w:rsidR="000875CC" w:rsidRPr="009668D3" w:rsidRDefault="00FB510D" w:rsidP="002D21BC">
      <w:pPr>
        <w:spacing w:before="16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P</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r>
            <w:rPr>
              <w:rFonts w:ascii="Cambria Math" w:hAnsi="Cambria Math" w:cs="Times New Roman"/>
              <w:sz w:val="20"/>
              <w:szCs w:val="20"/>
            </w:rPr>
            <m:t xml:space="preserve"> + </m:t>
          </m:r>
          <m:r>
            <w:rPr>
              <w:rFonts w:ascii="Cambria Math" w:hAnsi="Cambria Math" w:cs="Times New Roman"/>
              <w:sz w:val="20"/>
              <w:szCs w:val="20"/>
            </w:rPr>
            <m:t>λ</m:t>
          </m:r>
          <m:r>
            <w:rPr>
              <w:rFonts w:ascii="Cambria Math" w:hAnsi="Cambria Math" w:cs="Times New Roman"/>
              <w:sz w:val="20"/>
              <w:szCs w:val="20"/>
            </w:rPr>
            <m:t>_</m:t>
          </m:r>
          <m:r>
            <w:rPr>
              <w:rFonts w:ascii="Cambria Math" w:hAnsi="Cambria Math" w:cs="Times New Roman"/>
              <w:sz w:val="20"/>
              <w:szCs w:val="20"/>
            </w:rPr>
            <m:t>F</m:t>
          </m:r>
          <m:r>
            <w:rPr>
              <w:rFonts w:ascii="Cambria Math" w:hAnsi="Cambria Math" w:cs="Times New Roman"/>
              <w:sz w:val="20"/>
              <w:szCs w:val="20"/>
            </w:rPr>
            <m:t xml:space="preserve"> · (+1) = 0</m:t>
          </m:r>
        </m:oMath>
      </m:oMathPara>
    </w:p>
    <w:p w14:paraId="42BADA7A" w14:textId="254FCA4C" w:rsidR="000875CC" w:rsidRPr="009668D3" w:rsidRDefault="00FB510D" w:rsidP="002D21BC">
      <w:pPr>
        <w:spacing w:before="160"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P</m:t>
              </m:r>
            </m:sub>
          </m:sSub>
          <m: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F</m:t>
              </m:r>
            </m:sub>
          </m:sSub>
          <m:r>
            <w:rPr>
              <w:rFonts w:ascii="Cambria Math" w:hAnsi="Cambria Math" w:cs="Times New Roman"/>
              <w:sz w:val="20"/>
              <w:szCs w:val="20"/>
            </w:rPr>
            <m:t xml:space="preserve"> / </m:t>
          </m:r>
          <m:r>
            <w:rPr>
              <w:rFonts w:ascii="Cambria Math" w:hAnsi="Cambria Math" w:cs="Times New Roman"/>
              <w:sz w:val="20"/>
              <w:szCs w:val="20"/>
            </w:rPr>
            <m:t>c</m:t>
          </m:r>
          <m:r>
            <w:rPr>
              <w:rFonts w:ascii="Cambria Math" w:hAnsi="Cambria Math" w:cs="Times New Roman"/>
              <w:sz w:val="20"/>
              <w:szCs w:val="20"/>
            </w:rPr>
            <m:t>_</m:t>
          </m:r>
          <m:r>
            <w:rPr>
              <w:rFonts w:ascii="Cambria Math" w:hAnsi="Cambria Math" w:cs="Times New Roman"/>
              <w:sz w:val="20"/>
              <w:szCs w:val="20"/>
            </w:rPr>
            <m:t>P</m:t>
          </m:r>
        </m:oMath>
      </m:oMathPara>
    </w:p>
    <w:p w14:paraId="155C440D"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With box constraints:</w:t>
      </w:r>
    </w:p>
    <w:p w14:paraId="0FAB7660" w14:textId="2B966AB6" w:rsidR="000875CC" w:rsidRPr="009668D3" w:rsidRDefault="00FB510D" w:rsidP="002D21BC">
      <w:pPr>
        <w:tabs>
          <w:tab w:val="right" w:pos="9026"/>
        </w:tabs>
        <w:spacing w:before="160" w:line="240" w:lineRule="auto"/>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 xml:space="preserve">  </m:t>
                </m:r>
                <m:r>
                  <w:rPr>
                    <w:rFonts w:ascii="Cambria Math" w:hAnsi="Cambria Math" w:cs="Times New Roman"/>
                    <w:sz w:val="20"/>
                    <w:szCs w:val="20"/>
                  </w:rPr>
                  <m:t>τ</m:t>
                </m:r>
                <m:r>
                  <w:rPr>
                    <w:rFonts w:ascii="Cambria Math" w:hAnsi="Cambria Math" w:cs="Times New Roman"/>
                    <w:sz w:val="20"/>
                    <w:szCs w:val="20"/>
                  </w:rPr>
                  <m:t xml:space="preserve"> </m:t>
                </m:r>
              </m:e>
            </m:d>
          </m:sub>
          <m:sup>
            <m:r>
              <w:rPr>
                <w:rFonts w:ascii="Cambria Math" w:hAnsi="Cambria Math" w:cs="Times New Roman"/>
                <w:sz w:val="20"/>
                <w:szCs w:val="20"/>
              </w:rPr>
              <m:t>*</m:t>
            </m:r>
          </m:sup>
        </m:sSubSup>
        <m:r>
          <w:rPr>
            <w:rFonts w:ascii="Cambria Math" w:hAnsi="Cambria Math" w:cs="Times New Roman"/>
            <w:sz w:val="20"/>
            <w:szCs w:val="20"/>
          </w:rPr>
          <m:t xml:space="preserve"> = </m:t>
        </m:r>
        <m:r>
          <w:rPr>
            <w:rFonts w:ascii="Cambria Math" w:hAnsi="Cambria Math" w:cs="Times New Roman"/>
            <w:sz w:val="20"/>
            <w:szCs w:val="20"/>
          </w:rPr>
          <m:t>min</m:t>
        </m:r>
        <m:r>
          <w:rPr>
            <w:rFonts w:ascii="Cambria Math" w:hAnsi="Cambria Math" w:cs="Times New Roman"/>
            <w:sz w:val="20"/>
            <w:szCs w:val="20"/>
          </w:rPr>
          <m:t>(</m:t>
        </m:r>
        <m:r>
          <w:rPr>
            <w:rFonts w:ascii="Cambria Math" w:hAnsi="Cambria Math" w:cs="Times New Roman"/>
            <w:sz w:val="20"/>
            <w:szCs w:val="20"/>
          </w:rPr>
          <m:t>u</m:t>
        </m:r>
        <m:r>
          <w:rPr>
            <w:rFonts w:ascii="Cambria Math" w:hAnsi="Cambria Math" w:cs="Times New Roman"/>
            <w:sz w:val="20"/>
            <w:szCs w:val="20"/>
          </w:rPr>
          <m:t>_</m:t>
        </m:r>
        <m:r>
          <w:rPr>
            <w:rFonts w:ascii="Cambria Math" w:hAnsi="Cambria Math" w:cs="Times New Roman"/>
            <w:sz w:val="20"/>
            <w:szCs w:val="20"/>
          </w:rPr>
          <m:t>P</m:t>
        </m:r>
        <m:r>
          <w:rPr>
            <w:rFonts w:ascii="Cambria Math" w:hAnsi="Cambria Math" w:cs="Times New Roman"/>
            <w:sz w:val="20"/>
            <w:szCs w:val="20"/>
          </w:rPr>
          <m:t>,</m:t>
        </m:r>
        <m:r>
          <w:rPr>
            <w:rFonts w:ascii="Cambria Math" w:hAnsi="Cambria Math" w:cs="Times New Roman"/>
            <w:sz w:val="20"/>
            <w:szCs w:val="20"/>
          </w:rPr>
          <m:t>max</m:t>
        </m:r>
        <m:r>
          <w:rPr>
            <w:rFonts w:ascii="Cambria Math" w:hAnsi="Cambria Math" w:cs="Times New Roman"/>
            <w:sz w:val="20"/>
            <w:szCs w:val="20"/>
          </w:rPr>
          <m:t xml:space="preserve">, </m:t>
        </m:r>
        <m:r>
          <w:rPr>
            <w:rFonts w:ascii="Cambria Math" w:hAnsi="Cambria Math" w:cs="Times New Roman"/>
            <w:sz w:val="20"/>
            <w:szCs w:val="20"/>
          </w:rPr>
          <m:t>max</m:t>
        </m:r>
        <m:r>
          <w:rPr>
            <w:rFonts w:ascii="Cambria Math" w:hAnsi="Cambria Math" w:cs="Times New Roman"/>
            <w:sz w:val="20"/>
            <w:szCs w:val="20"/>
          </w:rPr>
          <m:t>(0, -</m:t>
        </m:r>
        <m:r>
          <w:rPr>
            <w:rFonts w:ascii="Cambria Math" w:hAnsi="Cambria Math" w:cs="Times New Roman"/>
            <w:sz w:val="20"/>
            <w:szCs w:val="20"/>
          </w:rPr>
          <m:t>λ</m:t>
        </m:r>
        <m:r>
          <w:rPr>
            <w:rFonts w:ascii="Cambria Math" w:hAnsi="Cambria Math" w:cs="Times New Roman"/>
            <w:sz w:val="20"/>
            <w:szCs w:val="20"/>
          </w:rPr>
          <m:t>_</m:t>
        </m:r>
        <m:r>
          <w:rPr>
            <w:rFonts w:ascii="Cambria Math" w:hAnsi="Cambria Math" w:cs="Times New Roman"/>
            <w:sz w:val="20"/>
            <w:szCs w:val="20"/>
          </w:rPr>
          <m:t>F</m:t>
        </m:r>
        <m:r>
          <w:rPr>
            <w:rFonts w:ascii="Cambria Math" w:hAnsi="Cambria Math" w:cs="Times New Roman"/>
            <w:sz w:val="20"/>
            <w:szCs w:val="20"/>
          </w:rPr>
          <m:t>/</m:t>
        </m:r>
        <m:r>
          <w:rPr>
            <w:rFonts w:ascii="Cambria Math" w:hAnsi="Cambria Math" w:cs="Times New Roman"/>
            <w:sz w:val="20"/>
            <w:szCs w:val="20"/>
          </w:rPr>
          <m:t>c</m:t>
        </m:r>
        <m:r>
          <w:rPr>
            <w:rFonts w:ascii="Cambria Math" w:hAnsi="Cambria Math" w:cs="Times New Roman"/>
            <w:sz w:val="20"/>
            <w:szCs w:val="20"/>
          </w:rPr>
          <m:t>_</m:t>
        </m:r>
        <m:r>
          <w:rPr>
            <w:rFonts w:ascii="Cambria Math" w:hAnsi="Cambria Math" w:cs="Times New Roman"/>
            <w:sz w:val="20"/>
            <w:szCs w:val="20"/>
          </w:rPr>
          <m:t>P</m:t>
        </m:r>
        <m:r>
          <w:rPr>
            <w:rFonts w:ascii="Cambria Math" w:hAnsi="Cambria Math" w:cs="Times New Roman"/>
            <w:sz w:val="20"/>
            <w:szCs w:val="20"/>
          </w:rPr>
          <m:t>))</m:t>
        </m:r>
      </m:oMath>
      <w:r w:rsidR="000875CC" w:rsidRPr="009668D3">
        <w:rPr>
          <w:rFonts w:ascii="Times New Roman" w:hAnsi="Times New Roman" w:cs="Times New Roman"/>
          <w:sz w:val="20"/>
          <w:szCs w:val="20"/>
        </w:rPr>
        <w:tab/>
        <w:t>(22)</w:t>
      </w:r>
    </w:p>
    <w:p w14:paraId="3FE8F79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Sign interpretation: </w:t>
      </w:r>
      <w:r w:rsidRPr="009668D3">
        <w:rPr>
          <w:rFonts w:ascii="Times New Roman" w:hAnsi="Times New Roman" w:cs="Times New Roman"/>
          <w:sz w:val="20"/>
          <w:szCs w:val="20"/>
        </w:rPr>
        <w:t>Under minimisation, the parasitoid costate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xml:space="preserve"> represents the marginal cost of an additional parasitoid. Since more parasitoids reduce beetle damage (a benefit),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xml:space="preserve"> is typically negative (∂V/∂F &lt; 0). Therefore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is positive, making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active when augmentation is beneficial. </w:t>
      </w:r>
      <w:r w:rsidRPr="009668D3">
        <w:rPr>
          <w:rFonts w:ascii="Times New Roman" w:hAnsi="Times New Roman" w:cs="Times New Roman"/>
          <w:b/>
          <w:sz w:val="20"/>
          <w:szCs w:val="20"/>
        </w:rPr>
        <w:t xml:space="preserve">Note: </w:t>
      </w:r>
      <w:r w:rsidRPr="009668D3">
        <w:rPr>
          <w:rFonts w:ascii="Times New Roman" w:hAnsi="Times New Roman" w:cs="Times New Roman"/>
          <w:sz w:val="20"/>
          <w:szCs w:val="20"/>
        </w:rPr>
        <w:t xml:space="preserve">The previous version of this annex </w:t>
      </w:r>
      <w:r w:rsidRPr="009668D3">
        <w:rPr>
          <w:rFonts w:ascii="Times New Roman" w:hAnsi="Times New Roman" w:cs="Times New Roman"/>
          <w:sz w:val="20"/>
          <w:szCs w:val="20"/>
        </w:rPr>
        <w:lastRenderedPageBreak/>
        <w:t>contained an error in Equation (22), writing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instead of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Under the minimisation convention H = L + λᵀf, the correct expression is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which follows directly from ∂H/∂u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c</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 λ</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xml:space="preserve"> = 0.</w:t>
      </w:r>
    </w:p>
    <w:p w14:paraId="676E8CCE"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Annual bird-habitat control.</w:t>
      </w:r>
    </w:p>
    <w:p w14:paraId="171CA2D7" w14:textId="1E37F812"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annual bird-enhancement control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(t) is determined by the discrete optimality condition at the annual scale, embedded within the multi-year recurrence. Since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 xml:space="preserve"> enters the model through</w:t>
      </w:r>
      <w:r w:rsidR="0072628F" w:rsidRPr="009668D3">
        <w:rPr>
          <w:rFonts w:ascii="Times New Roman" w:hAnsi="Times New Roman" w:cs="Times New Roman"/>
          <w:sz w:val="20"/>
          <w:szCs w:val="20"/>
        </w:rPr>
        <w:t xml:space="preserve"> </w:t>
      </w:r>
      <w:r w:rsidRPr="009668D3">
        <w:rPr>
          <w:rFonts w:ascii="Times New Roman" w:hAnsi="Times New Roman" w:cs="Times New Roman"/>
          <w:sz w:val="20"/>
          <w:szCs w:val="20"/>
        </w:rPr>
        <w:t>Equation 7 and affects the within-season dynamics through the bird predation terms in Equations 1</w:t>
      </w:r>
      <w:r w:rsidR="0072628F" w:rsidRPr="009668D3">
        <w:rPr>
          <w:rFonts w:ascii="Times New Roman" w:hAnsi="Times New Roman" w:cs="Times New Roman"/>
          <w:sz w:val="20"/>
          <w:szCs w:val="20"/>
        </w:rPr>
        <w:t>-</w:t>
      </w:r>
      <w:r w:rsidRPr="009668D3">
        <w:rPr>
          <w:rFonts w:ascii="Times New Roman" w:hAnsi="Times New Roman" w:cs="Times New Roman"/>
          <w:sz w:val="20"/>
          <w:szCs w:val="20"/>
        </w:rPr>
        <w:t>2, its optimal value depends on the full annual cost-to-go and is updated at the annual (not within-season) timescale.</w:t>
      </w:r>
    </w:p>
    <w:p w14:paraId="409FCA14"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Numerical solution: Forward–backward sweep method (FBSM).</w:t>
      </w:r>
    </w:p>
    <w:p w14:paraId="4D182F0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The resulting two-point boundary value problem is solved numerically using the forward–backward sweep method (FBSM), which iterates until convergence:</w:t>
      </w:r>
    </w:p>
    <w:p w14:paraId="33D1814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 Forward integration of the state system (Equations 1–4) with current control estimates from τ = 0 to τ = T.</w:t>
      </w:r>
    </w:p>
    <w:p w14:paraId="075A4BA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(ii) Backward integration of the adjoint system (dλ/dτ = −∂H/∂y) from τ = T to τ = 0 using the terminal transversality conditions.</w:t>
      </w:r>
    </w:p>
    <w:p w14:paraId="2E160A7C" w14:textId="306701FA"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(iii) Update of the controls via Equations (21</w:t>
      </w:r>
      <w:r w:rsidR="004D32BC" w:rsidRPr="009668D3">
        <w:rPr>
          <w:rFonts w:ascii="Times New Roman" w:hAnsi="Times New Roman" w:cs="Times New Roman"/>
          <w:sz w:val="20"/>
          <w:szCs w:val="20"/>
        </w:rPr>
        <w:t xml:space="preserve">- </w:t>
      </w:r>
      <w:r w:rsidRPr="009668D3">
        <w:rPr>
          <w:rFonts w:ascii="Times New Roman" w:hAnsi="Times New Roman" w:cs="Times New Roman"/>
          <w:sz w:val="20"/>
          <w:szCs w:val="20"/>
        </w:rPr>
        <w:t>(22), with convex combination damping: u</w:t>
      </w:r>
      <w:r w:rsidRPr="009668D3">
        <w:rPr>
          <w:rFonts w:ascii="Times New Roman" w:hAnsi="Times New Roman" w:cs="Times New Roman"/>
          <w:sz w:val="20"/>
          <w:szCs w:val="20"/>
          <w:vertAlign w:val="superscript"/>
        </w:rPr>
        <w:t>new</w:t>
      </w:r>
      <w:r w:rsidRPr="009668D3">
        <w:rPr>
          <w:rFonts w:ascii="Times New Roman" w:hAnsi="Times New Roman" w:cs="Times New Roman"/>
          <w:sz w:val="20"/>
          <w:szCs w:val="20"/>
        </w:rPr>
        <w:t xml:space="preserve"> = α u</w:t>
      </w:r>
      <w:r w:rsidRPr="009668D3">
        <w:rPr>
          <w:rFonts w:ascii="Times New Roman" w:hAnsi="Times New Roman" w:cs="Times New Roman"/>
          <w:sz w:val="20"/>
          <w:szCs w:val="20"/>
          <w:vertAlign w:val="superscript"/>
        </w:rPr>
        <w:t>update</w:t>
      </w:r>
      <w:r w:rsidRPr="009668D3">
        <w:rPr>
          <w:rFonts w:ascii="Times New Roman" w:hAnsi="Times New Roman" w:cs="Times New Roman"/>
          <w:sz w:val="20"/>
          <w:szCs w:val="20"/>
        </w:rPr>
        <w:t xml:space="preserve"> + (1 − α) u</w:t>
      </w:r>
      <w:r w:rsidRPr="009668D3">
        <w:rPr>
          <w:rFonts w:ascii="Times New Roman" w:hAnsi="Times New Roman" w:cs="Times New Roman"/>
          <w:sz w:val="20"/>
          <w:szCs w:val="20"/>
          <w:vertAlign w:val="superscript"/>
        </w:rPr>
        <w:t>old</w:t>
      </w:r>
      <w:r w:rsidRPr="009668D3">
        <w:rPr>
          <w:rFonts w:ascii="Times New Roman" w:hAnsi="Times New Roman" w:cs="Times New Roman"/>
          <w:sz w:val="20"/>
          <w:szCs w:val="20"/>
        </w:rPr>
        <w:t xml:space="preserve"> (with α = 0.5).</w:t>
      </w:r>
    </w:p>
    <w:p w14:paraId="1E9CFA5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(iv) Convergence check: repeat until max|Δu| &lt; ε (tolerance ε = 10⁻⁴).</w:t>
      </w:r>
    </w:p>
    <w:p w14:paraId="073C6D11"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Convergence of the FBSM for systems of this structure is established by Hackbusch (1978) and applied in eco-epidemic contexts by Lenhart and Workman (2007, Chapter 11). The FBSM yields the optimal within-season profiles 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(τ) and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(τ) for a single season. In the multi-year setting, the FBSM is applied sequentially within each year (receding-horizon / myopic strategy): the annual state x</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 xml:space="preserve"> determines the initial conditions, the FBSM computes the optimal within-season controls, and the resulting terminal values determine x</w:t>
      </w:r>
      <w:r w:rsidRPr="009668D3">
        <w:rPr>
          <w:rFonts w:ascii="Times New Roman" w:hAnsi="Times New Roman" w:cs="Times New Roman"/>
          <w:sz w:val="20"/>
          <w:szCs w:val="20"/>
          <w:vertAlign w:val="subscript"/>
        </w:rPr>
        <w:t>t+1</w:t>
      </w:r>
      <w:r w:rsidRPr="009668D3">
        <w:rPr>
          <w:rFonts w:ascii="Times New Roman" w:hAnsi="Times New Roman" w:cs="Times New Roman"/>
          <w:sz w:val="20"/>
          <w:szCs w:val="20"/>
        </w:rPr>
        <w:t xml:space="preserve"> via the annual map. This sequential approach is distinct from solving the full N-year dynamic programming problem simultaneously, and the text reports results accordingly.</w:t>
      </w:r>
    </w:p>
    <w:p w14:paraId="4E3DFBAD" w14:textId="1976D203" w:rsidR="00D34DD3"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Step 9: </w:t>
      </w:r>
      <w:r w:rsidR="00CB57AB" w:rsidRPr="009668D3">
        <w:rPr>
          <w:rFonts w:ascii="Times New Roman" w:hAnsi="Times New Roman" w:cs="Times New Roman"/>
          <w:b/>
          <w:sz w:val="20"/>
          <w:szCs w:val="20"/>
        </w:rPr>
        <w:t>Strategy comparison under optimal control</w:t>
      </w:r>
    </w:p>
    <w:p w14:paraId="0A38A052" w14:textId="4C32A703" w:rsidR="000875CC" w:rsidRPr="009668D3" w:rsidRDefault="000875CC" w:rsidP="002D21BC">
      <w:pPr>
        <w:spacing w:before="360" w:after="20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Method.</w:t>
      </w:r>
    </w:p>
    <w:p w14:paraId="396B2FE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Steps 3–7 are repeated with the annual map G replaced by the controlled map G</w:t>
      </w:r>
      <w:r w:rsidRPr="009668D3">
        <w:rPr>
          <w:rFonts w:ascii="Times New Roman" w:hAnsi="Times New Roman" w:cs="Times New Roman"/>
          <w:sz w:val="20"/>
          <w:szCs w:val="20"/>
          <w:vertAlign w:val="superscript"/>
        </w:rPr>
        <w:t>u*</w:t>
      </w:r>
      <w:r w:rsidRPr="009668D3">
        <w:rPr>
          <w:rFonts w:ascii="Times New Roman" w:hAnsi="Times New Roman" w:cs="Times New Roman"/>
          <w:sz w:val="20"/>
          <w:szCs w:val="20"/>
        </w:rPr>
        <w:t>, where u* is the optimal policy obtained in Step 8. The controlled fixed point x*</w:t>
      </w:r>
      <w:r w:rsidRPr="009668D3">
        <w:rPr>
          <w:rFonts w:ascii="Times New Roman" w:hAnsi="Times New Roman" w:cs="Times New Roman"/>
          <w:sz w:val="20"/>
          <w:szCs w:val="20"/>
          <w:vertAlign w:val="superscript"/>
        </w:rPr>
        <w:t>ctrl</w:t>
      </w:r>
      <w:r w:rsidRPr="009668D3">
        <w:rPr>
          <w:rFonts w:ascii="Times New Roman" w:hAnsi="Times New Roman" w:cs="Times New Roman"/>
          <w:sz w:val="20"/>
          <w:szCs w:val="20"/>
        </w:rPr>
        <w:t>, controlled Jacobian J</w:t>
      </w:r>
      <w:r w:rsidRPr="009668D3">
        <w:rPr>
          <w:rFonts w:ascii="Times New Roman" w:hAnsi="Times New Roman" w:cs="Times New Roman"/>
          <w:sz w:val="20"/>
          <w:szCs w:val="20"/>
          <w:vertAlign w:val="subscript"/>
        </w:rPr>
        <w:t>G</w:t>
      </w:r>
      <w:r w:rsidRPr="009668D3">
        <w:rPr>
          <w:rFonts w:ascii="Times New Roman" w:hAnsi="Times New Roman" w:cs="Times New Roman"/>
          <w:sz w:val="20"/>
          <w:szCs w:val="20"/>
        </w:rPr>
        <w:t>(x*</w:t>
      </w:r>
      <w:r w:rsidRPr="009668D3">
        <w:rPr>
          <w:rFonts w:ascii="Times New Roman" w:hAnsi="Times New Roman" w:cs="Times New Roman"/>
          <w:sz w:val="20"/>
          <w:szCs w:val="20"/>
          <w:vertAlign w:val="superscript"/>
        </w:rPr>
        <w:t>ctrl</w:t>
      </w:r>
      <w:r w:rsidRPr="009668D3">
        <w:rPr>
          <w:rFonts w:ascii="Times New Roman" w:hAnsi="Times New Roman" w:cs="Times New Roman"/>
          <w:sz w:val="20"/>
          <w:szCs w:val="20"/>
        </w:rPr>
        <w:t>), and controlled tipping parameter p</w:t>
      </w:r>
      <w:r w:rsidRPr="009668D3">
        <w:rPr>
          <w:rFonts w:ascii="Times New Roman" w:hAnsi="Times New Roman" w:cs="Times New Roman"/>
          <w:sz w:val="20"/>
          <w:szCs w:val="20"/>
          <w:vertAlign w:val="superscript"/>
        </w:rPr>
        <w:t>ctrl</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are computed. The stabilisation gain from optimal control is quantified by the shift:</w:t>
      </w:r>
    </w:p>
    <w:p w14:paraId="601A4B2C" w14:textId="77777777" w:rsidR="000875CC" w:rsidRPr="009668D3" w:rsidRDefault="000875CC" w:rsidP="002D21BC">
      <w:pPr>
        <w:spacing w:before="160" w:line="240" w:lineRule="auto"/>
        <w:jc w:val="both"/>
        <w:rPr>
          <w:rFonts w:ascii="Times New Roman" w:hAnsi="Times New Roman" w:cs="Times New Roman"/>
          <w:sz w:val="20"/>
          <w:szCs w:val="20"/>
        </w:rPr>
      </w:pPr>
      <w:r w:rsidRPr="009668D3">
        <w:rPr>
          <w:rFonts w:ascii="Times New Roman" w:hAnsi="Times New Roman" w:cs="Times New Roman"/>
          <w:sz w:val="20"/>
          <w:szCs w:val="20"/>
        </w:rPr>
        <w:t>Δpᴄ = pᴄᶜᵗʳˡ − pᴄ⁰</w:t>
      </w:r>
    </w:p>
    <w:p w14:paraId="6BC2BA0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where p</w:t>
      </w:r>
      <w:r w:rsidRPr="009668D3">
        <w:rPr>
          <w:rFonts w:ascii="Times New Roman" w:hAnsi="Times New Roman" w:cs="Times New Roman"/>
          <w:sz w:val="20"/>
          <w:szCs w:val="20"/>
          <w:vertAlign w:val="superscript"/>
        </w:rPr>
        <w:t>0</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is the uncontrolled tipping boundary.</w:t>
      </w:r>
    </w:p>
    <w:p w14:paraId="2867F06B"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Control scenarios for hypothesis testing.</w:t>
      </w:r>
    </w:p>
    <w:p w14:paraId="367F0A2B"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Scenario A: </w:t>
      </w:r>
      <w:r w:rsidRPr="009668D3">
        <w:rPr>
          <w:rFonts w:ascii="Times New Roman" w:hAnsi="Times New Roman" w:cs="Times New Roman"/>
          <w:sz w:val="20"/>
          <w:szCs w:val="20"/>
        </w:rPr>
        <w:t>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 xml:space="preserve"> = 0,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0 (parasitoid augmentation only). Tests whether parasitoid attack alone is sufficient for system stability (H₁ₐ).</w:t>
      </w:r>
    </w:p>
    <w:p w14:paraId="42B5F088"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Scenario B: </w:t>
      </w:r>
      <w:r w:rsidRPr="009668D3">
        <w:rPr>
          <w:rFonts w:ascii="Times New Roman" w:hAnsi="Times New Roman" w:cs="Times New Roman"/>
          <w:sz w:val="20"/>
          <w:szCs w:val="20"/>
        </w:rPr>
        <w:t>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 0 (combined parasitoid and bird-habitat enhancement). Tests whether bird predation provides essential complementary resistance (H₁ᵇ).</w:t>
      </w:r>
    </w:p>
    <w:p w14:paraId="2ED99B47" w14:textId="6D26AD62" w:rsidR="00D34DD3"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 xml:space="preserve">Scenario C: </w:t>
      </w:r>
      <w:r w:rsidRPr="009668D3">
        <w:rPr>
          <w:rFonts w:ascii="Times New Roman" w:hAnsi="Times New Roman" w:cs="Times New Roman"/>
          <w:sz w:val="20"/>
          <w:szCs w:val="20"/>
        </w:rPr>
        <w:t>u</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 xml:space="preserve"> &gt; 0, u</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xml:space="preserve"> &gt; 0 (full integrated control). Benchmark for the maximum achievable stabilisation.</w:t>
      </w:r>
    </w:p>
    <w:p w14:paraId="294D120B"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Performance criteria.</w:t>
      </w:r>
    </w:p>
    <w:p w14:paraId="5EB0C3B6" w14:textId="566E6F9A" w:rsidR="00CB57AB"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sz w:val="20"/>
          <w:szCs w:val="20"/>
        </w:rPr>
        <w:t>Control performance is evaluated by four criteria applied to each scenario's long-run trajectory: (a) whether the equilibrium defoliation D* remains below D_crit = 0.5; (b) whether the equilibrium carrying capacity K* remains above K_min = 0.5 K₀; (c) the dominant eigenvalue magnitude ρ* at the controlled fixed point (resilience); and (d) the total multi-year cost J.</w:t>
      </w:r>
      <w:r w:rsidR="00CB57AB" w:rsidRPr="009668D3">
        <w:rPr>
          <w:rFonts w:ascii="Times New Roman" w:hAnsi="Times New Roman" w:cs="Times New Roman"/>
          <w:sz w:val="20"/>
          <w:szCs w:val="20"/>
        </w:rPr>
        <w:t xml:space="preserve"> </w:t>
      </w:r>
      <w:r w:rsidR="002F0864" w:rsidRPr="009668D3">
        <w:rPr>
          <w:rFonts w:ascii="Times New Roman" w:hAnsi="Times New Roman" w:cs="Times New Roman"/>
          <w:sz w:val="20"/>
          <w:szCs w:val="20"/>
        </w:rPr>
        <w:t>Additionally, the Van Meerbeek resistance (R1) and resilience (R2) indices are computed for each scenario at the controlled fixed point.</w:t>
      </w:r>
    </w:p>
    <w:p w14:paraId="4BAE54F8" w14:textId="6B2E9231" w:rsidR="00CB57AB" w:rsidRPr="009668D3" w:rsidRDefault="00CB57AB"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sz w:val="20"/>
          <w:szCs w:val="20"/>
        </w:rPr>
        <w:t>Strategy decision rule.</w:t>
      </w:r>
      <w:r w:rsidRPr="009668D3">
        <w:rPr>
          <w:rFonts w:ascii="Times New Roman" w:hAnsi="Times New Roman" w:cs="Times New Roman"/>
          <w:sz w:val="20"/>
          <w:szCs w:val="20"/>
        </w:rPr>
        <w:t xml:space="preserve"> Strategies are compared using a lexicographic decision rule: (i) feasibility</w:t>
      </w:r>
      <w:r w:rsidR="002F0864" w:rsidRPr="009668D3">
        <w:rPr>
          <w:rFonts w:ascii="Times New Roman" w:hAnsi="Times New Roman" w:cs="Times New Roman"/>
          <w:sz w:val="20"/>
          <w:szCs w:val="20"/>
        </w:rPr>
        <w:t>-</w:t>
      </w:r>
      <w:r w:rsidRPr="009668D3">
        <w:rPr>
          <w:rFonts w:ascii="Times New Roman" w:hAnsi="Times New Roman" w:cs="Times New Roman"/>
          <w:sz w:val="20"/>
          <w:szCs w:val="20"/>
        </w:rPr>
        <w:t xml:space="preserve">only strategies satisfying D* &lt; D_crit and K* &gt; K_min and maintaining parasitoid coexistence (F* &gt; 0) are considered; (ii) among feasible strategies, the one with minimum total cost J is selected as the minimal-effort strategy for each </w:t>
      </w:r>
      <w:r w:rsidRPr="009668D3">
        <w:rPr>
          <w:rFonts w:ascii="Times New Roman" w:hAnsi="Times New Roman" w:cs="Times New Roman"/>
          <w:sz w:val="20"/>
          <w:szCs w:val="20"/>
        </w:rPr>
        <w:lastRenderedPageBreak/>
        <w:t>phenological scenario. H1 is supported if the most probable equilibrium across parameter space is the desirable coexistence equilibrium. If it is not, the analysis reports which phenological scenarios prevent convergence to the desirable state.</w:t>
      </w:r>
    </w:p>
    <w:p w14:paraId="1DA6C3EF" w14:textId="4E8E7F16"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Purpose.</w:t>
      </w:r>
    </w:p>
    <w:p w14:paraId="21B77959"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Assess whether the qualitative stability conclusions and hypothesis decisions are robust to uncertainty in parameter values and model structure.</w:t>
      </w:r>
    </w:p>
    <w:p w14:paraId="16B716CA" w14:textId="77777777"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Method 1: Latin Hypercube Sampling with Partial Rank Correlation Coefficients (LHS–PRCC).</w:t>
      </w:r>
    </w:p>
    <w:p w14:paraId="08F1F37E" w14:textId="229FC301"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b/>
          <w:sz w:val="20"/>
          <w:szCs w:val="20"/>
        </w:rPr>
        <w:t>Framework</w:t>
      </w:r>
      <w:r w:rsidRPr="009668D3">
        <w:rPr>
          <w:rFonts w:ascii="Times New Roman" w:hAnsi="Times New Roman" w:cs="Times New Roman"/>
          <w:sz w:val="20"/>
          <w:szCs w:val="20"/>
        </w:rPr>
        <w:t xml:space="preserve"> (Marino et al., 2008; Saltelli et al., 2008): Because several parameters are anchored by cross-system proxies rather than direct field measurements for the </w:t>
      </w:r>
      <w:r w:rsidR="00066319" w:rsidRPr="009668D3">
        <w:rPr>
          <w:rFonts w:ascii="Times New Roman" w:hAnsi="Times New Roman" w:cs="Times New Roman"/>
          <w:sz w:val="20"/>
          <w:szCs w:val="20"/>
        </w:rPr>
        <w:t>Beetle</w:t>
      </w:r>
      <w:r w:rsidRPr="009668D3">
        <w:rPr>
          <w:rFonts w:ascii="Times New Roman" w:hAnsi="Times New Roman" w:cs="Times New Roman"/>
          <w:sz w:val="20"/>
          <w:szCs w:val="20"/>
        </w:rPr>
        <w:t>–M. mutabilis system (notably β, h, σ</w:t>
      </w:r>
      <w:r w:rsidRPr="009668D3">
        <w:rPr>
          <w:rFonts w:ascii="Times New Roman" w:hAnsi="Times New Roman" w:cs="Times New Roman"/>
          <w:sz w:val="20"/>
          <w:szCs w:val="20"/>
          <w:vertAlign w:val="subscript"/>
        </w:rPr>
        <w:t>A</w:t>
      </w:r>
      <w:r w:rsidRPr="009668D3">
        <w:rPr>
          <w:rFonts w:ascii="Times New Roman" w:hAnsi="Times New Roman" w:cs="Times New Roman"/>
          <w:sz w:val="20"/>
          <w:szCs w:val="20"/>
        </w:rPr>
        <w:t>, σ</w:t>
      </w:r>
      <w:r w:rsidRPr="009668D3">
        <w:rPr>
          <w:rFonts w:ascii="Times New Roman" w:hAnsi="Times New Roman" w:cs="Times New Roman"/>
          <w:sz w:val="20"/>
          <w:szCs w:val="20"/>
          <w:vertAlign w:val="subscript"/>
        </w:rPr>
        <w:t>F</w:t>
      </w:r>
      <w:r w:rsidRPr="009668D3">
        <w:rPr>
          <w:rFonts w:ascii="Times New Roman" w:hAnsi="Times New Roman" w:cs="Times New Roman"/>
          <w:sz w:val="20"/>
          <w:szCs w:val="20"/>
        </w:rPr>
        <w:t>), all stability and optimal control results are evaluated for robustness across the full plausible parameter ranges reported in the parameter tables (Sections 2.1.2–2.1.3 of the main text). Uncertain parameters are treated as intervals, and the analysis reports robust stability regions in parameter space—regions where the annual fixed point remains stable (all eigenvalues inside the unit circle) for all sampled parameter combinations.</w:t>
      </w:r>
    </w:p>
    <w:p w14:paraId="4516CD6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Sensitivity of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the tipping boundary p</w:t>
      </w:r>
      <w:r w:rsidRPr="009668D3">
        <w:rPr>
          <w:rFonts w:ascii="Times New Roman" w:hAnsi="Times New Roman" w:cs="Times New Roman"/>
          <w:sz w:val="20"/>
          <w:szCs w:val="20"/>
          <w:vertAlign w:val="subscript"/>
        </w:rPr>
        <w:t>c</w:t>
      </w:r>
      <w:r w:rsidRPr="009668D3">
        <w:rPr>
          <w:rFonts w:ascii="Times New Roman" w:hAnsi="Times New Roman" w:cs="Times New Roman"/>
          <w:sz w:val="20"/>
          <w:szCs w:val="20"/>
        </w:rPr>
        <w:t>, and the optimal cost J to each parameter is quantified using partial rank correlation coefficients (PRCC) computed from Latin Hypercube Sampling (LHS). LHS stratifies each parameter’s range into N equal-probability intervals and samples one value per interval with random permutation across parameters, ensuring uniform marginal coverage. PRCC then computes the correlation between each parameter and the output after removing the linear effects of all other parameters via rank regression, yielding a measure of monotonic sensitivity that is valid for nonlinear but monotonic input–output relationships.</w:t>
      </w:r>
    </w:p>
    <w:p w14:paraId="43FB1516" w14:textId="77777777" w:rsidR="00CB57AB" w:rsidRPr="009668D3" w:rsidRDefault="00CB57AB"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sz w:val="20"/>
          <w:szCs w:val="20"/>
        </w:rPr>
        <w:t>A qualitative stability conclusion (i.e., which equilibrium is most probable, the regime shift probability, and the minimal-effort strategy ranking) is considered robust if it does not change across the full plausible parameter space.</w:t>
      </w:r>
    </w:p>
    <w:p w14:paraId="3EACD4C6" w14:textId="4697AE00" w:rsidR="000875CC" w:rsidRPr="009668D3" w:rsidRDefault="000875CC" w:rsidP="002D21BC">
      <w:pPr>
        <w:spacing w:before="200" w:after="80" w:line="240" w:lineRule="auto"/>
        <w:jc w:val="both"/>
        <w:rPr>
          <w:rFonts w:ascii="Times New Roman" w:hAnsi="Times New Roman" w:cs="Times New Roman"/>
          <w:sz w:val="20"/>
          <w:szCs w:val="20"/>
        </w:rPr>
      </w:pPr>
      <w:r w:rsidRPr="009668D3">
        <w:rPr>
          <w:rFonts w:ascii="Times New Roman" w:hAnsi="Times New Roman" w:cs="Times New Roman"/>
          <w:b/>
          <w:i/>
          <w:sz w:val="20"/>
          <w:szCs w:val="20"/>
        </w:rPr>
        <w:t>Method 2: Structural robustness via alternative functional forms.</w:t>
      </w:r>
    </w:p>
    <w:p w14:paraId="076B80B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In addition to parametric sensitivity, structural robustness is assessed by comparing the baseline model against alternative functional form assumptions:</w:t>
      </w:r>
    </w:p>
    <w:p w14:paraId="42354BE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 Beverton–Holt versus Ricker recruitment in Equation (5): S(0) = R</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A/(1 + A/K) versus S(0) = A exp(r(1 − A/K)). This tests sensitivity to the form of density-dependent recruitment.</w:t>
      </w:r>
    </w:p>
    <w:p w14:paraId="11AD1CC8"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(ii) Holling Type II versus linear functional response for bird predation: c</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S/(1 + a</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(S + I)) versus c</w:t>
      </w:r>
      <w:r w:rsidRPr="009668D3">
        <w:rPr>
          <w:rFonts w:ascii="Times New Roman" w:hAnsi="Times New Roman" w:cs="Times New Roman"/>
          <w:sz w:val="20"/>
          <w:szCs w:val="20"/>
          <w:vertAlign w:val="subscript"/>
        </w:rPr>
        <w:t>B</w:t>
      </w:r>
      <w:r w:rsidRPr="009668D3">
        <w:rPr>
          <w:rFonts w:ascii="Times New Roman" w:hAnsi="Times New Roman" w:cs="Times New Roman"/>
          <w:sz w:val="20"/>
          <w:szCs w:val="20"/>
        </w:rPr>
        <w:t>B</w:t>
      </w:r>
      <w:r w:rsidRPr="009668D3">
        <w:rPr>
          <w:rFonts w:ascii="Times New Roman" w:hAnsi="Times New Roman" w:cs="Times New Roman"/>
          <w:sz w:val="20"/>
          <w:szCs w:val="20"/>
          <w:vertAlign w:val="subscript"/>
        </w:rPr>
        <w:t>t</w:t>
      </w:r>
      <w:r w:rsidRPr="009668D3">
        <w:rPr>
          <w:rFonts w:ascii="Times New Roman" w:hAnsi="Times New Roman" w:cs="Times New Roman"/>
          <w:sz w:val="20"/>
          <w:szCs w:val="20"/>
        </w:rPr>
        <w:t>S. This tests sensitivity to the assumed saturation in bird foraging.</w:t>
      </w:r>
    </w:p>
    <w:p w14:paraId="3935EBE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(iii) S → I compartmental parasitism versus direct parasitoid-induced mortality: the current model (parasitised larvae continue feeding until parasitoid emergence) versus a model where parasitism directly removes larvae. This tests whether the explicit infected class is necessary for the qualitative conclusions.</w:t>
      </w:r>
    </w:p>
    <w:p w14:paraId="64A83FE1"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If the qualitative stability conclusions (i.e., which hypothesis is supported and which bifurcation type governs tipping) remain unchanged under both parametric and structural perturbations, they are considered to reflect genuine properties of the tri-trophic interaction architecture rather than artefacts of specific modelling choices.</w:t>
      </w:r>
    </w:p>
    <w:p w14:paraId="745940A5" w14:textId="77777777" w:rsidR="00AB4882" w:rsidRPr="009668D3" w:rsidRDefault="00AB4882" w:rsidP="002D21BC">
      <w:pPr>
        <w:spacing w:after="120" w:line="240" w:lineRule="auto"/>
        <w:jc w:val="both"/>
        <w:rPr>
          <w:rFonts w:ascii="Times New Roman" w:hAnsi="Times New Roman" w:cs="Times New Roman"/>
          <w:sz w:val="20"/>
          <w:szCs w:val="20"/>
        </w:rPr>
      </w:pPr>
    </w:p>
    <w:p w14:paraId="27CDB9CC" w14:textId="25E71405" w:rsidR="000875CC" w:rsidRPr="009668D3" w:rsidRDefault="000875CC" w:rsidP="002D21BC">
      <w:pPr>
        <w:spacing w:line="240" w:lineRule="auto"/>
        <w:jc w:val="both"/>
        <w:rPr>
          <w:rFonts w:ascii="Times New Roman" w:hAnsi="Times New Roman" w:cs="Times New Roman"/>
          <w:sz w:val="20"/>
          <w:szCs w:val="20"/>
        </w:rPr>
      </w:pPr>
      <w:r w:rsidRPr="009668D3">
        <w:rPr>
          <w:rFonts w:ascii="Times New Roman" w:hAnsi="Times New Roman" w:cs="Times New Roman"/>
          <w:b/>
          <w:sz w:val="20"/>
          <w:szCs w:val="20"/>
        </w:rPr>
        <w:t>Model Adequacy and Data-Lean Design</w:t>
      </w:r>
    </w:p>
    <w:p w14:paraId="1A5D89E0" w14:textId="7A4EED6A"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sz w:val="20"/>
          <w:szCs w:val="20"/>
        </w:rPr>
        <w:t xml:space="preserve">The lack of long-term, site-specific time series for </w:t>
      </w:r>
      <w:r w:rsidR="00066319" w:rsidRPr="009668D3">
        <w:rPr>
          <w:rFonts w:ascii="Times New Roman" w:hAnsi="Times New Roman" w:cs="Times New Roman"/>
          <w:sz w:val="20"/>
          <w:szCs w:val="20"/>
        </w:rPr>
        <w:t>Beetle</w:t>
      </w:r>
      <w:r w:rsidRPr="009668D3">
        <w:rPr>
          <w:rFonts w:ascii="Times New Roman" w:hAnsi="Times New Roman" w:cs="Times New Roman"/>
          <w:sz w:val="20"/>
          <w:szCs w:val="20"/>
        </w:rPr>
        <w:t xml:space="preserve"> outbreak density, M. mutabilis parasitism prevalence, and passerine kill rates on this beetle does not constrain the class of results targeted by this study. The primary contribution of the model is to map the structural stability landscape by identifying parameter combinations and control allocations that yield a stable low-damage equilibrium, those that result in tipping, and the response of the parasitoid invasion threshold R</w:t>
      </w:r>
      <w:r w:rsidRPr="009668D3">
        <w:rPr>
          <w:rFonts w:ascii="Times New Roman" w:hAnsi="Times New Roman" w:cs="Times New Roman"/>
          <w:sz w:val="20"/>
          <w:szCs w:val="20"/>
          <w:vertAlign w:val="subscript"/>
        </w:rPr>
        <w:t>P</w:t>
      </w:r>
      <w:r w:rsidRPr="009668D3">
        <w:rPr>
          <w:rFonts w:ascii="Times New Roman" w:hAnsi="Times New Roman" w:cs="Times New Roman"/>
          <w:sz w:val="20"/>
          <w:szCs w:val="20"/>
        </w:rPr>
        <w:t xml:space="preserve"> to intraguild predation and control effort.</w:t>
      </w:r>
    </w:p>
    <w:p w14:paraId="6B1CBF86" w14:textId="11D1F147" w:rsidR="000E55BD" w:rsidRPr="001E6700" w:rsidRDefault="000875CC" w:rsidP="000649FA">
      <w:pPr>
        <w:spacing w:after="120" w:line="240" w:lineRule="auto"/>
        <w:jc w:val="both"/>
        <w:rPr>
          <w:rFonts w:ascii="Times New Roman" w:eastAsia="Times New Roman" w:hAnsi="Times New Roman" w:cs="Times New Roman"/>
          <w:sz w:val="20"/>
          <w:szCs w:val="20"/>
        </w:rPr>
      </w:pPr>
      <w:r w:rsidRPr="001E6700">
        <w:rPr>
          <w:rFonts w:ascii="Times New Roman" w:eastAsia="Times New Roman" w:hAnsi="Times New Roman" w:cs="Times New Roman"/>
          <w:sz w:val="20"/>
          <w:szCs w:val="20"/>
        </w:rPr>
        <w:t>The focus is on structural stability properties (fixed-point existence, eigenvalue conditions, bifurcation type), which depend on the architecture of the annual map and the qualitative form of the functional responses, rather than on precise numerical parameter values. This approach aligns with standard practice in theoretical eco-epidemic modelling (Chattopadhyay and Arino, 1999; Hethcote et al., 2004), where the mathematical framework is constructed to be valid across the plausible parameter space.</w:t>
      </w:r>
      <w:r w:rsidR="000E55BD" w:rsidRPr="001E6700">
        <w:rPr>
          <w:rFonts w:ascii="Times New Roman" w:hAnsi="Times New Roman" w:cs="Times New Roman"/>
          <w:b/>
          <w:sz w:val="20"/>
          <w:szCs w:val="20"/>
        </w:rPr>
        <w:t xml:space="preserve"> </w:t>
      </w:r>
      <w:r w:rsidR="000E55BD" w:rsidRPr="001E6700">
        <w:rPr>
          <w:rFonts w:ascii="Times New Roman" w:hAnsi="Times New Roman" w:cs="Times New Roman"/>
          <w:sz w:val="20"/>
          <w:szCs w:val="20"/>
        </w:rPr>
        <w:t xml:space="preserve">The baseline recruitment model in Equation 5 adopts the Beverton–Holt (compensatory) form because the behavioural ecology of Agelastica alni at stand scale is consistent with contest-limited, not scramble-limited, density dependence. A. alni females distribute 200–400 eggs across multiple oviposition sites in clusters of 60–70 (Sivrikaya et al., 2020); larval clustering is loose rather than obligate, with alarm-pheromone-mediated dispersal from crowded patches (Grégoire, 1988; Bünnige &amp; </w:t>
      </w:r>
      <w:r w:rsidR="000E55BD" w:rsidRPr="001E6700">
        <w:rPr>
          <w:rFonts w:ascii="Times New Roman" w:hAnsi="Times New Roman" w:cs="Times New Roman"/>
          <w:sz w:val="20"/>
          <w:szCs w:val="20"/>
        </w:rPr>
        <w:lastRenderedPageBreak/>
        <w:t>Hilker, 1999); and induced phytochemical resistance in defoliated trees redistributes herbivory to undamaged neighbours (Dolch &amp; Tscharntke, 2000), generating stand-scale contest rather than leaf-scale scramble competition. Density-dependent emigration in related chrysomelids (Herzig, 1995; Chapman et al., 2007) supports this interpretation more broadly, and empirical outbreak records for A. alni show multi-year episodes rather than the biennial cycles characteristic of overcompensatory Ricker dynamics. The Beverton–Holt form also serves a methodological purpose: it isolates instability arising from the tri-trophic interaction from any instability intrinsic to the recruitment function, so that the structural robustness analysis below can attribute observed regime-shift probability to the architecture of the annual map rather than to recruitment overshoot.</w:t>
      </w:r>
      <w:r w:rsidR="000649FA" w:rsidRPr="001E6700">
        <w:rPr>
          <w:rFonts w:ascii="Times New Roman" w:hAnsi="Times New Roman" w:cs="Times New Roman"/>
          <w:sz w:val="20"/>
          <w:szCs w:val="20"/>
        </w:rPr>
        <w:t xml:space="preserve"> </w:t>
      </w:r>
      <w:r w:rsidR="000E55BD" w:rsidRPr="001E6700">
        <w:rPr>
          <w:rFonts w:ascii="Times New Roman" w:hAnsi="Times New Roman" w:cs="Times New Roman"/>
          <w:sz w:val="20"/>
          <w:szCs w:val="20"/>
        </w:rPr>
        <w:t>To evaluate whether the choice of Beverton–Holt recruitment drives the main conclusions of Objectives 1–3, we replaced Equation 5 with the Ricker alternative S(0) = A_t · exp(r(1 − A_t / K_t)), with r = ln(R_B) so that the low-density slope ∂S(0)/∂A_t at A_t = 0 equals R_B under both forms and the two recruitment models differ only in the overcompensation regime. All other model components (within-season ODEs, annual map, optimal-control formulation) and parameter ranges (Annex 1, Table S1) were held fixed, and the full Latin Hypercube sweep (N = 300 samples, 60-year annual-map iteration) was rerun under both recruitment forms. Reporting mirrors Sections 3.1–3.3: equilibrium-class frequency (O1), joint regime-shift probability with 95 % bootstrap confidence intervals (O2), and control-strategy feasibility and minimum-cost ranking (O3). Supplementary Table S2 provides the full per-scenario breakdown under both recruitment forms</w:t>
      </w:r>
      <w:r w:rsidR="000649FA" w:rsidRPr="001E6700">
        <w:rPr>
          <w:rFonts w:ascii="Times New Roman" w:hAnsi="Times New Roman" w:cs="Times New Roman"/>
          <w:sz w:val="20"/>
          <w:szCs w:val="20"/>
        </w:rPr>
        <w:t xml:space="preserve">. </w:t>
      </w:r>
      <w:r w:rsidR="000E55BD" w:rsidRPr="001E6700">
        <w:rPr>
          <w:rFonts w:ascii="Times New Roman" w:hAnsi="Times New Roman" w:cs="Times New Roman"/>
          <w:sz w:val="20"/>
          <w:szCs w:val="20"/>
        </w:rPr>
        <w:t>The three headline conclusions are preserved. The most probable stable equilibrium is canopy-only under both forms (80.7 % of samples under Beverton–Holt; 81.0 % under Ricker). The joint regime-shift probability is 97.0 % under Beverton–Holt (95 % CI 95.0–98.7 %) and 100.0 % under Ricker (95 % CI 100.0–100.0 %), so the central finding that coexistence is fragile under simultaneous phenological variation is reinforced, not contradicted, by the overcompensatory alternative. The minimum-cost feasible management strategy identified by the lexicographic decision rule is Strategy B (parasitoid augmentation combined with bird-habitat enhancement) under both forms, with a total cost of J = 81.5 under Beverton–Holt and J = 71.1 under Ricker. The top three parametric drivers of instability identified by partial rank correlation with the dominant-eigenvalue magnitude ρ* are susceptible larval mortality μ_S, beetle reproduction ratio R_B, and season length T under both recruitment forms (|PRCC| &gt; 0.25 throughout; Supplementary Table S2). The ranking of early-warning-signal candidates in Table 1 is therefore preserved. We note that R_B retains the second-place ranking in the |PRCC| ordering under the Ricker alternative (|PRCC| = 0.45) rather than advancing to a dominant driver, which supports the interpretation that the Beverton–Holt baseline does not mask an overcompensation-driven instability channel. Because every qualitative outcome reported in Sections 3.1–3.3 is preserved under the overcompensatory alternative, the main findings are properties of the tri-trophic interaction architecture rather than artefacts of the recruitment form.</w:t>
      </w:r>
    </w:p>
    <w:p w14:paraId="48EC61C7" w14:textId="77777777" w:rsidR="000E55BD" w:rsidRPr="001E6700" w:rsidRDefault="000E55BD" w:rsidP="000E55BD">
      <w:pPr>
        <w:rPr>
          <w:rFonts w:ascii="Times New Roman" w:hAnsi="Times New Roman" w:cs="Times New Roman"/>
          <w:sz w:val="20"/>
          <w:szCs w:val="20"/>
        </w:rPr>
      </w:pPr>
    </w:p>
    <w:p w14:paraId="2F6FF0ED" w14:textId="77777777" w:rsidR="000E55BD" w:rsidRPr="001E6700" w:rsidRDefault="000E55BD" w:rsidP="000E55BD">
      <w:pPr>
        <w:rPr>
          <w:rFonts w:ascii="Times New Roman" w:hAnsi="Times New Roman" w:cs="Times New Roman"/>
          <w:sz w:val="20"/>
          <w:szCs w:val="20"/>
        </w:rPr>
      </w:pPr>
      <w:r w:rsidRPr="001E6700">
        <w:rPr>
          <w:rFonts w:ascii="Times New Roman" w:hAnsi="Times New Roman" w:cs="Times New Roman"/>
          <w:b/>
          <w:sz w:val="20"/>
          <w:szCs w:val="20"/>
        </w:rPr>
        <w:t xml:space="preserve">Table 2. </w:t>
      </w:r>
      <w:r w:rsidRPr="001E6700">
        <w:rPr>
          <w:rFonts w:ascii="Times New Roman" w:hAnsi="Times New Roman" w:cs="Times New Roman"/>
          <w:sz w:val="20"/>
          <w:szCs w:val="20"/>
        </w:rPr>
        <w:t>Structural robustness of the Objective 1–3 conclusions under the Ricker alternative (Equation 5). Values are computed from the full Latin Hypercube sweep (N = 300) with identical parameter ranges under both recruitment forms; brackets denote 95 % bootstrap confidence intervals.</w:t>
      </w:r>
    </w:p>
    <w:tbl>
      <w:tblPr>
        <w:tblStyle w:val="LightGrid-Accent1"/>
        <w:tblW w:w="0" w:type="auto"/>
        <w:tblLook w:val="04A0" w:firstRow="1" w:lastRow="0" w:firstColumn="1" w:lastColumn="0" w:noHBand="0" w:noVBand="1"/>
      </w:tblPr>
      <w:tblGrid>
        <w:gridCol w:w="3559"/>
        <w:gridCol w:w="2721"/>
        <w:gridCol w:w="2726"/>
      </w:tblGrid>
      <w:tr w:rsidR="00800C27" w:rsidRPr="001E6700" w14:paraId="661959A4" w14:textId="77777777" w:rsidTr="00064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7A8192"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Conclusion</w:t>
            </w:r>
          </w:p>
        </w:tc>
        <w:tc>
          <w:tcPr>
            <w:tcW w:w="0" w:type="auto"/>
          </w:tcPr>
          <w:p w14:paraId="1AC9B733" w14:textId="77777777" w:rsidR="000649FA" w:rsidRPr="001E6700" w:rsidRDefault="000649FA" w:rsidP="007E4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Baseline (Beverton–Holt)</w:t>
            </w:r>
          </w:p>
        </w:tc>
        <w:tc>
          <w:tcPr>
            <w:tcW w:w="0" w:type="auto"/>
          </w:tcPr>
          <w:p w14:paraId="4785EE6D" w14:textId="77777777" w:rsidR="000649FA" w:rsidRPr="001E6700" w:rsidRDefault="000649FA" w:rsidP="007E4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Alternative (Ricker)</w:t>
            </w:r>
          </w:p>
        </w:tc>
      </w:tr>
      <w:tr w:rsidR="00800C27" w:rsidRPr="001E6700" w14:paraId="611EB0A4" w14:textId="77777777" w:rsidTr="000649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90CCE7"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Most probable stable equilibrium (O1)</w:t>
            </w:r>
          </w:p>
        </w:tc>
        <w:tc>
          <w:tcPr>
            <w:tcW w:w="0" w:type="auto"/>
          </w:tcPr>
          <w:p w14:paraId="4F11C270" w14:textId="77777777" w:rsidR="000649FA" w:rsidRPr="001E6700" w:rsidRDefault="000649FA" w:rsidP="007E43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Canopy-only (80.7 %)</w:t>
            </w:r>
          </w:p>
        </w:tc>
        <w:tc>
          <w:tcPr>
            <w:tcW w:w="0" w:type="auto"/>
          </w:tcPr>
          <w:p w14:paraId="775D1ABA" w14:textId="77777777" w:rsidR="000649FA" w:rsidRPr="001E6700" w:rsidRDefault="000649FA" w:rsidP="007E43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Canopy-only (81.0 %)</w:t>
            </w:r>
          </w:p>
        </w:tc>
      </w:tr>
      <w:tr w:rsidR="00800C27" w:rsidRPr="001E6700" w14:paraId="387BE708" w14:textId="77777777" w:rsidTr="000649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6B7D1C"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Joint regime-shift probability (O2)</w:t>
            </w:r>
          </w:p>
        </w:tc>
        <w:tc>
          <w:tcPr>
            <w:tcW w:w="0" w:type="auto"/>
          </w:tcPr>
          <w:p w14:paraId="43AB8CD7" w14:textId="77777777" w:rsidR="000649FA" w:rsidRPr="001E6700" w:rsidRDefault="000649FA" w:rsidP="007E4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97.0 % [95.0–98.7 %]</w:t>
            </w:r>
          </w:p>
        </w:tc>
        <w:tc>
          <w:tcPr>
            <w:tcW w:w="0" w:type="auto"/>
          </w:tcPr>
          <w:p w14:paraId="2746DCB6" w14:textId="77777777" w:rsidR="000649FA" w:rsidRPr="001E6700" w:rsidRDefault="000649FA" w:rsidP="007E4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100.0 % [100.0–100.0 %]</w:t>
            </w:r>
          </w:p>
        </w:tc>
      </w:tr>
      <w:tr w:rsidR="00800C27" w:rsidRPr="001E6700" w14:paraId="411A0405" w14:textId="77777777" w:rsidTr="000649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5AE2B2"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Only minimum-cost feasible strategy (O3)</w:t>
            </w:r>
          </w:p>
        </w:tc>
        <w:tc>
          <w:tcPr>
            <w:tcW w:w="0" w:type="auto"/>
          </w:tcPr>
          <w:p w14:paraId="2DB77067" w14:textId="77777777" w:rsidR="000649FA" w:rsidRPr="001E6700" w:rsidRDefault="000649FA" w:rsidP="007E43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Strategy B; J = 81.5, ρ* = 0.624</w:t>
            </w:r>
          </w:p>
        </w:tc>
        <w:tc>
          <w:tcPr>
            <w:tcW w:w="0" w:type="auto"/>
          </w:tcPr>
          <w:p w14:paraId="715FD98F" w14:textId="77777777" w:rsidR="000649FA" w:rsidRPr="001E6700" w:rsidRDefault="000649FA" w:rsidP="007E435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Strategy B; J = 71.1, ρ* = 0.621</w:t>
            </w:r>
          </w:p>
        </w:tc>
      </w:tr>
      <w:tr w:rsidR="00800C27" w:rsidRPr="001E6700" w14:paraId="393A8641" w14:textId="77777777" w:rsidTr="000649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903FE" w14:textId="77777777" w:rsidR="000649FA" w:rsidRPr="001E6700" w:rsidRDefault="000649FA" w:rsidP="007E4350">
            <w:pPr>
              <w:rPr>
                <w:rFonts w:ascii="Times New Roman" w:hAnsi="Times New Roman" w:cs="Times New Roman"/>
                <w:sz w:val="20"/>
                <w:szCs w:val="20"/>
              </w:rPr>
            </w:pPr>
            <w:r w:rsidRPr="001E6700">
              <w:rPr>
                <w:rFonts w:ascii="Times New Roman" w:hAnsi="Times New Roman" w:cs="Times New Roman"/>
                <w:sz w:val="20"/>
                <w:szCs w:val="20"/>
              </w:rPr>
              <w:t>Top-3 PRCC drivers of ρ* (ranked by |PRCC|)</w:t>
            </w:r>
          </w:p>
        </w:tc>
        <w:tc>
          <w:tcPr>
            <w:tcW w:w="0" w:type="auto"/>
          </w:tcPr>
          <w:p w14:paraId="40BAE863" w14:textId="77777777" w:rsidR="000649FA" w:rsidRPr="001E6700" w:rsidRDefault="000649FA" w:rsidP="007E4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μ_S (−0.92), R_B (+0.64), T (−0.59)</w:t>
            </w:r>
          </w:p>
        </w:tc>
        <w:tc>
          <w:tcPr>
            <w:tcW w:w="0" w:type="auto"/>
          </w:tcPr>
          <w:p w14:paraId="5D71F1E2" w14:textId="77777777" w:rsidR="000649FA" w:rsidRPr="001E6700" w:rsidRDefault="000649FA" w:rsidP="007E4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1E6700">
              <w:rPr>
                <w:rFonts w:ascii="Times New Roman" w:hAnsi="Times New Roman" w:cs="Times New Roman"/>
                <w:sz w:val="20"/>
                <w:szCs w:val="20"/>
              </w:rPr>
              <w:t>μ_S (−0.83), R_B (+0.45), T (−0.42)</w:t>
            </w:r>
          </w:p>
        </w:tc>
      </w:tr>
    </w:tbl>
    <w:p w14:paraId="153D42C2" w14:textId="77777777" w:rsidR="000E55BD" w:rsidRPr="009668D3" w:rsidRDefault="000E55BD" w:rsidP="009668D3">
      <w:pPr>
        <w:rPr>
          <w:rFonts w:ascii="Times New Roman" w:hAnsi="Times New Roman" w:cs="Times New Roman"/>
          <w:sz w:val="20"/>
          <w:szCs w:val="20"/>
        </w:rPr>
      </w:pPr>
    </w:p>
    <w:p w14:paraId="0A30818A" w14:textId="77777777" w:rsidR="000E55BD" w:rsidRPr="009668D3" w:rsidRDefault="000E55BD" w:rsidP="009668D3">
      <w:pPr>
        <w:spacing w:after="120" w:line="240" w:lineRule="auto"/>
        <w:jc w:val="both"/>
        <w:rPr>
          <w:rFonts w:ascii="Times New Roman" w:hAnsi="Times New Roman" w:cs="Times New Roman"/>
          <w:sz w:val="20"/>
          <w:szCs w:val="20"/>
        </w:rPr>
      </w:pPr>
    </w:p>
    <w:p w14:paraId="38E35C6F" w14:textId="77777777" w:rsidR="000875CC" w:rsidRPr="009668D3" w:rsidRDefault="000875CC" w:rsidP="002D21BC">
      <w:pPr>
        <w:spacing w:before="360" w:after="240" w:line="240" w:lineRule="auto"/>
        <w:jc w:val="both"/>
        <w:rPr>
          <w:rFonts w:ascii="Times New Roman" w:hAnsi="Times New Roman" w:cs="Times New Roman"/>
          <w:sz w:val="20"/>
          <w:szCs w:val="20"/>
        </w:rPr>
      </w:pPr>
      <w:r w:rsidRPr="009668D3">
        <w:rPr>
          <w:rFonts w:ascii="Times New Roman" w:hAnsi="Times New Roman" w:cs="Times New Roman"/>
          <w:b/>
          <w:sz w:val="20"/>
          <w:szCs w:val="20"/>
        </w:rPr>
        <w:t>References Cited in This Annex</w:t>
      </w:r>
    </w:p>
    <w:p w14:paraId="055DEAC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Allgower, E. L. and Georg, K. (2003).</w:t>
      </w:r>
      <w:r w:rsidRPr="009668D3">
        <w:rPr>
          <w:rFonts w:ascii="Times New Roman" w:hAnsi="Times New Roman" w:cs="Times New Roman"/>
          <w:sz w:val="20"/>
          <w:szCs w:val="20"/>
        </w:rPr>
        <w:t xml:space="preserve"> Introduction to Numerical Continuation Methods. SIAM Classics in Applied Mathematics, Vol. 45.</w:t>
      </w:r>
    </w:p>
    <w:p w14:paraId="7F05006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Beverton, R. J. H. and Holt, S. J. (1957).</w:t>
      </w:r>
      <w:r w:rsidRPr="009668D3">
        <w:rPr>
          <w:rFonts w:ascii="Times New Roman" w:hAnsi="Times New Roman" w:cs="Times New Roman"/>
          <w:sz w:val="20"/>
          <w:szCs w:val="20"/>
        </w:rPr>
        <w:t xml:space="preserve"> On the Dynamics of Exploited Fish Populations. Chapman and Hall, London.</w:t>
      </w:r>
    </w:p>
    <w:p w14:paraId="7DED520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Blanchini, F. (1999).</w:t>
      </w:r>
      <w:r w:rsidRPr="009668D3">
        <w:rPr>
          <w:rFonts w:ascii="Times New Roman" w:hAnsi="Times New Roman" w:cs="Times New Roman"/>
          <w:sz w:val="20"/>
          <w:szCs w:val="20"/>
        </w:rPr>
        <w:t xml:space="preserve"> Set invariance in control. Automatica, 35(11), 1747–1767.</w:t>
      </w:r>
    </w:p>
    <w:p w14:paraId="14708B8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lastRenderedPageBreak/>
        <w:t>Chattopadhyay, J. and Arino, O. (1999).</w:t>
      </w:r>
      <w:r w:rsidRPr="009668D3">
        <w:rPr>
          <w:rFonts w:ascii="Times New Roman" w:hAnsi="Times New Roman" w:cs="Times New Roman"/>
          <w:sz w:val="20"/>
          <w:szCs w:val="20"/>
        </w:rPr>
        <w:t xml:space="preserve"> A predator–prey model with disease in the prey. Nonlinear Analysis, 36, 747–766.</w:t>
      </w:r>
    </w:p>
    <w:p w14:paraId="3CA530FA"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Coddington, E. A. and Levinson, N. (1955).</w:t>
      </w:r>
      <w:r w:rsidRPr="009668D3">
        <w:rPr>
          <w:rFonts w:ascii="Times New Roman" w:hAnsi="Times New Roman" w:cs="Times New Roman"/>
          <w:sz w:val="20"/>
          <w:szCs w:val="20"/>
        </w:rPr>
        <w:t xml:space="preserve"> Theory of Ordinary Differential Equations. McGraw-Hill, New York.</w:t>
      </w:r>
    </w:p>
    <w:p w14:paraId="2854C17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Elaydi, S. (2005).</w:t>
      </w:r>
      <w:r w:rsidRPr="009668D3">
        <w:rPr>
          <w:rFonts w:ascii="Times New Roman" w:hAnsi="Times New Roman" w:cs="Times New Roman"/>
          <w:sz w:val="20"/>
          <w:szCs w:val="20"/>
        </w:rPr>
        <w:t xml:space="preserve"> An Introduction to Difference Equations. 3rd edition. Springer, New York.</w:t>
      </w:r>
    </w:p>
    <w:p w14:paraId="568F83A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Fleming, W. H. and Rishel, R. W. (1975).</w:t>
      </w:r>
      <w:r w:rsidRPr="009668D3">
        <w:rPr>
          <w:rFonts w:ascii="Times New Roman" w:hAnsi="Times New Roman" w:cs="Times New Roman"/>
          <w:sz w:val="20"/>
          <w:szCs w:val="20"/>
        </w:rPr>
        <w:t xml:space="preserve"> Deterministic and Stochastic Optimal Control. Springer, New York.</w:t>
      </w:r>
    </w:p>
    <w:p w14:paraId="5ABA235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Hackbusch, W. (1978).</w:t>
      </w:r>
      <w:r w:rsidRPr="009668D3">
        <w:rPr>
          <w:rFonts w:ascii="Times New Roman" w:hAnsi="Times New Roman" w:cs="Times New Roman"/>
          <w:sz w:val="20"/>
          <w:szCs w:val="20"/>
        </w:rPr>
        <w:t xml:space="preserve"> A numerical method for solving parabolic equations with opposite orientations. Computing, 20, 229–240.</w:t>
      </w:r>
    </w:p>
    <w:p w14:paraId="31EB7922"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Hartman, P. (1964).</w:t>
      </w:r>
      <w:r w:rsidRPr="009668D3">
        <w:rPr>
          <w:rFonts w:ascii="Times New Roman" w:hAnsi="Times New Roman" w:cs="Times New Roman"/>
          <w:sz w:val="20"/>
          <w:szCs w:val="20"/>
        </w:rPr>
        <w:t xml:space="preserve"> Ordinary Differential Equations. John Wiley &amp; Sons, New York.</w:t>
      </w:r>
    </w:p>
    <w:p w14:paraId="3192D8BB"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Hethcote, H. W., Wang, W., Han, L. and Ma, Z. (2004).</w:t>
      </w:r>
      <w:r w:rsidRPr="009668D3">
        <w:rPr>
          <w:rFonts w:ascii="Times New Roman" w:hAnsi="Times New Roman" w:cs="Times New Roman"/>
          <w:sz w:val="20"/>
          <w:szCs w:val="20"/>
        </w:rPr>
        <w:t xml:space="preserve"> A predator–prey model with infected prey. Theoretical Population Biology, 66, 259–268.</w:t>
      </w:r>
    </w:p>
    <w:p w14:paraId="69914D6E"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Khalil, H. K. (2002).</w:t>
      </w:r>
      <w:r w:rsidRPr="009668D3">
        <w:rPr>
          <w:rFonts w:ascii="Times New Roman" w:hAnsi="Times New Roman" w:cs="Times New Roman"/>
          <w:sz w:val="20"/>
          <w:szCs w:val="20"/>
        </w:rPr>
        <w:t xml:space="preserve"> Nonlinear Systems. 3rd edition. Prentice Hall, Upper Saddle River, NJ.</w:t>
      </w:r>
    </w:p>
    <w:p w14:paraId="06546A74"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Kot, M. (2001).</w:t>
      </w:r>
      <w:r w:rsidRPr="009668D3">
        <w:rPr>
          <w:rFonts w:ascii="Times New Roman" w:hAnsi="Times New Roman" w:cs="Times New Roman"/>
          <w:sz w:val="20"/>
          <w:szCs w:val="20"/>
        </w:rPr>
        <w:t xml:space="preserve"> Elements of Mathematical Ecology. Cambridge University Press.</w:t>
      </w:r>
    </w:p>
    <w:p w14:paraId="6F84906C" w14:textId="3E21DC7A"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Kuznetsov, Y. A. (2004</w:t>
      </w:r>
      <w:r w:rsidRPr="001E6700">
        <w:rPr>
          <w:rFonts w:ascii="Times New Roman" w:eastAsia="Times New Roman" w:hAnsi="Times New Roman" w:cs="Times New Roman"/>
          <w:i/>
          <w:iCs/>
          <w:sz w:val="20"/>
          <w:szCs w:val="20"/>
        </w:rPr>
        <w:t>)</w:t>
      </w:r>
      <w:r w:rsidR="00E10BC7" w:rsidRPr="001E6700">
        <w:rPr>
          <w:rFonts w:ascii="Times New Roman" w:eastAsia="Times New Roman" w:hAnsi="Times New Roman" w:cs="Times New Roman"/>
          <w:i/>
          <w:iCs/>
          <w:sz w:val="20"/>
          <w:szCs w:val="20"/>
        </w:rPr>
        <w:t>s</w:t>
      </w:r>
      <w:r w:rsidRPr="001E6700">
        <w:rPr>
          <w:rFonts w:ascii="Times New Roman" w:eastAsia="Times New Roman" w:hAnsi="Times New Roman" w:cs="Times New Roman"/>
          <w:i/>
          <w:iCs/>
          <w:sz w:val="20"/>
          <w:szCs w:val="20"/>
        </w:rPr>
        <w:t>.</w:t>
      </w:r>
      <w:r w:rsidRPr="009668D3">
        <w:rPr>
          <w:rFonts w:ascii="Times New Roman" w:hAnsi="Times New Roman" w:cs="Times New Roman"/>
          <w:sz w:val="20"/>
          <w:szCs w:val="20"/>
        </w:rPr>
        <w:t xml:space="preserve"> Elements of Applied Bifurcation Theory. 3rd edition. Springer, New York.</w:t>
      </w:r>
    </w:p>
    <w:p w14:paraId="4BA5667C"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Lenhart, S. and Workman, J. T. (2007).</w:t>
      </w:r>
      <w:r w:rsidRPr="009668D3">
        <w:rPr>
          <w:rFonts w:ascii="Times New Roman" w:hAnsi="Times New Roman" w:cs="Times New Roman"/>
          <w:sz w:val="20"/>
          <w:szCs w:val="20"/>
        </w:rPr>
        <w:t xml:space="preserve"> Optimal Control Applied to Biological Models. Chapman and Hall/CRC, Boca Raton.</w:t>
      </w:r>
    </w:p>
    <w:p w14:paraId="23598894" w14:textId="77777777" w:rsidR="000875CC" w:rsidRPr="009668D3" w:rsidRDefault="000875CC" w:rsidP="002D21BC">
      <w:pPr>
        <w:spacing w:after="120" w:line="240" w:lineRule="auto"/>
        <w:jc w:val="both"/>
        <w:rPr>
          <w:rFonts w:ascii="Times New Roman" w:hAnsi="Times New Roman" w:cs="Times New Roman"/>
          <w:sz w:val="20"/>
          <w:szCs w:val="20"/>
          <w:lang w:val="de-DE"/>
        </w:rPr>
      </w:pPr>
      <w:r w:rsidRPr="009668D3">
        <w:rPr>
          <w:rFonts w:ascii="Times New Roman" w:hAnsi="Times New Roman" w:cs="Times New Roman"/>
          <w:i/>
          <w:sz w:val="20"/>
          <w:szCs w:val="20"/>
        </w:rPr>
        <w:t>Marino, S., Hogue, I. B., Ray, C. J. and Kirschner, D. E. (2008).</w:t>
      </w:r>
      <w:r w:rsidRPr="009668D3">
        <w:rPr>
          <w:rFonts w:ascii="Times New Roman" w:hAnsi="Times New Roman" w:cs="Times New Roman"/>
          <w:sz w:val="20"/>
          <w:szCs w:val="20"/>
        </w:rPr>
        <w:t xml:space="preserve"> A methodology for performing global uncertainty and sensitivity analysis in systems biology. </w:t>
      </w:r>
      <w:r w:rsidRPr="009668D3">
        <w:rPr>
          <w:rFonts w:ascii="Times New Roman" w:hAnsi="Times New Roman" w:cs="Times New Roman"/>
          <w:sz w:val="20"/>
          <w:szCs w:val="20"/>
          <w:lang w:val="de-DE"/>
        </w:rPr>
        <w:t>Journal of Theoretical Biology, 254, 178–196.</w:t>
      </w:r>
    </w:p>
    <w:p w14:paraId="3CD94DF6"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lang w:val="de-DE"/>
        </w:rPr>
        <w:t>Nagumo, M. (1942).</w:t>
      </w:r>
      <w:r w:rsidRPr="009668D3">
        <w:rPr>
          <w:rFonts w:ascii="Times New Roman" w:hAnsi="Times New Roman" w:cs="Times New Roman"/>
          <w:sz w:val="20"/>
          <w:szCs w:val="20"/>
          <w:lang w:val="de-DE"/>
        </w:rPr>
        <w:t xml:space="preserve"> Über die Lage der Integralkurven gewöhnlicher Differentialgleichungen. </w:t>
      </w:r>
      <w:r w:rsidRPr="009668D3">
        <w:rPr>
          <w:rFonts w:ascii="Times New Roman" w:hAnsi="Times New Roman" w:cs="Times New Roman"/>
          <w:sz w:val="20"/>
          <w:szCs w:val="20"/>
        </w:rPr>
        <w:t>Proceedings of the Physico-Mathematical Society of Japan, 24, 551–559.</w:t>
      </w:r>
    </w:p>
    <w:p w14:paraId="7790B90B"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Palis, J. and de Melo, W. (1982).</w:t>
      </w:r>
      <w:r w:rsidRPr="009668D3">
        <w:rPr>
          <w:rFonts w:ascii="Times New Roman" w:hAnsi="Times New Roman" w:cs="Times New Roman"/>
          <w:sz w:val="20"/>
          <w:szCs w:val="20"/>
        </w:rPr>
        <w:t xml:space="preserve"> Geometric Theory of Dynamical Systems. Springer, New York.</w:t>
      </w:r>
    </w:p>
    <w:p w14:paraId="0617E3AB"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Pontryagin, L. S., Boltyanskii, V. G., Gamkrelidze, R. V. and Mishchenko, E. F. (1962).</w:t>
      </w:r>
      <w:r w:rsidRPr="009668D3">
        <w:rPr>
          <w:rFonts w:ascii="Times New Roman" w:hAnsi="Times New Roman" w:cs="Times New Roman"/>
          <w:sz w:val="20"/>
          <w:szCs w:val="20"/>
        </w:rPr>
        <w:t xml:space="preserve"> The Mathematical Theory of Optimal Processes. Interscience, New York.</w:t>
      </w:r>
    </w:p>
    <w:p w14:paraId="5D85D695"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Saltelli, A., Ratto, M., Andres, T., Campolongo, F., Cariboni, J., Gatelli, D., Saisana, M. and Tarantola, S. (2008).</w:t>
      </w:r>
      <w:r w:rsidRPr="009668D3">
        <w:rPr>
          <w:rFonts w:ascii="Times New Roman" w:hAnsi="Times New Roman" w:cs="Times New Roman"/>
          <w:sz w:val="20"/>
          <w:szCs w:val="20"/>
        </w:rPr>
        <w:t xml:space="preserve"> Global Sensitivity Analysis: The Primer. John Wiley &amp; Sons.</w:t>
      </w:r>
    </w:p>
    <w:p w14:paraId="72860C8F"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van den Driessche, P. and Watmough, J. (2002).</w:t>
      </w:r>
      <w:r w:rsidRPr="009668D3">
        <w:rPr>
          <w:rFonts w:ascii="Times New Roman" w:hAnsi="Times New Roman" w:cs="Times New Roman"/>
          <w:sz w:val="20"/>
          <w:szCs w:val="20"/>
        </w:rPr>
        <w:t xml:space="preserve"> Reproduction numbers and sub-threshold endemic equilibria for compartmental models of disease transmission. Mathematical Biosciences, 180, 29–48.</w:t>
      </w:r>
    </w:p>
    <w:p w14:paraId="1B9CC283" w14:textId="77777777" w:rsidR="000875CC" w:rsidRPr="009668D3" w:rsidRDefault="000875CC" w:rsidP="002D21BC">
      <w:pPr>
        <w:spacing w:after="120" w:line="240" w:lineRule="auto"/>
        <w:jc w:val="both"/>
        <w:rPr>
          <w:rFonts w:ascii="Times New Roman" w:hAnsi="Times New Roman" w:cs="Times New Roman"/>
          <w:sz w:val="20"/>
          <w:szCs w:val="20"/>
        </w:rPr>
      </w:pPr>
      <w:r w:rsidRPr="009668D3">
        <w:rPr>
          <w:rFonts w:ascii="Times New Roman" w:hAnsi="Times New Roman" w:cs="Times New Roman"/>
          <w:i/>
          <w:sz w:val="20"/>
          <w:szCs w:val="20"/>
        </w:rPr>
        <w:t>Wiggins, S. (2003).</w:t>
      </w:r>
      <w:r w:rsidRPr="009668D3">
        <w:rPr>
          <w:rFonts w:ascii="Times New Roman" w:hAnsi="Times New Roman" w:cs="Times New Roman"/>
          <w:sz w:val="20"/>
          <w:szCs w:val="20"/>
        </w:rPr>
        <w:t xml:space="preserve"> Introduction to Applied Nonlinear Dynamical Systems and Chaos. 2nd edition. Springer, New York.</w:t>
      </w:r>
    </w:p>
    <w:p w14:paraId="01A20F7B" w14:textId="77777777" w:rsidR="000875CC" w:rsidRPr="009668D3" w:rsidRDefault="000875CC" w:rsidP="002D21BC">
      <w:pPr>
        <w:spacing w:line="240" w:lineRule="auto"/>
        <w:jc w:val="both"/>
        <w:rPr>
          <w:rFonts w:ascii="Times New Roman" w:hAnsi="Times New Roman" w:cs="Times New Roman"/>
          <w:sz w:val="20"/>
          <w:szCs w:val="20"/>
        </w:rPr>
      </w:pPr>
    </w:p>
    <w:p w14:paraId="691FB0F9" w14:textId="008773E0" w:rsidR="00420E5B" w:rsidRPr="009668D3" w:rsidRDefault="00420E5B" w:rsidP="002D21BC">
      <w:pPr>
        <w:spacing w:line="240" w:lineRule="auto"/>
        <w:jc w:val="both"/>
        <w:rPr>
          <w:rFonts w:ascii="Times New Roman" w:hAnsi="Times New Roman" w:cs="Times New Roman"/>
          <w:sz w:val="20"/>
          <w:szCs w:val="20"/>
        </w:rPr>
      </w:pPr>
    </w:p>
    <w:sectPr w:rsidR="00420E5B" w:rsidRPr="009668D3" w:rsidSect="00D578B6">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NGH Shipra" w:date="2026-04-20T22:44:00Z" w:initials="SS">
    <w:p w14:paraId="5C067BF5" w14:textId="77777777" w:rsidR="00DB5D0E" w:rsidRDefault="00DB5D0E" w:rsidP="00DB5D0E">
      <w:r>
        <w:rPr>
          <w:rStyle w:val="CommentTextChar"/>
        </w:rPr>
        <w:annotationRef/>
      </w:r>
      <w:r>
        <w:rPr>
          <w:lang w:val="en-IN"/>
        </w:rPr>
        <w:t>Is it necessary to add opus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067B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8BF1AB" w16cex:dateUtc="2026-04-20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067BF5" w16cid:durableId="6C8BF1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07C"/>
    <w:multiLevelType w:val="hybridMultilevel"/>
    <w:tmpl w:val="3ABEFA6C"/>
    <w:lvl w:ilvl="0" w:tplc="9E3036D0">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9823EF"/>
    <w:multiLevelType w:val="multilevel"/>
    <w:tmpl w:val="CEA0540E"/>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 w15:restartNumberingAfterBreak="0">
    <w:nsid w:val="3EB73D54"/>
    <w:multiLevelType w:val="hybridMultilevel"/>
    <w:tmpl w:val="AF72194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46E2211B"/>
    <w:multiLevelType w:val="hybridMultilevel"/>
    <w:tmpl w:val="4692C7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20D777B"/>
    <w:multiLevelType w:val="multilevel"/>
    <w:tmpl w:val="065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B1CDB"/>
    <w:multiLevelType w:val="multilevel"/>
    <w:tmpl w:val="8C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E1357"/>
    <w:multiLevelType w:val="multilevel"/>
    <w:tmpl w:val="59B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6627">
    <w:abstractNumId w:val="3"/>
  </w:num>
  <w:num w:numId="2" w16cid:durableId="1759522483">
    <w:abstractNumId w:val="2"/>
  </w:num>
  <w:num w:numId="3" w16cid:durableId="1804692812">
    <w:abstractNumId w:val="5"/>
  </w:num>
  <w:num w:numId="4" w16cid:durableId="1383407459">
    <w:abstractNumId w:val="0"/>
  </w:num>
  <w:num w:numId="5" w16cid:durableId="1921013281">
    <w:abstractNumId w:val="6"/>
  </w:num>
  <w:num w:numId="6" w16cid:durableId="1357268019">
    <w:abstractNumId w:val="4"/>
  </w:num>
  <w:num w:numId="7" w16cid:durableId="5495387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NGH Shipra">
    <w15:presenceInfo w15:providerId="AD" w15:userId="S::singhs@iiasa.ac.at::559169c7-01f1-4a51-91e3-2ac8bd12ca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5E"/>
    <w:rsid w:val="00004DB5"/>
    <w:rsid w:val="00010642"/>
    <w:rsid w:val="00011F0D"/>
    <w:rsid w:val="000221B3"/>
    <w:rsid w:val="0002273C"/>
    <w:rsid w:val="00023591"/>
    <w:rsid w:val="000309A1"/>
    <w:rsid w:val="0003571D"/>
    <w:rsid w:val="00035C80"/>
    <w:rsid w:val="000407FB"/>
    <w:rsid w:val="00053646"/>
    <w:rsid w:val="000561E5"/>
    <w:rsid w:val="000620F6"/>
    <w:rsid w:val="000649FA"/>
    <w:rsid w:val="00066319"/>
    <w:rsid w:val="00070AFD"/>
    <w:rsid w:val="00071FEB"/>
    <w:rsid w:val="00074F30"/>
    <w:rsid w:val="00077094"/>
    <w:rsid w:val="00080D18"/>
    <w:rsid w:val="000875CC"/>
    <w:rsid w:val="00095F35"/>
    <w:rsid w:val="00097FF7"/>
    <w:rsid w:val="000A0FEE"/>
    <w:rsid w:val="000A3B97"/>
    <w:rsid w:val="000A3E17"/>
    <w:rsid w:val="000C1AD6"/>
    <w:rsid w:val="000D307B"/>
    <w:rsid w:val="000D461B"/>
    <w:rsid w:val="000D4F9A"/>
    <w:rsid w:val="000E004D"/>
    <w:rsid w:val="000E2FF5"/>
    <w:rsid w:val="000E55BD"/>
    <w:rsid w:val="000E6357"/>
    <w:rsid w:val="000E742B"/>
    <w:rsid w:val="000F0F0E"/>
    <w:rsid w:val="000F1169"/>
    <w:rsid w:val="000F5314"/>
    <w:rsid w:val="000F6251"/>
    <w:rsid w:val="0010751B"/>
    <w:rsid w:val="001131C4"/>
    <w:rsid w:val="001137CF"/>
    <w:rsid w:val="001164B3"/>
    <w:rsid w:val="001212EC"/>
    <w:rsid w:val="00123538"/>
    <w:rsid w:val="001351F7"/>
    <w:rsid w:val="00145E5E"/>
    <w:rsid w:val="00150623"/>
    <w:rsid w:val="001579E9"/>
    <w:rsid w:val="00163EB0"/>
    <w:rsid w:val="00164944"/>
    <w:rsid w:val="00165E61"/>
    <w:rsid w:val="001672D9"/>
    <w:rsid w:val="0016750A"/>
    <w:rsid w:val="001763B3"/>
    <w:rsid w:val="00176EF7"/>
    <w:rsid w:val="00177474"/>
    <w:rsid w:val="00182DFF"/>
    <w:rsid w:val="00194469"/>
    <w:rsid w:val="00195BA3"/>
    <w:rsid w:val="001A02BA"/>
    <w:rsid w:val="001A7848"/>
    <w:rsid w:val="001B0907"/>
    <w:rsid w:val="001B4098"/>
    <w:rsid w:val="001B78F1"/>
    <w:rsid w:val="001C2D35"/>
    <w:rsid w:val="001C37D6"/>
    <w:rsid w:val="001C61B3"/>
    <w:rsid w:val="001D74F2"/>
    <w:rsid w:val="001E2C8E"/>
    <w:rsid w:val="001E4103"/>
    <w:rsid w:val="001E5D4C"/>
    <w:rsid w:val="001E6700"/>
    <w:rsid w:val="001E6FAC"/>
    <w:rsid w:val="001F2F10"/>
    <w:rsid w:val="001F4EC8"/>
    <w:rsid w:val="00211219"/>
    <w:rsid w:val="00221E17"/>
    <w:rsid w:val="00222C54"/>
    <w:rsid w:val="00223D98"/>
    <w:rsid w:val="00231FEF"/>
    <w:rsid w:val="002325B2"/>
    <w:rsid w:val="002407DE"/>
    <w:rsid w:val="002524CC"/>
    <w:rsid w:val="00253C4A"/>
    <w:rsid w:val="0025789A"/>
    <w:rsid w:val="00261D0A"/>
    <w:rsid w:val="00263939"/>
    <w:rsid w:val="002659D9"/>
    <w:rsid w:val="0027027A"/>
    <w:rsid w:val="002739A8"/>
    <w:rsid w:val="00281A71"/>
    <w:rsid w:val="0029509E"/>
    <w:rsid w:val="002A1004"/>
    <w:rsid w:val="002A36FA"/>
    <w:rsid w:val="002A39E8"/>
    <w:rsid w:val="002A4C87"/>
    <w:rsid w:val="002A623E"/>
    <w:rsid w:val="002B7CB5"/>
    <w:rsid w:val="002C0356"/>
    <w:rsid w:val="002C3360"/>
    <w:rsid w:val="002D21BC"/>
    <w:rsid w:val="002D3246"/>
    <w:rsid w:val="002D621C"/>
    <w:rsid w:val="002D6C8F"/>
    <w:rsid w:val="002E735A"/>
    <w:rsid w:val="002F0864"/>
    <w:rsid w:val="002F14EA"/>
    <w:rsid w:val="002F1AFE"/>
    <w:rsid w:val="002F3C41"/>
    <w:rsid w:val="002F6DC6"/>
    <w:rsid w:val="002F70F5"/>
    <w:rsid w:val="002F79C9"/>
    <w:rsid w:val="00305FAE"/>
    <w:rsid w:val="00315B24"/>
    <w:rsid w:val="00316107"/>
    <w:rsid w:val="003215C3"/>
    <w:rsid w:val="00322142"/>
    <w:rsid w:val="00327684"/>
    <w:rsid w:val="003401AE"/>
    <w:rsid w:val="00342092"/>
    <w:rsid w:val="00343A2F"/>
    <w:rsid w:val="0034411E"/>
    <w:rsid w:val="00347A4A"/>
    <w:rsid w:val="00351374"/>
    <w:rsid w:val="003517E3"/>
    <w:rsid w:val="00356DB0"/>
    <w:rsid w:val="003629FE"/>
    <w:rsid w:val="0037771E"/>
    <w:rsid w:val="00380512"/>
    <w:rsid w:val="00381D74"/>
    <w:rsid w:val="0039300E"/>
    <w:rsid w:val="003937AD"/>
    <w:rsid w:val="00394061"/>
    <w:rsid w:val="003A3E3F"/>
    <w:rsid w:val="003B0CF7"/>
    <w:rsid w:val="003B2C5C"/>
    <w:rsid w:val="003B62B2"/>
    <w:rsid w:val="003C53DE"/>
    <w:rsid w:val="003E2BED"/>
    <w:rsid w:val="003E58BB"/>
    <w:rsid w:val="003E786F"/>
    <w:rsid w:val="003F1BE8"/>
    <w:rsid w:val="004036B2"/>
    <w:rsid w:val="00404E42"/>
    <w:rsid w:val="00406478"/>
    <w:rsid w:val="0040714D"/>
    <w:rsid w:val="00407F07"/>
    <w:rsid w:val="00420E5B"/>
    <w:rsid w:val="004248F4"/>
    <w:rsid w:val="00427EF2"/>
    <w:rsid w:val="004358A4"/>
    <w:rsid w:val="004403DE"/>
    <w:rsid w:val="00444BAA"/>
    <w:rsid w:val="004478A5"/>
    <w:rsid w:val="00452EB0"/>
    <w:rsid w:val="004543AC"/>
    <w:rsid w:val="00460E95"/>
    <w:rsid w:val="004611F6"/>
    <w:rsid w:val="00482E23"/>
    <w:rsid w:val="00483705"/>
    <w:rsid w:val="00486251"/>
    <w:rsid w:val="0048743E"/>
    <w:rsid w:val="004909A1"/>
    <w:rsid w:val="0049659C"/>
    <w:rsid w:val="00497BE6"/>
    <w:rsid w:val="00497FAC"/>
    <w:rsid w:val="004A71D3"/>
    <w:rsid w:val="004B0AA6"/>
    <w:rsid w:val="004B58A2"/>
    <w:rsid w:val="004B68F8"/>
    <w:rsid w:val="004C1D38"/>
    <w:rsid w:val="004C5921"/>
    <w:rsid w:val="004C641E"/>
    <w:rsid w:val="004D1131"/>
    <w:rsid w:val="004D32BC"/>
    <w:rsid w:val="004E0271"/>
    <w:rsid w:val="004E068F"/>
    <w:rsid w:val="004E79BA"/>
    <w:rsid w:val="004F011A"/>
    <w:rsid w:val="004F47EB"/>
    <w:rsid w:val="00502646"/>
    <w:rsid w:val="005040EF"/>
    <w:rsid w:val="00507442"/>
    <w:rsid w:val="005101B6"/>
    <w:rsid w:val="00511375"/>
    <w:rsid w:val="00512A32"/>
    <w:rsid w:val="00533F15"/>
    <w:rsid w:val="005357AB"/>
    <w:rsid w:val="00540DB2"/>
    <w:rsid w:val="005444A5"/>
    <w:rsid w:val="00550C74"/>
    <w:rsid w:val="00565188"/>
    <w:rsid w:val="00570CDF"/>
    <w:rsid w:val="00576D83"/>
    <w:rsid w:val="00583262"/>
    <w:rsid w:val="00586632"/>
    <w:rsid w:val="0059446B"/>
    <w:rsid w:val="00594FA6"/>
    <w:rsid w:val="005B1329"/>
    <w:rsid w:val="005B4F30"/>
    <w:rsid w:val="005C0BD3"/>
    <w:rsid w:val="005C1084"/>
    <w:rsid w:val="005C237A"/>
    <w:rsid w:val="005C78FD"/>
    <w:rsid w:val="005D4873"/>
    <w:rsid w:val="005E0B5A"/>
    <w:rsid w:val="005F2C4C"/>
    <w:rsid w:val="005F424B"/>
    <w:rsid w:val="005F5842"/>
    <w:rsid w:val="005F67FD"/>
    <w:rsid w:val="006008D1"/>
    <w:rsid w:val="00600AD6"/>
    <w:rsid w:val="00602B9A"/>
    <w:rsid w:val="0061383D"/>
    <w:rsid w:val="00614391"/>
    <w:rsid w:val="00621DC3"/>
    <w:rsid w:val="006273DA"/>
    <w:rsid w:val="00630483"/>
    <w:rsid w:val="00640B31"/>
    <w:rsid w:val="00640BC5"/>
    <w:rsid w:val="00643DAE"/>
    <w:rsid w:val="00643ED9"/>
    <w:rsid w:val="006450AD"/>
    <w:rsid w:val="00653373"/>
    <w:rsid w:val="00665518"/>
    <w:rsid w:val="006752F3"/>
    <w:rsid w:val="0067567E"/>
    <w:rsid w:val="006772E4"/>
    <w:rsid w:val="00677CC7"/>
    <w:rsid w:val="00683C2B"/>
    <w:rsid w:val="00684C73"/>
    <w:rsid w:val="00686C73"/>
    <w:rsid w:val="00695BD3"/>
    <w:rsid w:val="006A1945"/>
    <w:rsid w:val="006A4550"/>
    <w:rsid w:val="006B19FB"/>
    <w:rsid w:val="006B3399"/>
    <w:rsid w:val="006B3BD3"/>
    <w:rsid w:val="006B4AE1"/>
    <w:rsid w:val="006B6AB5"/>
    <w:rsid w:val="006B6E15"/>
    <w:rsid w:val="006C20BF"/>
    <w:rsid w:val="006C51A5"/>
    <w:rsid w:val="006E72AF"/>
    <w:rsid w:val="006F02A1"/>
    <w:rsid w:val="006F63E3"/>
    <w:rsid w:val="00705056"/>
    <w:rsid w:val="00706436"/>
    <w:rsid w:val="00707719"/>
    <w:rsid w:val="00710C88"/>
    <w:rsid w:val="00722BE6"/>
    <w:rsid w:val="0072628F"/>
    <w:rsid w:val="007263C9"/>
    <w:rsid w:val="00726470"/>
    <w:rsid w:val="0073020E"/>
    <w:rsid w:val="00740A54"/>
    <w:rsid w:val="0074256D"/>
    <w:rsid w:val="007528C9"/>
    <w:rsid w:val="00757681"/>
    <w:rsid w:val="00766F94"/>
    <w:rsid w:val="007717A7"/>
    <w:rsid w:val="00772441"/>
    <w:rsid w:val="00773963"/>
    <w:rsid w:val="007742C1"/>
    <w:rsid w:val="00787F59"/>
    <w:rsid w:val="00791D55"/>
    <w:rsid w:val="007A517E"/>
    <w:rsid w:val="007B0814"/>
    <w:rsid w:val="007B6A6A"/>
    <w:rsid w:val="007C6AFA"/>
    <w:rsid w:val="007C7911"/>
    <w:rsid w:val="007E0084"/>
    <w:rsid w:val="007E63AA"/>
    <w:rsid w:val="007E661F"/>
    <w:rsid w:val="007F3148"/>
    <w:rsid w:val="007F4DB8"/>
    <w:rsid w:val="00800C27"/>
    <w:rsid w:val="00805682"/>
    <w:rsid w:val="00807140"/>
    <w:rsid w:val="00807BB1"/>
    <w:rsid w:val="00813CFE"/>
    <w:rsid w:val="00814654"/>
    <w:rsid w:val="008216DB"/>
    <w:rsid w:val="0083768E"/>
    <w:rsid w:val="00840C95"/>
    <w:rsid w:val="00842431"/>
    <w:rsid w:val="00842A02"/>
    <w:rsid w:val="00844DD6"/>
    <w:rsid w:val="00853A54"/>
    <w:rsid w:val="00855688"/>
    <w:rsid w:val="00856A75"/>
    <w:rsid w:val="00862A28"/>
    <w:rsid w:val="0086444E"/>
    <w:rsid w:val="0086625E"/>
    <w:rsid w:val="00872868"/>
    <w:rsid w:val="00874EE4"/>
    <w:rsid w:val="00881B5E"/>
    <w:rsid w:val="008868E4"/>
    <w:rsid w:val="00887516"/>
    <w:rsid w:val="00894E43"/>
    <w:rsid w:val="008A38BF"/>
    <w:rsid w:val="008A5F26"/>
    <w:rsid w:val="008A6C0F"/>
    <w:rsid w:val="008A7872"/>
    <w:rsid w:val="008B1061"/>
    <w:rsid w:val="008C375D"/>
    <w:rsid w:val="008C5569"/>
    <w:rsid w:val="008C5C1C"/>
    <w:rsid w:val="008C7B65"/>
    <w:rsid w:val="008D6301"/>
    <w:rsid w:val="008E3512"/>
    <w:rsid w:val="008E454D"/>
    <w:rsid w:val="008F149F"/>
    <w:rsid w:val="008F332F"/>
    <w:rsid w:val="008F493D"/>
    <w:rsid w:val="008F53ED"/>
    <w:rsid w:val="009034BE"/>
    <w:rsid w:val="00905AAB"/>
    <w:rsid w:val="009106DE"/>
    <w:rsid w:val="00920210"/>
    <w:rsid w:val="0092146F"/>
    <w:rsid w:val="0092195B"/>
    <w:rsid w:val="00926DC5"/>
    <w:rsid w:val="0093149B"/>
    <w:rsid w:val="009331A3"/>
    <w:rsid w:val="0094245B"/>
    <w:rsid w:val="009668D3"/>
    <w:rsid w:val="00977094"/>
    <w:rsid w:val="00982EEA"/>
    <w:rsid w:val="009834C5"/>
    <w:rsid w:val="0099432F"/>
    <w:rsid w:val="0099471D"/>
    <w:rsid w:val="009976A9"/>
    <w:rsid w:val="009A31EC"/>
    <w:rsid w:val="009B1F1C"/>
    <w:rsid w:val="009B3D82"/>
    <w:rsid w:val="009D6EBA"/>
    <w:rsid w:val="009E267B"/>
    <w:rsid w:val="009F0017"/>
    <w:rsid w:val="00A12CA2"/>
    <w:rsid w:val="00A14119"/>
    <w:rsid w:val="00A14718"/>
    <w:rsid w:val="00A15B09"/>
    <w:rsid w:val="00A24CE3"/>
    <w:rsid w:val="00A255AF"/>
    <w:rsid w:val="00A31506"/>
    <w:rsid w:val="00A34188"/>
    <w:rsid w:val="00A53600"/>
    <w:rsid w:val="00A63364"/>
    <w:rsid w:val="00A674F1"/>
    <w:rsid w:val="00A735B9"/>
    <w:rsid w:val="00A7520B"/>
    <w:rsid w:val="00A7692E"/>
    <w:rsid w:val="00A82C69"/>
    <w:rsid w:val="00A8673D"/>
    <w:rsid w:val="00A868CD"/>
    <w:rsid w:val="00AA192B"/>
    <w:rsid w:val="00AA253B"/>
    <w:rsid w:val="00AA2E71"/>
    <w:rsid w:val="00AA491A"/>
    <w:rsid w:val="00AA662B"/>
    <w:rsid w:val="00AB3D75"/>
    <w:rsid w:val="00AB44F0"/>
    <w:rsid w:val="00AB4882"/>
    <w:rsid w:val="00AC027F"/>
    <w:rsid w:val="00AC20B5"/>
    <w:rsid w:val="00AD0FB0"/>
    <w:rsid w:val="00AD1A88"/>
    <w:rsid w:val="00AD21ED"/>
    <w:rsid w:val="00AD6C99"/>
    <w:rsid w:val="00AE0201"/>
    <w:rsid w:val="00AF0A0F"/>
    <w:rsid w:val="00AF5FD7"/>
    <w:rsid w:val="00AF64A9"/>
    <w:rsid w:val="00B06361"/>
    <w:rsid w:val="00B06933"/>
    <w:rsid w:val="00B1584A"/>
    <w:rsid w:val="00B25A2B"/>
    <w:rsid w:val="00B26BAB"/>
    <w:rsid w:val="00B42F62"/>
    <w:rsid w:val="00B51BB1"/>
    <w:rsid w:val="00B53BBA"/>
    <w:rsid w:val="00B606D4"/>
    <w:rsid w:val="00B67FBB"/>
    <w:rsid w:val="00B815C1"/>
    <w:rsid w:val="00B8166E"/>
    <w:rsid w:val="00B852BD"/>
    <w:rsid w:val="00B865C3"/>
    <w:rsid w:val="00B94072"/>
    <w:rsid w:val="00B96F42"/>
    <w:rsid w:val="00BA0638"/>
    <w:rsid w:val="00BB0726"/>
    <w:rsid w:val="00BB3822"/>
    <w:rsid w:val="00BC78BA"/>
    <w:rsid w:val="00BD67A8"/>
    <w:rsid w:val="00BE0736"/>
    <w:rsid w:val="00BE0894"/>
    <w:rsid w:val="00BE5C03"/>
    <w:rsid w:val="00BE7402"/>
    <w:rsid w:val="00C01730"/>
    <w:rsid w:val="00C02F46"/>
    <w:rsid w:val="00C13DC0"/>
    <w:rsid w:val="00C15819"/>
    <w:rsid w:val="00C207F5"/>
    <w:rsid w:val="00C301AE"/>
    <w:rsid w:val="00C30DA7"/>
    <w:rsid w:val="00C34B87"/>
    <w:rsid w:val="00C35DBB"/>
    <w:rsid w:val="00C41802"/>
    <w:rsid w:val="00C429AB"/>
    <w:rsid w:val="00C447AE"/>
    <w:rsid w:val="00C52555"/>
    <w:rsid w:val="00C57C37"/>
    <w:rsid w:val="00C61678"/>
    <w:rsid w:val="00C6648F"/>
    <w:rsid w:val="00C6767B"/>
    <w:rsid w:val="00C715AB"/>
    <w:rsid w:val="00C80A99"/>
    <w:rsid w:val="00C8160C"/>
    <w:rsid w:val="00C8521D"/>
    <w:rsid w:val="00C92F6D"/>
    <w:rsid w:val="00C951BD"/>
    <w:rsid w:val="00C95B5D"/>
    <w:rsid w:val="00CA0AA6"/>
    <w:rsid w:val="00CA4AB8"/>
    <w:rsid w:val="00CA5B2E"/>
    <w:rsid w:val="00CB0850"/>
    <w:rsid w:val="00CB3732"/>
    <w:rsid w:val="00CB45E5"/>
    <w:rsid w:val="00CB57AB"/>
    <w:rsid w:val="00CB764F"/>
    <w:rsid w:val="00CC2139"/>
    <w:rsid w:val="00CD1DA7"/>
    <w:rsid w:val="00CE79B0"/>
    <w:rsid w:val="00CF482E"/>
    <w:rsid w:val="00D02353"/>
    <w:rsid w:val="00D0288A"/>
    <w:rsid w:val="00D103B7"/>
    <w:rsid w:val="00D11A79"/>
    <w:rsid w:val="00D16F0D"/>
    <w:rsid w:val="00D22CA7"/>
    <w:rsid w:val="00D22F8D"/>
    <w:rsid w:val="00D24492"/>
    <w:rsid w:val="00D30336"/>
    <w:rsid w:val="00D34DD3"/>
    <w:rsid w:val="00D357BB"/>
    <w:rsid w:val="00D415CA"/>
    <w:rsid w:val="00D505DD"/>
    <w:rsid w:val="00D52560"/>
    <w:rsid w:val="00D52C22"/>
    <w:rsid w:val="00D5352B"/>
    <w:rsid w:val="00D53D55"/>
    <w:rsid w:val="00D55985"/>
    <w:rsid w:val="00D578B6"/>
    <w:rsid w:val="00D61CAC"/>
    <w:rsid w:val="00D81C42"/>
    <w:rsid w:val="00D851CA"/>
    <w:rsid w:val="00D91BCD"/>
    <w:rsid w:val="00D9286E"/>
    <w:rsid w:val="00DA0580"/>
    <w:rsid w:val="00DA54D7"/>
    <w:rsid w:val="00DB009F"/>
    <w:rsid w:val="00DB39E4"/>
    <w:rsid w:val="00DB3D08"/>
    <w:rsid w:val="00DB5457"/>
    <w:rsid w:val="00DB5D0E"/>
    <w:rsid w:val="00DD2491"/>
    <w:rsid w:val="00DE1444"/>
    <w:rsid w:val="00DE2F29"/>
    <w:rsid w:val="00DE70C9"/>
    <w:rsid w:val="00DE7976"/>
    <w:rsid w:val="00DF672F"/>
    <w:rsid w:val="00E10BC7"/>
    <w:rsid w:val="00E15C66"/>
    <w:rsid w:val="00E17E93"/>
    <w:rsid w:val="00E24342"/>
    <w:rsid w:val="00E30C0F"/>
    <w:rsid w:val="00E40A46"/>
    <w:rsid w:val="00E4744E"/>
    <w:rsid w:val="00E478E3"/>
    <w:rsid w:val="00E47AC9"/>
    <w:rsid w:val="00E50D54"/>
    <w:rsid w:val="00E52495"/>
    <w:rsid w:val="00E53542"/>
    <w:rsid w:val="00E5665D"/>
    <w:rsid w:val="00E610D1"/>
    <w:rsid w:val="00E6334C"/>
    <w:rsid w:val="00E64DE7"/>
    <w:rsid w:val="00E65F23"/>
    <w:rsid w:val="00E731F7"/>
    <w:rsid w:val="00E82381"/>
    <w:rsid w:val="00E82C6D"/>
    <w:rsid w:val="00E90C81"/>
    <w:rsid w:val="00E90E2B"/>
    <w:rsid w:val="00EA41B1"/>
    <w:rsid w:val="00EA7E5C"/>
    <w:rsid w:val="00EB4C6A"/>
    <w:rsid w:val="00EC428D"/>
    <w:rsid w:val="00EC4A74"/>
    <w:rsid w:val="00EC67BA"/>
    <w:rsid w:val="00EC7A8D"/>
    <w:rsid w:val="00ED1751"/>
    <w:rsid w:val="00ED1C26"/>
    <w:rsid w:val="00ED22AD"/>
    <w:rsid w:val="00ED63C4"/>
    <w:rsid w:val="00EE3E2A"/>
    <w:rsid w:val="00EE54EA"/>
    <w:rsid w:val="00EF57E0"/>
    <w:rsid w:val="00F036A2"/>
    <w:rsid w:val="00F052EE"/>
    <w:rsid w:val="00F16680"/>
    <w:rsid w:val="00F174F7"/>
    <w:rsid w:val="00F21FBC"/>
    <w:rsid w:val="00F27205"/>
    <w:rsid w:val="00F3266B"/>
    <w:rsid w:val="00F33058"/>
    <w:rsid w:val="00F432D2"/>
    <w:rsid w:val="00F506BB"/>
    <w:rsid w:val="00F55475"/>
    <w:rsid w:val="00F712FE"/>
    <w:rsid w:val="00F74395"/>
    <w:rsid w:val="00F7489D"/>
    <w:rsid w:val="00F93E9D"/>
    <w:rsid w:val="00F94DAE"/>
    <w:rsid w:val="00F9663D"/>
    <w:rsid w:val="00F96CFE"/>
    <w:rsid w:val="00FA7DD2"/>
    <w:rsid w:val="00FB1640"/>
    <w:rsid w:val="00FB5ED8"/>
    <w:rsid w:val="00FB6661"/>
    <w:rsid w:val="00FB796D"/>
    <w:rsid w:val="00FC2021"/>
    <w:rsid w:val="00FC5975"/>
    <w:rsid w:val="00FD02E6"/>
    <w:rsid w:val="00FD056E"/>
    <w:rsid w:val="00FE6C2F"/>
    <w:rsid w:val="00FE7600"/>
    <w:rsid w:val="00FE7AAC"/>
    <w:rsid w:val="00FF28AB"/>
    <w:rsid w:val="00FF759C"/>
    <w:rsid w:val="00FF77C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CFFB"/>
  <w15:chartTrackingRefBased/>
  <w15:docId w15:val="{81E115FF-288F-4C31-A9FE-1C579E86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5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5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E5E"/>
    <w:rPr>
      <w:rFonts w:eastAsiaTheme="majorEastAsia" w:cstheme="majorBidi"/>
      <w:color w:val="272727" w:themeColor="text1" w:themeTint="D8"/>
    </w:rPr>
  </w:style>
  <w:style w:type="paragraph" w:styleId="Title">
    <w:name w:val="Title"/>
    <w:basedOn w:val="Normal"/>
    <w:next w:val="Normal"/>
    <w:link w:val="TitleChar"/>
    <w:uiPriority w:val="10"/>
    <w:qFormat/>
    <w:rsid w:val="0014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E5E"/>
    <w:pPr>
      <w:spacing w:before="160"/>
      <w:jc w:val="center"/>
    </w:pPr>
    <w:rPr>
      <w:i/>
      <w:iCs/>
      <w:color w:val="404040" w:themeColor="text1" w:themeTint="BF"/>
    </w:rPr>
  </w:style>
  <w:style w:type="character" w:customStyle="1" w:styleId="QuoteChar">
    <w:name w:val="Quote Char"/>
    <w:basedOn w:val="DefaultParagraphFont"/>
    <w:link w:val="Quote"/>
    <w:uiPriority w:val="29"/>
    <w:rsid w:val="00145E5E"/>
    <w:rPr>
      <w:i/>
      <w:iCs/>
      <w:color w:val="404040" w:themeColor="text1" w:themeTint="BF"/>
    </w:rPr>
  </w:style>
  <w:style w:type="paragraph" w:styleId="ListParagraph">
    <w:name w:val="List Paragraph"/>
    <w:basedOn w:val="Normal"/>
    <w:uiPriority w:val="34"/>
    <w:qFormat/>
    <w:rsid w:val="00145E5E"/>
    <w:pPr>
      <w:ind w:left="720"/>
      <w:contextualSpacing/>
    </w:pPr>
  </w:style>
  <w:style w:type="character" w:styleId="IntenseEmphasis">
    <w:name w:val="Intense Emphasis"/>
    <w:basedOn w:val="DefaultParagraphFont"/>
    <w:uiPriority w:val="21"/>
    <w:qFormat/>
    <w:rsid w:val="00145E5E"/>
    <w:rPr>
      <w:i/>
      <w:iCs/>
      <w:color w:val="0F4761" w:themeColor="accent1" w:themeShade="BF"/>
    </w:rPr>
  </w:style>
  <w:style w:type="paragraph" w:styleId="IntenseQuote">
    <w:name w:val="Intense Quote"/>
    <w:basedOn w:val="Normal"/>
    <w:next w:val="Normal"/>
    <w:link w:val="IntenseQuoteChar"/>
    <w:uiPriority w:val="30"/>
    <w:qFormat/>
    <w:rsid w:val="00145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E5E"/>
    <w:rPr>
      <w:i/>
      <w:iCs/>
      <w:color w:val="0F4761" w:themeColor="accent1" w:themeShade="BF"/>
    </w:rPr>
  </w:style>
  <w:style w:type="character" w:styleId="IntenseReference">
    <w:name w:val="Intense Reference"/>
    <w:basedOn w:val="DefaultParagraphFont"/>
    <w:uiPriority w:val="32"/>
    <w:qFormat/>
    <w:rsid w:val="00145E5E"/>
    <w:rPr>
      <w:b/>
      <w:bCs/>
      <w:smallCaps/>
      <w:color w:val="0F4761" w:themeColor="accent1" w:themeShade="BF"/>
      <w:spacing w:val="5"/>
    </w:rPr>
  </w:style>
  <w:style w:type="paragraph" w:customStyle="1" w:styleId="font-claude-response-body">
    <w:name w:val="font-claude-response-body"/>
    <w:basedOn w:val="Normal"/>
    <w:rsid w:val="00261D0A"/>
    <w:pPr>
      <w:spacing w:before="100" w:beforeAutospacing="1" w:after="100" w:afterAutospacing="1" w:line="240" w:lineRule="auto"/>
    </w:pPr>
    <w:rPr>
      <w:rFonts w:ascii="Times New Roman" w:eastAsia="Times New Roman" w:hAnsi="Times New Roman" w:cs="Times New Roman"/>
      <w:kern w:val="0"/>
      <w:lang w:eastAsia="en-AT"/>
      <w14:ligatures w14:val="none"/>
    </w:rPr>
  </w:style>
  <w:style w:type="character" w:styleId="Emphasis">
    <w:name w:val="Emphasis"/>
    <w:basedOn w:val="DefaultParagraphFont"/>
    <w:uiPriority w:val="20"/>
    <w:qFormat/>
    <w:rsid w:val="00261D0A"/>
    <w:rPr>
      <w:i/>
      <w:iCs/>
    </w:rPr>
  </w:style>
  <w:style w:type="character" w:styleId="PlaceholderText">
    <w:name w:val="Placeholder Text"/>
    <w:basedOn w:val="DefaultParagraphFont"/>
    <w:uiPriority w:val="99"/>
    <w:semiHidden/>
    <w:rsid w:val="00CD1DA7"/>
    <w:rPr>
      <w:color w:val="666666"/>
    </w:rPr>
  </w:style>
  <w:style w:type="paragraph" w:styleId="Caption">
    <w:name w:val="caption"/>
    <w:basedOn w:val="Normal"/>
    <w:next w:val="Normal"/>
    <w:uiPriority w:val="35"/>
    <w:unhideWhenUsed/>
    <w:qFormat/>
    <w:rsid w:val="00E90C81"/>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D578B6"/>
  </w:style>
  <w:style w:type="table" w:styleId="TableGrid">
    <w:name w:val="Table Grid"/>
    <w:basedOn w:val="TableNormal"/>
    <w:uiPriority w:val="59"/>
    <w:rsid w:val="00121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3D98"/>
    <w:rPr>
      <w:color w:val="467886" w:themeColor="hyperlink"/>
      <w:u w:val="single"/>
    </w:rPr>
  </w:style>
  <w:style w:type="character" w:styleId="UnresolvedMention">
    <w:name w:val="Unresolved Mention"/>
    <w:basedOn w:val="DefaultParagraphFont"/>
    <w:uiPriority w:val="99"/>
    <w:semiHidden/>
    <w:unhideWhenUsed/>
    <w:rsid w:val="00223D98"/>
    <w:rPr>
      <w:color w:val="605E5C"/>
      <w:shd w:val="clear" w:color="auto" w:fill="E1DFDD"/>
    </w:rPr>
  </w:style>
  <w:style w:type="table" w:styleId="PlainTable5">
    <w:name w:val="Plain Table 5"/>
    <w:basedOn w:val="TableNormal"/>
    <w:uiPriority w:val="45"/>
    <w:rsid w:val="004E79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ghtGrid-Accent1">
    <w:name w:val="Light Grid Accent 1"/>
    <w:basedOn w:val="TableNormal"/>
    <w:uiPriority w:val="62"/>
    <w:rsid w:val="000E55B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CommentText">
    <w:name w:val="annotation text"/>
    <w:basedOn w:val="Normal"/>
    <w:link w:val="CommentTextChar"/>
    <w:uiPriority w:val="99"/>
    <w:unhideWhenUsed/>
    <w:rsid w:val="00B42F62"/>
    <w:pPr>
      <w:spacing w:line="240" w:lineRule="auto"/>
    </w:pPr>
    <w:rPr>
      <w:sz w:val="20"/>
      <w:szCs w:val="20"/>
      <w:lang w:val=""/>
    </w:rPr>
  </w:style>
  <w:style w:type="character" w:customStyle="1" w:styleId="CommentTextChar">
    <w:name w:val="Comment Text Char"/>
    <w:basedOn w:val="DefaultParagraphFont"/>
    <w:link w:val="CommentText"/>
    <w:uiPriority w:val="99"/>
    <w:rsid w:val="00B42F62"/>
    <w:rPr>
      <w:sz w:val="20"/>
      <w:szCs w:val="20"/>
      <w:lang w:val=""/>
    </w:rPr>
  </w:style>
  <w:style w:type="character" w:styleId="CommentReference">
    <w:name w:val="annotation reference"/>
    <w:basedOn w:val="DefaultParagraphFont"/>
    <w:uiPriority w:val="99"/>
    <w:semiHidden/>
    <w:unhideWhenUsed/>
    <w:rsid w:val="00B42F62"/>
    <w:rPr>
      <w:sz w:val="16"/>
      <w:szCs w:val="16"/>
    </w:rPr>
  </w:style>
  <w:style w:type="paragraph" w:styleId="Revision">
    <w:name w:val="Revision"/>
    <w:hidden/>
    <w:uiPriority w:val="99"/>
    <w:semiHidden/>
    <w:rsid w:val="00B42F62"/>
    <w:pPr>
      <w:spacing w:after="0" w:line="240" w:lineRule="auto"/>
    </w:pPr>
    <w:rPr>
      <w:lang w:val=""/>
    </w:rPr>
  </w:style>
  <w:style w:type="paragraph" w:customStyle="1" w:styleId="my-2">
    <w:name w:val="my-2"/>
    <w:basedOn w:val="Normal"/>
    <w:rsid w:val="00B42F6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B42F62"/>
    <w:rPr>
      <w:b/>
      <w:bCs/>
    </w:rPr>
  </w:style>
  <w:style w:type="paragraph" w:styleId="CommentSubject">
    <w:name w:val="annotation subject"/>
    <w:basedOn w:val="CommentText"/>
    <w:next w:val="CommentText"/>
    <w:link w:val="CommentSubjectChar"/>
    <w:uiPriority w:val="99"/>
    <w:semiHidden/>
    <w:unhideWhenUsed/>
    <w:rsid w:val="00B42F62"/>
    <w:rPr>
      <w:b/>
      <w:bCs/>
    </w:rPr>
  </w:style>
  <w:style w:type="character" w:customStyle="1" w:styleId="CommentSubjectChar">
    <w:name w:val="Comment Subject Char"/>
    <w:basedOn w:val="CommentTextChar"/>
    <w:link w:val="CommentSubject"/>
    <w:uiPriority w:val="99"/>
    <w:semiHidden/>
    <w:rsid w:val="00B42F62"/>
    <w:rPr>
      <w:b/>
      <w:bCs/>
      <w:sz w:val="20"/>
      <w:szCs w:val="20"/>
      <w:lang w:v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11/relationships/commentsExtended" Target="commentsExtended.xml"/><Relationship Id="rId26" Type="http://schemas.openxmlformats.org/officeDocument/2006/relationships/hyperlink" Target="https://doi.org/10.1146/annurev.es.04.110173.000245" TargetMode="External"/><Relationship Id="rId39" Type="http://schemas.openxmlformats.org/officeDocument/2006/relationships/hyperlink" Target="https://doi.org/10.1007/s004420000482" TargetMode="External"/><Relationship Id="rId21" Type="http://schemas.openxmlformats.org/officeDocument/2006/relationships/hyperlink" Target="https://doi.org/10.1016/S0005-1098(99)00113-2" TargetMode="External"/><Relationship Id="rId34" Type="http://schemas.openxmlformats.org/officeDocument/2006/relationships/hyperlink" Target="https://doi.org/10.1086/286018" TargetMode="External"/><Relationship Id="rId42" Type="http://schemas.openxmlformats.org/officeDocument/2006/relationships/hyperlink" Target="https://doi.org/10.2307/2937109" TargetMode="External"/><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sinchanpostdoc.github.io/alderguard/" TargetMode="External"/><Relationship Id="rId29" Type="http://schemas.openxmlformats.org/officeDocument/2006/relationships/hyperlink" Target="https://doi.org/10.1007/b97481" TargetMode="External"/><Relationship Id="rId11" Type="http://schemas.openxmlformats.org/officeDocument/2006/relationships/image" Target="media/image4.jpeg"/><Relationship Id="rId24" Type="http://schemas.openxmlformats.org/officeDocument/2006/relationships/hyperlink" Target="https://doi.org/10.1111/een.12792" TargetMode="External"/><Relationship Id="rId32" Type="http://schemas.openxmlformats.org/officeDocument/2006/relationships/hyperlink" Target="https://doi.org/10.1016/j.mbs.2015.11.011" TargetMode="External"/><Relationship Id="rId37" Type="http://schemas.openxmlformats.org/officeDocument/2006/relationships/hyperlink" Target="https://doi.org/10.1038/s41598-017-14155-9" TargetMode="External"/><Relationship Id="rId40" Type="http://schemas.openxmlformats.org/officeDocument/2006/relationships/hyperlink" Target="https://doi.org/10.1016/j.scitotenv.2021.145370" TargetMode="External"/><Relationship Id="rId45" Type="http://schemas.openxmlformats.org/officeDocument/2006/relationships/hyperlink" Target="https://doi.org/10.16970/entoted.600893" TargetMode="External"/><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hyperlink" Target="https://doi.org/10.1038/nature18608" TargetMode="External"/><Relationship Id="rId28" Type="http://schemas.openxmlformats.org/officeDocument/2006/relationships/hyperlink" Target="https://doi.org/10.1016/j.foreco.2020.118500" TargetMode="External"/><Relationship Id="rId36" Type="http://schemas.openxmlformats.org/officeDocument/2006/relationships/hyperlink" Target="https://doi.org/10.1093/treephys/tpad040" TargetMode="External"/><Relationship Id="rId49" Type="http://schemas.openxmlformats.org/officeDocument/2006/relationships/theme" Target="theme/theme1.xml"/><Relationship Id="rId10" Type="http://schemas.openxmlformats.org/officeDocument/2006/relationships/image" Target="media/image3.png"/><Relationship Id="rId19" Type="http://schemas.microsoft.com/office/2016/09/relationships/commentsIds" Target="commentsIds.xml"/><Relationship Id="rId31" Type="http://schemas.openxmlformats.org/officeDocument/2006/relationships/hyperlink" Target="https://doi.org/10.1146/annurev-phyto-080614-120132" TargetMode="External"/><Relationship Id="rId44" Type="http://schemas.openxmlformats.org/officeDocument/2006/relationships/hyperlink" Target="https://doi.org/10.1111/j.1095-8312.2011.01721.x"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i.org/10.1111/j.1365-2656.2008.01458.x" TargetMode="External"/><Relationship Id="rId27" Type="http://schemas.openxmlformats.org/officeDocument/2006/relationships/hyperlink" Target="https://doi.org/10.3389/fams.2025.1642676" TargetMode="External"/><Relationship Id="rId30" Type="http://schemas.openxmlformats.org/officeDocument/2006/relationships/hyperlink" Target="https://doi.org/10.1371/journal.pone.0017857" TargetMode="External"/><Relationship Id="rId35" Type="http://schemas.openxmlformats.org/officeDocument/2006/relationships/hyperlink" Target="https://doi.org/10.1111/1365-2745.12810" TargetMode="External"/><Relationship Id="rId43" Type="http://schemas.openxmlformats.org/officeDocument/2006/relationships/hyperlink" Target="https://doi.org/10.1046/j.1365-2664.2002.00761.x" TargetMode="External"/><Relationship Id="rId48" Type="http://schemas.microsoft.com/office/2011/relationships/people" Target="people.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jpeg"/><Relationship Id="rId17" Type="http://schemas.openxmlformats.org/officeDocument/2006/relationships/comments" Target="comments.xml"/><Relationship Id="rId25" Type="http://schemas.openxmlformats.org/officeDocument/2006/relationships/hyperlink" Target="https://doi.org/10.1098/rspb.2005.3356" TargetMode="External"/><Relationship Id="rId33" Type="http://schemas.openxmlformats.org/officeDocument/2006/relationships/hyperlink" Target="https://doi.org/10.1890/06-1525.1" TargetMode="External"/><Relationship Id="rId38" Type="http://schemas.openxmlformats.org/officeDocument/2006/relationships/hyperlink" Target="https://doi.org/10.1086/285756" TargetMode="External"/><Relationship Id="rId46" Type="http://schemas.openxmlformats.org/officeDocument/2006/relationships/hyperlink" Target="https://doi.org/10.1146/annurev.ento.51.110104.151133" TargetMode="External"/><Relationship Id="rId20" Type="http://schemas.microsoft.com/office/2018/08/relationships/commentsExtensible" Target="commentsExtensible.xml"/><Relationship Id="rId41" Type="http://schemas.openxmlformats.org/officeDocument/2006/relationships/hyperlink" Target="https://doi.org/10.1017/S0959270907000915"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7CE9CF58A37AF43893A4D0C675339DF" ma:contentTypeVersion="14" ma:contentTypeDescription="Ein neues Dokument erstellen." ma:contentTypeScope="" ma:versionID="5989bad1125b19c700b2086c36401e65">
  <xsd:schema xmlns:xsd="http://www.w3.org/2001/XMLSchema" xmlns:xs="http://www.w3.org/2001/XMLSchema" xmlns:p="http://schemas.microsoft.com/office/2006/metadata/properties" xmlns:ns3="30efe6b0-f892-451e-9da2-07192282824d" xmlns:ns4="20667e85-4d90-4204-9a26-d6f4dfabd15b" targetNamespace="http://schemas.microsoft.com/office/2006/metadata/properties" ma:root="true" ma:fieldsID="c892d5c4dce8e6ec68b4e4be744f6425" ns3:_="" ns4:_="">
    <xsd:import namespace="30efe6b0-f892-451e-9da2-07192282824d"/>
    <xsd:import namespace="20667e85-4d90-4204-9a26-d6f4dfabd15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fe6b0-f892-451e-9da2-0719228282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667e85-4d90-4204-9a26-d6f4dfabd15b"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0efe6b0-f892-451e-9da2-07192282824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10D51D-B08A-4F9D-8BB4-964DBA6E7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fe6b0-f892-451e-9da2-07192282824d"/>
    <ds:schemaRef ds:uri="20667e85-4d90-4204-9a26-d6f4dfabd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17406-498E-4990-BD8B-2C5EBDB597E3}">
  <ds:schemaRefs>
    <ds:schemaRef ds:uri="http://schemas.microsoft.com/office/2006/metadata/properties"/>
    <ds:schemaRef ds:uri="http://schemas.microsoft.com/office/infopath/2007/PartnerControls"/>
    <ds:schemaRef ds:uri="30efe6b0-f892-451e-9da2-07192282824d"/>
  </ds:schemaRefs>
</ds:datastoreItem>
</file>

<file path=customXml/itemProps3.xml><?xml version="1.0" encoding="utf-8"?>
<ds:datastoreItem xmlns:ds="http://schemas.openxmlformats.org/officeDocument/2006/customXml" ds:itemID="{61A3B79C-579B-4166-89DF-C98E4A5CBF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25327</Words>
  <Characters>144364</Characters>
  <Application>Microsoft Office Word</Application>
  <DocSecurity>0</DocSecurity>
  <Lines>1203</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 Sinchan</dc:creator>
  <cp:keywords/>
  <dc:description/>
  <cp:lastModifiedBy>GHOSH SINCHAN</cp:lastModifiedBy>
  <cp:revision>63</cp:revision>
  <dcterms:created xsi:type="dcterms:W3CDTF">2026-04-21T16:04:00Z</dcterms:created>
  <dcterms:modified xsi:type="dcterms:W3CDTF">2026-04-22T22:31:00Z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0x01010037CE9CF58A37AF43893A4D0C675339DF</vt:lpwstr>
  </property>
  <property fmtid="{D5CDD505-2E9C-101B-9397-08002B2CF9AE}" pid="3" name="GrammarlyDocumentId">
    <vt:lpwstr>1a041fbb-7255-4e13-8e16-01c8cc3955b8</vt:lpwstr>
  </property>
</Properties>
</file>