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CB3F2" w14:textId="77777777" w:rsidR="001C410C" w:rsidRDefault="00583628">
      <w:r>
        <w:t xml:space="preserve">There is no upper limit in the current formulation of seasonal defoliation D(T). Consequently, defoliation could allow damage to continue building even after the canopy has been essentially entirely consumed. If the model permits </w:t>
      </w:r>
      <w:r>
        <w:t>damage to surpass 100%, it might overestimate canopy degradation, inflate the perceived likelihood of regime shifts, and unfairly penalise slower control strategies more than biologically justified. To foster confidence in the model, I suggest that the authors first report the range of seasonal defoliation values produced across their simulations. If values never approach full defoliation, this concern becomes minor. If values exceed biologically plausible limits, then the model should be tested with a boun</w:t>
      </w:r>
      <w:r>
        <w:t xml:space="preserve">ded formulation in which feeding declines as foliage is depleted. This transparency will help the audience understand the biological plausibility of the results and trust the conclusions. </w:t>
      </w:r>
    </w:p>
    <w:p w14:paraId="7EB00607" w14:textId="77777777" w:rsidR="001C410C" w:rsidRDefault="00583628">
      <w:r>
        <w:t xml:space="preserve">Additionally, there is no justification for why the baseline recruitment process is represented with a compensatory form rather than an overcompensatory one (Beverton–Holt rather than Ricker). The manuscript mentions that alternative recruitment structures were considered as part of structural robustness, which is beneficial. However, those results are not presented clearly enough for the reader to assess how reliant the main conclusions are on the baseline choice. Clarifying this is necessary to establish </w:t>
      </w:r>
      <w:r>
        <w:t>trust in the model's assumptions and to understand their implications. Under the current baseline, increasing adult abundance always results in increased larval recruitment, albeit with saturation. While this assumption may be reasonable, it is not self-evident for a defoliating beetle in forest stands, where larvae can gather locally, exhaust foliage, and face strong within-cohort competition. For a system such as Agelastica alni, one may consider that overcompensatory recruitment is ecologically plausible</w:t>
      </w:r>
      <w:r>
        <w:t>, especially when larval crowding occurs on individual trees or branches. If this process is relevant at the stand scale, then part of the instability observed in the model could stem from recruitment dynamics themselves rather than from parasitoid effects or phenological mismatch. Therefore, I recommend that the authors do two things: first, provide an ecological rationale for adopting the current recruitment form as the default; second, explicitly report whether the main stability, regime-shift, and contr</w:t>
      </w:r>
      <w:r>
        <w:t>ol conclusions remain similar under the alternative recruitment structure. This is a critical issue because it influences causal interpretation, not just model detail.</w:t>
      </w:r>
    </w:p>
    <w:p w14:paraId="41E446CF" w14:textId="77777777" w:rsidR="001C410C" w:rsidRDefault="001C410C"/>
    <w:sectPr w:rsidR="001C410C">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9A2B0" w14:textId="77777777" w:rsidR="00583628" w:rsidRDefault="00583628">
      <w:pPr>
        <w:spacing w:after="0" w:line="240" w:lineRule="auto"/>
      </w:pPr>
      <w:r>
        <w:separator/>
      </w:r>
    </w:p>
  </w:endnote>
  <w:endnote w:type="continuationSeparator" w:id="0">
    <w:p w14:paraId="14CF9244" w14:textId="77777777" w:rsidR="00583628" w:rsidRDefault="00583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D6C69" w14:textId="77777777" w:rsidR="00583628" w:rsidRDefault="00583628">
      <w:pPr>
        <w:spacing w:after="0" w:line="240" w:lineRule="auto"/>
      </w:pPr>
      <w:r>
        <w:rPr>
          <w:color w:val="000000"/>
        </w:rPr>
        <w:separator/>
      </w:r>
    </w:p>
  </w:footnote>
  <w:footnote w:type="continuationSeparator" w:id="0">
    <w:p w14:paraId="6E2C5F3F" w14:textId="77777777" w:rsidR="00583628" w:rsidRDefault="005836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C410C"/>
    <w:rsid w:val="000B5663"/>
    <w:rsid w:val="001C410C"/>
    <w:rsid w:val="00583628"/>
    <w:rsid w:val="00F527D8"/>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F7D4"/>
  <w15:docId w15:val="{2D74EB92-64EF-425B-86F4-BFE1A9D33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AT"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GHOSH Sinchan</dc:creator>
  <dc:description/>
  <cp:lastModifiedBy>GHOSH Sinchan</cp:lastModifiedBy>
  <cp:revision>2</cp:revision>
  <dcterms:created xsi:type="dcterms:W3CDTF">2026-03-28T10:34:00Z</dcterms:created>
  <dcterms:modified xsi:type="dcterms:W3CDTF">2026-03-28T10:34:00Z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5f4a85eb-6cd5-4cde-9ef5-eb34736eb647</vt:lpwstr>
  </property>
</Properties>
</file>