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C20" w:rsidRDefault="00EA0664">
      <w:pPr>
        <w:spacing w:before="2400"/>
        <w:jc w:val="center"/>
      </w:pPr>
      <w:r>
        <w:rPr>
          <w:b/>
          <w:bCs/>
          <w:color w:val="1B3A5C"/>
          <w:sz w:val="56"/>
          <w:szCs w:val="56"/>
        </w:rPr>
        <w:t>AYR STEEL ERP</w:t>
      </w:r>
    </w:p>
    <w:p w:rsidR="00446C20" w:rsidRDefault="00EA0664">
      <w:pPr>
        <w:spacing w:before="160"/>
        <w:jc w:val="center"/>
      </w:pPr>
      <w:r>
        <w:rPr>
          <w:color w:val="3A5A78"/>
          <w:sz w:val="32"/>
          <w:szCs w:val="32"/>
        </w:rPr>
        <w:t>Documento de Arquitectura, Análisis y Requisitos</w:t>
      </w:r>
    </w:p>
    <w:sdt>
      <w:sdtPr>
        <w:alias w:val="Contenido"/>
        <w:id w:val="-3519506"/>
        <w:showingPlcHdr/>
      </w:sdtPr>
      <w:sdtEndPr/>
      <w:sdtContent>
        <w:p w:rsidR="00446C20" w:rsidRDefault="007472D3">
          <w:r>
            <w:t xml:space="preserve">     </w:t>
          </w:r>
        </w:p>
      </w:sdtContent>
    </w:sdt>
    <w:p w:rsidR="007472D3" w:rsidRDefault="007472D3">
      <w:pPr>
        <w:pStyle w:val="Ttulo1"/>
        <w:spacing w:before="0" w:after="120"/>
      </w:pPr>
      <w:bookmarkStart w:id="0" w:name="_Toc239228296"/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7472D3" w:rsidRDefault="007472D3">
      <w:pPr>
        <w:pStyle w:val="Ttulo1"/>
        <w:spacing w:before="0" w:after="120"/>
      </w:pPr>
    </w:p>
    <w:p w:rsidR="00446C20" w:rsidRDefault="00EA0664">
      <w:pPr>
        <w:pStyle w:val="Ttulo1"/>
        <w:spacing w:before="240" w:after="120"/>
      </w:pPr>
      <w:bookmarkStart w:id="1" w:name="_Toc239228297"/>
      <w:bookmarkEnd w:id="0"/>
      <w:r>
        <w:lastRenderedPageBreak/>
        <w:t>1. Propósito y alcance</w:t>
      </w:r>
      <w:bookmarkEnd w:id="1"/>
    </w:p>
    <w:p w:rsidR="00446C20" w:rsidRDefault="00EA0664">
      <w:pPr>
        <w:pStyle w:val="Ttulo2"/>
        <w:spacing w:before="240"/>
      </w:pPr>
      <w:bookmarkStart w:id="2" w:name="_Toc239228298"/>
      <w:r>
        <w:t>1.1 Qué es</w:t>
      </w:r>
      <w:bookmarkEnd w:id="2"/>
    </w:p>
    <w:p w:rsidR="00446C20" w:rsidRDefault="00EA0664">
      <w:pPr>
        <w:spacing w:before="60" w:after="120" w:line="276" w:lineRule="auto"/>
        <w:jc w:val="both"/>
      </w:pPr>
      <w:r>
        <w:t xml:space="preserve">AYR Steel ERP es una aplicación web interna de gestión para una empresa peruana de </w:t>
      </w:r>
      <w:r>
        <w:rPr>
          <w:b/>
          <w:bCs/>
        </w:rPr>
        <w:t>transformación y comercialización de acero</w:t>
      </w:r>
      <w:r>
        <w:t>. Cubre el ciclo desde la compra de materia prima (bobinas de acero) hasta la venta del producto terminado</w:t>
      </w:r>
      <w:r w:rsidR="00AA6BFD">
        <w:t>.</w:t>
      </w:r>
      <w:r w:rsidR="003374B1">
        <w:t xml:space="preserve"> Compra y venta de producto terminado y productos de terceros.</w:t>
      </w:r>
      <w:r w:rsidR="003374B1">
        <w:br/>
        <w:t>Gestionar compras afines al rubro(bobina, productos terminados, productos terceros), y las compras que son gastos a credito, notas de debido, etc. Gestionar produccion. Gestionar ventas que incluya facturacion electronica, guias, notas de credito, etc.</w:t>
      </w:r>
      <w:r w:rsidR="00626069">
        <w:t xml:space="preserve"> Vista para cada rol, de ser necesario coherente con sus funcionalidades.</w:t>
      </w:r>
      <w:r w:rsidR="003374B1">
        <w:t xml:space="preserve"> </w:t>
      </w:r>
    </w:p>
    <w:p w:rsidR="00446C20" w:rsidRDefault="00EA0664">
      <w:pPr>
        <w:pStyle w:val="Ttulo2"/>
        <w:spacing w:before="240"/>
      </w:pPr>
      <w:bookmarkStart w:id="3" w:name="_Toc239228299"/>
      <w:r>
        <w:t>1.2 Qué cubre</w:t>
      </w:r>
      <w:bookmarkEnd w:id="3"/>
    </w:p>
    <w:p w:rsidR="00446C20" w:rsidRDefault="00EA0664">
      <w:pPr>
        <w:pStyle w:val="Prrafodelista"/>
        <w:numPr>
          <w:ilvl w:val="0"/>
          <w:numId w:val="1"/>
        </w:numPr>
        <w:spacing w:before="40" w:after="40"/>
      </w:pPr>
      <w:r>
        <w:t>Registro de materia prima (bobinas) por alta manual, por XML de factura de compra y por importación masiva desde planilla.</w:t>
      </w:r>
    </w:p>
    <w:p w:rsidR="00446C20" w:rsidRDefault="00EA0664">
      <w:pPr>
        <w:pStyle w:val="Prrafodelista"/>
        <w:numPr>
          <w:ilvl w:val="0"/>
          <w:numId w:val="1"/>
        </w:numPr>
        <w:spacing w:before="40" w:after="40"/>
      </w:pPr>
      <w:r>
        <w:t>Transformación de bobina a producto terminado en dos líneas de producción físicas distintas (perfilería drywall y coberturas metálicas).</w:t>
      </w:r>
    </w:p>
    <w:p w:rsidR="00446C20" w:rsidRDefault="00EA0664">
      <w:pPr>
        <w:pStyle w:val="Ttulo1"/>
        <w:spacing w:before="240" w:after="120"/>
      </w:pPr>
      <w:bookmarkStart w:id="4" w:name="_Toc239228301"/>
      <w:r>
        <w:t>2. Contexto de negocio</w:t>
      </w:r>
      <w:bookmarkEnd w:id="4"/>
    </w:p>
    <w:p w:rsidR="00446C20" w:rsidRDefault="00EA0664">
      <w:pPr>
        <w:pStyle w:val="Ttulo2"/>
        <w:spacing w:before="240"/>
      </w:pPr>
      <w:bookmarkStart w:id="5" w:name="_Toc239228302"/>
      <w:r>
        <w:t>2.1 El rubro</w:t>
      </w:r>
      <w:bookmarkEnd w:id="5"/>
    </w:p>
    <w:p w:rsidR="00446C20" w:rsidRDefault="00EA0664">
      <w:pPr>
        <w:spacing w:before="60" w:after="120" w:line="276" w:lineRule="auto"/>
        <w:jc w:val="both"/>
      </w:pPr>
      <w:r>
        <w:t xml:space="preserve">La empresa compra </w:t>
      </w:r>
      <w:r>
        <w:rPr>
          <w:b/>
          <w:bCs/>
        </w:rPr>
        <w:t>bobinas de acero</w:t>
      </w:r>
      <w:r>
        <w:t xml:space="preserve"> (rollos planos, en inglés </w:t>
      </w:r>
      <w:r>
        <w:rPr>
          <w:i/>
          <w:iCs/>
        </w:rPr>
        <w:t>coils</w:t>
      </w:r>
      <w:r>
        <w:t xml:space="preserve">) y las transforma. Una bobina se caracteriza por su peso (kg), su ancho (mm), su espesor (mm) y su </w:t>
      </w:r>
      <w:r>
        <w:rPr>
          <w:b/>
          <w:bCs/>
        </w:rPr>
        <w:t>acabado</w:t>
      </w:r>
      <w:r>
        <w:t xml:space="preserve"> —el recubrimiento superficial—, y se compra por peso a un precio por kilogramo.</w:t>
      </w:r>
    </w:p>
    <w:p w:rsidR="00446C20" w:rsidRDefault="00EA0664">
      <w:pPr>
        <w:spacing w:before="60" w:after="120" w:line="276" w:lineRule="auto"/>
        <w:jc w:val="both"/>
      </w:pPr>
      <w:r>
        <w:t>De la bobina salen dos caminos productivos físicamente distintos:</w:t>
      </w:r>
    </w:p>
    <w:p w:rsidR="00446C20" w:rsidRDefault="00EA0664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</w:rPr>
        <w:t>Corte longitudinal (slitting):</w:t>
      </w:r>
      <w:r>
        <w:t xml:space="preserve"> la bobina se parte a lo largo en tiras de menor ancho llamadas </w:t>
      </w:r>
      <w:r>
        <w:rPr>
          <w:b/>
          <w:bCs/>
        </w:rPr>
        <w:t>flejes</w:t>
      </w:r>
      <w:r>
        <w:t>. Los flejes alimentan una perfiladora que produce perfiles de drywall.</w:t>
      </w:r>
    </w:p>
    <w:p w:rsidR="00446C20" w:rsidRDefault="00EA0664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</w:rPr>
        <w:t>Conformado:</w:t>
      </w:r>
      <w:r>
        <w:t xml:space="preserve"> la bobina pasa por una máquina conformadora que le da perfil ondulado o trapezoidal y produce coberturas y planchas metálicas.</w:t>
      </w:r>
    </w:p>
    <w:p w:rsidR="00446C20" w:rsidRDefault="00EA0664">
      <w:pPr>
        <w:spacing w:before="60" w:after="120" w:line="276" w:lineRule="auto"/>
        <w:jc w:val="both"/>
      </w:pPr>
      <w:r>
        <w:t>Además la empresa revende productos que no fabrica.</w:t>
      </w:r>
    </w:p>
    <w:p w:rsidR="00446C20" w:rsidRDefault="00EA0664">
      <w:pPr>
        <w:pStyle w:val="Ttulo2"/>
        <w:spacing w:before="240"/>
      </w:pPr>
      <w:bookmarkStart w:id="6" w:name="_Toc239228303"/>
      <w:r>
        <w:t>2.2 Las cinco líneas de negocio</w:t>
      </w:r>
      <w:bookmarkEnd w:id="6"/>
    </w:p>
    <w:p w:rsidR="00446C20" w:rsidRDefault="00446C20">
      <w:pPr>
        <w:spacing w:before="60" w:after="120" w:line="276" w:lineRule="auto"/>
        <w:jc w:val="both"/>
      </w:pPr>
    </w:p>
    <w:tbl>
      <w:tblPr>
        <w:tblW w:w="5000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1890"/>
        <w:gridCol w:w="1912"/>
        <w:gridCol w:w="1883"/>
        <w:gridCol w:w="1779"/>
      </w:tblGrid>
      <w:tr w:rsidR="00446C20">
        <w:trPr>
          <w:tblHeader/>
        </w:trPr>
        <w:tc>
          <w:tcPr>
            <w:tcW w:w="2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Línea</w:t>
            </w:r>
          </w:p>
        </w:tc>
        <w:tc>
          <w:tcPr>
            <w:tcW w:w="2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2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Modelo</w:t>
            </w:r>
          </w:p>
        </w:tc>
        <w:tc>
          <w:tcPr>
            <w:tcW w:w="2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Materia prima</w:t>
            </w:r>
          </w:p>
        </w:tc>
        <w:tc>
          <w:tcPr>
            <w:tcW w:w="2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  <w:tr w:rsidR="00446C2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Drywall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drywall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Transformación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Bobina → fleje → perfil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  <w:tr w:rsidR="00446C2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Metallic Roofing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metallic-roofing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Transformación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Bobina → conformado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  <w:tr w:rsidR="00446C2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Roofing (UPVC)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roofing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Compra-venta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Producto terminado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  <w:tr w:rsidR="00446C2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Trading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trading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Compra-venta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Producto de terceros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  <w:tr w:rsidR="00446C2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Services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services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Sin stock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</w:tbl>
    <w:p w:rsidR="00446C20" w:rsidRDefault="00446C20">
      <w:pPr>
        <w:spacing w:after="160"/>
      </w:pPr>
    </w:p>
    <w:p w:rsidR="00446C20" w:rsidRDefault="00EA0664">
      <w:pPr>
        <w:spacing w:before="60" w:after="120" w:line="276" w:lineRule="auto"/>
        <w:jc w:val="both"/>
      </w:pPr>
      <w:r>
        <w:t xml:space="preserve">La línea </w:t>
      </w:r>
      <w:r>
        <w:rPr>
          <w:rFonts w:ascii="Consolas" w:eastAsia="Consolas" w:hAnsi="Consolas" w:cs="Consolas"/>
          <w:sz w:val="18"/>
          <w:szCs w:val="18"/>
          <w:shd w:val="clear" w:color="auto" w:fill="F2F2F2"/>
        </w:rPr>
        <w:t>services</w:t>
      </w:r>
      <w:r>
        <w:t xml:space="preserve"> es deliberadamente una operación nula sobre inventario: su estrategia apunta a una colección señuelo </w:t>
      </w:r>
      <w:r>
        <w:rPr>
          <w:rFonts w:ascii="Consolas" w:eastAsia="Consolas" w:hAnsi="Consolas" w:cs="Consolas"/>
          <w:sz w:val="18"/>
          <w:szCs w:val="18"/>
          <w:shd w:val="clear" w:color="auto" w:fill="F2F2F2"/>
        </w:rPr>
        <w:t>_noop_stock</w:t>
      </w:r>
      <w:r w:rsidR="00AA6BFD">
        <w:t>.</w:t>
      </w:r>
    </w:p>
    <w:p w:rsidR="00446C20" w:rsidRDefault="00EA0664">
      <w:pPr>
        <w:pStyle w:val="Ttulo1"/>
        <w:spacing w:before="240" w:after="120"/>
      </w:pPr>
      <w:bookmarkStart w:id="7" w:name="_Toc239228306"/>
      <w:r>
        <w:lastRenderedPageBreak/>
        <w:t>4. Requisitos funcionales</w:t>
      </w:r>
      <w:bookmarkEnd w:id="7"/>
    </w:p>
    <w:p w:rsidR="00446C20" w:rsidRDefault="00EA0664">
      <w:pPr>
        <w:spacing w:before="60" w:after="120" w:line="276" w:lineRule="auto"/>
        <w:jc w:val="both"/>
      </w:pPr>
      <w:r>
        <w:t>Cada requisito está trazado a la ruta, el callable o el módulo que lo implementa. Si un requisito no tiene una referencia de código al lado, no está en esta lista.</w:t>
      </w:r>
    </w:p>
    <w:p w:rsidR="00446C20" w:rsidRDefault="00EA0664">
      <w:pPr>
        <w:pStyle w:val="Ttulo2"/>
        <w:spacing w:before="240"/>
      </w:pPr>
      <w:bookmarkStart w:id="8" w:name="_Toc239228307"/>
      <w:r>
        <w:t>4.1 Autenticación y usuarios</w:t>
      </w:r>
      <w:bookmarkEnd w:id="8"/>
    </w:p>
    <w:tbl>
      <w:tblPr>
        <w:tblW w:w="3240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1"/>
        <w:gridCol w:w="3083"/>
      </w:tblGrid>
      <w:tr w:rsidR="00AA6BFD" w:rsidTr="00AA6BFD">
        <w:trPr>
          <w:tblHeader/>
        </w:trPr>
        <w:tc>
          <w:tcPr>
            <w:tcW w:w="2951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08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</w:tr>
      <w:tr w:rsidR="00AA6BFD" w:rsidTr="00AA6BFD">
        <w:tc>
          <w:tcPr>
            <w:tcW w:w="2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RF-01</w:t>
            </w:r>
          </w:p>
        </w:tc>
        <w:tc>
          <w:tcPr>
            <w:tcW w:w="3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El usuario inicia sesión con correo y contraseña.</w:t>
            </w:r>
          </w:p>
        </w:tc>
      </w:tr>
      <w:tr w:rsidR="00AA6BFD" w:rsidTr="00AA6BFD">
        <w:tc>
          <w:tcPr>
            <w:tcW w:w="2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RF-02</w:t>
            </w:r>
          </w:p>
        </w:tc>
        <w:tc>
          <w:tcPr>
            <w:tcW w:w="3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 w:rsidP="00AA6BFD">
            <w:pPr>
              <w:spacing w:before="20" w:after="20"/>
            </w:pPr>
            <w:r>
              <w:rPr>
                <w:sz w:val="17"/>
                <w:szCs w:val="17"/>
              </w:rPr>
              <w:t xml:space="preserve">Cada usuario tiene exactamente un rol: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ADMIN</w:t>
            </w:r>
            <w:r>
              <w:rPr>
                <w:sz w:val="17"/>
                <w:szCs w:val="17"/>
              </w:rPr>
              <w:t>ISTRADOR, SUPERVISOR PLANTA, VENDEDOR.</w:t>
            </w:r>
          </w:p>
        </w:tc>
      </w:tr>
      <w:tr w:rsidR="00AA6BFD" w:rsidTr="00AA6BFD">
        <w:tc>
          <w:tcPr>
            <w:tcW w:w="2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 w:rsidP="00AA6BFD">
            <w:pPr>
              <w:spacing w:before="20" w:after="20"/>
            </w:pPr>
            <w:r>
              <w:rPr>
                <w:sz w:val="17"/>
                <w:szCs w:val="17"/>
              </w:rPr>
              <w:t>RF-03</w:t>
            </w:r>
          </w:p>
        </w:tc>
        <w:tc>
          <w:tcPr>
            <w:tcW w:w="3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Bajar el rol de un usuario o desactivarlo invalida sus sesiones abiertas.</w:t>
            </w:r>
          </w:p>
        </w:tc>
      </w:tr>
      <w:tr w:rsidR="00AA6BFD" w:rsidTr="00AA6BFD">
        <w:tc>
          <w:tcPr>
            <w:tcW w:w="2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 w:rsidP="00AA6BFD">
            <w:pPr>
              <w:spacing w:before="20" w:after="20"/>
            </w:pPr>
            <w:r>
              <w:rPr>
                <w:sz w:val="17"/>
                <w:szCs w:val="17"/>
              </w:rPr>
              <w:t>RF-04</w:t>
            </w:r>
          </w:p>
        </w:tc>
        <w:tc>
          <w:tcPr>
            <w:tcW w:w="3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Un administrador gestiona el alta, edición y baja de usuarios.</w:t>
            </w:r>
          </w:p>
        </w:tc>
      </w:tr>
    </w:tbl>
    <w:p w:rsidR="00446C20" w:rsidRDefault="00446C20">
      <w:pPr>
        <w:spacing w:after="160"/>
      </w:pPr>
    </w:p>
    <w:p w:rsidR="00446C20" w:rsidRDefault="00EA0664">
      <w:pPr>
        <w:pStyle w:val="Ttulo2"/>
        <w:spacing w:before="240"/>
      </w:pPr>
      <w:bookmarkStart w:id="9" w:name="_Toc239228308"/>
      <w:r>
        <w:t>4.2 Materia prima (bobinas)</w:t>
      </w:r>
      <w:bookmarkEnd w:id="9"/>
    </w:p>
    <w:tbl>
      <w:tblPr>
        <w:tblW w:w="2956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8"/>
        <w:gridCol w:w="2827"/>
      </w:tblGrid>
      <w:tr w:rsidR="00AA6BFD" w:rsidTr="00AA6BFD">
        <w:trPr>
          <w:tblHeader/>
        </w:trPr>
        <w:tc>
          <w:tcPr>
            <w:tcW w:w="2678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827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RF-10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Alta individual de bobina con datos de factura de compra.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RF-11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Alta de bobina a partir del XML de la factura electrónica del proveedor.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RF-12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Alta masiva desde planilla, con revisión previa fila por fila.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RF-13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El identificador de bobina se genera con formato compuesto proveedor-acabado-espesor-peso-correlativo.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RF-14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Cada bobina lleva una clave de tipo que agrupa por acabado y espesor, ignorando el ancho.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RF-16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Revertir un partido, devolviendo peso y ancho a la madre.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RF-17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Registrar merma sobre una bobina.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RF-18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Anular una merma mal registrada.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RF-19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Abrir y cerrar una bobina; una bobina cerrada no entra a producción.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RF-20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Editar los datos de una bobina, incluida su moneda y tipo de cambio.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RF-21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 w:rsidP="00AA6BFD">
            <w:pPr>
              <w:spacing w:before="20" w:after="20"/>
            </w:pPr>
            <w:r>
              <w:rPr>
                <w:sz w:val="17"/>
                <w:szCs w:val="17"/>
              </w:rPr>
              <w:t>Anular una bobina solo si no tiene ningún movimiento.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RF-22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Cancelar el plan de corte de una bobina.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RF-23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Consultar inventario de bobinas separado por línea de negocio.</w:t>
            </w:r>
          </w:p>
        </w:tc>
      </w:tr>
      <w:tr w:rsidR="00AA6BFD" w:rsidTr="00AA6BFD">
        <w:tc>
          <w:tcPr>
            <w:tcW w:w="2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RF-25</w:t>
            </w:r>
          </w:p>
        </w:tc>
        <w:tc>
          <w:tcPr>
            <w:tcW w:w="2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6BFD" w:rsidRDefault="00AA6BFD">
            <w:pPr>
              <w:spacing w:before="20" w:after="20"/>
            </w:pPr>
            <w:r>
              <w:rPr>
                <w:sz w:val="17"/>
                <w:szCs w:val="17"/>
              </w:rPr>
              <w:t>Gestionar el catálogo de acabados con su factor de densidad.</w:t>
            </w:r>
          </w:p>
        </w:tc>
      </w:tr>
    </w:tbl>
    <w:p w:rsidR="00446C20" w:rsidRDefault="00446C20">
      <w:pPr>
        <w:spacing w:after="160"/>
      </w:pPr>
    </w:p>
    <w:p w:rsidR="00446C20" w:rsidRDefault="00EA0664">
      <w:pPr>
        <w:pStyle w:val="Ttulo2"/>
        <w:spacing w:before="240"/>
      </w:pPr>
      <w:bookmarkStart w:id="10" w:name="_Toc239228309"/>
      <w:r>
        <w:t>4.3 Producción</w:t>
      </w:r>
      <w:bookmarkEnd w:id="10"/>
    </w:p>
    <w:tbl>
      <w:tblPr>
        <w:tblW w:w="2797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3"/>
        <w:gridCol w:w="2706"/>
      </w:tblGrid>
      <w:tr w:rsidR="003374B1" w:rsidTr="003374B1">
        <w:trPr>
          <w:tblHeader/>
        </w:trPr>
        <w:tc>
          <w:tcPr>
            <w:tcW w:w="250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70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RF-30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Producir cobertura o plancha consumiendo una o varias bobinas a la vez.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RF-31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Toda producción de coberturas debe ir contra una cotización; no se admite producción suelta.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RF-32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Una misma corrida no puede mezclar bobinas de acabados distintos.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RF-33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Anular una producción de coberturas devuelve a cada bobina el peso exacto que consumió.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RF-34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Producir perfiles de drywall desde fleje.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RF-35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Revertir una producción de drywall.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RF-36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No se puede anular una producción si el producto resultante ya tiene una venta cerrada posterior.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RF-37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La cola muestra las cotizaciones confirmadas pendientes de fabricar, con su avance.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RF-38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Un indicador en el menú lateral muestra cuántas cotizaciones esperan producción.</w:t>
            </w:r>
          </w:p>
        </w:tc>
      </w:tr>
      <w:tr w:rsidR="003374B1" w:rsidTr="003374B1">
        <w:tc>
          <w:tcPr>
            <w:tcW w:w="25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RF-39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Terminal simplificada para el operario de planta.</w:t>
            </w:r>
          </w:p>
        </w:tc>
      </w:tr>
    </w:tbl>
    <w:p w:rsidR="00446C20" w:rsidRDefault="00446C20">
      <w:pPr>
        <w:spacing w:after="160"/>
      </w:pPr>
    </w:p>
    <w:p w:rsidR="00446C20" w:rsidRDefault="00EA0664">
      <w:pPr>
        <w:pStyle w:val="Ttulo2"/>
        <w:spacing w:before="240"/>
      </w:pPr>
      <w:bookmarkStart w:id="11" w:name="_Toc239228310"/>
      <w:r>
        <w:t>4.4 Corte tercerizado</w:t>
      </w:r>
      <w:bookmarkEnd w:id="11"/>
    </w:p>
    <w:tbl>
      <w:tblPr>
        <w:tblW w:w="2637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3"/>
        <w:gridCol w:w="2538"/>
      </w:tblGrid>
      <w:tr w:rsidR="003374B1" w:rsidTr="003374B1">
        <w:trPr>
          <w:tblHeader/>
        </w:trPr>
        <w:tc>
          <w:tcPr>
            <w:tcW w:w="2374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538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</w:tr>
      <w:tr w:rsidR="003374B1" w:rsidTr="003374B1">
        <w:tc>
          <w:tcPr>
            <w:tcW w:w="2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RF-40</w:t>
            </w:r>
          </w:p>
        </w:tc>
        <w:tc>
          <w:tcPr>
            <w:tcW w:w="2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Enviar bobinas a un tercero para corte, con plan de anchos.</w:t>
            </w:r>
          </w:p>
        </w:tc>
      </w:tr>
      <w:tr w:rsidR="003374B1" w:rsidTr="003374B1">
        <w:tc>
          <w:tcPr>
            <w:tcW w:w="2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RF-41</w:t>
            </w:r>
          </w:p>
        </w:tc>
        <w:tc>
          <w:tcPr>
            <w:tcW w:w="2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Recibir los flejes y prorratear el costo del servicio por peso.</w:t>
            </w:r>
          </w:p>
        </w:tc>
      </w:tr>
      <w:tr w:rsidR="003374B1" w:rsidTr="003374B1">
        <w:tc>
          <w:tcPr>
            <w:tcW w:w="2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RF-42</w:t>
            </w:r>
          </w:p>
        </w:tc>
        <w:tc>
          <w:tcPr>
            <w:tcW w:w="2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Consultar el stock de flejes por ancho.</w:t>
            </w:r>
          </w:p>
        </w:tc>
      </w:tr>
    </w:tbl>
    <w:p w:rsidR="00446C20" w:rsidRDefault="00446C20">
      <w:pPr>
        <w:spacing w:after="160"/>
      </w:pPr>
    </w:p>
    <w:p w:rsidR="00446C20" w:rsidRDefault="00EA0664">
      <w:pPr>
        <w:pStyle w:val="Ttulo2"/>
        <w:spacing w:before="240"/>
      </w:pPr>
      <w:bookmarkStart w:id="12" w:name="_Toc239228311"/>
      <w:r>
        <w:t>4.5 Catálogo e inventario</w:t>
      </w:r>
      <w:bookmarkEnd w:id="12"/>
    </w:p>
    <w:tbl>
      <w:tblPr>
        <w:tblW w:w="3271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1"/>
        <w:gridCol w:w="3081"/>
      </w:tblGrid>
      <w:tr w:rsidR="003374B1" w:rsidTr="003374B1">
        <w:trPr>
          <w:tblHeader/>
        </w:trPr>
        <w:tc>
          <w:tcPr>
            <w:tcW w:w="3011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08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</w:tr>
      <w:tr w:rsidR="003374B1" w:rsidTr="003374B1">
        <w:tc>
          <w:tcPr>
            <w:tcW w:w="3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RF-50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Cada línea tiene su catálogo propio de productos.</w:t>
            </w:r>
          </w:p>
        </w:tc>
      </w:tr>
      <w:tr w:rsidR="003374B1" w:rsidTr="003374B1">
        <w:tc>
          <w:tcPr>
            <w:tcW w:w="3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RF-51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Cada línea con stock tiene su vista de inventario valorizado.</w:t>
            </w:r>
          </w:p>
        </w:tc>
      </w:tr>
      <w:tr w:rsidR="003374B1" w:rsidTr="003374B1">
        <w:tc>
          <w:tcPr>
            <w:tcW w:w="3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RF-52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Importación masiva de catálogo desde planilla, con edición fila por fila.</w:t>
            </w:r>
          </w:p>
        </w:tc>
      </w:tr>
      <w:tr w:rsidR="003374B1" w:rsidTr="003374B1">
        <w:tc>
          <w:tcPr>
            <w:tcW w:w="3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RF-53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Consultar el kardex de un producto o de una bobina.</w:t>
            </w:r>
          </w:p>
        </w:tc>
      </w:tr>
    </w:tbl>
    <w:p w:rsidR="00446C20" w:rsidRDefault="00446C20">
      <w:pPr>
        <w:spacing w:after="160"/>
      </w:pPr>
    </w:p>
    <w:p w:rsidR="00446C20" w:rsidRDefault="00EA0664">
      <w:pPr>
        <w:pStyle w:val="Ttulo2"/>
        <w:spacing w:before="240"/>
      </w:pPr>
      <w:bookmarkStart w:id="13" w:name="_Toc239228312"/>
      <w:r>
        <w:t>4.6 Ventas y cotizaciones</w:t>
      </w:r>
      <w:bookmarkEnd w:id="13"/>
    </w:p>
    <w:tbl>
      <w:tblPr>
        <w:tblW w:w="2584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550"/>
      </w:tblGrid>
      <w:tr w:rsidR="003374B1" w:rsidTr="003374B1">
        <w:trPr>
          <w:tblHeader/>
        </w:trPr>
        <w:tc>
          <w:tcPr>
            <w:tcW w:w="2262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55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RF-60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Emitir una venta desde el punto de venta interno.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RF-61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Emitir una cotización.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RF-62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Confirmar una cotización para producción.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RF-63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Registrar que el cliente aceptó una cotización, y con ello mandarla a producción, SEPARAR LA PRODUCCION DE COTIZACION SEPARADA O GENERAR UNA ORDEN.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RF-64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Convertir una cotización en venta, descontando stock.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RF-65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Cancelar una cotización.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RF-66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Editar una cotización propia que no tenga producción viva.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RF-67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Anular una venta, con cascada sobre su cotización gemela y reversa de stock.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RF-68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Listar ventas con búsqueda, filtros y totales agregados del conjunto filtrado.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RF-69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Listar cotizaciones por separado de las ventas.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RF-71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Importar comprobantes ya emitidos desde planilla, incluidas notas de crédito.</w:t>
            </w:r>
          </w:p>
        </w:tc>
      </w:tr>
      <w:tr w:rsidR="003374B1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RF-72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B1" w:rsidRDefault="003374B1">
            <w:pPr>
              <w:spacing w:before="20" w:after="20"/>
            </w:pPr>
            <w:r>
              <w:rPr>
                <w:sz w:val="17"/>
                <w:szCs w:val="17"/>
              </w:rPr>
              <w:t>Reimportar un comprobante ya importado archiva la versión anterior en vez de pisarla.</w:t>
            </w:r>
          </w:p>
        </w:tc>
      </w:tr>
      <w:tr w:rsidR="00626069" w:rsidTr="003374B1">
        <w:tc>
          <w:tcPr>
            <w:tcW w:w="22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069" w:rsidRDefault="00626069">
            <w:pPr>
              <w:spacing w:before="20" w:after="20"/>
              <w:rPr>
                <w:sz w:val="17"/>
                <w:szCs w:val="17"/>
              </w:rPr>
            </w:pP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069" w:rsidRDefault="00626069">
            <w:pPr>
              <w:spacing w:before="2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Venta de bobinas directamente, se debe generar sku?</w:t>
            </w:r>
          </w:p>
        </w:tc>
      </w:tr>
    </w:tbl>
    <w:p w:rsidR="00446C20" w:rsidRDefault="00446C20">
      <w:pPr>
        <w:spacing w:after="160"/>
      </w:pPr>
    </w:p>
    <w:p w:rsidR="00446C20" w:rsidRDefault="00446C20">
      <w:pPr>
        <w:spacing w:after="160"/>
      </w:pPr>
    </w:p>
    <w:p w:rsidR="00446C20" w:rsidRDefault="00EA0664">
      <w:pPr>
        <w:pStyle w:val="Ttulo2"/>
        <w:spacing w:before="240"/>
      </w:pPr>
      <w:bookmarkStart w:id="14" w:name="_Toc239228315"/>
      <w:r>
        <w:t>4.9 Auditoría y configuración</w:t>
      </w:r>
      <w:bookmarkEnd w:id="14"/>
    </w:p>
    <w:tbl>
      <w:tblPr>
        <w:tblW w:w="5000" w:type="pct"/>
        <w:tblBorders>
          <w:top w:val="single" w:sz="1" w:space="0" w:color="C6D0DC"/>
          <w:left w:val="single" w:sz="1" w:space="0" w:color="C6D0DC"/>
          <w:bottom w:val="single" w:sz="1" w:space="0" w:color="C6D0DC"/>
          <w:right w:val="single" w:sz="1" w:space="0" w:color="C6D0DC"/>
          <w:insideH w:val="single" w:sz="1" w:space="0" w:color="C6D0DC"/>
          <w:insideV w:val="single" w:sz="1" w:space="0" w:color="C6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3"/>
        <w:gridCol w:w="3111"/>
        <w:gridCol w:w="3168"/>
      </w:tblGrid>
      <w:tr w:rsidR="00446C20" w:rsidTr="007472D3">
        <w:trPr>
          <w:tblHeader/>
        </w:trPr>
        <w:tc>
          <w:tcPr>
            <w:tcW w:w="303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111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  <w:tc>
          <w:tcPr>
            <w:tcW w:w="3168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Implementación</w:t>
            </w:r>
          </w:p>
        </w:tc>
      </w:tr>
      <w:tr w:rsidR="00446C20" w:rsidTr="007472D3">
        <w:tc>
          <w:tcPr>
            <w:tcW w:w="3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RF-95</w:t>
            </w:r>
          </w:p>
        </w:tc>
        <w:tc>
          <w:tcPr>
            <w:tcW w:w="3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Toda acción crítica queda registrada de forma inmutable.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  <w:tr w:rsidR="00446C20" w:rsidTr="007472D3">
        <w:tc>
          <w:tcPr>
            <w:tcW w:w="3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RF-96</w:t>
            </w:r>
          </w:p>
        </w:tc>
        <w:tc>
          <w:tcPr>
            <w:tcW w:w="3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EA0664">
            <w:pPr>
              <w:spacing w:before="20" w:after="20"/>
            </w:pPr>
            <w:r>
              <w:rPr>
                <w:sz w:val="17"/>
                <w:szCs w:val="17"/>
              </w:rPr>
              <w:t>Consultar el registro de auditoría.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46C20" w:rsidRDefault="00446C20">
            <w:pPr>
              <w:spacing w:before="20" w:after="20"/>
            </w:pPr>
          </w:p>
        </w:tc>
      </w:tr>
    </w:tbl>
    <w:p w:rsidR="00446C20" w:rsidRDefault="00446C20">
      <w:pPr>
        <w:spacing w:after="160"/>
      </w:pPr>
    </w:p>
    <w:p w:rsidR="00072C3C" w:rsidRDefault="00072C3C" w:rsidP="00072C3C">
      <w:bookmarkStart w:id="15" w:name="_GoBack"/>
      <w:bookmarkEnd w:id="15"/>
    </w:p>
    <w:sectPr w:rsidR="00072C3C">
      <w:footerReference w:type="default" r:id="rId7"/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007E" w:rsidRDefault="0032007E">
      <w:r>
        <w:separator/>
      </w:r>
    </w:p>
  </w:endnote>
  <w:endnote w:type="continuationSeparator" w:id="0">
    <w:p w:rsidR="0032007E" w:rsidRDefault="00320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C20" w:rsidRDefault="00EA0664">
    <w:pPr>
      <w:jc w:val="center"/>
    </w:pPr>
    <w:r>
      <w:rPr>
        <w:color w:val="888888"/>
        <w:sz w:val="16"/>
        <w:szCs w:val="16"/>
      </w:rPr>
      <w:t xml:space="preserve">AYR Steel ERP — Arquitectura 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26069">
      <w:rPr>
        <w:noProof/>
        <w:color w:val="888888"/>
        <w:sz w:val="16"/>
        <w:szCs w:val="16"/>
      </w:rPr>
      <w:t>6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26069">
      <w:rPr>
        <w:noProof/>
        <w:color w:val="888888"/>
        <w:sz w:val="16"/>
        <w:szCs w:val="16"/>
      </w:rPr>
      <w:t>6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007E" w:rsidRDefault="0032007E">
      <w:r>
        <w:separator/>
      </w:r>
    </w:p>
  </w:footnote>
  <w:footnote w:type="continuationSeparator" w:id="0">
    <w:p w:rsidR="0032007E" w:rsidRDefault="00320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F68E1"/>
    <w:multiLevelType w:val="hybridMultilevel"/>
    <w:tmpl w:val="81F2A6C2"/>
    <w:lvl w:ilvl="0" w:tplc="EA2C4304">
      <w:start w:val="1"/>
      <w:numFmt w:val="bullet"/>
      <w:lvlText w:val="●"/>
      <w:lvlJc w:val="left"/>
      <w:pPr>
        <w:ind w:left="720" w:hanging="360"/>
      </w:pPr>
    </w:lvl>
    <w:lvl w:ilvl="1" w:tplc="4D1C7E52">
      <w:start w:val="1"/>
      <w:numFmt w:val="bullet"/>
      <w:lvlText w:val="○"/>
      <w:lvlJc w:val="left"/>
      <w:pPr>
        <w:ind w:left="1440" w:hanging="360"/>
      </w:pPr>
    </w:lvl>
    <w:lvl w:ilvl="2" w:tplc="B3041294">
      <w:start w:val="1"/>
      <w:numFmt w:val="bullet"/>
      <w:lvlText w:val="■"/>
      <w:lvlJc w:val="left"/>
      <w:pPr>
        <w:ind w:left="2160" w:hanging="360"/>
      </w:pPr>
    </w:lvl>
    <w:lvl w:ilvl="3" w:tplc="18D4D596">
      <w:start w:val="1"/>
      <w:numFmt w:val="bullet"/>
      <w:lvlText w:val="●"/>
      <w:lvlJc w:val="left"/>
      <w:pPr>
        <w:ind w:left="2880" w:hanging="360"/>
      </w:pPr>
    </w:lvl>
    <w:lvl w:ilvl="4" w:tplc="78549186">
      <w:start w:val="1"/>
      <w:numFmt w:val="bullet"/>
      <w:lvlText w:val="○"/>
      <w:lvlJc w:val="left"/>
      <w:pPr>
        <w:ind w:left="3600" w:hanging="360"/>
      </w:pPr>
    </w:lvl>
    <w:lvl w:ilvl="5" w:tplc="58CA92E6">
      <w:start w:val="1"/>
      <w:numFmt w:val="bullet"/>
      <w:lvlText w:val="■"/>
      <w:lvlJc w:val="left"/>
      <w:pPr>
        <w:ind w:left="4320" w:hanging="360"/>
      </w:pPr>
    </w:lvl>
    <w:lvl w:ilvl="6" w:tplc="F8A6AECA">
      <w:start w:val="1"/>
      <w:numFmt w:val="bullet"/>
      <w:lvlText w:val="●"/>
      <w:lvlJc w:val="left"/>
      <w:pPr>
        <w:ind w:left="5040" w:hanging="360"/>
      </w:pPr>
    </w:lvl>
    <w:lvl w:ilvl="7" w:tplc="27FE7E20">
      <w:start w:val="1"/>
      <w:numFmt w:val="bullet"/>
      <w:lvlText w:val="●"/>
      <w:lvlJc w:val="left"/>
      <w:pPr>
        <w:ind w:left="5760" w:hanging="360"/>
      </w:pPr>
    </w:lvl>
    <w:lvl w:ilvl="8" w:tplc="FDA8A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77663D"/>
    <w:multiLevelType w:val="hybridMultilevel"/>
    <w:tmpl w:val="1E1801F2"/>
    <w:lvl w:ilvl="0" w:tplc="E692FA74">
      <w:start w:val="1"/>
      <w:numFmt w:val="decimal"/>
      <w:lvlText w:val="%1."/>
      <w:lvlJc w:val="left"/>
      <w:pPr>
        <w:ind w:left="431" w:hanging="360"/>
      </w:pPr>
    </w:lvl>
    <w:lvl w:ilvl="1" w:tplc="C922B59A">
      <w:start w:val="1"/>
      <w:numFmt w:val="decimal"/>
      <w:lvlText w:val="%2."/>
      <w:lvlJc w:val="left"/>
      <w:pPr>
        <w:ind w:left="863" w:hanging="360"/>
      </w:pPr>
    </w:lvl>
    <w:lvl w:ilvl="2" w:tplc="552876CA">
      <w:start w:val="1"/>
      <w:numFmt w:val="decimal"/>
      <w:lvlText w:val="%3."/>
      <w:lvlJc w:val="left"/>
      <w:pPr>
        <w:ind w:left="1296" w:hanging="360"/>
      </w:pPr>
    </w:lvl>
    <w:lvl w:ilvl="3" w:tplc="BA307CB2">
      <w:numFmt w:val="decimal"/>
      <w:lvlText w:val=""/>
      <w:lvlJc w:val="left"/>
    </w:lvl>
    <w:lvl w:ilvl="4" w:tplc="21F6597C">
      <w:numFmt w:val="decimal"/>
      <w:lvlText w:val=""/>
      <w:lvlJc w:val="left"/>
    </w:lvl>
    <w:lvl w:ilvl="5" w:tplc="51DCC876">
      <w:numFmt w:val="decimal"/>
      <w:lvlText w:val=""/>
      <w:lvlJc w:val="left"/>
    </w:lvl>
    <w:lvl w:ilvl="6" w:tplc="D66A4F32">
      <w:numFmt w:val="decimal"/>
      <w:lvlText w:val=""/>
      <w:lvlJc w:val="left"/>
    </w:lvl>
    <w:lvl w:ilvl="7" w:tplc="89446DD2">
      <w:numFmt w:val="decimal"/>
      <w:lvlText w:val=""/>
      <w:lvlJc w:val="left"/>
    </w:lvl>
    <w:lvl w:ilvl="8" w:tplc="884C6A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C20"/>
    <w:rsid w:val="00072C3C"/>
    <w:rsid w:val="001302F6"/>
    <w:rsid w:val="0032007E"/>
    <w:rsid w:val="003374B1"/>
    <w:rsid w:val="00446C20"/>
    <w:rsid w:val="00626069"/>
    <w:rsid w:val="007472D3"/>
    <w:rsid w:val="00AA6BFD"/>
    <w:rsid w:val="00EA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65B40E"/>
  <w15:docId w15:val="{0DDD6F4C-CBA6-4FC2-8901-5AEB5762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qFormat/>
    <w:pPr>
      <w:spacing w:before="260" w:after="120"/>
      <w:outlineLvl w:val="1"/>
    </w:pPr>
    <w:rPr>
      <w:b/>
      <w:bCs/>
      <w:color w:val="24506F"/>
      <w:sz w:val="26"/>
      <w:szCs w:val="26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3A5A78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72C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2C3C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072C3C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072C3C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072C3C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072C3C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072C3C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072C3C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072C3C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955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AYR Steel ERP — Arquitectura, Análisis y Requisitos</vt:lpstr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AYR Steel ERP — Arquitectura, Análisis y Requisitos</dc:title>
  <dc:creator>AYR Steel ERP</dc:creator>
  <dc:description>Generado desde docs/ARQUITECTURA.md en el commit 1c586844</dc:description>
  <cp:lastModifiedBy>User</cp:lastModifiedBy>
  <cp:revision>5</cp:revision>
  <dcterms:created xsi:type="dcterms:W3CDTF">2026-09-02T04:59:00Z</dcterms:created>
  <dcterms:modified xsi:type="dcterms:W3CDTF">2026-09-02T14:15:00Z</dcterms:modified>
</cp:coreProperties>
</file>