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rPr>
        <w:t xml:space="preserve">ENGR 1412 Introductory Engineering Computer Programming</w:t>
      </w:r>
    </w:p>
    <w:p>
      <w:pPr>
        <w:spacing w:after="300"/>
      </w:pPr>
      <w:r>
        <w:t xml:space="preserve">Dr. Jennifer Glenn, Fall 2026</w:t>
      </w:r>
    </w:p>
    <w:p>
      <w:pPr>
        <w:spacing w:after="200"/>
      </w:pPr>
      <w:r>
        <w:rPr>
          <w:b/>
          <w:bCs/>
        </w:rPr>
        <w:t xml:space="preserve">Assignment #2</w:t>
      </w:r>
    </w:p>
    <w:p>
      <w:pPr>
        <w:spacing w:after="200"/>
      </w:pPr>
      <w:r>
        <w:rPr>
          <w:b/>
          <w:bCs/>
        </w:rPr>
        <w:t xml:space="preserve">PivotTables and Solver</w:t>
      </w:r>
    </w:p>
    <w:p>
      <w:pPr>
        <w:spacing w:after="300"/>
      </w:pPr>
      <w:r>
        <w:rPr>
          <w:b/>
          <w:bCs/>
        </w:rPr>
        <w:t xml:space="preserve">Deadline: Lab Start Time</w:t>
      </w:r>
    </w:p>
    <w:p>
      <w:pPr>
        <w:spacing w:after="200"/>
      </w:pPr>
      <w:r>
        <w:rPr>
          <w:b/>
          <w:bCs/>
        </w:rPr>
        <w:t xml:space="preserve">Part 1: PivotTables (50 Points)</w:t>
      </w:r>
    </w:p>
    <w:p>
      <w:pPr>
        <w:spacing w:after="200"/>
      </w:pPr>
      <w:r>
        <w:t xml:space="preserve">You are a student traffic analyst working with OSU Parking &amp; Transportation Services. Football season is underway, and the regular season finale is approaching. The department needs to analyze 2023–2025 game-day parking and shuttle data from the stadium's four parking lots. This will help them plan traffic flow for the rest of the season and the 2026 season ahead. Your objective is to identify which travel modes drive the most revenue and how demand is shifting across lots.</w:t>
      </w:r>
    </w:p>
    <w:p>
      <w:pPr>
        <w:spacing w:after="200"/>
      </w:pPr>
      <w:r>
        <w:t xml:space="preserve">Every dollar collected from parking and shuttle fees goes directly into OSU's Student Transportation Fund, which pays for shuttle routes, parking lot lighting, and safety improvements across campus — so the categories and lots you identify as highest-revenue are the ones the department can justify investing more in next season.</w:t>
      </w:r>
    </w:p>
    <w:p>
      <w:pPr>
        <w:spacing w:after="200"/>
      </w:pPr>
      <w:r>
        <w:t xml:space="preserve">You have been given the task of exploring the dataset using your knowledge of PivotTables. Specifically, the department would like you to determine the following:</w:t>
      </w:r>
    </w:p>
    <w:p>
      <w:pPr>
        <w:spacing w:after="200"/>
      </w:pPr>
      <w:r>
        <w:rPr>
          <w:b/>
          <w:bCs/>
        </w:rPr>
        <w:t xml:space="preserve">1.</w:t>
      </w:r>
    </w:p>
    <w:p>
      <w:pPr>
        <w:spacing w:after="200"/>
      </w:pPr>
      <w:r>
        <w:t xml:space="preserve">1.1  During November 2025 (the month of the final home game of the season), which specific shuttle service within the Shuttle Bus category generated the highest revenue?</w:t>
      </w:r>
    </w:p>
    <w:p>
      <w:pPr>
        <w:spacing w:after="200"/>
      </w:pPr>
      <w:r>
        <w:t xml:space="preserve">1.2  What was the total revenue from that specific shuttle service across all four parking lots during November 2025?</w:t>
      </w:r>
    </w:p>
    <w:p>
      <w:pPr>
        <w:spacing w:after="200"/>
      </w:pPr>
      <w:r>
        <w:t xml:space="preserve">1.3  Which lot accounted for the most revenue from that shuttle service in November 2025?</w:t>
      </w:r>
    </w:p>
    <w:p>
      <w:pPr>
        <w:spacing w:after="200"/>
      </w:pPr>
      <w:r>
        <w:t xml:space="preserve">1.4  Which travel-mode category generated the lowest total revenue in November 2025?</w:t>
      </w:r>
    </w:p>
    <w:p>
      <w:pPr>
        <w:spacing w:after="200"/>
      </w:pPr>
      <w:r>
        <w:t xml:space="preserve">1.5  Based on November 2025 Personal Vehicle revenue, which lot should be prioritized for expanded parking capacity in 2026?</w:t>
      </w:r>
    </w:p>
    <w:p>
      <w:pPr>
        <w:spacing w:before="100"/>
      </w:pPr>
      <w:r>
        <w:rPr>
          <w:b/>
          <w:bCs/>
        </w:rPr>
        <w:t xml:space="preserve">2.</w:t>
      </w:r>
    </w:p>
    <w:p>
      <w:pPr>
        <w:spacing w:after="200"/>
      </w:pPr>
      <w:r>
        <w:t xml:space="preserve">Parking &amp; Transportation Services now wants to look at Quantity (vehicle/rider counts) instead of Revenue to understand actual travel demand.</w:t>
      </w:r>
    </w:p>
    <w:p>
      <w:pPr>
        <w:spacing w:after="200"/>
      </w:pPr>
      <w:r>
        <w:t xml:space="preserve">2.1  Which travel-mode category was the most popular (highest count) at the North Lot during the 2023 season?</w:t>
      </w:r>
    </w:p>
    <w:p>
      <w:pPr>
        <w:spacing w:after="200"/>
      </w:pPr>
      <w:r>
        <w:t xml:space="preserve">2.2  For that same category, what was the total count at the North Lot in 2025?</w:t>
      </w:r>
    </w:p>
    <w:p>
      <w:pPr>
        <w:spacing w:after="200"/>
      </w:pPr>
      <w:r>
        <w:t xml:space="preserve">2.3  Which category was the most used at the South Lot in 2025?</w:t>
      </w:r>
    </w:p>
    <w:p>
      <w:pPr>
        <w:spacing w:after="200"/>
      </w:pPr>
      <w:r>
        <w:t xml:space="preserve">2.4  For the category identified in the last question, what was the count at the South Lot back in 2023?</w:t>
      </w:r>
    </w:p>
    <w:p>
      <w:pPr>
        <w:spacing w:after="200"/>
      </w:pPr>
      <w:r>
        <w:t xml:space="preserve">2.5  Create a PivotTable for a Line Chart PivotChart showing the count trends for all categories from January 2023 through December 2025.</w:t>
      </w:r>
    </w:p>
    <w:p>
      <w:pPr>
        <w:spacing w:after="200"/>
      </w:pPr>
      <w:r>
        <w:t xml:space="preserve">2.6  Based on the chart, which travel-mode category is showing the most significant downward trend at the West Lot as you move into late 2025?</w:t>
      </w:r>
    </w:p>
    <w:p>
      <w:pPr>
        <w:spacing w:before="150"/>
      </w:pPr>
      <w:r>
        <w:rPr>
          <w:b/>
          <w:bCs/>
        </w:rPr>
        <w:t xml:space="preserve">Requirements:</w:t>
      </w:r>
    </w:p>
    <w:p>
      <w:pPr>
        <w:spacing w:after="200"/>
      </w:pPr>
      <w:r>
        <w:t xml:space="preserve">• The Raw Data sheet gives you Quantity and Fee for every transaction, but the Revenue column is intentionally left blank. Before building any PivotTables, fill in Revenue yourself using a formula (Revenue = Quantity × Fee) and fill it down for every row.</w:t>
      </w:r>
    </w:p>
    <w:p>
      <w:pPr>
        <w:spacing w:after="200"/>
      </w:pPr>
      <w:r>
        <w:t xml:space="preserve">• Your solution must include three PivotTables and one Graph to earn full points.</w:t>
      </w:r>
    </w:p>
    <w:p>
      <w:pPr>
        <w:spacing w:after="200"/>
      </w:pPr>
      <w:r>
        <w:t xml:space="preserve">• Create one PivotTable to answer 1.1–1.5.</w:t>
      </w:r>
    </w:p>
    <w:p>
      <w:pPr>
        <w:spacing w:after="200"/>
      </w:pPr>
      <w:r>
        <w:t xml:space="preserve">• Create a second PivotTable to answer 2.1–2.4, and a third PivotTable for 2.5 &amp; 2.6.</w:t>
      </w:r>
    </w:p>
    <w:p>
      <w:pPr>
        <w:spacing w:before="300"/>
      </w:pPr>
      <w:r>
        <w:rPr>
          <w:b/>
          <w:bCs/>
        </w:rPr>
        <w:t xml:space="preserve">Part 2: Solver (50 Points)</w:t>
      </w:r>
    </w:p>
    <w:p>
      <w:pPr>
        <w:spacing w:after="200"/>
      </w:pPr>
      <w:r>
        <w:t xml:space="preserve">Solver is a useful tool built into Excel that allows us to take a system of equations that is dependent on multiple variables and evaluate a desirable solution. Often applied in terms of inventory, or basic supply chain and optimization, Solver proves to be a useful tool for minimizing cost in many different industries.</w:t>
      </w:r>
    </w:p>
    <w:p>
      <w:pPr>
        <w:spacing w:after="150"/>
      </w:pPr>
      <w:r>
        <w:t xml:space="preserve">Parking &amp; Transportation Services wants to expand shuttle service ahead of the 2026 season to meet rising demand, funded directly by revenue you just analyzed. Three approved charter vendors offer seating packages that combine different amounts of shuttle capacity across the North, South, and West zones. You need to meet the minimum required seat capacity for each zone while minimizing total contract cost, so the fund stretches as far as possible. The quantity (decision variables) must be integers, since you cannot contract half a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9E2F3" w:val="clear"/>
            <w:tcMar>
              <w:top w:type="dxa" w:w="100"/>
              <w:left w:type="dxa" w:w="100"/>
              <w:bottom w:type="dxa" w:w="100"/>
              <w:right w:type="dxa" w:w="100"/>
            </w:tcMar>
            <w:vAlign w:val="center"/>
          </w:tcPr>
          <w:p>
            <w:pPr>
              <w:jc w:val="center"/>
            </w:pPr>
            <w:r>
              <w:rPr>
                <w:b/>
                <w:bCs/>
              </w:rPr>
              <w:t xml:space="preserve">Shuttle Route</w:t>
            </w:r>
          </w:p>
        </w:tc>
        <w:tc>
          <w:tcPr>
            <w:tcW w:type="dxa" w:w="1872"/>
            <w:shd w:fill="D9E2F3" w:val="clear"/>
            <w:tcMar>
              <w:top w:type="dxa" w:w="100"/>
              <w:left w:type="dxa" w:w="100"/>
              <w:bottom w:type="dxa" w:w="100"/>
              <w:right w:type="dxa" w:w="100"/>
            </w:tcMar>
            <w:vAlign w:val="center"/>
          </w:tcPr>
          <w:p>
            <w:pPr>
              <w:jc w:val="center"/>
            </w:pPr>
            <w:r>
              <w:rPr>
                <w:b/>
                <w:bCs/>
              </w:rPr>
              <w:t xml:space="preserve">Vendor A Package (seats)</w:t>
            </w:r>
          </w:p>
        </w:tc>
        <w:tc>
          <w:tcPr>
            <w:tcW w:type="dxa" w:w="1872"/>
            <w:shd w:fill="D9E2F3" w:val="clear"/>
            <w:tcMar>
              <w:top w:type="dxa" w:w="100"/>
              <w:left w:type="dxa" w:w="100"/>
              <w:bottom w:type="dxa" w:w="100"/>
              <w:right w:type="dxa" w:w="100"/>
            </w:tcMar>
            <w:vAlign w:val="center"/>
          </w:tcPr>
          <w:p>
            <w:pPr>
              <w:jc w:val="center"/>
            </w:pPr>
            <w:r>
              <w:rPr>
                <w:b/>
                <w:bCs/>
              </w:rPr>
              <w:t xml:space="preserve">Vendor B Package (seats)</w:t>
            </w:r>
          </w:p>
        </w:tc>
        <w:tc>
          <w:tcPr>
            <w:tcW w:type="dxa" w:w="1872"/>
            <w:shd w:fill="D9E2F3" w:val="clear"/>
            <w:tcMar>
              <w:top w:type="dxa" w:w="100"/>
              <w:left w:type="dxa" w:w="100"/>
              <w:bottom w:type="dxa" w:w="100"/>
              <w:right w:type="dxa" w:w="100"/>
            </w:tcMar>
            <w:vAlign w:val="center"/>
          </w:tcPr>
          <w:p>
            <w:pPr>
              <w:jc w:val="center"/>
            </w:pPr>
            <w:r>
              <w:rPr>
                <w:b/>
                <w:bCs/>
              </w:rPr>
              <w:t xml:space="preserve">Vendor C Package (seats)</w:t>
            </w:r>
          </w:p>
        </w:tc>
        <w:tc>
          <w:tcPr>
            <w:tcW w:type="dxa" w:w="1872"/>
            <w:shd w:fill="D9E2F3" w:val="clear"/>
            <w:tcMar>
              <w:top w:type="dxa" w:w="100"/>
              <w:left w:type="dxa" w:w="100"/>
              <w:bottom w:type="dxa" w:w="100"/>
              <w:right w:type="dxa" w:w="100"/>
            </w:tcMar>
            <w:vAlign w:val="center"/>
          </w:tcPr>
          <w:p>
            <w:pPr>
              <w:jc w:val="center"/>
            </w:pPr>
            <w:r>
              <w:rPr>
                <w:b/>
                <w:bCs/>
              </w:rPr>
              <w:t xml:space="preserve">Minimum Seat Capacity Required</w:t>
            </w:r>
          </w:p>
        </w:tc>
      </w:tr>
      <w:tr>
        <w:tc>
          <w:tcPr>
            <w:tcW w:type="dxa" w:w="1872"/>
            <w:tcMar>
              <w:top w:type="dxa" w:w="100"/>
              <w:left w:type="dxa" w:w="100"/>
              <w:bottom w:type="dxa" w:w="100"/>
              <w:right w:type="dxa" w:w="100"/>
            </w:tcMar>
            <w:vAlign w:val="center"/>
          </w:tcPr>
          <w:p>
            <w:pPr>
              <w:jc w:val="center"/>
            </w:pPr>
            <w:r>
              <w:rPr>
                <w:b/>
                <w:bCs/>
              </w:rPr>
              <w:t xml:space="preserve">North Zone Shuttle Capacity</w:t>
            </w:r>
          </w:p>
        </w:tc>
        <w:tc>
          <w:tcPr>
            <w:tcW w:type="dxa" w:w="1872"/>
            <w:tcMar>
              <w:top w:type="dxa" w:w="100"/>
              <w:left w:type="dxa" w:w="100"/>
              <w:bottom w:type="dxa" w:w="100"/>
              <w:right w:type="dxa" w:w="100"/>
            </w:tcMar>
            <w:vAlign w:val="center"/>
          </w:tcPr>
          <w:p>
            <w:pPr>
              <w:jc w:val="center"/>
            </w:pPr>
            <w:r>
              <w:rPr>
                <w:b w:val="false"/>
                <w:bCs w:val="false"/>
              </w:rPr>
              <w:t xml:space="preserve">70</w:t>
            </w:r>
          </w:p>
        </w:tc>
        <w:tc>
          <w:tcPr>
            <w:tcW w:type="dxa" w:w="1872"/>
            <w:tcMar>
              <w:top w:type="dxa" w:w="100"/>
              <w:left w:type="dxa" w:w="100"/>
              <w:bottom w:type="dxa" w:w="100"/>
              <w:right w:type="dxa" w:w="100"/>
            </w:tcMar>
            <w:vAlign w:val="center"/>
          </w:tcPr>
          <w:p>
            <w:pPr>
              <w:jc w:val="center"/>
            </w:pPr>
            <w:r>
              <w:rPr>
                <w:b w:val="false"/>
                <w:bCs w:val="false"/>
              </w:rPr>
              <w:t xml:space="preserve">40</w:t>
            </w:r>
          </w:p>
        </w:tc>
        <w:tc>
          <w:tcPr>
            <w:tcW w:type="dxa" w:w="1872"/>
            <w:tcMar>
              <w:top w:type="dxa" w:w="100"/>
              <w:left w:type="dxa" w:w="100"/>
              <w:bottom w:type="dxa" w:w="100"/>
              <w:right w:type="dxa" w:w="100"/>
            </w:tcMar>
            <w:vAlign w:val="center"/>
          </w:tcPr>
          <w:p>
            <w:pPr>
              <w:jc w:val="center"/>
            </w:pPr>
            <w:r>
              <w:rPr>
                <w:b w:val="false"/>
                <w:bCs w:val="false"/>
              </w:rPr>
              <w:t xml:space="preserve">20</w:t>
            </w:r>
          </w:p>
        </w:tc>
        <w:tc>
          <w:tcPr>
            <w:tcW w:type="dxa" w:w="1872"/>
            <w:tcMar>
              <w:top w:type="dxa" w:w="100"/>
              <w:left w:type="dxa" w:w="100"/>
              <w:bottom w:type="dxa" w:w="100"/>
              <w:right w:type="dxa" w:w="100"/>
            </w:tcMar>
            <w:vAlign w:val="center"/>
          </w:tcPr>
          <w:p>
            <w:pPr>
              <w:jc w:val="center"/>
            </w:pPr>
            <w:r>
              <w:rPr>
                <w:b w:val="false"/>
                <w:bCs w:val="false"/>
              </w:rPr>
              <w:t xml:space="preserve">320</w:t>
            </w:r>
          </w:p>
        </w:tc>
      </w:tr>
      <w:tr>
        <w:tc>
          <w:tcPr>
            <w:tcW w:type="dxa" w:w="1872"/>
            <w:tcMar>
              <w:top w:type="dxa" w:w="100"/>
              <w:left w:type="dxa" w:w="100"/>
              <w:bottom w:type="dxa" w:w="100"/>
              <w:right w:type="dxa" w:w="100"/>
            </w:tcMar>
            <w:vAlign w:val="center"/>
          </w:tcPr>
          <w:p>
            <w:pPr>
              <w:jc w:val="center"/>
            </w:pPr>
            <w:r>
              <w:rPr>
                <w:b/>
                <w:bCs/>
              </w:rPr>
              <w:t xml:space="preserve">South Zone Shuttle Capacity</w:t>
            </w:r>
          </w:p>
        </w:tc>
        <w:tc>
          <w:tcPr>
            <w:tcW w:type="dxa" w:w="1872"/>
            <w:tcMar>
              <w:top w:type="dxa" w:w="100"/>
              <w:left w:type="dxa" w:w="100"/>
              <w:bottom w:type="dxa" w:w="100"/>
              <w:right w:type="dxa" w:w="100"/>
            </w:tcMar>
            <w:vAlign w:val="center"/>
          </w:tcPr>
          <w:p>
            <w:pPr>
              <w:jc w:val="center"/>
            </w:pPr>
            <w:r>
              <w:rPr>
                <w:b w:val="false"/>
                <w:bCs w:val="false"/>
              </w:rPr>
              <w:t xml:space="preserve">30</w:t>
            </w:r>
          </w:p>
        </w:tc>
        <w:tc>
          <w:tcPr>
            <w:tcW w:type="dxa" w:w="1872"/>
            <w:tcMar>
              <w:top w:type="dxa" w:w="100"/>
              <w:left w:type="dxa" w:w="100"/>
              <w:bottom w:type="dxa" w:w="100"/>
              <w:right w:type="dxa" w:w="100"/>
            </w:tcMar>
            <w:vAlign w:val="center"/>
          </w:tcPr>
          <w:p>
            <w:pPr>
              <w:jc w:val="center"/>
            </w:pPr>
            <w:r>
              <w:rPr>
                <w:b w:val="false"/>
                <w:bCs w:val="false"/>
              </w:rPr>
              <w:t xml:space="preserve">80</w:t>
            </w:r>
          </w:p>
        </w:tc>
        <w:tc>
          <w:tcPr>
            <w:tcW w:type="dxa" w:w="1872"/>
            <w:tcMar>
              <w:top w:type="dxa" w:w="100"/>
              <w:left w:type="dxa" w:w="100"/>
              <w:bottom w:type="dxa" w:w="100"/>
              <w:right w:type="dxa" w:w="100"/>
            </w:tcMar>
            <w:vAlign w:val="center"/>
          </w:tcPr>
          <w:p>
            <w:pPr>
              <w:jc w:val="center"/>
            </w:pPr>
            <w:r>
              <w:rPr>
                <w:b w:val="false"/>
                <w:bCs w:val="false"/>
              </w:rPr>
              <w:t xml:space="preserve">15</w:t>
            </w:r>
          </w:p>
        </w:tc>
        <w:tc>
          <w:tcPr>
            <w:tcW w:type="dxa" w:w="1872"/>
            <w:tcMar>
              <w:top w:type="dxa" w:w="100"/>
              <w:left w:type="dxa" w:w="100"/>
              <w:bottom w:type="dxa" w:w="100"/>
              <w:right w:type="dxa" w:w="100"/>
            </w:tcMar>
            <w:vAlign w:val="center"/>
          </w:tcPr>
          <w:p>
            <w:pPr>
              <w:jc w:val="center"/>
            </w:pPr>
            <w:r>
              <w:rPr>
                <w:b w:val="false"/>
                <w:bCs w:val="false"/>
              </w:rPr>
              <w:t xml:space="preserve">450</w:t>
            </w:r>
          </w:p>
        </w:tc>
      </w:tr>
      <w:tr>
        <w:tc>
          <w:tcPr>
            <w:tcW w:type="dxa" w:w="1872"/>
            <w:tcMar>
              <w:top w:type="dxa" w:w="100"/>
              <w:left w:type="dxa" w:w="100"/>
              <w:bottom w:type="dxa" w:w="100"/>
              <w:right w:type="dxa" w:w="100"/>
            </w:tcMar>
            <w:vAlign w:val="center"/>
          </w:tcPr>
          <w:p>
            <w:pPr>
              <w:jc w:val="center"/>
            </w:pPr>
            <w:r>
              <w:rPr>
                <w:b/>
                <w:bCs/>
              </w:rPr>
              <w:t xml:space="preserve">West Zone Shuttle Capacity</w:t>
            </w:r>
          </w:p>
        </w:tc>
        <w:tc>
          <w:tcPr>
            <w:tcW w:type="dxa" w:w="1872"/>
            <w:tcMar>
              <w:top w:type="dxa" w:w="100"/>
              <w:left w:type="dxa" w:w="100"/>
              <w:bottom w:type="dxa" w:w="100"/>
              <w:right w:type="dxa" w:w="100"/>
            </w:tcMar>
            <w:vAlign w:val="center"/>
          </w:tcPr>
          <w:p>
            <w:pPr>
              <w:jc w:val="center"/>
            </w:pPr>
            <w:r>
              <w:rPr>
                <w:b w:val="false"/>
                <w:bCs w:val="false"/>
              </w:rPr>
              <w:t xml:space="preserve">20</w:t>
            </w:r>
          </w:p>
        </w:tc>
        <w:tc>
          <w:tcPr>
            <w:tcW w:type="dxa" w:w="1872"/>
            <w:tcMar>
              <w:top w:type="dxa" w:w="100"/>
              <w:left w:type="dxa" w:w="100"/>
              <w:bottom w:type="dxa" w:w="100"/>
              <w:right w:type="dxa" w:w="100"/>
            </w:tcMar>
            <w:vAlign w:val="center"/>
          </w:tcPr>
          <w:p>
            <w:pPr>
              <w:jc w:val="center"/>
            </w:pPr>
            <w:r>
              <w:rPr>
                <w:b w:val="false"/>
                <w:bCs w:val="false"/>
              </w:rPr>
              <w:t xml:space="preserve">25</w:t>
            </w:r>
          </w:p>
        </w:tc>
        <w:tc>
          <w:tcPr>
            <w:tcW w:type="dxa" w:w="1872"/>
            <w:tcMar>
              <w:top w:type="dxa" w:w="100"/>
              <w:left w:type="dxa" w:w="100"/>
              <w:bottom w:type="dxa" w:w="100"/>
              <w:right w:type="dxa" w:w="100"/>
            </w:tcMar>
            <w:vAlign w:val="center"/>
          </w:tcPr>
          <w:p>
            <w:pPr>
              <w:jc w:val="center"/>
            </w:pPr>
            <w:r>
              <w:rPr>
                <w:b w:val="false"/>
                <w:bCs w:val="false"/>
              </w:rPr>
              <w:t xml:space="preserve">100</w:t>
            </w:r>
          </w:p>
        </w:tc>
        <w:tc>
          <w:tcPr>
            <w:tcW w:type="dxa" w:w="1872"/>
            <w:tcMar>
              <w:top w:type="dxa" w:w="100"/>
              <w:left w:type="dxa" w:w="100"/>
              <w:bottom w:type="dxa" w:w="100"/>
              <w:right w:type="dxa" w:w="100"/>
            </w:tcMar>
            <w:vAlign w:val="center"/>
          </w:tcPr>
          <w:p>
            <w:pPr>
              <w:jc w:val="center"/>
            </w:pPr>
            <w:r>
              <w:rPr>
                <w:b w:val="false"/>
                <w:bCs w:val="false"/>
              </w:rPr>
              <w:t xml:space="preserve">400</w:t>
            </w:r>
          </w:p>
        </w:tc>
      </w:tr>
      <w:tr>
        <w:tc>
          <w:tcPr>
            <w:tcW w:type="dxa" w:w="1872"/>
            <w:tcMar>
              <w:top w:type="dxa" w:w="100"/>
              <w:left w:type="dxa" w:w="100"/>
              <w:bottom w:type="dxa" w:w="100"/>
              <w:right w:type="dxa" w:w="100"/>
            </w:tcMar>
            <w:vAlign w:val="center"/>
          </w:tcPr>
          <w:p>
            <w:pPr>
              <w:jc w:val="center"/>
            </w:pPr>
            <w:r>
              <w:rPr>
                <w:b/>
                <w:bCs/>
              </w:rPr>
              <w:t xml:space="preserve">Cost per Package ($100s)</w:t>
            </w:r>
          </w:p>
        </w:tc>
        <w:tc>
          <w:tcPr>
            <w:tcW w:type="dxa" w:w="1872"/>
            <w:tcMar>
              <w:top w:type="dxa" w:w="100"/>
              <w:left w:type="dxa" w:w="100"/>
              <w:bottom w:type="dxa" w:w="100"/>
              <w:right w:type="dxa" w:w="100"/>
            </w:tcMar>
            <w:vAlign w:val="center"/>
          </w:tcPr>
          <w:p>
            <w:pPr>
              <w:jc w:val="center"/>
            </w:pPr>
            <w:r>
              <w:rPr>
                <w:b w:val="false"/>
                <w:bCs w:val="false"/>
              </w:rPr>
              <w:t xml:space="preserve">110</w:t>
            </w:r>
          </w:p>
        </w:tc>
        <w:tc>
          <w:tcPr>
            <w:tcW w:type="dxa" w:w="1872"/>
            <w:tcMar>
              <w:top w:type="dxa" w:w="100"/>
              <w:left w:type="dxa" w:w="100"/>
              <w:bottom w:type="dxa" w:w="100"/>
              <w:right w:type="dxa" w:w="100"/>
            </w:tcMar>
            <w:vAlign w:val="center"/>
          </w:tcPr>
          <w:p>
            <w:pPr>
              <w:jc w:val="center"/>
            </w:pPr>
            <w:r>
              <w:rPr>
                <w:b w:val="false"/>
                <w:bCs w:val="false"/>
              </w:rPr>
              <w:t xml:space="preserve">135</w:t>
            </w:r>
          </w:p>
        </w:tc>
        <w:tc>
          <w:tcPr>
            <w:tcW w:type="dxa" w:w="1872"/>
            <w:tcMar>
              <w:top w:type="dxa" w:w="100"/>
              <w:left w:type="dxa" w:w="100"/>
              <w:bottom w:type="dxa" w:w="100"/>
              <w:right w:type="dxa" w:w="100"/>
            </w:tcMar>
            <w:vAlign w:val="center"/>
          </w:tcPr>
          <w:p>
            <w:pPr>
              <w:jc w:val="center"/>
            </w:pPr>
            <w:r>
              <w:rPr>
                <w:b w:val="false"/>
                <w:bCs w:val="false"/>
              </w:rPr>
              <w:t xml:space="preserve">160</w:t>
            </w:r>
          </w:p>
        </w:tc>
        <w:tc>
          <w:tcPr>
            <w:tcW w:type="dxa" w:w="1872"/>
            <w:tcMar>
              <w:top w:type="dxa" w:w="100"/>
              <w:left w:type="dxa" w:w="100"/>
              <w:bottom w:type="dxa" w:w="100"/>
              <w:right w:type="dxa" w:w="100"/>
            </w:tcMar>
            <w:vAlign w:val="center"/>
          </w:tcPr>
          <w:p>
            <w:pPr>
              <w:jc w:val="center"/>
            </w:pPr>
            <w:r>
              <w:rPr>
                <w:b w:val="false"/>
                <w:bCs w:val="false"/>
              </w:rPr>
              <w:t xml:space="preserve"/>
            </w:r>
          </w:p>
        </w:tc>
      </w:tr>
    </w:tbl>
    <w:p>
      <w:pPr>
        <w:spacing w:before="150"/>
      </w:pPr>
      <w:r>
        <w:rPr>
          <w:i/>
          <w:iCs/>
        </w:rPr>
        <w:t xml:space="preserve">Note: Cost figures are in hundreds of dollars (e.g., 110 = $11,000 per package)</w:t>
      </w:r>
    </w:p>
    <w:p>
      <w:pPr>
        <w:spacing w:before="150"/>
      </w:pPr>
      <w:r>
        <w:rPr>
          <w:b/>
          <w:bCs/>
        </w:rPr>
        <w:t xml:space="preserve">Tasks and Requirements:</w:t>
      </w:r>
    </w:p>
    <w:p>
      <w:pPr>
        <w:spacing w:after="200"/>
      </w:pPr>
      <w:r>
        <w:t xml:space="preserve">1. Use the Solver tool to minimize the cost (objective function) and find the optimal quantity of each vendor package to contract.</w:t>
      </w:r>
    </w:p>
    <w:p>
      <w:pPr>
        <w:spacing w:after="200"/>
      </w:pPr>
      <w:r>
        <w:t xml:space="preserve">2. Use the template (provided) to ensure proper cell referencing and correct results.</w:t>
      </w:r>
    </w:p>
    <w:p>
      <w:pPr>
        <w:spacing w:before="300"/>
      </w:pPr>
      <w:r>
        <w:rPr>
          <w:b/>
          <w:bCs/>
        </w:rPr>
        <w:t xml:space="preserve">Submission Instructions</w:t>
      </w:r>
    </w:p>
    <w:p>
      <w:pPr>
        <w:spacing w:after="200"/>
      </w:pPr>
      <w:r>
        <w:t xml:space="preserve">• Submit only your completed Excel workbook (.xlsx). Do not submit Word documents, PDFs, or any other file type.</w:t>
      </w:r>
    </w:p>
    <w:p>
      <w:pPr>
        <w:spacing w:after="200"/>
      </w:pPr>
      <w:r>
        <w:t xml:space="preserve">• Name your file with your First and Last name.</w:t>
      </w:r>
    </w:p>
    <w:p>
      <w:pPr>
        <w:spacing w:after="200"/>
      </w:pPr>
      <w:r>
        <w:t xml:space="preserve">• Example: </w:t>
      </w:r>
      <w:r>
        <w:rPr>
          <w:b/>
          <w:bCs/>
        </w:rPr>
        <w:t xml:space="preserve">John_Smith.xlsx</w:t>
      </w:r>
    </w:p>
    <w:p>
      <w:pPr>
        <w:spacing w:after="150" w:before="300"/>
      </w:pPr>
      <w:r>
        <w:rPr>
          <w:b/>
          <w:bCs/>
        </w:rPr>
        <w:t xml:space="preserve">Assignment #2 –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3"/>
        <w:gridCol w:w="1778"/>
        <w:gridCol w:w="1779"/>
      </w:tblGrid>
      <w:tr>
        <w:trPr>
          <w:tblHeader/>
        </w:trPr>
        <w:tc>
          <w:tcPr>
            <w:tcW w:type="dxa" w:w="5803"/>
            <w:shd w:fill="D9E2F3" w:val="clear"/>
            <w:tcMar>
              <w:top w:type="dxa" w:w="100"/>
              <w:left w:type="dxa" w:w="100"/>
              <w:bottom w:type="dxa" w:w="100"/>
              <w:right w:type="dxa" w:w="100"/>
            </w:tcMar>
            <w:vAlign w:val="center"/>
          </w:tcPr>
          <w:p>
            <w:pPr>
              <w:jc w:val="left"/>
            </w:pPr>
            <w:r>
              <w:rPr>
                <w:b/>
                <w:bCs/>
              </w:rPr>
              <w:t xml:space="preserve">Task</w:t>
            </w:r>
          </w:p>
        </w:tc>
        <w:tc>
          <w:tcPr>
            <w:tcW w:type="dxa" w:w="1778"/>
            <w:shd w:fill="D9E2F3" w:val="clear"/>
            <w:tcMar>
              <w:top w:type="dxa" w:w="100"/>
              <w:left w:type="dxa" w:w="100"/>
              <w:bottom w:type="dxa" w:w="100"/>
              <w:right w:type="dxa" w:w="100"/>
            </w:tcMar>
            <w:vAlign w:val="center"/>
          </w:tcPr>
          <w:p>
            <w:pPr>
              <w:jc w:val="center"/>
            </w:pPr>
            <w:r>
              <w:rPr>
                <w:b/>
                <w:bCs/>
              </w:rPr>
              <w:t xml:space="preserve">Points</w:t>
            </w:r>
          </w:p>
        </w:tc>
        <w:tc>
          <w:tcPr>
            <w:tcW w:type="dxa" w:w="1779"/>
            <w:shd w:fill="D9E2F3" w:val="clear"/>
            <w:tcMar>
              <w:top w:type="dxa" w:w="100"/>
              <w:left w:type="dxa" w:w="100"/>
              <w:bottom w:type="dxa" w:w="100"/>
              <w:right w:type="dxa" w:w="100"/>
            </w:tcMar>
            <w:vAlign w:val="center"/>
          </w:tcPr>
          <w:p>
            <w:pPr>
              <w:jc w:val="center"/>
            </w:pPr>
            <w:r>
              <w:rPr>
                <w:b/>
                <w:bCs/>
              </w:rPr>
              <w:t xml:space="preserve">Points Earned</w:t>
            </w:r>
          </w:p>
        </w:tc>
      </w:tr>
      <w:tr>
        <w:tc>
          <w:tcPr>
            <w:tcW w:type="dxa" w:w="5803"/>
            <w:shd w:fill="D9E2F3" w:val="clear"/>
            <w:tcMar>
              <w:top w:type="dxa" w:w="100"/>
              <w:left w:type="dxa" w:w="100"/>
              <w:bottom w:type="dxa" w:w="100"/>
              <w:right w:type="dxa" w:w="100"/>
            </w:tcMar>
            <w:vAlign w:val="center"/>
          </w:tcPr>
          <w:p>
            <w:pPr>
              <w:jc w:val="left"/>
            </w:pPr>
            <w:r>
              <w:rPr>
                <w:b/>
                <w:bCs/>
              </w:rPr>
              <w:t xml:space="preserve">Pivot Tables</w:t>
            </w:r>
          </w:p>
        </w:tc>
        <w:tc>
          <w:tcPr>
            <w:tcW w:type="dxa" w:w="1778"/>
            <w:shd w:fill="D9E2F3" w:val="clear"/>
            <w:tcMar>
              <w:top w:type="dxa" w:w="100"/>
              <w:left w:type="dxa" w:w="100"/>
              <w:bottom w:type="dxa" w:w="100"/>
              <w:right w:type="dxa" w:w="100"/>
            </w:tcMar>
            <w:vAlign w:val="center"/>
          </w:tcPr>
          <w:p>
            <w:pPr>
              <w:jc w:val="left"/>
            </w:pPr>
            <w:r>
              <w:rPr>
                <w:b w:val="false"/>
                <w:bCs w:val="false"/>
              </w:rPr>
              <w:t xml:space="preserve"/>
            </w:r>
          </w:p>
        </w:tc>
        <w:tc>
          <w:tcPr>
            <w:tcW w:type="dxa" w:w="1779"/>
            <w:shd w:fill="D9E2F3" w:val="clear"/>
            <w:tcMar>
              <w:top w:type="dxa" w:w="100"/>
              <w:left w:type="dxa" w:w="100"/>
              <w:bottom w:type="dxa" w:w="100"/>
              <w:right w:type="dxa" w:w="100"/>
            </w:tcMar>
            <w:vAlign w:val="center"/>
          </w:tcPr>
          <w:p>
            <w:pPr>
              <w:jc w:val="left"/>
            </w:pPr>
            <w:r>
              <w:rPr>
                <w:b w:val="false"/>
                <w:bCs w:val="false"/>
              </w:rPr>
              <w:t xml:space="preserve"/>
            </w:r>
          </w:p>
        </w:tc>
      </w:tr>
      <w:tr>
        <w:tc>
          <w:tcPr>
            <w:tcW w:type="dxa" w:w="5803"/>
            <w:tcMar>
              <w:top w:type="dxa" w:w="100"/>
              <w:left w:type="dxa" w:w="100"/>
              <w:bottom w:type="dxa" w:w="100"/>
              <w:right w:type="dxa" w:w="100"/>
            </w:tcMar>
            <w:vAlign w:val="center"/>
          </w:tcPr>
          <w:p>
            <w:pPr>
              <w:jc w:val="left"/>
            </w:pPr>
            <w:r>
              <w:rPr>
                <w:b w:val="false"/>
                <w:bCs w:val="false"/>
              </w:rPr>
              <w:t xml:space="preserve">Table 1</w:t>
            </w:r>
          </w:p>
          <w:p>
            <w:pPr>
              <w:jc w:val="left"/>
            </w:pPr>
            <w:r>
              <w:rPr>
                <w:b w:val="false"/>
                <w:bCs w:val="false"/>
              </w:rPr>
              <w:t xml:space="preserve">Uses correct filter(s) (5 points)</w:t>
            </w:r>
          </w:p>
          <w:p>
            <w:pPr>
              <w:jc w:val="left"/>
            </w:pPr>
            <w:r>
              <w:rPr>
                <w:b w:val="false"/>
                <w:bCs w:val="false"/>
              </w:rPr>
              <w:t xml:space="preserve">Uses correct row(s) (5 points)</w:t>
            </w:r>
          </w:p>
          <w:p>
            <w:pPr>
              <w:jc w:val="left"/>
            </w:pPr>
            <w:r>
              <w:rPr>
                <w:b w:val="false"/>
                <w:bCs w:val="false"/>
              </w:rPr>
              <w:t xml:space="preserve">Uses correct column(s) (5 points)</w:t>
            </w:r>
          </w:p>
          <w:p>
            <w:pPr>
              <w:jc w:val="left"/>
            </w:pPr>
            <w:r>
              <w:rPr>
                <w:b w:val="false"/>
                <w:bCs w:val="false"/>
              </w:rPr>
              <w:t xml:space="preserve">Uses correct values (5 points)</w:t>
            </w:r>
          </w:p>
          <w:p>
            <w:pPr>
              <w:jc w:val="left"/>
            </w:pPr>
            <w:r>
              <w:rPr>
                <w:b w:val="false"/>
                <w:bCs w:val="false"/>
              </w:rPr>
              <w:t xml:space="preserve">Reads PivotTable correctly to answer questions (5 points)</w:t>
            </w:r>
          </w:p>
        </w:tc>
        <w:tc>
          <w:tcPr>
            <w:tcW w:type="dxa" w:w="1778"/>
            <w:tcMar>
              <w:top w:type="dxa" w:w="100"/>
              <w:left w:type="dxa" w:w="100"/>
              <w:bottom w:type="dxa" w:w="100"/>
              <w:right w:type="dxa" w:w="100"/>
            </w:tcMar>
            <w:vAlign w:val="center"/>
          </w:tcPr>
          <w:p>
            <w:pPr>
              <w:jc w:val="center"/>
            </w:pPr>
            <w:r>
              <w:rPr>
                <w:b w:val="false"/>
                <w:bCs w:val="false"/>
              </w:rPr>
              <w:t xml:space="preserve">25 points</w:t>
            </w:r>
          </w:p>
        </w:tc>
        <w:tc>
          <w:tcPr>
            <w:tcW w:type="dxa" w:w="1779"/>
            <w:tcMar>
              <w:top w:type="dxa" w:w="100"/>
              <w:left w:type="dxa" w:w="100"/>
              <w:bottom w:type="dxa" w:w="100"/>
              <w:right w:type="dxa" w:w="100"/>
            </w:tcMar>
            <w:vAlign w:val="center"/>
          </w:tcPr>
          <w:p>
            <w:pPr>
              <w:jc w:val="left"/>
            </w:pPr>
            <w:r>
              <w:rPr>
                <w:b w:val="false"/>
                <w:bCs w:val="false"/>
              </w:rPr>
              <w:t xml:space="preserve"/>
            </w:r>
          </w:p>
        </w:tc>
      </w:tr>
      <w:tr>
        <w:tc>
          <w:tcPr>
            <w:tcW w:type="dxa" w:w="5803"/>
            <w:tcMar>
              <w:top w:type="dxa" w:w="100"/>
              <w:left w:type="dxa" w:w="100"/>
              <w:bottom w:type="dxa" w:w="100"/>
              <w:right w:type="dxa" w:w="100"/>
            </w:tcMar>
            <w:vAlign w:val="center"/>
          </w:tcPr>
          <w:p>
            <w:pPr>
              <w:jc w:val="left"/>
            </w:pPr>
            <w:r>
              <w:rPr>
                <w:b w:val="false"/>
                <w:bCs w:val="false"/>
              </w:rPr>
              <w:t xml:space="preserve">Table 2 &amp; 3 with PivotChart</w:t>
            </w:r>
          </w:p>
          <w:p>
            <w:pPr>
              <w:jc w:val="left"/>
            </w:pPr>
            <w:r>
              <w:rPr>
                <w:b w:val="false"/>
                <w:bCs w:val="false"/>
              </w:rPr>
              <w:t xml:space="preserve">Uses correct filter(s) (5 points)</w:t>
            </w:r>
          </w:p>
          <w:p>
            <w:pPr>
              <w:jc w:val="left"/>
            </w:pPr>
            <w:r>
              <w:rPr>
                <w:b w:val="false"/>
                <w:bCs w:val="false"/>
              </w:rPr>
              <w:t xml:space="preserve">Uses correct row(s) (5 points)</w:t>
            </w:r>
          </w:p>
          <w:p>
            <w:pPr>
              <w:jc w:val="left"/>
            </w:pPr>
            <w:r>
              <w:rPr>
                <w:b w:val="false"/>
                <w:bCs w:val="false"/>
              </w:rPr>
              <w:t xml:space="preserve">Uses correct column(s) (5 points)</w:t>
            </w:r>
          </w:p>
          <w:p>
            <w:pPr>
              <w:jc w:val="left"/>
            </w:pPr>
            <w:r>
              <w:rPr>
                <w:b w:val="false"/>
                <w:bCs w:val="false"/>
              </w:rPr>
              <w:t xml:space="preserve">Uses correct values (5 points)</w:t>
            </w:r>
          </w:p>
          <w:p>
            <w:pPr>
              <w:jc w:val="left"/>
            </w:pPr>
            <w:r>
              <w:rPr>
                <w:b w:val="false"/>
                <w:bCs w:val="false"/>
              </w:rPr>
              <w:t xml:space="preserve">Reads PivotTables and Chart correctly to answer questions (5 points)</w:t>
            </w:r>
          </w:p>
        </w:tc>
        <w:tc>
          <w:tcPr>
            <w:tcW w:type="dxa" w:w="1778"/>
            <w:tcMar>
              <w:top w:type="dxa" w:w="100"/>
              <w:left w:type="dxa" w:w="100"/>
              <w:bottom w:type="dxa" w:w="100"/>
              <w:right w:type="dxa" w:w="100"/>
            </w:tcMar>
            <w:vAlign w:val="center"/>
          </w:tcPr>
          <w:p>
            <w:pPr>
              <w:jc w:val="center"/>
            </w:pPr>
            <w:r>
              <w:rPr>
                <w:b w:val="false"/>
                <w:bCs w:val="false"/>
              </w:rPr>
              <w:t xml:space="preserve">25 points</w:t>
            </w:r>
          </w:p>
        </w:tc>
        <w:tc>
          <w:tcPr>
            <w:tcW w:type="dxa" w:w="1779"/>
            <w:tcMar>
              <w:top w:type="dxa" w:w="100"/>
              <w:left w:type="dxa" w:w="100"/>
              <w:bottom w:type="dxa" w:w="100"/>
              <w:right w:type="dxa" w:w="100"/>
            </w:tcMar>
            <w:vAlign w:val="center"/>
          </w:tcPr>
          <w:p>
            <w:pPr>
              <w:jc w:val="left"/>
            </w:pPr>
            <w:r>
              <w:rPr>
                <w:b w:val="false"/>
                <w:bCs w:val="false"/>
              </w:rPr>
              <w:t xml:space="preserve"/>
            </w:r>
          </w:p>
        </w:tc>
      </w:tr>
      <w:tr>
        <w:tc>
          <w:tcPr>
            <w:tcW w:type="dxa" w:w="5803"/>
            <w:tcMar>
              <w:top w:type="dxa" w:w="100"/>
              <w:left w:type="dxa" w:w="100"/>
              <w:bottom w:type="dxa" w:w="100"/>
              <w:right w:type="dxa" w:w="100"/>
            </w:tcMar>
            <w:vAlign w:val="center"/>
          </w:tcPr>
          <w:p>
            <w:pPr>
              <w:jc w:val="left"/>
            </w:pPr>
            <w:r>
              <w:rPr>
                <w:b w:val="false"/>
                <w:bCs w:val="false"/>
              </w:rPr>
              <w:t xml:space="preserve">Solver</w:t>
            </w:r>
          </w:p>
          <w:p>
            <w:pPr>
              <w:jc w:val="left"/>
            </w:pPr>
            <w:r>
              <w:rPr>
                <w:b w:val="false"/>
                <w:bCs w:val="false"/>
              </w:rPr>
              <w:t xml:space="preserve">Cell Referencing (10 points)</w:t>
            </w:r>
          </w:p>
          <w:p>
            <w:pPr>
              <w:jc w:val="left"/>
            </w:pPr>
            <w:r>
              <w:rPr>
                <w:b w:val="false"/>
                <w:bCs w:val="false"/>
              </w:rPr>
              <w:t xml:space="preserve">Objective Function (10 points)</w:t>
            </w:r>
          </w:p>
          <w:p>
            <w:pPr>
              <w:jc w:val="left"/>
            </w:pPr>
            <w:r>
              <w:rPr>
                <w:b w:val="false"/>
                <w:bCs w:val="false"/>
              </w:rPr>
              <w:t xml:space="preserve">Constraint Functions (10 points)</w:t>
            </w:r>
          </w:p>
          <w:p>
            <w:pPr>
              <w:jc w:val="left"/>
            </w:pPr>
            <w:r>
              <w:rPr>
                <w:b w:val="false"/>
                <w:bCs w:val="false"/>
              </w:rPr>
              <w:t xml:space="preserve">Constraints in Solver (15 points)</w:t>
            </w:r>
          </w:p>
          <w:p>
            <w:pPr>
              <w:jc w:val="left"/>
            </w:pPr>
            <w:r>
              <w:rPr>
                <w:b w:val="false"/>
                <w:bCs w:val="false"/>
              </w:rPr>
              <w:t xml:space="preserve">Correct Final Answer (5 points)</w:t>
            </w:r>
          </w:p>
        </w:tc>
        <w:tc>
          <w:tcPr>
            <w:tcW w:type="dxa" w:w="1778"/>
            <w:tcMar>
              <w:top w:type="dxa" w:w="100"/>
              <w:left w:type="dxa" w:w="100"/>
              <w:bottom w:type="dxa" w:w="100"/>
              <w:right w:type="dxa" w:w="100"/>
            </w:tcMar>
            <w:vAlign w:val="center"/>
          </w:tcPr>
          <w:p>
            <w:pPr>
              <w:jc w:val="center"/>
            </w:pPr>
            <w:r>
              <w:rPr>
                <w:b w:val="false"/>
                <w:bCs w:val="false"/>
              </w:rPr>
              <w:t xml:space="preserve">50 points</w:t>
            </w:r>
          </w:p>
        </w:tc>
        <w:tc>
          <w:tcPr>
            <w:tcW w:type="dxa" w:w="1779"/>
            <w:tcMar>
              <w:top w:type="dxa" w:w="100"/>
              <w:left w:type="dxa" w:w="100"/>
              <w:bottom w:type="dxa" w:w="100"/>
              <w:right w:type="dxa" w:w="100"/>
            </w:tcMar>
            <w:vAlign w:val="center"/>
          </w:tcPr>
          <w:p>
            <w:pPr>
              <w:jc w:val="left"/>
            </w:pPr>
            <w:r>
              <w:rPr>
                <w:b w:val="false"/>
                <w:bCs w:val="false"/>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2026-09-02T21:27:48.145Z</dcterms:created>
  <dcterms:modified xsi:type="dcterms:W3CDTF">2026-09-02T21:27:48.156Z</dcterms:modified>
</cp:coreProperties>
</file>

<file path=docProps/custom.xml><?xml version="1.0" encoding="utf-8"?>
<Properties xmlns="http://schemas.openxmlformats.org/officeDocument/2006/custom-properties" xmlns:vt="http://schemas.openxmlformats.org/officeDocument/2006/docPropsVTypes"/>
</file>