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VPC: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CIDR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Subnets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Internet Gateway (IGW)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Route Tables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IP’s (Private, public , Elastic)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NAT Gateway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Firewalls: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Security Groups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NACL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Comfortaa" w:cs="Comfortaa" w:eastAsia="Comfortaa" w:hAnsi="Comfortaa"/>
          <w:b w:val="1"/>
          <w:color w:val="201f1e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201f1e"/>
          <w:sz w:val="20"/>
          <w:szCs w:val="20"/>
          <w:highlight w:val="white"/>
          <w:u w:val="single"/>
          <w:rtl w:val="0"/>
        </w:rPr>
        <w:t xml:space="preserve">Private Connectivity Options: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VPC Peering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VPC Endpoint gateway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VPC private link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VPC Connection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Direct connect</w:t>
      </w:r>
    </w:p>
    <w:p w:rsidR="00000000" w:rsidDel="00000000" w:rsidP="00000000" w:rsidRDefault="00000000" w:rsidRPr="00000000" w14:paraId="00000013">
      <w:pPr>
        <w:ind w:left="0" w:firstLine="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Comfortaa" w:cs="Comfortaa" w:eastAsia="Comfortaa" w:hAnsi="Comfortaa"/>
          <w:b w:val="1"/>
          <w:color w:val="201f1e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201f1e"/>
          <w:sz w:val="20"/>
          <w:szCs w:val="20"/>
          <w:highlight w:val="white"/>
          <w:u w:val="single"/>
          <w:rtl w:val="0"/>
        </w:rPr>
        <w:t xml:space="preserve">DNS Management: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color w:val="201f1e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1f1e"/>
          <w:sz w:val="20"/>
          <w:szCs w:val="20"/>
          <w:highlight w:val="white"/>
          <w:rtl w:val="0"/>
        </w:rPr>
        <w:t xml:space="preserve">Route 53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VPC: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Amazon Virtual Private Cloud (Amazon VPC) enables you to launch AWS resources into a virtual network that you've defined.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This virtual network closely resembles a traditional network that you'd operate in your own data center, with the benefits of using the scalable infrastructure of AWS.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Subnets: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When we divide the VPC into Smaller network it can be referred to as subnets.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Internet GateWay: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VPC connects with the internet using Internet gateway (IGW).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Virtual private gateway  &amp; Customer gateway are used to connect with Data center and VPC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b w:val="1"/>
          <w:sz w:val="20"/>
          <w:szCs w:val="20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sz w:val="20"/>
          <w:szCs w:val="20"/>
          <w:u w:val="single"/>
          <w:rtl w:val="0"/>
        </w:rPr>
        <w:t xml:space="preserve">CIDR: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Classless Inter-Domain Routing is a set of Internet protocol (IP) standards that is used to create unique identifiers for networks and individual devices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3952875" cy="1647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6752" l="10279" r="14878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In the above image,  10. 10 . 0 . 0 /16 means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40" w:line="360" w:lineRule="auto"/>
        <w:ind w:left="72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first 16 bits are assigned to network and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="360" w:lineRule="auto"/>
        <w:ind w:left="72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Second 16 bits are assigned to the host.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Which means ,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We can have 2 to the power of 16  - 65536 ip addresses. Below given image shows the calculation of the host IP’s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5210175" cy="24669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2250" l="4006" r="8333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For example, consider the below image</w:t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5210175" cy="24955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4529" l="5769" r="657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144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 have created a VPC with the CIDR rage of 10 . 10 . 0 . 0 /16</w:t>
      </w:r>
    </w:p>
    <w:p w:rsidR="00000000" w:rsidDel="00000000" w:rsidP="00000000" w:rsidRDefault="00000000" w:rsidRPr="00000000" w14:paraId="0000003F">
      <w:pPr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144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 have to create three subnets.</w:t>
      </w:r>
    </w:p>
    <w:p w:rsidR="00000000" w:rsidDel="00000000" w:rsidP="00000000" w:rsidRDefault="00000000" w:rsidRPr="00000000" w14:paraId="00000041">
      <w:pPr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144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 want the total number of ip in the first address to be 256.</w:t>
      </w:r>
    </w:p>
    <w:p w:rsidR="00000000" w:rsidDel="00000000" w:rsidP="00000000" w:rsidRDefault="00000000" w:rsidRPr="00000000" w14:paraId="00000043">
      <w:pPr>
        <w:ind w:left="216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ind w:left="216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Hence if i declare 10 . 10 . 0. 0/24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216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The first 24 bits are assigned to the network. Remaining 8 bits are assigned to IP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216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Hence 2 to the power of 8 is 256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1440" w:hanging="360"/>
        <w:rPr>
          <w:rFonts w:ascii="Comfortaa" w:cs="Comfortaa" w:eastAsia="Comfortaa" w:hAnsi="Comfortaa"/>
          <w:sz w:val="20"/>
          <w:szCs w:val="20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Summary is the first 24 bits are used to identify the network and the last 8 bits (256 ip’s ) are assigned to hosts.</w:t>
      </w:r>
    </w:p>
    <w:p w:rsidR="00000000" w:rsidDel="00000000" w:rsidP="00000000" w:rsidRDefault="00000000" w:rsidRPr="00000000" w14:paraId="00000048">
      <w:pPr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So , with this, if we have the CIDR range as  , then we can create the subnets as mentioned below</w:t>
      </w:r>
    </w:p>
    <w:p w:rsidR="00000000" w:rsidDel="00000000" w:rsidP="00000000" w:rsidRDefault="00000000" w:rsidRPr="00000000" w14:paraId="0000004B">
      <w:pPr>
        <w:ind w:left="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</w:rPr>
        <w:drawing>
          <wp:inline distB="114300" distT="114300" distL="114300" distR="114300">
            <wp:extent cx="6016543" cy="22907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2688" l="5830" r="4051" t="12473"/>
                    <a:stretch>
                      <a:fillRect/>
                    </a:stretch>
                  </pic:blipFill>
                  <pic:spPr>
                    <a:xfrm>
                      <a:off x="0" y="0"/>
                      <a:ext cx="601654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