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Route Table: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Route table contains the rules to route the traffic in/out of the subnet/VPC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Main Route table at VPC level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Custom rouble table at subnet level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Each route table contains default immutable local route for VPC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If no custom route table is defined , then the subnet by default refers the main route table at VPC level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We can modify the main route table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Consider the below image.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Scenario 1: Connect two EC2 instances within VPC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Diagram contains one VPC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Two subnets in Availability Zone 1 and 2 respectively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Each subnets has one EC2 instance A, B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695950" cy="2733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401" l="0" r="4166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Now if you note,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There is a main route table at VPC level 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If the EC2 instance located in AZ-1 wants to connect with EC2 instance in AZ-2,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It will check the main route table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main route table will have a default immutable entry for local routes.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Hence the route table redirects the request to EC2 located in AZ2 with the help of the router.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Scenario 2 : Connect anyone of the EC2 instances with Internet and try google.com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53100" cy="2924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401" l="801" r="2403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If we want to connect with outside VPC , we need below given three set up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(i) Internet GateWay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(ii) Entry in routetable to reach/redirect to Internet Gateway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(iii) The EC2 instance should be having a public IP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Route Table: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Route table contains the rules to route the traffic in/out of the subnet/VPC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Main Route table at VPC level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Custom rouble table at subnet level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Each route table contains default immutable local route for VPC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If no custom route table is defined , then the subnet by default refers the main route table at VPC level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We can modify the main route table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