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13138" cy="847003"/>
            <wp:effectExtent b="0" l="0" r="0" t="0"/>
            <wp:docPr descr="Escola Britânica de Artes Criativas" id="7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3138" cy="847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Marcos Adriano Gonçalves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projeto será realizada a análise de qualidade minuciosa de um produto em específico, através de testes de usabilidade, durabilidade e experiência do consumidor para verificar se essa mercadoria segue uma padronização qualitativa do mercado.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numPr>
              <w:ilvl w:val="0"/>
              <w:numId w:val="1"/>
            </w:numPr>
            <w:spacing w:after="0" w:line="276" w:lineRule="auto"/>
            <w:ind w:left="720" w:hanging="36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SUMÁRIO</w:t>
          </w:r>
        </w:p>
        <w:p w:rsidR="00000000" w:rsidDel="00000000" w:rsidP="00000000" w:rsidRDefault="00000000" w:rsidRPr="00000000" w14:paraId="00000013">
          <w:pPr>
            <w:pStyle w:val="Heading1"/>
            <w:ind w:firstLine="72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a qualidade do produto iremos mapear toda a sua especificidade.</w:t>
        <w:br w:type="textWrapping"/>
        <w:t xml:space="preserve">Como mostra o item 4.1 será uma análise detalhada desde o modelo do produto até seu design, matéria prima e performance. Dessa análise é  esperado que possamos conhecer melhor o produto em uma visão mais qualitativa.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Mochila Utility Elite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 ano e 3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32 Litros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mochila é muito fácil de ser manuseada e utilizada, toda sua estrutura de armazenamento é compacta e com várias opções. Além do conforto que é proporcionado pelo seu design.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material de 91% poliéster e 9% nylon. Forro: 100% poliéster, fazendo com que seja altamente resistente e durável.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Estrutura de alta resistência, com alças acolchoadas o que faz com que seu transporte seja de fácil manuseio e segura quando está em movimento.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Imagem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design muito bem pensado e elaborado para uma bolsa onde você precisa levar bastante carga. Além da alta resistência já mencionada e sua alças acolchoadas agregando conforto ao modelo. A sacola conta com zíper que abre por completo para maior facilidade. Dentro conta com divisões para sapatos, uma compartimento com rede de proteção e um mini bolso quase invisível e em suas laterais com compartimentos para garrafa de água sendo um de elástico e outro com zíper fazendo com que o espaço aumente. Já na parte de fora tem cinco bolsos, atrás um compartimento para notebook e costa acolchoadas.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Mochila Nike Utility Elite é incrível e pensada para pessoas que gostam de viajar com conforto, em meu uso pessoal tem sido utilizada em diversas viagens e muitas das vezes extrapolando o seu espaço de armazenamento, colocando em prova sua sua alta resistência. </w:t>
        <w:br w:type="textWrapping"/>
        <w:t xml:space="preserve">Um detalhe que seria muito útil é que fosse impermeável podendo ser a matéria prima ou um compartimento pequeno com zíper onde estivesse uma capa que cobrisse toda a mochila.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Exemplos de evidências: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Print: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3083887" cy="252791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36369" l="0" r="141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887" cy="2527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 Imagem 1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Foto: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7559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2: Foto</w:t>
      </w:r>
      <w:r w:rsidDel="00000000" w:rsidR="00000000" w:rsidRPr="00000000">
        <w:rPr>
          <w:rFonts w:ascii="Arial" w:cs="Arial" w:eastAsia="Arial" w:hAnsi="Arial"/>
          <w:rtl w:val="0"/>
        </w:rPr>
        <w:t xml:space="preserve"> Design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0">
      <w:pPr>
        <w:pStyle w:val="Heading2"/>
        <w:ind w:left="0" w:firstLine="0"/>
        <w:rPr>
          <w:b w:val="0"/>
          <w:color w:val="000000"/>
          <w:sz w:val="24"/>
          <w:szCs w:val="24"/>
        </w:rPr>
      </w:pPr>
      <w:bookmarkStart w:colFirst="0" w:colLast="0" w:name="_heading=h.wzzrhzpbejr3" w:id="9"/>
      <w:bookmarkEnd w:id="9"/>
      <w:r w:rsidDel="00000000" w:rsidR="00000000" w:rsidRPr="00000000">
        <w:rPr>
          <w:b w:val="0"/>
          <w:rtl w:val="0"/>
        </w:rPr>
        <w:t xml:space="preserve">A Nike Utility você encontra no site (link abaixo) da própria marca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é possível também encontrar em algumas lojas brasileiras, com cores diferentes da Imagem 2. A mochila foi comprada em uma Nike de Paris e alguns detalhes são diferentes. (Imagem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esta tarefa concluo que ter uma análise bem específica de um produto/serviço fará com que me torne um ótimo profissional e consiga tomar as melhores decisões na hora de adquirir algo. É sempre importante ter um olhar muito centrado para conseguir enxergar todos detalhes e onde/o que pode ser melhorado.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Nike, 2023.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https://www.nike.com.br/mochila-nike-utility-elite-masculina-008848.html?cor=ID&amp;gclid=Cj0KCQjw7JOpBhCfARIsAL3bobfImomYaxwdaRZvBxepzB3se6lZ3HS71oKy7hXjB46NV0QuBR-lxHQaAhmOEALw_wcB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A/K6+yX7Jakb7Frsi4L7W+zt8Q==">CgMxLjAyCGguZ2pkZ3hzMgloLjMwajB6bGwyCWguMWZvYjl0ZTIJaC4zem55c2g3MgloLjJldDkycDAyCGgudHlqY3d0MgloLjNkeTZ2a20yCWguMXQzaDVzZjIJaC40ZDM0b2c4Mg5oLnd6enJoenBiZWpyMzIJaC4yczhleW8xMgloLjE3ZHA4dnU4AHIhMU80WlRTVDluUTZicXlLYXZvQUp3cmxpXzJHYWJOZlFH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