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D6" w:rsidRDefault="00522ADF">
      <w:pPr>
        <w:rPr>
          <w:b/>
        </w:rPr>
      </w:pPr>
      <w:r>
        <w:rPr>
          <w:b/>
        </w:rPr>
        <w:t xml:space="preserve"> B</w:t>
      </w:r>
      <w:r w:rsidR="00EE2D2A" w:rsidRPr="00EE2D2A">
        <w:rPr>
          <w:b/>
        </w:rPr>
        <w:t>etter-designed GH missions are key to achieving more accurate hurricane-intensity forecasts: milestones for 2015 innovation activities</w:t>
      </w:r>
    </w:p>
    <w:p w:rsidR="00EE2D2A" w:rsidRDefault="00EE2D2A">
      <w:r>
        <w:t>1 Explore patentability of NGAS technology</w:t>
      </w:r>
      <w:r w:rsidR="00907702">
        <w:t xml:space="preserve"> related to UAVs and natural hazards</w:t>
      </w:r>
      <w:r>
        <w:t xml:space="preserve"> with Eric Boyd (manager of Product Licensing at Redondo Beach, CA)</w:t>
      </w:r>
      <w:r w:rsidR="00675203">
        <w:t>,</w:t>
      </w:r>
      <w:bookmarkStart w:id="0" w:name="_GoBack"/>
      <w:bookmarkEnd w:id="0"/>
      <w:r>
        <w:t xml:space="preserve"> in light of Boeing</w:t>
      </w:r>
      <w:r w:rsidR="00522ADF">
        <w:t>’s</w:t>
      </w:r>
      <w:r>
        <w:t xml:space="preserve"> patent EP 2689809 A 1 (</w:t>
      </w:r>
      <w:r w:rsidR="00907702">
        <w:t>“Wildfire arrest and prevention system”, published 2014)</w:t>
      </w:r>
    </w:p>
    <w:p w:rsidR="00907702" w:rsidRDefault="00907702">
      <w:r>
        <w:t>2 Prepare briefing for Richard Crooks (director of programs in unmanned systems at San Diego, CA) and others to identify a Product Champion for technical development and marketing of innovation-initiative-s</w:t>
      </w:r>
      <w:r w:rsidR="00522ADF">
        <w:t>p</w:t>
      </w:r>
      <w:r>
        <w:t>onsored work on environmental-monitoring applications of NGAS’</w:t>
      </w:r>
      <w:r w:rsidR="00522ADF">
        <w:t>s UAV technology, especially the HALE Global H</w:t>
      </w:r>
      <w:r>
        <w:t>awk</w:t>
      </w:r>
    </w:p>
    <w:p w:rsidR="00522ADF" w:rsidRDefault="00522ADF">
      <w:r>
        <w:t>3 Technical: Estimate, within a thermohydrostatic/cyclostr</w:t>
      </w:r>
      <w:r w:rsidR="001471CA">
        <w:t>o</w:t>
      </w:r>
      <w:r>
        <w:t>phic approximation,</w:t>
      </w:r>
      <w:r w:rsidR="00503F33">
        <w:t xml:space="preserve"> for both one-cell and two-cell structures,</w:t>
      </w:r>
      <w:r>
        <w:t xml:space="preserve"> the peak sustained swirl speed (intensity) attainable in a specified, convectively unstable ambient</w:t>
      </w:r>
      <w:r w:rsidR="00503F33">
        <w:t>.</w:t>
      </w:r>
      <w:r w:rsidR="00AA1950">
        <w:t xml:space="preserve"> This step involves a statement of the unique physics underlying the NGAS model.</w:t>
      </w:r>
    </w:p>
    <w:p w:rsidR="00522ADF" w:rsidRDefault="00522ADF">
      <w:r>
        <w:t>4 Technical: For a quasiste</w:t>
      </w:r>
      <w:r w:rsidR="00134A6F">
        <w:t>ady axisymmetric inviscid unsaturated vortex</w:t>
      </w:r>
      <w:r>
        <w:t xml:space="preserve"> in a noninertial (Earth-bound) frame of reference, with an open lateral boundary </w:t>
      </w:r>
      <w:r w:rsidR="00134A6F">
        <w:t>at specified radius</w:t>
      </w:r>
      <w:r w:rsidR="001471CA">
        <w:t xml:space="preserve"> from the axis of rotation</w:t>
      </w:r>
      <w:r w:rsidR="00134A6F">
        <w:t>, identify the stratifi</w:t>
      </w:r>
      <w:r w:rsidR="00503F33">
        <w:t>cation, from one inflow streamsurface to another,</w:t>
      </w:r>
      <w:r w:rsidR="00134A6F">
        <w:t xml:space="preserve"> of the following four integrals</w:t>
      </w:r>
      <w:r w:rsidR="000F62B0">
        <w:t xml:space="preserve"> of the flow</w:t>
      </w:r>
      <w:r w:rsidR="00134A6F">
        <w:t>: the total angular momentum per mass, the total specific energy, the specific entropy, and the moisture mass fraction</w:t>
      </w:r>
      <w:r w:rsidR="00AA1950">
        <w:t>. This step introduces a modular approach to addressing tropical-cyclone structure.</w:t>
      </w:r>
    </w:p>
    <w:p w:rsidR="00134A6F" w:rsidRDefault="00134A6F">
      <w:r>
        <w:t>5</w:t>
      </w:r>
      <w:r w:rsidR="001471CA">
        <w:t xml:space="preserve"> Technical: </w:t>
      </w:r>
      <w:r>
        <w:t xml:space="preserve"> </w:t>
      </w:r>
      <w:r w:rsidR="001471CA">
        <w:t xml:space="preserve">For a constant-eddy- treatment of turbulent diffusion, solve for the dynamics in an incompressible approximation, and for the associated energetics, holding in a </w:t>
      </w:r>
      <w:r w:rsidR="00667541">
        <w:t>specified-</w:t>
      </w:r>
      <w:r w:rsidR="001471CA">
        <w:t>constant-thickness near-ocean-surface boundary layer over a nominally planar ocean. In particular, compute the radially resolved downdrift to the boundary layer from the overlying inviscid vortex</w:t>
      </w:r>
      <w:r w:rsidR="00AA1950">
        <w:t>. This step introduces</w:t>
      </w:r>
      <w:r w:rsidR="00503F33">
        <w:t xml:space="preserve"> the use of</w:t>
      </w:r>
      <w:r w:rsidR="00AA1950">
        <w:t xml:space="preserve"> approximate simplistic</w:t>
      </w:r>
      <w:r w:rsidR="00780028">
        <w:t xml:space="preserve"> locally-appropriate</w:t>
      </w:r>
      <w:r w:rsidR="00AA1950">
        <w:t xml:space="preserve"> analysis</w:t>
      </w:r>
      <w:r w:rsidR="00503F33">
        <w:t>,</w:t>
      </w:r>
      <w:r w:rsidR="00AA1950">
        <w:t xml:space="preserve"> made possible by the modular formulation.</w:t>
      </w:r>
    </w:p>
    <w:p w:rsidR="00503F33" w:rsidRDefault="001471CA">
      <w:r>
        <w:t>6 Technical: Delineate the radial/axial contour of the contact-surface/vortex-sheet/streamsurface interface between the bulk vortex and the core flow</w:t>
      </w:r>
      <w:r w:rsidR="000A2581">
        <w:t>,</w:t>
      </w:r>
      <w:r>
        <w:t xml:space="preserve"> </w:t>
      </w:r>
      <w:r w:rsidR="000A2581">
        <w:t>for specified end sites (at boundary-layer separation, and at inflow-outflow changeover at the periphery)</w:t>
      </w:r>
      <w:r w:rsidR="00780028">
        <w:t>. This step is a reminder that the modular approach to facilitate locally appropriate approximations introduces its own complications</w:t>
      </w:r>
      <w:r w:rsidR="00503F33">
        <w:t>, related to delineation of the</w:t>
      </w:r>
      <w:r w:rsidR="00434AF1">
        <w:t xml:space="preserve"> interior</w:t>
      </w:r>
      <w:r w:rsidR="00503F33">
        <w:t xml:space="preserve"> </w:t>
      </w:r>
      <w:r w:rsidR="00434AF1">
        <w:t>boundaries, owing to the</w:t>
      </w:r>
      <w:r w:rsidR="00503F33">
        <w:t xml:space="preserve"> </w:t>
      </w:r>
      <w:r w:rsidR="00434AF1">
        <w:t xml:space="preserve">subdivision into </w:t>
      </w:r>
      <w:r w:rsidR="00503F33">
        <w:t>modules.</w:t>
      </w:r>
    </w:p>
    <w:p w:rsidR="000A2581" w:rsidRDefault="000A2581">
      <w:r>
        <w:lastRenderedPageBreak/>
        <w:t>7 Technical: Find the streamsurface pattern holding within the bulk vortex (between the planar top edge of the near-ocean-surface boundary layer, and the radial/axial contour)</w:t>
      </w:r>
      <w:r w:rsidR="00780028">
        <w:t>. While possibly dispensable here, this step develops skills that will be indispensable when subsequently addressing the core module.</w:t>
      </w:r>
    </w:p>
    <w:p w:rsidR="000A2581" w:rsidRDefault="000A2581">
      <w:r>
        <w:t>8 Technical: Est</w:t>
      </w:r>
      <w:r w:rsidR="00667541">
        <w:t>imate the radial profiles holdi</w:t>
      </w:r>
      <w:r>
        <w:t>ng</w:t>
      </w:r>
      <w:r w:rsidR="00667541">
        <w:t xml:space="preserve"> for saturated flow</w:t>
      </w:r>
      <w:r>
        <w:t xml:space="preserve"> at the altitude of the top edge of the boundary layer</w:t>
      </w:r>
      <w:r w:rsidR="00667541">
        <w:t>, after the throughput in the boundary layer completes the “turnaround” (i.e., completes the corner flow)</w:t>
      </w:r>
      <w:r w:rsidR="00780028">
        <w:t>. This step seeks to bypass intricacies of flow-separation analysis as the throughput re-emerges from a diffusive module into another inviscid module.</w:t>
      </w:r>
    </w:p>
    <w:p w:rsidR="00667541" w:rsidRDefault="00E13650">
      <w:r>
        <w:t>9 Technical: For the saturated swirling updraft/outflow in the core/outflow of the vortex, compute the streamline pattern; only the total angular momentum, specific entropy, and specific total energy being constant on streamsurfaces owing to phase change in saturated flow</w:t>
      </w:r>
      <w:r w:rsidR="00503F33">
        <w:t>. Finally, the preliminaries are over, and the observationally crucial core module of the tropical-cyclone structure can begin to be addressed.</w:t>
      </w:r>
      <w:r>
        <w:t xml:space="preserve"> </w:t>
      </w:r>
    </w:p>
    <w:p w:rsidR="00522ADF" w:rsidRPr="00EE2D2A" w:rsidRDefault="00522ADF"/>
    <w:sectPr w:rsidR="00522ADF" w:rsidRPr="00EE2D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9AD" w:rsidRDefault="003139AD" w:rsidP="00667541">
      <w:pPr>
        <w:spacing w:after="0" w:line="240" w:lineRule="auto"/>
      </w:pPr>
      <w:r>
        <w:separator/>
      </w:r>
    </w:p>
  </w:endnote>
  <w:endnote w:type="continuationSeparator" w:id="0">
    <w:p w:rsidR="003139AD" w:rsidRDefault="003139AD" w:rsidP="0066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41" w:rsidRDefault="006675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464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541" w:rsidRDefault="00667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2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7541" w:rsidRDefault="00667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41" w:rsidRDefault="00667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9AD" w:rsidRDefault="003139AD" w:rsidP="00667541">
      <w:pPr>
        <w:spacing w:after="0" w:line="240" w:lineRule="auto"/>
      </w:pPr>
      <w:r>
        <w:separator/>
      </w:r>
    </w:p>
  </w:footnote>
  <w:footnote w:type="continuationSeparator" w:id="0">
    <w:p w:rsidR="003139AD" w:rsidRDefault="003139AD" w:rsidP="0066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41" w:rsidRDefault="00667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41" w:rsidRDefault="00667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41" w:rsidRDefault="00667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2A"/>
    <w:rsid w:val="000A2581"/>
    <w:rsid w:val="000F62B0"/>
    <w:rsid w:val="00134A6F"/>
    <w:rsid w:val="001471CA"/>
    <w:rsid w:val="001525D6"/>
    <w:rsid w:val="003139AD"/>
    <w:rsid w:val="00434AF1"/>
    <w:rsid w:val="00503F33"/>
    <w:rsid w:val="00522ADF"/>
    <w:rsid w:val="00667541"/>
    <w:rsid w:val="00675203"/>
    <w:rsid w:val="00780028"/>
    <w:rsid w:val="0080216A"/>
    <w:rsid w:val="00907702"/>
    <w:rsid w:val="00994532"/>
    <w:rsid w:val="00AA1950"/>
    <w:rsid w:val="00E13650"/>
    <w:rsid w:val="00E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41"/>
  </w:style>
  <w:style w:type="paragraph" w:styleId="Footer">
    <w:name w:val="footer"/>
    <w:basedOn w:val="Normal"/>
    <w:link w:val="FooterChar"/>
    <w:uiPriority w:val="99"/>
    <w:unhideWhenUsed/>
    <w:rsid w:val="0066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41"/>
  </w:style>
  <w:style w:type="paragraph" w:styleId="Footer">
    <w:name w:val="footer"/>
    <w:basedOn w:val="Normal"/>
    <w:link w:val="FooterChar"/>
    <w:uiPriority w:val="99"/>
    <w:unhideWhenUsed/>
    <w:rsid w:val="0066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Fendell, Francis E (AS)</dc:creator>
  <cp:lastModifiedBy>Fendell, Francis E (AS)</cp:lastModifiedBy>
  <cp:revision>4</cp:revision>
  <cp:lastPrinted>2015-06-23T21:48:00Z</cp:lastPrinted>
  <dcterms:created xsi:type="dcterms:W3CDTF">2015-06-23T17:59:00Z</dcterms:created>
  <dcterms:modified xsi:type="dcterms:W3CDTF">2015-06-23T22:54:00Z</dcterms:modified>
</cp:coreProperties>
</file>