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Business Requirements Document (BRD)</w:t>
        <w:br/>
      </w:r>
    </w:p>
    <w:p>
      <w:pPr>
        <w:jc w:val="center"/>
      </w:pPr>
      <w:r>
        <w:rPr>
          <w:b/>
          <w:sz w:val="36"/>
        </w:rPr>
        <w:t>Enterprise Online Banking Application</w:t>
      </w:r>
    </w:p>
    <w:p/>
    <w:p>
      <w:pPr>
        <w:jc w:val="center"/>
      </w:pPr>
      <w:r>
        <w:t>Document Version: 1.0</w:t>
        <w:br/>
        <w:t>Date: 2026-06-08</w:t>
        <w:br/>
        <w:t>Prepared For: Enterprise Digital Banking Program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Summary of Changes</w:t>
            </w:r>
          </w:p>
        </w:tc>
        <w:tc>
          <w:tcPr>
            <w:tcW w:type="dxa" w:w="1728"/>
          </w:tcPr>
          <w:p>
            <w:r>
              <w:t>Approval 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2026-06-08</w:t>
            </w:r>
          </w:p>
        </w:tc>
        <w:tc>
          <w:tcPr>
            <w:tcW w:type="dxa" w:w="1728"/>
          </w:tcPr>
          <w:p>
            <w:r>
              <w:t>Business Analysis Team</w:t>
            </w:r>
          </w:p>
        </w:tc>
        <w:tc>
          <w:tcPr>
            <w:tcW w:type="dxa" w:w="1728"/>
          </w:tcPr>
          <w:p>
            <w:r>
              <w:t>Initial baseline BRD for enterprise online banking platform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2"/>
      </w:pPr>
      <w:r>
        <w:t>1.2 Distribution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 / Group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Executive Sponsor</w:t>
            </w:r>
          </w:p>
        </w:tc>
        <w:tc>
          <w:tcPr>
            <w:tcW w:type="dxa" w:w="2880"/>
          </w:tcPr>
          <w:p>
            <w:r>
              <w:t>Chief Digital Officer</w:t>
            </w:r>
          </w:p>
        </w:tc>
        <w:tc>
          <w:tcPr>
            <w:tcW w:type="dxa" w:w="2880"/>
          </w:tcPr>
          <w:p>
            <w:r>
              <w:t>Strategic direction and funding approval</w:t>
            </w:r>
          </w:p>
        </w:tc>
      </w:tr>
      <w:tr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>
              <w:t>Retail Banking Head</w:t>
            </w:r>
          </w:p>
        </w:tc>
        <w:tc>
          <w:tcPr>
            <w:tcW w:type="dxa" w:w="2880"/>
          </w:tcPr>
          <w:p>
            <w:r>
              <w:t>Business prioritization and value realization</w:t>
            </w:r>
          </w:p>
        </w:tc>
      </w:tr>
      <w:tr>
        <w:tc>
          <w:tcPr>
            <w:tcW w:type="dxa" w:w="2880"/>
          </w:tcPr>
          <w:p>
            <w:r>
              <w:t>Technology Owner</w:t>
            </w:r>
          </w:p>
        </w:tc>
        <w:tc>
          <w:tcPr>
            <w:tcW w:type="dxa" w:w="2880"/>
          </w:tcPr>
          <w:p>
            <w:r>
              <w:t>Enterprise Architecture</w:t>
            </w:r>
          </w:p>
        </w:tc>
        <w:tc>
          <w:tcPr>
            <w:tcW w:type="dxa" w:w="2880"/>
          </w:tcPr>
          <w:p>
            <w:r>
              <w:t>Technical standards and architecture governance</w:t>
            </w:r>
          </w:p>
        </w:tc>
      </w:tr>
      <w:tr>
        <w:tc>
          <w:tcPr>
            <w:tcW w:type="dxa" w:w="2880"/>
          </w:tcPr>
          <w:p>
            <w:r>
              <w:t>Security Owner</w:t>
            </w:r>
          </w:p>
        </w:tc>
        <w:tc>
          <w:tcPr>
            <w:tcW w:type="dxa" w:w="2880"/>
          </w:tcPr>
          <w:p>
            <w:r>
              <w:t>CISO Office</w:t>
            </w:r>
          </w:p>
        </w:tc>
        <w:tc>
          <w:tcPr>
            <w:tcW w:type="dxa" w:w="2880"/>
          </w:tcPr>
          <w:p>
            <w:r>
              <w:t>Security, privacy, and risk controls</w:t>
            </w:r>
          </w:p>
        </w:tc>
      </w:tr>
      <w:tr>
        <w:tc>
          <w:tcPr>
            <w:tcW w:type="dxa" w:w="2880"/>
          </w:tcPr>
          <w:p>
            <w:r>
              <w:t>Compliance Owner</w:t>
            </w:r>
          </w:p>
        </w:tc>
        <w:tc>
          <w:tcPr>
            <w:tcW w:type="dxa" w:w="2880"/>
          </w:tcPr>
          <w:p>
            <w:r>
              <w:t>Risk &amp; Compliance</w:t>
            </w:r>
          </w:p>
        </w:tc>
        <w:tc>
          <w:tcPr>
            <w:tcW w:type="dxa" w:w="2880"/>
          </w:tcPr>
          <w:p>
            <w:r>
              <w:t>Regulatory adherence and audit readiness</w:t>
            </w:r>
          </w:p>
        </w:tc>
      </w:tr>
      <w:tr>
        <w:tc>
          <w:tcPr>
            <w:tcW w:type="dxa" w:w="2880"/>
          </w:tcPr>
          <w:p>
            <w:r>
              <w:t>Delivery Team</w:t>
            </w:r>
          </w:p>
        </w:tc>
        <w:tc>
          <w:tcPr>
            <w:tcW w:type="dxa" w:w="2880"/>
          </w:tcPr>
          <w:p>
            <w:r>
              <w:t>Product, Engineering, QA, DevOps</w:t>
            </w:r>
          </w:p>
        </w:tc>
        <w:tc>
          <w:tcPr>
            <w:tcW w:type="dxa" w:w="2880"/>
          </w:tcPr>
          <w:p>
            <w:r>
              <w:t>Design, build, test, and deployment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ListBullet"/>
      </w:pPr>
      <w:r>
        <w:t>This BRD defines the business requirements for an enterprise-grade online banking application serving retail and small business customers across web and mobile channels.</w:t>
      </w:r>
    </w:p>
    <w:p>
      <w:pPr>
        <w:pStyle w:val="ListBullet"/>
      </w:pPr>
      <w:r>
        <w:t>The target solution must provide secure, always-on digital banking capabilities while meeting regulatory, operational, and customer-experience goals.</w:t>
      </w:r>
    </w:p>
    <w:p>
      <w:pPr>
        <w:pStyle w:val="ListBullet"/>
      </w:pPr>
      <w:r>
        <w:t>The program objective is to increase digital adoption, reduce branch-assisted transaction costs, improve customer retention, and create a scalable platform for future digital products.</w:t>
      </w:r>
    </w:p>
    <w:p>
      <w:pPr>
        <w:pStyle w:val="Heading1"/>
      </w:pPr>
      <w:r>
        <w:t>3. Business Objectives and Success Metrics</w:t>
      </w:r>
    </w:p>
    <w:p>
      <w:pPr>
        <w:pStyle w:val="ListBullet"/>
      </w:pPr>
      <w:r>
        <w:t>Increase digital active users by at least 25% within 12 months of go-live.</w:t>
      </w:r>
    </w:p>
    <w:p>
      <w:pPr>
        <w:pStyle w:val="ListBullet"/>
      </w:pPr>
      <w:r>
        <w:t>Reduce cost-to-serve for routine transactions by at least 35% compared to branch/call-center channels.</w:t>
      </w:r>
    </w:p>
    <w:p>
      <w:pPr>
        <w:pStyle w:val="ListBullet"/>
      </w:pPr>
      <w:r>
        <w:t>Achieve &gt;= 99.95% monthly uptime for customer-facing online banking services.</w:t>
      </w:r>
    </w:p>
    <w:p>
      <w:pPr>
        <w:pStyle w:val="ListBullet"/>
      </w:pPr>
      <w:r>
        <w:t>Achieve straight-through processing rate &gt;= 98% for eligible transfers and bill payments.</w:t>
      </w:r>
    </w:p>
    <w:p>
      <w:pPr>
        <w:pStyle w:val="ListBullet"/>
      </w:pPr>
      <w:r>
        <w:t>Reduce digital fraud loss ratio by 20% through risk-based authentication and transaction monitoring.</w:t>
      </w:r>
    </w:p>
    <w:p>
      <w:pPr>
        <w:pStyle w:val="ListBullet"/>
      </w:pPr>
      <w:r>
        <w:t>Reach customer satisfaction score &gt;= 4.5/5 for digital banking journeys.</w:t>
      </w:r>
    </w:p>
    <w:p>
      <w:pPr>
        <w:pStyle w:val="Heading1"/>
      </w:pPr>
      <w:r>
        <w:t>4. Business Scope</w:t>
      </w:r>
    </w:p>
    <w:p>
      <w:pPr>
        <w:pStyle w:val="ListBullet"/>
      </w:pPr>
      <w:r>
        <w:t>In Scope: authentication, account dashboard, transfers, bill pay, card controls, statements, alerts, secure messaging, profile management, and operations portal.</w:t>
      </w:r>
    </w:p>
    <w:p>
      <w:pPr>
        <w:pStyle w:val="ListBullet"/>
      </w:pPr>
      <w:r>
        <w:t>In Scope: integration with core banking, payments, card systems, fraud/AML, CRM, notifications, IAM, and analytics.</w:t>
      </w:r>
    </w:p>
    <w:p>
      <w:pPr>
        <w:pStyle w:val="ListBullet"/>
      </w:pPr>
      <w:r>
        <w:t>Out of Scope (Phase 1): loan origination, wealth advisory execution, mortgage servicing, branch teller workflow replacement.</w:t>
      </w:r>
    </w:p>
    <w:p>
      <w:pPr>
        <w:pStyle w:val="Heading1"/>
      </w:pPr>
      <w:r>
        <w:t>5. Stakeholders and User Personas</w:t>
      </w:r>
    </w:p>
    <w:p>
      <w:pPr>
        <w:pStyle w:val="ListBullet"/>
      </w:pPr>
      <w:r>
        <w:t>Retail Customer</w:t>
      </w:r>
    </w:p>
    <w:p>
      <w:pPr>
        <w:pStyle w:val="ListBullet"/>
      </w:pPr>
      <w:r>
        <w:t>Small Business User</w:t>
      </w:r>
    </w:p>
    <w:p>
      <w:pPr>
        <w:pStyle w:val="ListBullet"/>
      </w:pPr>
      <w:r>
        <w:t>Operations Analyst</w:t>
      </w:r>
    </w:p>
    <w:p>
      <w:pPr>
        <w:pStyle w:val="ListBullet"/>
      </w:pPr>
      <w:r>
        <w:t>Fraud/Risk Analyst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Auditor/Compliance Reviewer</w:t>
      </w:r>
    </w:p>
    <w:p>
      <w:pPr>
        <w:pStyle w:val="Heading1"/>
      </w:pPr>
      <w:r>
        <w:t>6. Assumptions, Dependencies, and Constraints</w:t>
      </w:r>
    </w:p>
    <w:p>
      <w:pPr>
        <w:pStyle w:val="ListBullet"/>
      </w:pPr>
      <w:r>
        <w:t>Core banking APIs are available in near-real-time.</w:t>
      </w:r>
    </w:p>
    <w:p>
      <w:pPr>
        <w:pStyle w:val="ListBullet"/>
      </w:pPr>
      <w:r>
        <w:t>Enterprise IAM supports MFA and centralized policies.</w:t>
      </w:r>
    </w:p>
    <w:p>
      <w:pPr>
        <w:pStyle w:val="ListBullet"/>
      </w:pPr>
      <w:r>
        <w:t>Data residency and privacy controls must align with local regulations.</w:t>
      </w:r>
    </w:p>
    <w:p>
      <w:pPr>
        <w:pStyle w:val="ListBullet"/>
      </w:pPr>
      <w:r>
        <w:t>Deployment must comply with enterprise cloud and zero-trust standards.</w:t>
      </w:r>
    </w:p>
    <w:p>
      <w:pPr>
        <w:pStyle w:val="ListBullet"/>
      </w:pPr>
      <w:r>
        <w:t>Critical integrations require fallback and reconciliation mechanisms.</w:t>
      </w:r>
    </w:p>
    <w:p>
      <w:pPr>
        <w:pStyle w:val="Heading1"/>
      </w:pPr>
      <w:r>
        <w:t>7. Business Capability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 ID</w:t>
            </w:r>
          </w:p>
        </w:tc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Business Outcome</w:t>
            </w:r>
          </w:p>
        </w:tc>
      </w:tr>
      <w:tr>
        <w:tc>
          <w:tcPr>
            <w:tcW w:type="dxa" w:w="1728"/>
          </w:tcPr>
          <w:p>
            <w:r>
              <w:t>BC-01</w:t>
            </w:r>
          </w:p>
        </w:tc>
        <w:tc>
          <w:tcPr>
            <w:tcW w:type="dxa" w:w="1728"/>
          </w:tcPr>
          <w:p>
            <w:r>
              <w:t>Authentication &amp; Session Security</w:t>
            </w:r>
          </w:p>
        </w:tc>
        <w:tc>
          <w:tcPr>
            <w:tcW w:type="dxa" w:w="1728"/>
          </w:tcPr>
          <w:p>
            <w:r>
              <w:t>Secure login, MFA, device recognition, risk challenge.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Protect accounts with low friction.</w:t>
            </w:r>
          </w:p>
        </w:tc>
      </w:tr>
      <w:tr>
        <w:tc>
          <w:tcPr>
            <w:tcW w:type="dxa" w:w="1728"/>
          </w:tcPr>
          <w:p>
            <w:r>
              <w:t>BC-02</w:t>
            </w:r>
          </w:p>
        </w:tc>
        <w:tc>
          <w:tcPr>
            <w:tcW w:type="dxa" w:w="1728"/>
          </w:tcPr>
          <w:p>
            <w:r>
              <w:t>Account Information</w:t>
            </w:r>
          </w:p>
        </w:tc>
        <w:tc>
          <w:tcPr>
            <w:tcW w:type="dxa" w:w="1728"/>
          </w:tcPr>
          <w:p>
            <w:r>
              <w:t>Real-time balances, history, statement access.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Enable customer self-service.</w:t>
            </w:r>
          </w:p>
        </w:tc>
      </w:tr>
      <w:tr>
        <w:tc>
          <w:tcPr>
            <w:tcW w:type="dxa" w:w="1728"/>
          </w:tcPr>
          <w:p>
            <w:r>
              <w:t>BC-03</w:t>
            </w:r>
          </w:p>
        </w:tc>
        <w:tc>
          <w:tcPr>
            <w:tcW w:type="dxa" w:w="1728"/>
          </w:tcPr>
          <w:p>
            <w:r>
              <w:t>Payments &amp; Transfers</w:t>
            </w:r>
          </w:p>
        </w:tc>
        <w:tc>
          <w:tcPr>
            <w:tcW w:type="dxa" w:w="1728"/>
          </w:tcPr>
          <w:p>
            <w:r>
              <w:t>Internal/external transfers and bill payment.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Complete digital transactions end-to-end.</w:t>
            </w:r>
          </w:p>
        </w:tc>
      </w:tr>
      <w:tr>
        <w:tc>
          <w:tcPr>
            <w:tcW w:type="dxa" w:w="1728"/>
          </w:tcPr>
          <w:p>
            <w:r>
              <w:t>BC-04</w:t>
            </w:r>
          </w:p>
        </w:tc>
        <w:tc>
          <w:tcPr>
            <w:tcW w:type="dxa" w:w="1728"/>
          </w:tcPr>
          <w:p>
            <w:r>
              <w:t>Card Controls</w:t>
            </w:r>
          </w:p>
        </w:tc>
        <w:tc>
          <w:tcPr>
            <w:tcW w:type="dxa" w:w="1728"/>
          </w:tcPr>
          <w:p>
            <w:r>
              <w:t>Freeze/unfreeze, limits, channel controls.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Increase customer control and risk reduction.</w:t>
            </w:r>
          </w:p>
        </w:tc>
      </w:tr>
      <w:tr>
        <w:tc>
          <w:tcPr>
            <w:tcW w:type="dxa" w:w="1728"/>
          </w:tcPr>
          <w:p>
            <w:r>
              <w:t>BC-05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Event alerts and communication preferences.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Improve engagement and awareness.</w:t>
            </w:r>
          </w:p>
        </w:tc>
      </w:tr>
      <w:tr>
        <w:tc>
          <w:tcPr>
            <w:tcW w:type="dxa" w:w="1728"/>
          </w:tcPr>
          <w:p>
            <w:r>
              <w:t>BC-06</w:t>
            </w:r>
          </w:p>
        </w:tc>
        <w:tc>
          <w:tcPr>
            <w:tcW w:type="dxa" w:w="1728"/>
          </w:tcPr>
          <w:p>
            <w:r>
              <w:t>Operations &amp; Exceptions</w:t>
            </w:r>
          </w:p>
        </w:tc>
        <w:tc>
          <w:tcPr>
            <w:tcW w:type="dxa" w:w="1728"/>
          </w:tcPr>
          <w:p>
            <w:r>
              <w:t>Exception queue and reconciliation workflows.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Reduce operational and financial risk.</w:t>
            </w:r>
          </w:p>
        </w:tc>
      </w:tr>
    </w:tbl>
    <w:p>
      <w:pPr>
        <w:pStyle w:val="Heading1"/>
      </w:pPr>
      <w:r>
        <w:t>8. Detailed Functional Requirements</w:t>
      </w:r>
    </w:p>
    <w:p>
      <w:pPr>
        <w:pStyle w:val="Heading2"/>
      </w:pPr>
      <w:r>
        <w:t>8.1 Identity, Authentication, and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FR-IA-001</w:t>
            </w:r>
          </w:p>
        </w:tc>
        <w:tc>
          <w:tcPr>
            <w:tcW w:type="dxa" w:w="1234"/>
          </w:tcPr>
          <w:p>
            <w:r>
              <w:t>User Login</w:t>
            </w:r>
          </w:p>
        </w:tc>
        <w:tc>
          <w:tcPr>
            <w:tcW w:type="dxa" w:w="1234"/>
          </w:tcPr>
          <w:p>
            <w:r>
              <w:t>Support username/password login with adaptive MFA.</w:t>
            </w:r>
          </w:p>
        </w:tc>
        <w:tc>
          <w:tcPr>
            <w:tcW w:type="dxa" w:w="1234"/>
          </w:tcPr>
          <w:p>
            <w:r>
              <w:t>MFA for new device/high risk/high value.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Security Policy</w:t>
            </w:r>
          </w:p>
        </w:tc>
        <w:tc>
          <w:tcPr>
            <w:tcW w:type="dxa" w:w="1234"/>
          </w:tcPr>
          <w:p>
            <w:r>
              <w:t>Normal and challenged login flows pass with audit logs.</w:t>
            </w:r>
          </w:p>
        </w:tc>
      </w:tr>
      <w:tr>
        <w:tc>
          <w:tcPr>
            <w:tcW w:type="dxa" w:w="1234"/>
          </w:tcPr>
          <w:p>
            <w:r>
              <w:t>FR-IA-002</w:t>
            </w:r>
          </w:p>
        </w:tc>
        <w:tc>
          <w:tcPr>
            <w:tcW w:type="dxa" w:w="1234"/>
          </w:tcPr>
          <w:p>
            <w:r>
              <w:t>Password Policy</w:t>
            </w:r>
          </w:p>
        </w:tc>
        <w:tc>
          <w:tcPr>
            <w:tcW w:type="dxa" w:w="1234"/>
          </w:tcPr>
          <w:p>
            <w:r>
              <w:t>Enforce enterprise credential policy.</w:t>
            </w:r>
          </w:p>
        </w:tc>
        <w:tc>
          <w:tcPr>
            <w:tcW w:type="dxa" w:w="1234"/>
          </w:tcPr>
          <w:p>
            <w:r>
              <w:t>Complexity, lockout, lifecycle.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InfoSec</w:t>
            </w:r>
          </w:p>
        </w:tc>
        <w:tc>
          <w:tcPr>
            <w:tcW w:type="dxa" w:w="1234"/>
          </w:tcPr>
          <w:p>
            <w:r>
              <w:t>Non-compliant credentials rejected and logged.</w:t>
            </w:r>
          </w:p>
        </w:tc>
      </w:tr>
      <w:tr>
        <w:tc>
          <w:tcPr>
            <w:tcW w:type="dxa" w:w="1234"/>
          </w:tcPr>
          <w:p>
            <w:r>
              <w:t>FR-IA-003</w:t>
            </w:r>
          </w:p>
        </w:tc>
        <w:tc>
          <w:tcPr>
            <w:tcW w:type="dxa" w:w="1234"/>
          </w:tcPr>
          <w:p>
            <w:r>
              <w:t>Role-Based Access</w:t>
            </w:r>
          </w:p>
        </w:tc>
        <w:tc>
          <w:tcPr>
            <w:tcW w:type="dxa" w:w="1234"/>
          </w:tcPr>
          <w:p>
            <w:r>
              <w:t>Enforce role-based entitlements.</w:t>
            </w:r>
          </w:p>
        </w:tc>
        <w:tc>
          <w:tcPr>
            <w:tcW w:type="dxa" w:w="1234"/>
          </w:tcPr>
          <w:p>
            <w:r>
              <w:t>Least privilege.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IAM</w:t>
            </w:r>
          </w:p>
        </w:tc>
        <w:tc>
          <w:tcPr>
            <w:tcW w:type="dxa" w:w="1234"/>
          </w:tcPr>
          <w:p>
            <w:r>
              <w:t>Users can access only permitted data and functions.</w:t>
            </w:r>
          </w:p>
        </w:tc>
      </w:tr>
      <w:tr>
        <w:tc>
          <w:tcPr>
            <w:tcW w:type="dxa" w:w="1234"/>
          </w:tcPr>
          <w:p>
            <w:r>
              <w:t>FR-IA-004</w:t>
            </w:r>
          </w:p>
        </w:tc>
        <w:tc>
          <w:tcPr>
            <w:tcW w:type="dxa" w:w="1234"/>
          </w:tcPr>
          <w:p>
            <w:r>
              <w:t>Session Management</w:t>
            </w:r>
          </w:p>
        </w:tc>
        <w:tc>
          <w:tcPr>
            <w:tcW w:type="dxa" w:w="1234"/>
          </w:tcPr>
          <w:p>
            <w:r>
              <w:t>Secure timeout and token rotation.</w:t>
            </w:r>
          </w:p>
        </w:tc>
        <w:tc>
          <w:tcPr>
            <w:tcW w:type="dxa" w:w="1234"/>
          </w:tcPr>
          <w:p>
            <w:r>
              <w:t>Configurable timeout by risk.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Security Architecture</w:t>
            </w:r>
          </w:p>
        </w:tc>
        <w:tc>
          <w:tcPr>
            <w:tcW w:type="dxa" w:w="1234"/>
          </w:tcPr>
          <w:p>
            <w:r>
              <w:t>Expired sessions blocked from reuse.</w:t>
            </w:r>
          </w:p>
        </w:tc>
      </w:tr>
    </w:tbl>
    <w:p>
      <w:pPr>
        <w:pStyle w:val="Heading2"/>
      </w:pPr>
      <w:r>
        <w:t>8.2 Account Dashboard and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FR-AD-001</w:t>
            </w:r>
          </w:p>
        </w:tc>
        <w:tc>
          <w:tcPr>
            <w:tcW w:type="dxa" w:w="1234"/>
          </w:tcPr>
          <w:p>
            <w:r>
              <w:t>Unified Account View</w:t>
            </w:r>
          </w:p>
        </w:tc>
        <w:tc>
          <w:tcPr>
            <w:tcW w:type="dxa" w:w="1234"/>
          </w:tcPr>
          <w:p>
            <w:r>
              <w:t>Show all eligible accounts with balances.</w:t>
            </w:r>
          </w:p>
        </w:tc>
        <w:tc>
          <w:tcPr>
            <w:tcW w:type="dxa" w:w="1234"/>
          </w:tcPr>
          <w:p>
            <w:r>
              <w:t>Freshness &lt;= 60 seconds.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Business Owner</w:t>
            </w:r>
          </w:p>
        </w:tc>
        <w:tc>
          <w:tcPr>
            <w:tcW w:type="dxa" w:w="1234"/>
          </w:tcPr>
          <w:p>
            <w:r>
              <w:t>Dashboard shows account status and balances.</w:t>
            </w:r>
          </w:p>
        </w:tc>
      </w:tr>
      <w:tr>
        <w:tc>
          <w:tcPr>
            <w:tcW w:type="dxa" w:w="1234"/>
          </w:tcPr>
          <w:p>
            <w:r>
              <w:t>FR-AD-002</w:t>
            </w:r>
          </w:p>
        </w:tc>
        <w:tc>
          <w:tcPr>
            <w:tcW w:type="dxa" w:w="1234"/>
          </w:tcPr>
          <w:p>
            <w:r>
              <w:t>Transaction Search</w:t>
            </w:r>
          </w:p>
        </w:tc>
        <w:tc>
          <w:tcPr>
            <w:tcW w:type="dxa" w:w="1234"/>
          </w:tcPr>
          <w:p>
            <w:r>
              <w:t>Filter and search transactions.</w:t>
            </w:r>
          </w:p>
        </w:tc>
        <w:tc>
          <w:tcPr>
            <w:tcW w:type="dxa" w:w="1234"/>
          </w:tcPr>
          <w:p>
            <w:r>
              <w:t>Date, amount, merchant, channel, status.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CX</w:t>
            </w:r>
          </w:p>
        </w:tc>
        <w:tc>
          <w:tcPr>
            <w:tcW w:type="dxa" w:w="1234"/>
          </w:tcPr>
          <w:p>
            <w:r>
              <w:t>Search returns exportable results within SLA.</w:t>
            </w:r>
          </w:p>
        </w:tc>
      </w:tr>
      <w:tr>
        <w:tc>
          <w:tcPr>
            <w:tcW w:type="dxa" w:w="1234"/>
          </w:tcPr>
          <w:p>
            <w:r>
              <w:t>FR-AD-003</w:t>
            </w:r>
          </w:p>
        </w:tc>
        <w:tc>
          <w:tcPr>
            <w:tcW w:type="dxa" w:w="1234"/>
          </w:tcPr>
          <w:p>
            <w:r>
              <w:t>Statement Delivery</w:t>
            </w:r>
          </w:p>
        </w:tc>
        <w:tc>
          <w:tcPr>
            <w:tcW w:type="dxa" w:w="1234"/>
          </w:tcPr>
          <w:p>
            <w:r>
              <w:t>View/download statements in PDF and CSV.</w:t>
            </w:r>
          </w:p>
        </w:tc>
        <w:tc>
          <w:tcPr>
            <w:tcW w:type="dxa" w:w="1234"/>
          </w:tcPr>
          <w:p>
            <w:r>
              <w:t>Retention as per policy.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Historical statements retrievable.</w:t>
            </w:r>
          </w:p>
        </w:tc>
      </w:tr>
    </w:tbl>
    <w:p>
      <w:pPr>
        <w:pStyle w:val="Heading2"/>
      </w:pPr>
      <w:r>
        <w:t>8.3 Payments, Transfers, and Beneficiaries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FR-PT-001</w:t>
            </w:r>
          </w:p>
        </w:tc>
        <w:tc>
          <w:tcPr>
            <w:tcW w:type="dxa" w:w="1234"/>
          </w:tcPr>
          <w:p>
            <w:r>
              <w:t>Internal Transfer</w:t>
            </w:r>
          </w:p>
        </w:tc>
        <w:tc>
          <w:tcPr>
            <w:tcW w:type="dxa" w:w="1234"/>
          </w:tcPr>
          <w:p>
            <w:r>
              <w:t>Immediate and scheduled own-account transfers.</w:t>
            </w:r>
          </w:p>
        </w:tc>
        <w:tc>
          <w:tcPr>
            <w:tcW w:type="dxa" w:w="1234"/>
          </w:tcPr>
          <w:p>
            <w:r>
              <w:t>Cutoff/holiday calendars.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Payments</w:t>
            </w:r>
          </w:p>
        </w:tc>
        <w:tc>
          <w:tcPr>
            <w:tcW w:type="dxa" w:w="1234"/>
          </w:tcPr>
          <w:p>
            <w:r>
              <w:t>Execution confirmation reference generated.</w:t>
            </w:r>
          </w:p>
        </w:tc>
      </w:tr>
      <w:tr>
        <w:tc>
          <w:tcPr>
            <w:tcW w:type="dxa" w:w="1234"/>
          </w:tcPr>
          <w:p>
            <w:r>
              <w:t>FR-PT-002</w:t>
            </w:r>
          </w:p>
        </w:tc>
        <w:tc>
          <w:tcPr>
            <w:tcW w:type="dxa" w:w="1234"/>
          </w:tcPr>
          <w:p>
            <w:r>
              <w:t>External Transfer</w:t>
            </w:r>
          </w:p>
        </w:tc>
        <w:tc>
          <w:tcPr>
            <w:tcW w:type="dxa" w:w="1234"/>
          </w:tcPr>
          <w:p>
            <w:r>
              <w:t>Transfers to registered beneficiaries.</w:t>
            </w:r>
          </w:p>
        </w:tc>
        <w:tc>
          <w:tcPr>
            <w:tcW w:type="dxa" w:w="1234"/>
          </w:tcPr>
          <w:p>
            <w:r>
              <w:t>Validation, cooling period, step-up auth.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Invalid requests blocked with reason.</w:t>
            </w:r>
          </w:p>
        </w:tc>
      </w:tr>
      <w:tr>
        <w:tc>
          <w:tcPr>
            <w:tcW w:type="dxa" w:w="1234"/>
          </w:tcPr>
          <w:p>
            <w:r>
              <w:t>FR-PT-003</w:t>
            </w:r>
          </w:p>
        </w:tc>
        <w:tc>
          <w:tcPr>
            <w:tcW w:type="dxa" w:w="1234"/>
          </w:tcPr>
          <w:p>
            <w:r>
              <w:t>Bill Payment</w:t>
            </w:r>
          </w:p>
        </w:tc>
        <w:tc>
          <w:tcPr>
            <w:tcW w:type="dxa" w:w="1234"/>
          </w:tcPr>
          <w:p>
            <w:r>
              <w:t>One-time and recurring bill payments.</w:t>
            </w:r>
          </w:p>
        </w:tc>
        <w:tc>
          <w:tcPr>
            <w:tcW w:type="dxa" w:w="1234"/>
          </w:tcPr>
          <w:p>
            <w:r>
              <w:t>Configurable biller limits and cutoffs.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Payments Ops</w:t>
            </w:r>
          </w:p>
        </w:tc>
        <w:tc>
          <w:tcPr>
            <w:tcW w:type="dxa" w:w="1234"/>
          </w:tcPr>
          <w:p>
            <w:r>
              <w:t>Lifecycle status tracked to completion.</w:t>
            </w:r>
          </w:p>
        </w:tc>
      </w:tr>
      <w:tr>
        <w:tc>
          <w:tcPr>
            <w:tcW w:type="dxa" w:w="1234"/>
          </w:tcPr>
          <w:p>
            <w:r>
              <w:t>FR-PT-004</w:t>
            </w:r>
          </w:p>
        </w:tc>
        <w:tc>
          <w:tcPr>
            <w:tcW w:type="dxa" w:w="1234"/>
          </w:tcPr>
          <w:p>
            <w:r>
              <w:t>Transaction Limits</w:t>
            </w:r>
          </w:p>
        </w:tc>
        <w:tc>
          <w:tcPr>
            <w:tcW w:type="dxa" w:w="1234"/>
          </w:tcPr>
          <w:p>
            <w:r>
              <w:t>Enforce customer and channel limits.</w:t>
            </w:r>
          </w:p>
        </w:tc>
        <w:tc>
          <w:tcPr>
            <w:tcW w:type="dxa" w:w="1234"/>
          </w:tcPr>
          <w:p>
            <w:r>
              <w:t>Segment/risk/product specific limits.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Risk Policy</w:t>
            </w:r>
          </w:p>
        </w:tc>
        <w:tc>
          <w:tcPr>
            <w:tcW w:type="dxa" w:w="1234"/>
          </w:tcPr>
          <w:p>
            <w:r>
              <w:t>Over-limit transactions rejected safely.</w:t>
            </w:r>
          </w:p>
        </w:tc>
      </w:tr>
    </w:tbl>
    <w:p>
      <w:pPr>
        <w:pStyle w:val="Heading2"/>
      </w:pPr>
      <w:r>
        <w:t>8.4 Card Controls and Disputes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FR-CC-001</w:t>
            </w:r>
          </w:p>
        </w:tc>
        <w:tc>
          <w:tcPr>
            <w:tcW w:type="dxa" w:w="1234"/>
          </w:tcPr>
          <w:p>
            <w:r>
              <w:t>Card Freeze/Unfreeze</w:t>
            </w:r>
          </w:p>
        </w:tc>
        <w:tc>
          <w:tcPr>
            <w:tcW w:type="dxa" w:w="1234"/>
          </w:tcPr>
          <w:p>
            <w:r>
              <w:t>Temporary card lock/unlock.</w:t>
            </w:r>
          </w:p>
        </w:tc>
        <w:tc>
          <w:tcPr>
            <w:tcW w:type="dxa" w:w="1234"/>
          </w:tcPr>
          <w:p>
            <w:r>
              <w:t>Near real-time action propagation.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Cards</w:t>
            </w:r>
          </w:p>
        </w:tc>
        <w:tc>
          <w:tcPr>
            <w:tcW w:type="dxa" w:w="1234"/>
          </w:tcPr>
          <w:p>
            <w:r>
              <w:t>Authorization behavior updates within SLA.</w:t>
            </w:r>
          </w:p>
        </w:tc>
      </w:tr>
      <w:tr>
        <w:tc>
          <w:tcPr>
            <w:tcW w:type="dxa" w:w="1234"/>
          </w:tcPr>
          <w:p>
            <w:r>
              <w:t>FR-CC-002</w:t>
            </w:r>
          </w:p>
        </w:tc>
        <w:tc>
          <w:tcPr>
            <w:tcW w:type="dxa" w:w="1234"/>
          </w:tcPr>
          <w:p>
            <w:r>
              <w:t>Usage Controls</w:t>
            </w:r>
          </w:p>
        </w:tc>
        <w:tc>
          <w:tcPr>
            <w:tcW w:type="dxa" w:w="1234"/>
          </w:tcPr>
          <w:p>
            <w:r>
              <w:t>Channel and geography restrictions.</w:t>
            </w:r>
          </w:p>
        </w:tc>
        <w:tc>
          <w:tcPr>
            <w:tcW w:type="dxa" w:w="1234"/>
          </w:tcPr>
          <w:p>
            <w:r>
              <w:t>ATM/POS/ecom/international controls auditable.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Control updates reflected in auth decisions.</w:t>
            </w:r>
          </w:p>
        </w:tc>
      </w:tr>
      <w:tr>
        <w:tc>
          <w:tcPr>
            <w:tcW w:type="dxa" w:w="1234"/>
          </w:tcPr>
          <w:p>
            <w:r>
              <w:t>FR-CC-003</w:t>
            </w:r>
          </w:p>
        </w:tc>
        <w:tc>
          <w:tcPr>
            <w:tcW w:type="dxa" w:w="1234"/>
          </w:tcPr>
          <w:p>
            <w:r>
              <w:t>Dispute Initiation</w:t>
            </w:r>
          </w:p>
        </w:tc>
        <w:tc>
          <w:tcPr>
            <w:tcW w:type="dxa" w:w="1234"/>
          </w:tcPr>
          <w:p>
            <w:r>
              <w:t>Digital dispute submission.</w:t>
            </w:r>
          </w:p>
        </w:tc>
        <w:tc>
          <w:tcPr>
            <w:tcW w:type="dxa" w:w="1234"/>
          </w:tcPr>
          <w:p>
            <w:r>
              <w:t>Capture evidence and route to case mgmt.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Service Ops</w:t>
            </w:r>
          </w:p>
        </w:tc>
        <w:tc>
          <w:tcPr>
            <w:tcW w:type="dxa" w:w="1234"/>
          </w:tcPr>
          <w:p>
            <w:r>
              <w:t>Case reference generated with SLA timer.</w:t>
            </w:r>
          </w:p>
        </w:tc>
      </w:tr>
    </w:tbl>
    <w:p>
      <w:pPr>
        <w:pStyle w:val="Heading2"/>
      </w:pPr>
      <w:r>
        <w:t>8.5 Notifications and Communication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FR-NC-001</w:t>
            </w:r>
          </w:p>
        </w:tc>
        <w:tc>
          <w:tcPr>
            <w:tcW w:type="dxa" w:w="1234"/>
          </w:tcPr>
          <w:p>
            <w:r>
              <w:t>Event Alerts</w:t>
            </w:r>
          </w:p>
        </w:tc>
        <w:tc>
          <w:tcPr>
            <w:tcW w:type="dxa" w:w="1234"/>
          </w:tcPr>
          <w:p>
            <w:r>
              <w:t>Alerts for high-risk and profile events.</w:t>
            </w:r>
          </w:p>
        </w:tc>
        <w:tc>
          <w:tcPr>
            <w:tcW w:type="dxa" w:w="1234"/>
          </w:tcPr>
          <w:p>
            <w:r>
              <w:t>Approved templates and localization.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Fraud Controls</w:t>
            </w:r>
          </w:p>
        </w:tc>
        <w:tc>
          <w:tcPr>
            <w:tcW w:type="dxa" w:w="1234"/>
          </w:tcPr>
          <w:p>
            <w:r>
              <w:t>Alerts delivered and logged.</w:t>
            </w:r>
          </w:p>
        </w:tc>
      </w:tr>
      <w:tr>
        <w:tc>
          <w:tcPr>
            <w:tcW w:type="dxa" w:w="1234"/>
          </w:tcPr>
          <w:p>
            <w:r>
              <w:t>FR-NC-002</w:t>
            </w:r>
          </w:p>
        </w:tc>
        <w:tc>
          <w:tcPr>
            <w:tcW w:type="dxa" w:w="1234"/>
          </w:tcPr>
          <w:p>
            <w:r>
              <w:t>Preference Management</w:t>
            </w:r>
          </w:p>
        </w:tc>
        <w:tc>
          <w:tcPr>
            <w:tcW w:type="dxa" w:w="1234"/>
          </w:tcPr>
          <w:p>
            <w:r>
              <w:t>User-managed alert preferences.</w:t>
            </w:r>
          </w:p>
        </w:tc>
        <w:tc>
          <w:tcPr>
            <w:tcW w:type="dxa" w:w="1234"/>
          </w:tcPr>
          <w:p>
            <w:r>
              <w:t>Category-level opt-in/out.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CX</w:t>
            </w:r>
          </w:p>
        </w:tc>
        <w:tc>
          <w:tcPr>
            <w:tcW w:type="dxa" w:w="1234"/>
          </w:tcPr>
          <w:p>
            <w:r>
              <w:t>Preference changes effective immediately.</w:t>
            </w:r>
          </w:p>
        </w:tc>
      </w:tr>
      <w:tr>
        <w:tc>
          <w:tcPr>
            <w:tcW w:type="dxa" w:w="1234"/>
          </w:tcPr>
          <w:p>
            <w:r>
              <w:t>FR-NC-003</w:t>
            </w:r>
          </w:p>
        </w:tc>
        <w:tc>
          <w:tcPr>
            <w:tcW w:type="dxa" w:w="1234"/>
          </w:tcPr>
          <w:p>
            <w:r>
              <w:t>Secure Inbox</w:t>
            </w:r>
          </w:p>
        </w:tc>
        <w:tc>
          <w:tcPr>
            <w:tcW w:type="dxa" w:w="1234"/>
          </w:tcPr>
          <w:p>
            <w:r>
              <w:t>Authenticated bank-customer messages.</w:t>
            </w:r>
          </w:p>
        </w:tc>
        <w:tc>
          <w:tcPr>
            <w:tcW w:type="dxa" w:w="1234"/>
          </w:tcPr>
          <w:p>
            <w:r>
              <w:t>Retention and legal hold applies.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Messages searchable and immutable post-send.</w:t>
            </w:r>
          </w:p>
        </w:tc>
      </w:tr>
    </w:tbl>
    <w:p>
      <w:pPr>
        <w:pStyle w:val="Heading2"/>
      </w:pPr>
      <w:r>
        <w:t>8.6 Operations, Reconciliation, and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Business Rules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</w:tr>
      <w:tr>
        <w:tc>
          <w:tcPr>
            <w:tcW w:type="dxa" w:w="1234"/>
          </w:tcPr>
          <w:p>
            <w:r>
              <w:t>FR-OR-001</w:t>
            </w:r>
          </w:p>
        </w:tc>
        <w:tc>
          <w:tcPr>
            <w:tcW w:type="dxa" w:w="1234"/>
          </w:tcPr>
          <w:p>
            <w:r>
              <w:t>Exception Queue</w:t>
            </w:r>
          </w:p>
        </w:tc>
        <w:tc>
          <w:tcPr>
            <w:tcW w:type="dxa" w:w="1234"/>
          </w:tcPr>
          <w:p>
            <w:r>
              <w:t>Route failed/pending items to operations queue.</w:t>
            </w:r>
          </w:p>
        </w:tc>
        <w:tc>
          <w:tcPr>
            <w:tcW w:type="dxa" w:w="1234"/>
          </w:tcPr>
          <w:p>
            <w:r>
              <w:t>Priority by impact and age.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Analysts can assign and close exceptions.</w:t>
            </w:r>
          </w:p>
        </w:tc>
      </w:tr>
      <w:tr>
        <w:tc>
          <w:tcPr>
            <w:tcW w:type="dxa" w:w="1234"/>
          </w:tcPr>
          <w:p>
            <w:r>
              <w:t>FR-OR-002</w:t>
            </w:r>
          </w:p>
        </w:tc>
        <w:tc>
          <w:tcPr>
            <w:tcW w:type="dxa" w:w="1234"/>
          </w:tcPr>
          <w:p>
            <w:r>
              <w:t>Reconciliation</w:t>
            </w:r>
          </w:p>
        </w:tc>
        <w:tc>
          <w:tcPr>
            <w:tcW w:type="dxa" w:w="1234"/>
          </w:tcPr>
          <w:p>
            <w:r>
              <w:t>Automated reconciliation across systems.</w:t>
            </w:r>
          </w:p>
        </w:tc>
        <w:tc>
          <w:tcPr>
            <w:tcW w:type="dxa" w:w="1234"/>
          </w:tcPr>
          <w:p>
            <w:r>
              <w:t>Thresholds and escalation timers configurable.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Finance Controls</w:t>
            </w:r>
          </w:p>
        </w:tc>
        <w:tc>
          <w:tcPr>
            <w:tcW w:type="dxa" w:w="1234"/>
          </w:tcPr>
          <w:p>
            <w:r>
              <w:t>Daily breaks report with unresolved items.</w:t>
            </w:r>
          </w:p>
        </w:tc>
      </w:tr>
      <w:tr>
        <w:tc>
          <w:tcPr>
            <w:tcW w:type="dxa" w:w="1234"/>
          </w:tcPr>
          <w:p>
            <w:r>
              <w:t>FR-OR-003</w:t>
            </w:r>
          </w:p>
        </w:tc>
        <w:tc>
          <w:tcPr>
            <w:tcW w:type="dxa" w:w="1234"/>
          </w:tcPr>
          <w:p>
            <w:r>
              <w:t>Audit Trail</w:t>
            </w:r>
          </w:p>
        </w:tc>
        <w:tc>
          <w:tcPr>
            <w:tcW w:type="dxa" w:w="1234"/>
          </w:tcPr>
          <w:p>
            <w:r>
              <w:t>Immutable logs for key actions.</w:t>
            </w:r>
          </w:p>
        </w:tc>
        <w:tc>
          <w:tcPr>
            <w:tcW w:type="dxa" w:w="1234"/>
          </w:tcPr>
          <w:p>
            <w:r>
              <w:t>Actor/time/source/before-after captured.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Audit evidence retrievable on demand.</w:t>
            </w:r>
          </w:p>
        </w:tc>
      </w:tr>
    </w:tbl>
    <w:p>
      <w:pPr>
        <w:pStyle w:val="Heading1"/>
      </w:pPr>
      <w:r>
        <w:t>9.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NFR ID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Measurement</w:t>
            </w:r>
          </w:p>
        </w:tc>
      </w:tr>
      <w:tr>
        <w:tc>
          <w:tcPr>
            <w:tcW w:type="dxa" w:w="1728"/>
          </w:tcPr>
          <w:p>
            <w:r>
              <w:t>NFR-01</w:t>
            </w:r>
          </w:p>
        </w:tc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Highly available services.</w:t>
            </w:r>
          </w:p>
        </w:tc>
        <w:tc>
          <w:tcPr>
            <w:tcW w:type="dxa" w:w="1728"/>
          </w:tcPr>
          <w:p>
            <w:r>
              <w:t>&gt;= 99.95% monthly uptime</w:t>
            </w:r>
          </w:p>
        </w:tc>
        <w:tc>
          <w:tcPr>
            <w:tcW w:type="dxa" w:w="1728"/>
          </w:tcPr>
          <w:p>
            <w:r>
              <w:t>SLO monitoring</w:t>
            </w:r>
          </w:p>
        </w:tc>
      </w:tr>
      <w:tr>
        <w:tc>
          <w:tcPr>
            <w:tcW w:type="dxa" w:w="1728"/>
          </w:tcPr>
          <w:p>
            <w:r>
              <w:t>NFR-02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Critical journey response times.</w:t>
            </w:r>
          </w:p>
        </w:tc>
        <w:tc>
          <w:tcPr>
            <w:tcW w:type="dxa" w:w="1728"/>
          </w:tcPr>
          <w:p>
            <w:r>
              <w:t>P95 &lt;= 2.5s dashboard; &lt;= 3.0s transfer</w:t>
            </w:r>
          </w:p>
        </w:tc>
        <w:tc>
          <w:tcPr>
            <w:tcW w:type="dxa" w:w="1728"/>
          </w:tcPr>
          <w:p>
            <w:r>
              <w:t>APM + load tests</w:t>
            </w:r>
          </w:p>
        </w:tc>
      </w:tr>
      <w:tr>
        <w:tc>
          <w:tcPr>
            <w:tcW w:type="dxa" w:w="1728"/>
          </w:tcPr>
          <w:p>
            <w:r>
              <w:t>NFR-03</w:t>
            </w:r>
          </w:p>
        </w:tc>
        <w:tc>
          <w:tcPr>
            <w:tcW w:type="dxa" w:w="1728"/>
          </w:tcPr>
          <w:p>
            <w:r>
              <w:t>Scalability</w:t>
            </w:r>
          </w:p>
        </w:tc>
        <w:tc>
          <w:tcPr>
            <w:tcW w:type="dxa" w:w="1728"/>
          </w:tcPr>
          <w:p>
            <w:r>
              <w:t>Handle peak load.</w:t>
            </w:r>
          </w:p>
        </w:tc>
        <w:tc>
          <w:tcPr>
            <w:tcW w:type="dxa" w:w="1728"/>
          </w:tcPr>
          <w:p>
            <w:r>
              <w:t>5x average peak without degradation</w:t>
            </w:r>
          </w:p>
        </w:tc>
        <w:tc>
          <w:tcPr>
            <w:tcW w:type="dxa" w:w="1728"/>
          </w:tcPr>
          <w:p>
            <w:r>
              <w:t>Stress tests</w:t>
            </w:r>
          </w:p>
        </w:tc>
      </w:tr>
      <w:tr>
        <w:tc>
          <w:tcPr>
            <w:tcW w:type="dxa" w:w="1728"/>
          </w:tcPr>
          <w:p>
            <w:r>
              <w:t>NFR-04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Encryption and key management.</w:t>
            </w:r>
          </w:p>
        </w:tc>
        <w:tc>
          <w:tcPr>
            <w:tcW w:type="dxa" w:w="1728"/>
          </w:tcPr>
          <w:p>
            <w:r>
              <w:t>TLS1.2+ and AES-256</w:t>
            </w:r>
          </w:p>
        </w:tc>
        <w:tc>
          <w:tcPr>
            <w:tcW w:type="dxa" w:w="1728"/>
          </w:tcPr>
          <w:p>
            <w:r>
              <w:t>Security testing</w:t>
            </w:r>
          </w:p>
        </w:tc>
      </w:tr>
      <w:tr>
        <w:tc>
          <w:tcPr>
            <w:tcW w:type="dxa" w:w="1728"/>
          </w:tcPr>
          <w:p>
            <w:r>
              <w:t>NFR-05</w:t>
            </w:r>
          </w:p>
        </w:tc>
        <w:tc>
          <w:tcPr>
            <w:tcW w:type="dxa" w:w="1728"/>
          </w:tcPr>
          <w:p>
            <w:r>
              <w:t>Privacy</w:t>
            </w:r>
          </w:p>
        </w:tc>
        <w:tc>
          <w:tcPr>
            <w:tcW w:type="dxa" w:w="1728"/>
          </w:tcPr>
          <w:p>
            <w:r>
              <w:t>Comply with privacy obligations.</w:t>
            </w:r>
          </w:p>
        </w:tc>
        <w:tc>
          <w:tcPr>
            <w:tcW w:type="dxa" w:w="1728"/>
          </w:tcPr>
          <w:p>
            <w:r>
              <w:t>Consent/minimization/retention controls</w:t>
            </w:r>
          </w:p>
        </w:tc>
        <w:tc>
          <w:tcPr>
            <w:tcW w:type="dxa" w:w="1728"/>
          </w:tcPr>
          <w:p>
            <w:r>
              <w:t>PIA + audit</w:t>
            </w:r>
          </w:p>
        </w:tc>
      </w:tr>
      <w:tr>
        <w:tc>
          <w:tcPr>
            <w:tcW w:type="dxa" w:w="1728"/>
          </w:tcPr>
          <w:p>
            <w:r>
              <w:t>NFR-06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Disaster recovery readiness.</w:t>
            </w:r>
          </w:p>
        </w:tc>
        <w:tc>
          <w:tcPr>
            <w:tcW w:type="dxa" w:w="1728"/>
          </w:tcPr>
          <w:p>
            <w:r>
              <w:t>RTO &lt;= 2h; RPO &lt;= 15m</w:t>
            </w:r>
          </w:p>
        </w:tc>
        <w:tc>
          <w:tcPr>
            <w:tcW w:type="dxa" w:w="1728"/>
          </w:tcPr>
          <w:p>
            <w:r>
              <w:t>DR drill evidence</w:t>
            </w:r>
          </w:p>
        </w:tc>
      </w:tr>
      <w:tr>
        <w:tc>
          <w:tcPr>
            <w:tcW w:type="dxa" w:w="1728"/>
          </w:tcPr>
          <w:p>
            <w:r>
              <w:t>NFR-07</w:t>
            </w:r>
          </w:p>
        </w:tc>
        <w:tc>
          <w:tcPr>
            <w:tcW w:type="dxa" w:w="1728"/>
          </w:tcPr>
          <w:p>
            <w:r>
              <w:t>Observability</w:t>
            </w:r>
          </w:p>
        </w:tc>
        <w:tc>
          <w:tcPr>
            <w:tcW w:type="dxa" w:w="1728"/>
          </w:tcPr>
          <w:p>
            <w:r>
              <w:t>Monitor all critical flows.</w:t>
            </w:r>
          </w:p>
        </w:tc>
        <w:tc>
          <w:tcPr>
            <w:tcW w:type="dxa" w:w="1728"/>
          </w:tcPr>
          <w:p>
            <w:r>
              <w:t>100% instrumentation</w:t>
            </w:r>
          </w:p>
        </w:tc>
        <w:tc>
          <w:tcPr>
            <w:tcW w:type="dxa" w:w="1728"/>
          </w:tcPr>
          <w:p>
            <w:r>
              <w:t>Logs/metrics/traces</w:t>
            </w:r>
          </w:p>
        </w:tc>
      </w:tr>
      <w:tr>
        <w:tc>
          <w:tcPr>
            <w:tcW w:type="dxa" w:w="1728"/>
          </w:tcPr>
          <w:p>
            <w:r>
              <w:t>NFR-08</w:t>
            </w:r>
          </w:p>
        </w:tc>
        <w:tc>
          <w:tcPr>
            <w:tcW w:type="dxa" w:w="1728"/>
          </w:tcPr>
          <w:p>
            <w:r>
              <w:t>Accessibility</w:t>
            </w:r>
          </w:p>
        </w:tc>
        <w:tc>
          <w:tcPr>
            <w:tcW w:type="dxa" w:w="1728"/>
          </w:tcPr>
          <w:p>
            <w:r>
              <w:t>Accessible customer journeys.</w:t>
            </w:r>
          </w:p>
        </w:tc>
        <w:tc>
          <w:tcPr>
            <w:tcW w:type="dxa" w:w="1728"/>
          </w:tcPr>
          <w:p>
            <w:r>
              <w:t>WCAG 2.1 AA</w:t>
            </w:r>
          </w:p>
        </w:tc>
        <w:tc>
          <w:tcPr>
            <w:tcW w:type="dxa" w:w="1728"/>
          </w:tcPr>
          <w:p>
            <w:r>
              <w:t>Accessibility audit</w:t>
            </w:r>
          </w:p>
        </w:tc>
      </w:tr>
      <w:tr>
        <w:tc>
          <w:tcPr>
            <w:tcW w:type="dxa" w:w="1728"/>
          </w:tcPr>
          <w:p>
            <w:r>
              <w:t>NFR-09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Automated deploy/rollback.</w:t>
            </w:r>
          </w:p>
        </w:tc>
        <w:tc>
          <w:tcPr>
            <w:tcW w:type="dxa" w:w="1728"/>
          </w:tcPr>
          <w:p>
            <w:r>
              <w:t>Canary/blue-green support</w:t>
            </w:r>
          </w:p>
        </w:tc>
        <w:tc>
          <w:tcPr>
            <w:tcW w:type="dxa" w:w="1728"/>
          </w:tcPr>
          <w:p>
            <w:r>
              <w:t>CI/CD evidence</w:t>
            </w:r>
          </w:p>
        </w:tc>
      </w:tr>
    </w:tbl>
    <w:p>
      <w:pPr>
        <w:pStyle w:val="Heading1"/>
      </w:pPr>
      <w:r>
        <w:t>10. Regulatory, Legal, and Compliance Requirements</w:t>
      </w:r>
    </w:p>
    <w:p>
      <w:pPr>
        <w:pStyle w:val="ListBullet"/>
      </w:pPr>
      <w:r>
        <w:t>Comply with applicable banking regulations in all operating jurisdictions.</w:t>
      </w:r>
    </w:p>
    <w:p>
      <w:pPr>
        <w:pStyle w:val="ListBullet"/>
      </w:pPr>
      <w:r>
        <w:t>Implement AML/sanctions screening where required.</w:t>
      </w:r>
    </w:p>
    <w:p>
      <w:pPr>
        <w:pStyle w:val="ListBullet"/>
      </w:pPr>
      <w:r>
        <w:t>Apply strong customer authentication and fraud controls.</w:t>
      </w:r>
    </w:p>
    <w:p>
      <w:pPr>
        <w:pStyle w:val="ListBullet"/>
      </w:pPr>
      <w:r>
        <w:t>Present transparent fees/rates/disclosures before confirmation.</w:t>
      </w:r>
    </w:p>
    <w:p>
      <w:pPr>
        <w:pStyle w:val="ListBullet"/>
      </w:pPr>
      <w:r>
        <w:t>Retain consent and communication records for audits/disputes.</w:t>
      </w:r>
    </w:p>
    <w:p>
      <w:pPr>
        <w:pStyle w:val="ListBullet"/>
      </w:pPr>
      <w:r>
        <w:t>Enforce data residency and cross-border transfer controls.</w:t>
      </w:r>
    </w:p>
    <w:p>
      <w:pPr>
        <w:pStyle w:val="Heading1"/>
      </w:pPr>
      <w:r>
        <w:t>11. Integration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Data / Function</w:t>
            </w:r>
          </w:p>
        </w:tc>
        <w:tc>
          <w:tcPr>
            <w:tcW w:type="dxa" w:w="1728"/>
          </w:tcPr>
          <w:p>
            <w:r>
              <w:t>Pattern</w:t>
            </w:r>
          </w:p>
        </w:tc>
        <w:tc>
          <w:tcPr>
            <w:tcW w:type="dxa" w:w="1728"/>
          </w:tcPr>
          <w:p>
            <w:r>
              <w:t>SLA</w:t>
            </w:r>
          </w:p>
        </w:tc>
      </w:tr>
      <w:tr>
        <w:tc>
          <w:tcPr>
            <w:tcW w:type="dxa" w:w="1728"/>
          </w:tcPr>
          <w:p>
            <w:r>
              <w:t>Core Banking</w:t>
            </w:r>
          </w:p>
        </w:tc>
        <w:tc>
          <w:tcPr>
            <w:tcW w:type="dxa" w:w="1728"/>
          </w:tcPr>
          <w:p>
            <w:r>
              <w:t>Bi-directional</w:t>
            </w:r>
          </w:p>
        </w:tc>
        <w:tc>
          <w:tcPr>
            <w:tcW w:type="dxa" w:w="1728"/>
          </w:tcPr>
          <w:p>
            <w:r>
              <w:t>Balances, postings, account metadata</w:t>
            </w:r>
          </w:p>
        </w:tc>
        <w:tc>
          <w:tcPr>
            <w:tcW w:type="dxa" w:w="1728"/>
          </w:tcPr>
          <w:p>
            <w:r>
              <w:t>API + events</w:t>
            </w:r>
          </w:p>
        </w:tc>
        <w:tc>
          <w:tcPr>
            <w:tcW w:type="dxa" w:w="1728"/>
          </w:tcPr>
          <w:p>
            <w:r>
              <w:t>P95 &lt; 2s</w:t>
            </w:r>
          </w:p>
        </w:tc>
      </w:tr>
      <w:tr>
        <w:tc>
          <w:tcPr>
            <w:tcW w:type="dxa" w:w="1728"/>
          </w:tcPr>
          <w:p>
            <w:r>
              <w:t>Payments Hub</w:t>
            </w:r>
          </w:p>
        </w:tc>
        <w:tc>
          <w:tcPr>
            <w:tcW w:type="dxa" w:w="1728"/>
          </w:tcPr>
          <w:p>
            <w:r>
              <w:t>Outbound/Inbound</w:t>
            </w:r>
          </w:p>
        </w:tc>
        <w:tc>
          <w:tcPr>
            <w:tcW w:type="dxa" w:w="1728"/>
          </w:tcPr>
          <w:p>
            <w:r>
              <w:t>Payment initiation and status</w:t>
            </w:r>
          </w:p>
        </w:tc>
        <w:tc>
          <w:tcPr>
            <w:tcW w:type="dxa" w:w="1728"/>
          </w:tcPr>
          <w:p>
            <w:r>
              <w:t>API + callbacks</w:t>
            </w:r>
          </w:p>
        </w:tc>
        <w:tc>
          <w:tcPr>
            <w:tcW w:type="dxa" w:w="1728"/>
          </w:tcPr>
          <w:p>
            <w:r>
              <w:t>Status &lt; 60s</w:t>
            </w:r>
          </w:p>
        </w:tc>
      </w:tr>
      <w:tr>
        <w:tc>
          <w:tcPr>
            <w:tcW w:type="dxa" w:w="1728"/>
          </w:tcPr>
          <w:p>
            <w:r>
              <w:t>Card Processor</w:t>
            </w:r>
          </w:p>
        </w:tc>
        <w:tc>
          <w:tcPr>
            <w:tcW w:type="dxa" w:w="1728"/>
          </w:tcPr>
          <w:p>
            <w:r>
              <w:t>Bi-directional</w:t>
            </w:r>
          </w:p>
        </w:tc>
        <w:tc>
          <w:tcPr>
            <w:tcW w:type="dxa" w:w="1728"/>
          </w:tcPr>
          <w:p>
            <w:r>
              <w:t>Controls and dispute intake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Propagation &lt; 30s</w:t>
            </w:r>
          </w:p>
        </w:tc>
      </w:tr>
      <w:tr>
        <w:tc>
          <w:tcPr>
            <w:tcW w:type="dxa" w:w="1728"/>
          </w:tcPr>
          <w:p>
            <w:r>
              <w:t>IAM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Authentication and tokens</w:t>
            </w:r>
          </w:p>
        </w:tc>
        <w:tc>
          <w:tcPr>
            <w:tcW w:type="dxa" w:w="1728"/>
          </w:tcPr>
          <w:p>
            <w:r>
              <w:t>OIDC/SAML</w:t>
            </w:r>
          </w:p>
        </w:tc>
        <w:tc>
          <w:tcPr>
            <w:tcW w:type="dxa" w:w="1728"/>
          </w:tcPr>
          <w:p>
            <w:r>
              <w:t>99.99% availability</w:t>
            </w:r>
          </w:p>
        </w:tc>
      </w:tr>
      <w:tr>
        <w:tc>
          <w:tcPr>
            <w:tcW w:type="dxa" w:w="1728"/>
          </w:tcPr>
          <w:p>
            <w:r>
              <w:t>Fraud/AML</w:t>
            </w:r>
          </w:p>
        </w:tc>
        <w:tc>
          <w:tcPr>
            <w:tcW w:type="dxa" w:w="1728"/>
          </w:tcPr>
          <w:p>
            <w:r>
              <w:t>Bi-directional</w:t>
            </w:r>
          </w:p>
        </w:tc>
        <w:tc>
          <w:tcPr>
            <w:tcW w:type="dxa" w:w="1728"/>
          </w:tcPr>
          <w:p>
            <w:r>
              <w:t>Risk scoring and decisions</w:t>
            </w:r>
          </w:p>
        </w:tc>
        <w:tc>
          <w:tcPr>
            <w:tcW w:type="dxa" w:w="1728"/>
          </w:tcPr>
          <w:p>
            <w:r>
              <w:t>Event + API</w:t>
            </w:r>
          </w:p>
        </w:tc>
        <w:tc>
          <w:tcPr>
            <w:tcW w:type="dxa" w:w="1728"/>
          </w:tcPr>
          <w:p>
            <w:r>
              <w:t>Decision &lt; 500ms</w:t>
            </w:r>
          </w:p>
        </w:tc>
      </w:tr>
      <w:tr>
        <w:tc>
          <w:tcPr>
            <w:tcW w:type="dxa" w:w="1728"/>
          </w:tcPr>
          <w:p>
            <w:r>
              <w:t>Notification Service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SMS/email/push</w:t>
            </w:r>
          </w:p>
        </w:tc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1728"/>
          </w:tcPr>
          <w:p>
            <w:r>
              <w:t>Handoff &lt; 10s</w:t>
            </w:r>
          </w:p>
        </w:tc>
      </w:tr>
      <w:tr>
        <w:tc>
          <w:tcPr>
            <w:tcW w:type="dxa" w:w="1728"/>
          </w:tcPr>
          <w:p>
            <w:r>
              <w:t>CRM/Case Management</w:t>
            </w:r>
          </w:p>
        </w:tc>
        <w:tc>
          <w:tcPr>
            <w:tcW w:type="dxa" w:w="1728"/>
          </w:tcPr>
          <w:p>
            <w:r>
              <w:t>Bi-directional</w:t>
            </w:r>
          </w:p>
        </w:tc>
        <w:tc>
          <w:tcPr>
            <w:tcW w:type="dxa" w:w="1728"/>
          </w:tcPr>
          <w:p>
            <w:r>
              <w:t>Cases and interactions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Sync &lt; 2m</w:t>
            </w:r>
          </w:p>
        </w:tc>
      </w:tr>
    </w:tbl>
    <w:p>
      <w:pPr>
        <w:pStyle w:val="Heading1"/>
      </w:pPr>
      <w:r>
        <w:t>12. Data and Information Requirements</w:t>
      </w:r>
    </w:p>
    <w:p>
      <w:pPr>
        <w:pStyle w:val="ListBullet"/>
      </w:pPr>
      <w:r>
        <w:t>Data models must be versioned and governed by enterprise standards.</w:t>
      </w:r>
    </w:p>
    <w:p>
      <w:pPr>
        <w:pStyle w:val="ListBullet"/>
      </w:pPr>
      <w:r>
        <w:t>Reference data must be centrally managed with effective dating.</w:t>
      </w:r>
    </w:p>
    <w:p>
      <w:pPr>
        <w:pStyle w:val="ListBullet"/>
      </w:pPr>
      <w:r>
        <w:t>Data lineage must be maintained end-to-end.</w:t>
      </w:r>
    </w:p>
    <w:p>
      <w:pPr>
        <w:pStyle w:val="ListBullet"/>
      </w:pPr>
      <w:r>
        <w:t>Sensitive data must follow enterprise classification and protection policy.</w:t>
      </w:r>
    </w:p>
    <w:p>
      <w:pPr>
        <w:pStyle w:val="ListBullet"/>
      </w:pPr>
      <w:r>
        <w:t>Retention and defensible deletion controls must be defined by legal entity.</w:t>
      </w:r>
    </w:p>
    <w:p>
      <w:pPr>
        <w:pStyle w:val="Heading1"/>
      </w:pPr>
      <w:r>
        <w:t>14. User Experience and Channel Requirements</w:t>
      </w:r>
    </w:p>
    <w:p>
      <w:pPr>
        <w:pStyle w:val="ListBullet"/>
      </w:pPr>
      <w:r>
        <w:t>Responsive design for supported browser/device matrix.</w:t>
      </w:r>
    </w:p>
    <w:p>
      <w:pPr>
        <w:pStyle w:val="ListBullet"/>
      </w:pPr>
      <w:r>
        <w:t>Consistent journeys and terminology across channels.</w:t>
      </w:r>
    </w:p>
    <w:p>
      <w:pPr>
        <w:pStyle w:val="ListBullet"/>
      </w:pPr>
      <w:r>
        <w:t>Clear confirmations, references, and actionable errors.</w:t>
      </w:r>
    </w:p>
    <w:p>
      <w:pPr>
        <w:pStyle w:val="ListBullet"/>
      </w:pPr>
      <w:r>
        <w:t>Multilingual and locale support where required.</w:t>
      </w:r>
    </w:p>
    <w:p>
      <w:pPr>
        <w:pStyle w:val="ListBullet"/>
      </w:pPr>
      <w:r>
        <w:t>Design system compliance for branding and accessibility.</w:t>
      </w:r>
    </w:p>
    <w:p>
      <w:pPr>
        <w:pStyle w:val="Heading1"/>
      </w:pPr>
      <w:r>
        <w:t>15. Security and Risk Requirements</w:t>
      </w:r>
    </w:p>
    <w:p>
      <w:pPr>
        <w:pStyle w:val="ListBullet"/>
      </w:pPr>
      <w:r>
        <w:t>Risk-based authentication using context and behavior signals.</w:t>
      </w:r>
    </w:p>
    <w:p>
      <w:pPr>
        <w:pStyle w:val="ListBullet"/>
      </w:pPr>
      <w:r>
        <w:t>Privileged access with strong auth and recertification.</w:t>
      </w:r>
    </w:p>
    <w:p>
      <w:pPr>
        <w:pStyle w:val="ListBullet"/>
      </w:pPr>
      <w:r>
        <w:t>Step-up authentication for high-risk critical actions.</w:t>
      </w:r>
    </w:p>
    <w:p>
      <w:pPr>
        <w:pStyle w:val="ListBullet"/>
      </w:pPr>
      <w:r>
        <w:t>Non-repudiable audit logs for financial-impacting actions.</w:t>
      </w:r>
    </w:p>
    <w:p>
      <w:pPr>
        <w:pStyle w:val="ListBullet"/>
      </w:pPr>
      <w:r>
        <w:t>SIEM forwarding with runbooks for triage.</w:t>
      </w:r>
    </w:p>
    <w:p>
      <w:pPr>
        <w:pStyle w:val="ListBullet"/>
      </w:pPr>
      <w:r>
        <w:t>SAST/DAST/dependency checks and penetration testing in governance.</w:t>
      </w:r>
    </w:p>
    <w:p>
      <w:pPr>
        <w:pStyle w:val="Heading1"/>
      </w:pPr>
      <w:r>
        <w:t>17. Migration and Rollout Requirements</w:t>
      </w:r>
    </w:p>
    <w:p>
      <w:pPr>
        <w:pStyle w:val="ListBullet"/>
      </w:pPr>
      <w:r>
        <w:t>Phased rollout by segment/geography.</w:t>
      </w:r>
    </w:p>
    <w:p>
      <w:pPr>
        <w:pStyle w:val="ListBullet"/>
      </w:pPr>
      <w:r>
        <w:t>Legacy coexistence during migration.</w:t>
      </w:r>
    </w:p>
    <w:p>
      <w:pPr>
        <w:pStyle w:val="ListBullet"/>
      </w:pPr>
      <w:r>
        <w:t>Migration validation, reconciliation, and rollback readiness.</w:t>
      </w:r>
    </w:p>
    <w:p>
      <w:pPr>
        <w:pStyle w:val="ListBullet"/>
      </w:pPr>
      <w:r>
        <w:t>Operations and support training before cutover.</w:t>
      </w:r>
    </w:p>
    <w:p>
      <w:pPr>
        <w:pStyle w:val="ListBullet"/>
      </w:pPr>
      <w:r>
        <w:t>Hypercare for at least 6 weeks post go-live.</w:t>
      </w:r>
    </w:p>
    <w:p>
      <w:pPr>
        <w:pStyle w:val="Heading1"/>
      </w:pPr>
      <w:r>
        <w:t>18. Testing, UAT, and Acceptance Criteria</w:t>
      </w:r>
    </w:p>
    <w:p>
      <w:pPr>
        <w:pStyle w:val="ListBullet"/>
      </w:pPr>
      <w:r>
        <w:t>End-to-end testing for happy path and exceptions.</w:t>
      </w:r>
    </w:p>
    <w:p>
      <w:pPr>
        <w:pStyle w:val="ListBullet"/>
      </w:pPr>
      <w:r>
        <w:t>Performance and soak tests for expected and peak loads.</w:t>
      </w:r>
    </w:p>
    <w:p>
      <w:pPr>
        <w:pStyle w:val="ListBullet"/>
      </w:pPr>
      <w:r>
        <w:t>Security testing evidence required before release.</w:t>
      </w:r>
    </w:p>
    <w:p>
      <w:pPr>
        <w:pStyle w:val="ListBullet"/>
      </w:pPr>
      <w:r>
        <w:t>UAT sign-off required for critical/high requirements.</w:t>
      </w:r>
    </w:p>
    <w:p>
      <w:pPr>
        <w:pStyle w:val="ListBullet"/>
      </w:pPr>
      <w:r>
        <w:t>Go-live requires operational readiness and rollback rehearsal.</w:t>
      </w:r>
    </w:p>
    <w:p>
      <w:pPr>
        <w:pStyle w:val="Heading1"/>
      </w:pPr>
      <w:r>
        <w:t>20. Requirements Traceability and Governance</w:t>
      </w:r>
    </w:p>
    <w:p>
      <w:pPr>
        <w:pStyle w:val="ListBullet"/>
      </w:pPr>
      <w:r>
        <w:t>Map requirements to objectives, components, tests, and controls.</w:t>
      </w:r>
    </w:p>
    <w:p>
      <w:pPr>
        <w:pStyle w:val="ListBullet"/>
      </w:pPr>
      <w:r>
        <w:t>Maintain traceability in ALM and review each stage gate.</w:t>
      </w:r>
    </w:p>
    <w:p>
      <w:pPr>
        <w:pStyle w:val="ListBullet"/>
      </w:pPr>
      <w:r>
        <w:t>Scope changes must follow formal change control.</w:t>
      </w:r>
    </w:p>
    <w:p>
      <w:pPr>
        <w:pStyle w:val="Heading1"/>
      </w:pPr>
      <w:r>
        <w:t>13. Reporting and Analytics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 / Dashboard</w:t>
            </w:r>
          </w:p>
        </w:tc>
        <w:tc>
          <w:tcPr>
            <w:tcW w:type="dxa" w:w="2160"/>
          </w:tcPr>
          <w:p>
            <w:r>
              <w:t>Audience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Digital Adoption Dashboard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Track usage and conversion</w:t>
            </w:r>
          </w:p>
        </w:tc>
      </w:tr>
      <w:tr>
        <w:tc>
          <w:tcPr>
            <w:tcW w:type="dxa" w:w="2160"/>
          </w:tcPr>
          <w:p>
            <w:r>
              <w:t>Payments Operations Dashboard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Near real-time</w:t>
            </w:r>
          </w:p>
        </w:tc>
        <w:tc>
          <w:tcPr>
            <w:tcW w:type="dxa" w:w="2160"/>
          </w:tcPr>
          <w:p>
            <w:r>
              <w:t>Monitor exceptions and SLA breaches</w:t>
            </w:r>
          </w:p>
        </w:tc>
      </w:tr>
      <w:tr>
        <w:tc>
          <w:tcPr>
            <w:tcW w:type="dxa" w:w="2160"/>
          </w:tcPr>
          <w:p>
            <w:r>
              <w:t>Fraud and Security Dashboard</w:t>
            </w:r>
          </w:p>
        </w:tc>
        <w:tc>
          <w:tcPr>
            <w:tcW w:type="dxa" w:w="2160"/>
          </w:tcPr>
          <w:p>
            <w:r>
              <w:t>Risk/Security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Track suspicious activity and controls</w:t>
            </w:r>
          </w:p>
        </w:tc>
      </w:tr>
      <w:tr>
        <w:tc>
          <w:tcPr>
            <w:tcW w:type="dxa" w:w="2160"/>
          </w:tcPr>
          <w:p>
            <w:r>
              <w:t>Regulatory Compliance Pack</w:t>
            </w:r>
          </w:p>
        </w:tc>
        <w:tc>
          <w:tcPr>
            <w:tcW w:type="dxa" w:w="2160"/>
          </w:tcPr>
          <w:p>
            <w:r>
              <w:t>Compliance/Audit</w:t>
            </w:r>
          </w:p>
        </w:tc>
        <w:tc>
          <w:tcPr>
            <w:tcW w:type="dxa" w:w="2160"/>
          </w:tcPr>
          <w:p>
            <w:r>
              <w:t>Monthly/Quarterly</w:t>
            </w:r>
          </w:p>
        </w:tc>
        <w:tc>
          <w:tcPr>
            <w:tcW w:type="dxa" w:w="2160"/>
          </w:tcPr>
          <w:p>
            <w:r>
              <w:t>Provide control evidence</w:t>
            </w:r>
          </w:p>
        </w:tc>
      </w:tr>
      <w:tr>
        <w:tc>
          <w:tcPr>
            <w:tcW w:type="dxa" w:w="2160"/>
          </w:tcPr>
          <w:p>
            <w:r>
              <w:t>Customer Experience KPI</w:t>
            </w:r>
          </w:p>
        </w:tc>
        <w:tc>
          <w:tcPr>
            <w:tcW w:type="dxa" w:w="2160"/>
          </w:tcPr>
          <w:p>
            <w:r>
              <w:t>Product/CX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Measure journey quality and drop-offs</w:t>
            </w:r>
          </w:p>
        </w:tc>
      </w:tr>
    </w:tbl>
    <w:p>
      <w:pPr>
        <w:pStyle w:val="Heading1"/>
      </w:pPr>
      <w:r>
        <w:t>16. Operational and Support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Target SLA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Incident Management</w:t>
            </w:r>
          </w:p>
        </w:tc>
        <w:tc>
          <w:tcPr>
            <w:tcW w:type="dxa" w:w="2160"/>
          </w:tcPr>
          <w:p>
            <w:r>
              <w:t>SRE + Operations</w:t>
            </w:r>
          </w:p>
        </w:tc>
        <w:tc>
          <w:tcPr>
            <w:tcW w:type="dxa" w:w="2160"/>
          </w:tcPr>
          <w:p>
            <w:r>
              <w:t>P1 ack &lt;= 10 min</w:t>
            </w:r>
          </w:p>
        </w:tc>
        <w:tc>
          <w:tcPr>
            <w:tcW w:type="dxa" w:w="2160"/>
          </w:tcPr>
          <w:p>
            <w:r>
              <w:t>24x7 critical coverage</w:t>
            </w:r>
          </w:p>
        </w:tc>
      </w:tr>
      <w:tr>
        <w:tc>
          <w:tcPr>
            <w:tcW w:type="dxa" w:w="2160"/>
          </w:tcPr>
          <w:p>
            <w:r>
              <w:t>Problem Management</w:t>
            </w:r>
          </w:p>
        </w:tc>
        <w:tc>
          <w:tcPr>
            <w:tcW w:type="dxa" w:w="2160"/>
          </w:tcPr>
          <w:p>
            <w:r>
              <w:t>Engineering + Ops</w:t>
            </w:r>
          </w:p>
        </w:tc>
        <w:tc>
          <w:tcPr>
            <w:tcW w:type="dxa" w:w="2160"/>
          </w:tcPr>
          <w:p>
            <w:r>
              <w:t>RCA &lt;= 5 business days</w:t>
            </w:r>
          </w:p>
        </w:tc>
        <w:tc>
          <w:tcPr>
            <w:tcW w:type="dxa" w:w="2160"/>
          </w:tcPr>
          <w:p>
            <w:r>
              <w:t>Track corrective actions</w:t>
            </w:r>
          </w:p>
        </w:tc>
      </w:tr>
      <w:tr>
        <w:tc>
          <w:tcPr>
            <w:tcW w:type="dxa" w:w="2160"/>
          </w:tcPr>
          <w:p>
            <w:r>
              <w:t>Service Requests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&lt;= 2 business days</w:t>
            </w:r>
          </w:p>
        </w:tc>
        <w:tc>
          <w:tcPr>
            <w:tcW w:type="dxa" w:w="2160"/>
          </w:tcPr>
          <w:p>
            <w:r>
              <w:t>Standard request catalog</w:t>
            </w:r>
          </w:p>
        </w:tc>
      </w:tr>
      <w:tr>
        <w:tc>
          <w:tcPr>
            <w:tcW w:type="dxa" w:w="2160"/>
          </w:tcPr>
          <w:p>
            <w:r>
              <w:t>Change Management</w:t>
            </w:r>
          </w:p>
        </w:tc>
        <w:tc>
          <w:tcPr>
            <w:tcW w:type="dxa" w:w="2160"/>
          </w:tcPr>
          <w:p>
            <w:r>
              <w:t>Release Mgmt</w:t>
            </w:r>
          </w:p>
        </w:tc>
        <w:tc>
          <w:tcPr>
            <w:tcW w:type="dxa" w:w="2160"/>
          </w:tcPr>
          <w:p>
            <w:r>
              <w:t>CAB per policy</w:t>
            </w:r>
          </w:p>
        </w:tc>
        <w:tc>
          <w:tcPr>
            <w:tcW w:type="dxa" w:w="2160"/>
          </w:tcPr>
          <w:p>
            <w:r>
              <w:t>Risk-based classification</w:t>
            </w:r>
          </w:p>
        </w:tc>
      </w:tr>
      <w:tr>
        <w:tc>
          <w:tcPr>
            <w:tcW w:type="dxa" w:w="2160"/>
          </w:tcPr>
          <w:p>
            <w:r>
              <w:t>Customer Disputes</w:t>
            </w:r>
          </w:p>
        </w:tc>
        <w:tc>
          <w:tcPr>
            <w:tcW w:type="dxa" w:w="2160"/>
          </w:tcPr>
          <w:p>
            <w:r>
              <w:t>Service Ops</w:t>
            </w:r>
          </w:p>
        </w:tc>
        <w:tc>
          <w:tcPr>
            <w:tcW w:type="dxa" w:w="2160"/>
          </w:tcPr>
          <w:p>
            <w:r>
              <w:t>Initial response &lt;= 1 business day</w:t>
            </w:r>
          </w:p>
        </w:tc>
        <w:tc>
          <w:tcPr>
            <w:tcW w:type="dxa" w:w="2160"/>
          </w:tcPr>
          <w:p>
            <w:r>
              <w:t>Regulated timelines apply</w:t>
            </w:r>
          </w:p>
        </w:tc>
      </w:tr>
    </w:tbl>
    <w:p>
      <w:pPr>
        <w:pStyle w:val="Heading1"/>
      </w:pPr>
      <w:r>
        <w:t>19. Risks, Mitigations, and Open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Core integration latency exceeds threshold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Caching and async fallback patterns</w:t>
            </w:r>
          </w:p>
        </w:tc>
        <w:tc>
          <w:tcPr>
            <w:tcW w:type="dxa" w:w="1728"/>
          </w:tcPr>
          <w:p>
            <w:r>
              <w:t>Architecture Lead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Fraud false positives increase declines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Rule tuning and recovery journeys</w:t>
            </w:r>
          </w:p>
        </w:tc>
        <w:tc>
          <w:tcPr>
            <w:tcW w:type="dxa" w:w="1728"/>
          </w:tcPr>
          <w:p>
            <w:r>
              <w:t>Fraud Lead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Regulatory changes mid-delivery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Frequent compliance checkpoints</w:t>
            </w:r>
          </w:p>
        </w:tc>
        <w:tc>
          <w:tcPr>
            <w:tcW w:type="dxa" w:w="1728"/>
          </w:tcPr>
          <w:p>
            <w:r>
              <w:t>Compliance Lead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Legacy data quality impacts migration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Data profiling and staged rehearsals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Operational readiness gaps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Runbook drills and hypercare staffing</w:t>
            </w:r>
          </w:p>
        </w:tc>
        <w:tc>
          <w:tcPr>
            <w:tcW w:type="dxa" w:w="1728"/>
          </w:tcPr>
          <w:p>
            <w:r>
              <w:t>Operations Lead</w:t>
            </w:r>
          </w:p>
        </w:tc>
      </w:tr>
    </w:tbl>
    <w:p>
      <w:pPr>
        <w:pStyle w:val="Heading1"/>
      </w:pPr>
      <w:r>
        <w:t>21. Approval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Executive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Technology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Risk &amp; Compliance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Program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Appendix A: Glossary</w:t>
      </w:r>
    </w:p>
    <w:p>
      <w:pPr>
        <w:pStyle w:val="ListBullet"/>
      </w:pPr>
      <w:r>
        <w:t>MFA: Multi-Factor Authentication</w:t>
      </w:r>
    </w:p>
    <w:p>
      <w:pPr>
        <w:pStyle w:val="ListBullet"/>
      </w:pPr>
      <w:r>
        <w:t>AML: Anti-Money Laundering</w:t>
      </w:r>
    </w:p>
    <w:p>
      <w:pPr>
        <w:pStyle w:val="ListBullet"/>
      </w:pPr>
      <w:r>
        <w:t>RTO: Recovery Time Objective</w:t>
      </w:r>
    </w:p>
    <w:p>
      <w:pPr>
        <w:pStyle w:val="ListBullet"/>
      </w:pPr>
      <w:r>
        <w:t>RPO: Recovery Point Objective</w:t>
      </w:r>
    </w:p>
    <w:p>
      <w:pPr>
        <w:pStyle w:val="ListBullet"/>
      </w:pPr>
      <w:r>
        <w:t>SLA: Service Level Agreement</w:t>
      </w:r>
    </w:p>
    <w:p>
      <w:pPr>
        <w:pStyle w:val="ListBullet"/>
      </w:pPr>
      <w:r>
        <w:t>SLO: Service Level Objective</w:t>
      </w:r>
    </w:p>
    <w:p>
      <w:pPr>
        <w:pStyle w:val="Heading1"/>
      </w:pPr>
      <w:r>
        <w:t>Appendix B: Requirement Prioritization Scale</w:t>
      </w:r>
    </w:p>
    <w:p>
      <w:pPr>
        <w:pStyle w:val="ListBullet"/>
      </w:pPr>
      <w:r>
        <w:t>Critical: Mandatory for regulatory compliance, security baseline, or core transaction completion.</w:t>
      </w:r>
    </w:p>
    <w:p>
      <w:pPr>
        <w:pStyle w:val="ListBullet"/>
      </w:pPr>
      <w:r>
        <w:t>High: Required for production readiness and target customer experience.</w:t>
      </w:r>
    </w:p>
    <w:p>
      <w:pPr>
        <w:pStyle w:val="ListBullet"/>
      </w:pPr>
      <w:r>
        <w:t>Medium: Important for operational efficiency and enhanced user value.</w:t>
      </w:r>
    </w:p>
    <w:p>
      <w:pPr>
        <w:pStyle w:val="ListBullet"/>
      </w:pPr>
      <w:r>
        <w:t>Low: Desirable and can be deferred.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