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4B4CE">
      <w:pPr>
        <w:spacing w:after="60"/>
        <w:jc w:val="center"/>
      </w:pPr>
      <w:r>
        <w:rPr>
          <w:b/>
          <w:bCs/>
          <w:color w:val="1E2761"/>
          <w:sz w:val="22"/>
          <w:szCs w:val="22"/>
        </w:rPr>
        <w:t>ÉSTIAM — 3EADOTN</w:t>
      </w:r>
    </w:p>
    <w:p w14:paraId="425AEA46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Modern Enterprise Software Engineering</w:t>
      </w:r>
    </w:p>
    <w:p w14:paraId="1F9265E9">
      <w:pPr>
        <w:spacing w:after="300"/>
        <w:jc w:val="center"/>
      </w:pPr>
      <w:r>
        <w:rPr>
          <w:b/>
          <w:bCs/>
          <w:color w:val="F2A93B"/>
          <w:sz w:val="32"/>
          <w:szCs w:val="32"/>
        </w:rPr>
        <w:t>Project Brief: CloudExpense Deployment Challenge</w:t>
      </w:r>
    </w:p>
    <w:p w14:paraId="0567CA64">
      <w:pPr>
        <w:pStyle w:val="2"/>
        <w:spacing w:before="300" w:after="150"/>
      </w:pPr>
      <w:r>
        <w:rPr>
          <w:b/>
          <w:bCs/>
          <w:color w:val="1E2761"/>
          <w:sz w:val="30"/>
          <w:szCs w:val="30"/>
        </w:rPr>
        <w:t>1. Presentation &amp; Framework</w:t>
      </w:r>
    </w:p>
    <w:p w14:paraId="2E16B006">
      <w:pPr>
        <w:spacing w:after="120"/>
      </w:pPr>
      <w:r>
        <w:t>Fictitious company: Nimbus Expensing Ltd., a fast-growing startup that has built a personal expense-tracking application for its staff — "ExpenseTrack". Employees log day-to-day expenses (groceries, entertainment, restaurants, and similar categories) and can optionally attach a photo of the receipt for their records.</w:t>
      </w:r>
    </w:p>
    <w:p w14:paraId="39EEECD0">
      <w:pPr>
        <w:spacing w:after="120"/>
      </w:pPr>
      <w:r>
        <w:t>Nimbus's development team has already written the full application — both the API and the user interface. What Nimbus does not have yet is production infrastructure to run it on. You have been hired as their cloud engineer: your job is not to write or change a single line of application code, but to design, provision, and secure the Azure infrastructure that this given application will run on, deploy it, and prove — live, to Nimbus's management — that it works and is being monitored.</w:t>
      </w:r>
    </w:p>
    <w:p w14:paraId="3C3EEDEF">
      <w:pPr>
        <w:spacing w:after="120"/>
      </w:pPr>
      <w:r>
        <w:t>Goal: stand up a secure, observable, working deployment of the provided ExpenseTrack application on your own Azure subscription, and defend your infrastructure choices in a live presentation.</w:t>
      </w:r>
    </w:p>
    <w:p w14:paraId="70F10BE2">
      <w:pPr>
        <w:spacing w:after="120"/>
      </w:pPr>
    </w:p>
    <w:p w14:paraId="443807DD">
      <w:pPr>
        <w:spacing w:after="12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74895" cy="3562985"/>
            <wp:effectExtent l="0" t="0" r="1905" b="184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3562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C46420">
      <w:pPr>
        <w:spacing w:after="120"/>
      </w:pPr>
    </w:p>
    <w:p w14:paraId="1544344F">
      <w:pPr>
        <w:pStyle w:val="2"/>
        <w:spacing w:before="300" w:after="150"/>
      </w:pPr>
      <w:r>
        <w:rPr>
          <w:b/>
          <w:bCs/>
          <w:color w:val="1E2761"/>
          <w:sz w:val="30"/>
          <w:szCs w:val="30"/>
        </w:rPr>
        <w:t>2. What you are given vs. what you must build</w:t>
      </w:r>
    </w:p>
    <w:p w14:paraId="4085D807">
      <w:pPr>
        <w:pStyle w:val="16"/>
        <w:numPr>
          <w:ilvl w:val="0"/>
          <w:numId w:val="1"/>
        </w:numPr>
        <w:spacing w:after="60"/>
      </w:pPr>
      <w:r>
        <w:t>Given to you (no changes required or expected): the complete ExpenseTrack API and UI source code, ready to build and deploy.</w:t>
      </w:r>
    </w:p>
    <w:p w14:paraId="4BC02CCC">
      <w:pPr>
        <w:pStyle w:val="16"/>
        <w:numPr>
          <w:ilvl w:val="0"/>
          <w:numId w:val="1"/>
        </w:numPr>
        <w:spacing w:after="60"/>
      </w:pPr>
      <w:r>
        <w:t>Your deliverable: the infrastructure — resource provisioning, security configuration, monitoring, and a working deployment of the given code onto that infrastructure.</w:t>
      </w:r>
    </w:p>
    <w:p w14:paraId="559629F7">
      <w:pPr>
        <w:pStyle w:val="16"/>
        <w:numPr>
          <w:ilvl w:val="0"/>
          <w:numId w:val="1"/>
        </w:numPr>
        <w:spacing w:after="60"/>
      </w:pPr>
      <w:r>
        <w:t>Receipt photo upload is optional for any single expense record (a student demo does not need every entry to have a photo), but the Blob Storage capability behind it is mandatory infrastructure — it must be provisioned and working.</w:t>
      </w:r>
    </w:p>
    <w:p w14:paraId="1A40ABF7">
      <w:pPr>
        <w:pStyle w:val="2"/>
        <w:spacing w:before="300" w:after="150"/>
      </w:pPr>
      <w:r>
        <w:rPr>
          <w:b/>
          <w:bCs/>
          <w:color w:val="1E2761"/>
          <w:sz w:val="30"/>
          <w:szCs w:val="30"/>
        </w:rPr>
        <w:t>3. Data Model &amp; Technical Specification</w:t>
      </w:r>
    </w:p>
    <w:p w14:paraId="7ABB4AC2">
      <w:pPr>
        <w:spacing w:after="120"/>
      </w:pPr>
      <w:r>
        <w:t>The application code is identical for every student, so every student's infrastructure must match this specification exactly — this is what the given code expects to find. There is no end-user login: the app is single-tenant ("my expenses"), secured at the infrastructure level (Managed Identity, RBAC, Key Vault) rather than with per-user accounts.</w:t>
      </w:r>
    </w:p>
    <w:p w14:paraId="1D3BB0E9">
      <w:pPr>
        <w:pStyle w:val="3"/>
        <w:spacing w:before="240" w:after="120"/>
      </w:pPr>
      <w:r>
        <w:rPr>
          <w:b/>
          <w:bCs/>
          <w:color w:val="1E2761"/>
          <w:sz w:val="24"/>
          <w:szCs w:val="24"/>
        </w:rPr>
        <w:t>3.1 Expense item (Cosmos DB)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500"/>
        <w:gridCol w:w="6100"/>
      </w:tblGrid>
      <w:tr w14:paraId="74E4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C24FE">
            <w:pPr>
              <w:jc w:val="left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36AB4">
            <w:pPr>
              <w:jc w:val="left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5C69">
            <w:pPr>
              <w:jc w:val="left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14:paraId="6D37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D262D">
            <w:pPr>
              <w:jc w:val="left"/>
            </w:pPr>
            <w:r>
              <w:rPr>
                <w:b w:val="0"/>
                <w:bCs w:val="0"/>
                <w:color w:val="000000"/>
              </w:rPr>
              <w:t>id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66A24">
            <w:pPr>
              <w:jc w:val="left"/>
            </w:pPr>
            <w:r>
              <w:rPr>
                <w:b w:val="0"/>
                <w:bCs w:val="0"/>
                <w:color w:val="000000"/>
              </w:rPr>
              <w:t>string (GUID)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6E058">
            <w:pPr>
              <w:jc w:val="left"/>
            </w:pPr>
            <w:r>
              <w:rPr>
                <w:b w:val="0"/>
                <w:bCs w:val="0"/>
                <w:color w:val="000000"/>
              </w:rPr>
              <w:t>Cosmos DB item id, generated by the API on create.</w:t>
            </w:r>
          </w:p>
        </w:tc>
      </w:tr>
      <w:tr w14:paraId="0CF8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46240">
            <w:pPr>
              <w:jc w:val="left"/>
            </w:pPr>
            <w:r>
              <w:rPr>
                <w:b w:val="0"/>
                <w:bCs w:val="0"/>
                <w:color w:val="000000"/>
              </w:rPr>
              <w:t>category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2D427">
            <w:pPr>
              <w:jc w:val="left"/>
            </w:pPr>
            <w:r>
              <w:rPr>
                <w:b w:val="0"/>
                <w:bCs w:val="0"/>
                <w:color w:val="000000"/>
              </w:rPr>
              <w:t>string, fixed list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3DA34">
            <w:pPr>
              <w:jc w:val="left"/>
            </w:pPr>
            <w:r>
              <w:rPr>
                <w:b w:val="0"/>
                <w:bCs w:val="0"/>
                <w:color w:val="000000"/>
              </w:rPr>
              <w:t>One of: Groceries, Entertainment, Restaurants, Transport, Utilities, Other. This is also the Cosmos DB partition key value.</w:t>
            </w:r>
          </w:p>
        </w:tc>
      </w:tr>
      <w:tr w14:paraId="583C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18D4F">
            <w:pPr>
              <w:jc w:val="left"/>
            </w:pPr>
            <w:r>
              <w:rPr>
                <w:b w:val="0"/>
                <w:bCs w:val="0"/>
                <w:color w:val="000000"/>
              </w:rPr>
              <w:t>description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5C274">
            <w:pPr>
              <w:jc w:val="left"/>
            </w:pPr>
            <w:r>
              <w:rPr>
                <w:b w:val="0"/>
                <w:bCs w:val="0"/>
                <w:color w:val="000000"/>
              </w:rPr>
              <w:t>string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B8753">
            <w:pPr>
              <w:jc w:val="left"/>
            </w:pPr>
            <w:r>
              <w:rPr>
                <w:b w:val="0"/>
                <w:bCs w:val="0"/>
                <w:color w:val="000000"/>
              </w:rPr>
              <w:t>Free-text description of the expense (e.g. "Weekly shop").</w:t>
            </w:r>
          </w:p>
        </w:tc>
      </w:tr>
      <w:tr w14:paraId="2DC95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D3FBB">
            <w:pPr>
              <w:jc w:val="left"/>
            </w:pPr>
            <w:r>
              <w:rPr>
                <w:b w:val="0"/>
                <w:bCs w:val="0"/>
                <w:color w:val="000000"/>
              </w:rPr>
              <w:t>amount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3D857">
            <w:pPr>
              <w:jc w:val="left"/>
            </w:pPr>
            <w:r>
              <w:rPr>
                <w:b w:val="0"/>
                <w:bCs w:val="0"/>
                <w:color w:val="000000"/>
              </w:rPr>
              <w:t>decimal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458FF">
            <w:pPr>
              <w:jc w:val="left"/>
            </w:pPr>
            <w:r>
              <w:rPr>
                <w:b w:val="0"/>
                <w:bCs w:val="0"/>
                <w:color w:val="000000"/>
              </w:rPr>
              <w:t>Expense amount.</w:t>
            </w:r>
          </w:p>
        </w:tc>
      </w:tr>
      <w:tr w14:paraId="1A5F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1F41D">
            <w:pPr>
              <w:jc w:val="left"/>
            </w:pPr>
            <w:r>
              <w:rPr>
                <w:b w:val="0"/>
                <w:bCs w:val="0"/>
                <w:color w:val="000000"/>
              </w:rPr>
              <w:t>currency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D52A1">
            <w:pPr>
              <w:jc w:val="left"/>
            </w:pPr>
            <w:r>
              <w:rPr>
                <w:b w:val="0"/>
                <w:bCs w:val="0"/>
                <w:color w:val="000000"/>
              </w:rPr>
              <w:t>string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C4225">
            <w:pPr>
              <w:jc w:val="left"/>
            </w:pPr>
            <w:r>
              <w:rPr>
                <w:b w:val="0"/>
                <w:bCs w:val="0"/>
                <w:color w:val="000000"/>
              </w:rPr>
              <w:t>Fixed to "EUR" for every deployment.</w:t>
            </w:r>
          </w:p>
        </w:tc>
      </w:tr>
      <w:tr w14:paraId="35C99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DDAE8">
            <w:pPr>
              <w:jc w:val="left"/>
            </w:pPr>
            <w:r>
              <w:rPr>
                <w:b w:val="0"/>
                <w:bCs w:val="0"/>
                <w:color w:val="000000"/>
              </w:rPr>
              <w:t>date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3BC09">
            <w:pPr>
              <w:jc w:val="left"/>
            </w:pPr>
            <w:r>
              <w:rPr>
                <w:b w:val="0"/>
                <w:bCs w:val="0"/>
                <w:color w:val="000000"/>
              </w:rPr>
              <w:t>date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382F8">
            <w:pPr>
              <w:jc w:val="left"/>
            </w:pPr>
            <w:r>
              <w:rPr>
                <w:b w:val="0"/>
                <w:bCs w:val="0"/>
                <w:color w:val="000000"/>
              </w:rPr>
              <w:t>Date the expense was incurred (not the record creation date).</w:t>
            </w:r>
          </w:p>
        </w:tc>
      </w:tr>
      <w:tr w14:paraId="15087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5D705">
            <w:pPr>
              <w:jc w:val="left"/>
            </w:pPr>
            <w:r>
              <w:rPr>
                <w:b w:val="0"/>
                <w:bCs w:val="0"/>
                <w:color w:val="000000"/>
              </w:rPr>
              <w:t>receiptPhotoUrl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712F">
            <w:pPr>
              <w:jc w:val="left"/>
            </w:pPr>
            <w:r>
              <w:rPr>
                <w:b w:val="0"/>
                <w:bCs w:val="0"/>
                <w:color w:val="000000"/>
              </w:rPr>
              <w:t>string, nullable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308F3">
            <w:pPr>
              <w:jc w:val="left"/>
            </w:pPr>
            <w:r>
              <w:rPr>
                <w:b w:val="0"/>
                <w:bCs w:val="0"/>
                <w:color w:val="000000"/>
              </w:rPr>
              <w:t>Blob Storage URL of the receipt photo. Null/empty when no photo was attached — optional per record.</w:t>
            </w:r>
          </w:p>
        </w:tc>
      </w:tr>
      <w:tr w14:paraId="53EB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2DFAD">
            <w:pPr>
              <w:jc w:val="left"/>
            </w:pPr>
            <w:r>
              <w:rPr>
                <w:b w:val="0"/>
                <w:bCs w:val="0"/>
                <w:color w:val="000000"/>
              </w:rPr>
              <w:t>createdAt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ADA56">
            <w:pPr>
              <w:jc w:val="left"/>
            </w:pPr>
            <w:r>
              <w:rPr>
                <w:b w:val="0"/>
                <w:bCs w:val="0"/>
                <w:color w:val="000000"/>
              </w:rPr>
              <w:t>datetime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3FE0B">
            <w:pPr>
              <w:jc w:val="left"/>
            </w:pPr>
            <w:r>
              <w:rPr>
                <w:b w:val="0"/>
                <w:bCs w:val="0"/>
                <w:color w:val="000000"/>
              </w:rPr>
              <w:t>Record creation timestamp, set by the API.</w:t>
            </w:r>
          </w:p>
        </w:tc>
      </w:tr>
    </w:tbl>
    <w:p w14:paraId="0AF9AAFF">
      <w:pPr>
        <w:spacing w:before="120" w:after="120"/>
      </w:pPr>
    </w:p>
    <w:p w14:paraId="74A7706B">
      <w:pPr>
        <w:pStyle w:val="16"/>
        <w:numPr>
          <w:ilvl w:val="0"/>
          <w:numId w:val="1"/>
        </w:numPr>
        <w:spacing w:after="60"/>
      </w:pPr>
      <w:r>
        <w:t>Cosmos DB database name: ExpenseTrackerDb</w:t>
      </w:r>
    </w:p>
    <w:p w14:paraId="17A56D62">
      <w:pPr>
        <w:pStyle w:val="16"/>
        <w:numPr>
          <w:ilvl w:val="0"/>
          <w:numId w:val="1"/>
        </w:numPr>
        <w:spacing w:after="60"/>
      </w:pPr>
      <w:r>
        <w:t>Container name: Expenses</w:t>
      </w:r>
    </w:p>
    <w:p w14:paraId="16922E65">
      <w:pPr>
        <w:pStyle w:val="16"/>
        <w:numPr>
          <w:ilvl w:val="0"/>
          <w:numId w:val="1"/>
        </w:numPr>
        <w:spacing w:after="60"/>
      </w:pPr>
      <w:r>
        <w:t>Partition key: /category — mirrors the pattern used in the module demos (catalog-api's /genre).</w:t>
      </w:r>
    </w:p>
    <w:p w14:paraId="25418CA6">
      <w:pPr>
        <w:pStyle w:val="3"/>
        <w:spacing w:before="240" w:after="120"/>
      </w:pPr>
      <w:r>
        <w:rPr>
          <w:b/>
          <w:bCs/>
          <w:color w:val="1E2761"/>
          <w:sz w:val="24"/>
          <w:szCs w:val="24"/>
        </w:rPr>
        <w:t>3.2 Receipt photos (Blob Storage)</w:t>
      </w:r>
    </w:p>
    <w:p w14:paraId="4A3ABD1D">
      <w:pPr>
        <w:pStyle w:val="16"/>
        <w:numPr>
          <w:ilvl w:val="0"/>
          <w:numId w:val="1"/>
        </w:numPr>
        <w:spacing w:after="60"/>
      </w:pPr>
      <w:r>
        <w:t>Blob container name: receipts</w:t>
      </w:r>
    </w:p>
    <w:p w14:paraId="68C37E7B">
      <w:pPr>
        <w:pStyle w:val="16"/>
        <w:numPr>
          <w:ilvl w:val="0"/>
          <w:numId w:val="1"/>
        </w:numPr>
        <w:spacing w:after="60"/>
      </w:pPr>
      <w:r>
        <w:t>One photo per expense, named by the expense's id (e.g. &lt;id&gt;.jpg).</w:t>
      </w:r>
    </w:p>
    <w:p w14:paraId="61025DF5">
      <w:pPr>
        <w:pStyle w:val="16"/>
        <w:numPr>
          <w:ilvl w:val="0"/>
          <w:numId w:val="1"/>
        </w:numPr>
        <w:spacing w:after="60"/>
      </w:pPr>
      <w:r>
        <w:t>Attaching a photo is optional per expense record; the container and upload path must still exist and work regardless of how many records use it.</w:t>
      </w:r>
    </w:p>
    <w:p w14:paraId="26C60289">
      <w:pPr>
        <w:pStyle w:val="3"/>
        <w:spacing w:before="240" w:after="120"/>
      </w:pPr>
      <w:r>
        <w:rPr>
          <w:b/>
          <w:bCs/>
          <w:color w:val="1E2761"/>
          <w:sz w:val="24"/>
          <w:szCs w:val="24"/>
        </w:rPr>
        <w:t>3.3 Resource Naming Convention</w:t>
      </w:r>
    </w:p>
    <w:p w14:paraId="0FF20B13">
      <w:pPr>
        <w:spacing w:after="120"/>
      </w:pPr>
      <w:r>
        <w:t>Use these exact resource names and types — they match what the manuals from Modules 1-5 already walked you through, and the two application components go on the same Azure services as their module counterparts (catalog-ui on App Service, catalog-api on Container Apps), so the same commands apply here.</w:t>
      </w:r>
    </w:p>
    <w:tbl>
      <w:tblPr>
        <w:tblStyle w:val="9"/>
        <w:tblW w:w="9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500"/>
        <w:gridCol w:w="2100"/>
        <w:gridCol w:w="3400"/>
      </w:tblGrid>
      <w:tr w14:paraId="7F8A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3F077">
            <w:pPr>
              <w:jc w:val="left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5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ED60E">
            <w:pPr>
              <w:jc w:val="left"/>
            </w:pPr>
            <w:r>
              <w:rPr>
                <w:b/>
                <w:bCs/>
                <w:color w:val="FFFFFF"/>
              </w:rPr>
              <w:t>Azure Resource</w:t>
            </w:r>
          </w:p>
        </w:tc>
        <w:tc>
          <w:tcPr>
            <w:tcW w:w="21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5C921">
            <w:pPr>
              <w:jc w:val="left"/>
            </w:pPr>
            <w:r>
              <w:rPr>
                <w:b/>
                <w:bCs/>
                <w:color w:val="FFFFFF"/>
              </w:rPr>
              <w:t>Plan / SKU</w:t>
            </w:r>
          </w:p>
        </w:tc>
        <w:tc>
          <w:tcPr>
            <w:tcW w:w="34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CFA22">
            <w:pPr>
              <w:jc w:val="left"/>
            </w:pPr>
            <w:r>
              <w:rPr>
                <w:b/>
                <w:bCs/>
                <w:color w:val="FFFFFF"/>
              </w:rPr>
              <w:t>Naming Pattern</w:t>
            </w:r>
          </w:p>
        </w:tc>
      </w:tr>
      <w:tr w14:paraId="2BEA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643A6">
            <w:pPr>
              <w:jc w:val="left"/>
            </w:pPr>
            <w:r>
              <w:rPr>
                <w:b w:val="0"/>
                <w:bCs w:val="0"/>
                <w:color w:val="000000"/>
              </w:rPr>
              <w:t>expenses-ui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50E94">
            <w:pPr>
              <w:jc w:val="left"/>
            </w:pPr>
            <w:r>
              <w:rPr>
                <w:b w:val="0"/>
                <w:bCs w:val="0"/>
                <w:color w:val="000000"/>
              </w:rPr>
              <w:t>App Service (Web App)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C4E4A">
            <w:pPr>
              <w:jc w:val="left"/>
            </w:pPr>
            <w:r>
              <w:rPr>
                <w:b w:val="0"/>
                <w:bCs w:val="0"/>
                <w:color w:val="000000"/>
              </w:rPr>
              <w:t>Linux, B1 App Service Plan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E98FE">
            <w:pPr>
              <w:jc w:val="left"/>
            </w:pPr>
            <w:r>
              <w:rPr>
                <w:b w:val="0"/>
                <w:bCs w:val="0"/>
                <w:color w:val="000000"/>
              </w:rPr>
              <w:t>webapp-expenses-&lt;your_suffix&gt; *</w:t>
            </w:r>
          </w:p>
        </w:tc>
      </w:tr>
      <w:tr w14:paraId="3990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E8A33">
            <w:pPr>
              <w:jc w:val="left"/>
            </w:pPr>
            <w:r>
              <w:rPr>
                <w:b w:val="0"/>
                <w:bCs w:val="0"/>
                <w:color w:val="000000"/>
              </w:rPr>
              <w:t>expenses-api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57CEF">
            <w:pPr>
              <w:jc w:val="left"/>
            </w:pPr>
            <w:r>
              <w:rPr>
                <w:b w:val="0"/>
                <w:bCs w:val="0"/>
                <w:color w:val="000000"/>
              </w:rPr>
              <w:t>Container App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8EB27">
            <w:pPr>
              <w:jc w:val="left"/>
            </w:pPr>
            <w:r>
              <w:rPr>
                <w:b w:val="0"/>
                <w:bCs w:val="0"/>
                <w:color w:val="000000"/>
              </w:rPr>
              <w:t>Consumption, in a Container Apps Environment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50FCB">
            <w:pPr>
              <w:jc w:val="left"/>
            </w:pPr>
            <w:r>
              <w:rPr>
                <w:b w:val="0"/>
                <w:bCs w:val="0"/>
                <w:color w:val="000000"/>
              </w:rPr>
              <w:t>app-expenses-&lt;your_suffix&gt;</w:t>
            </w:r>
          </w:p>
        </w:tc>
      </w:tr>
      <w:tr w14:paraId="210D5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62A01">
            <w:pPr>
              <w:jc w:val="left"/>
            </w:pPr>
            <w:r>
              <w:rPr>
                <w:b w:val="0"/>
                <w:bCs w:val="0"/>
                <w:color w:val="000000"/>
              </w:rPr>
              <w:t>(shared) Registry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473E1">
            <w:pPr>
              <w:jc w:val="left"/>
            </w:pPr>
            <w:r>
              <w:rPr>
                <w:b w:val="0"/>
                <w:bCs w:val="0"/>
                <w:color w:val="000000"/>
              </w:rPr>
              <w:t>Azure Container Registry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FAC97">
            <w:pPr>
              <w:jc w:val="left"/>
            </w:pPr>
            <w:r>
              <w:rPr>
                <w:b w:val="0"/>
                <w:bCs w:val="0"/>
                <w:color w:val="000000"/>
              </w:rPr>
              <w:t>Basic SKU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C8C5F">
            <w:pPr>
              <w:jc w:val="left"/>
            </w:pPr>
            <w:r>
              <w:rPr>
                <w:b w:val="0"/>
                <w:bCs w:val="0"/>
                <w:color w:val="000000"/>
              </w:rPr>
              <w:t>acrexpenses&lt;your_suffix&gt; *</w:t>
            </w:r>
          </w:p>
        </w:tc>
      </w:tr>
      <w:tr w14:paraId="2C29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9D5DB">
            <w:pPr>
              <w:jc w:val="left"/>
            </w:pPr>
            <w:r>
              <w:rPr>
                <w:b w:val="0"/>
                <w:bCs w:val="0"/>
                <w:color w:val="000000"/>
              </w:rPr>
              <w:t>(shared) Resource Group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F1333">
            <w:pPr>
              <w:jc w:val="left"/>
            </w:pPr>
            <w:r>
              <w:rPr>
                <w:b w:val="0"/>
                <w:bCs w:val="0"/>
                <w:color w:val="000000"/>
              </w:rPr>
              <w:t>Resource Group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43ACD">
            <w:pPr>
              <w:jc w:val="left"/>
            </w:pPr>
            <w:r>
              <w:rPr>
                <w:b w:val="0"/>
                <w:bCs w:val="0"/>
                <w:color w:val="000000"/>
              </w:rPr>
              <w:t>—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3742B">
            <w:pPr>
              <w:jc w:val="left"/>
            </w:pPr>
            <w:r>
              <w:rPr>
                <w:b w:val="0"/>
                <w:bCs w:val="0"/>
                <w:color w:val="000000"/>
              </w:rPr>
              <w:t>rg-expenses-&lt;your_suffix&gt;</w:t>
            </w:r>
          </w:p>
        </w:tc>
      </w:tr>
      <w:tr w14:paraId="0C43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5CFC1">
            <w:pPr>
              <w:jc w:val="left"/>
            </w:pPr>
            <w:r>
              <w:rPr>
                <w:b w:val="0"/>
                <w:bCs w:val="0"/>
                <w:color w:val="000000"/>
              </w:rPr>
              <w:t>(shared) Env.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1358B">
            <w:pPr>
              <w:jc w:val="left"/>
            </w:pPr>
            <w:r>
              <w:rPr>
                <w:b w:val="0"/>
                <w:bCs w:val="0"/>
                <w:color w:val="000000"/>
              </w:rPr>
              <w:t>Container Apps Environment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E3113">
            <w:pPr>
              <w:jc w:val="left"/>
            </w:pPr>
            <w:r>
              <w:rPr>
                <w:b w:val="0"/>
                <w:bCs w:val="0"/>
                <w:color w:val="000000"/>
              </w:rPr>
              <w:t>—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FDA61">
            <w:pPr>
              <w:jc w:val="left"/>
            </w:pPr>
            <w:r>
              <w:rPr>
                <w:b w:val="0"/>
                <w:bCs w:val="0"/>
                <w:color w:val="000000"/>
              </w:rPr>
              <w:t>env-expenses-&lt;your_suffix&gt;</w:t>
            </w:r>
          </w:p>
        </w:tc>
      </w:tr>
      <w:tr w14:paraId="36B2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35B1E">
            <w:pPr>
              <w:jc w:val="left"/>
            </w:pPr>
            <w:r>
              <w:rPr>
                <w:b w:val="0"/>
                <w:bCs w:val="0"/>
                <w:color w:val="000000"/>
              </w:rPr>
              <w:t>Database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514F0">
            <w:pPr>
              <w:jc w:val="left"/>
            </w:pPr>
            <w:r>
              <w:rPr>
                <w:b w:val="0"/>
                <w:bCs w:val="0"/>
                <w:color w:val="000000"/>
              </w:rPr>
              <w:t>Cosmos DB Account (Core/SQL API)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6354">
            <w:pPr>
              <w:jc w:val="left"/>
            </w:pPr>
            <w:r>
              <w:rPr>
                <w:b w:val="0"/>
                <w:bCs w:val="0"/>
                <w:color w:val="000000"/>
              </w:rPr>
              <w:t>Manual throughput, 400 RU/s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FB105">
            <w:pPr>
              <w:jc w:val="left"/>
            </w:pPr>
            <w:r>
              <w:rPr>
                <w:b w:val="0"/>
                <w:bCs w:val="0"/>
                <w:color w:val="000000"/>
              </w:rPr>
              <w:t>cosmos-expenses-&lt;your_suffix&gt; *</w:t>
            </w:r>
          </w:p>
        </w:tc>
      </w:tr>
      <w:tr w14:paraId="23BB6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7D431">
            <w:pPr>
              <w:jc w:val="left"/>
            </w:pPr>
            <w:r>
              <w:rPr>
                <w:b w:val="0"/>
                <w:bCs w:val="0"/>
                <w:color w:val="000000"/>
              </w:rPr>
              <w:t>Receipt storage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97E01">
            <w:pPr>
              <w:jc w:val="left"/>
            </w:pPr>
            <w:r>
              <w:rPr>
                <w:b w:val="0"/>
                <w:bCs w:val="0"/>
                <w:color w:val="000000"/>
              </w:rPr>
              <w:t>Storage Account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D7C4A">
            <w:pPr>
              <w:jc w:val="left"/>
            </w:pPr>
            <w:r>
              <w:rPr>
                <w:b w:val="0"/>
                <w:bCs w:val="0"/>
                <w:color w:val="000000"/>
              </w:rPr>
              <w:t>Standard_LRS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D7052">
            <w:pPr>
              <w:jc w:val="left"/>
            </w:pPr>
            <w:r>
              <w:rPr>
                <w:b w:val="0"/>
                <w:bCs w:val="0"/>
                <w:color w:val="000000"/>
              </w:rPr>
              <w:t>stexpenses&lt;your_suffix&gt; * (no hyphens, ≤24 chars)</w:t>
            </w:r>
          </w:p>
        </w:tc>
      </w:tr>
      <w:tr w14:paraId="5A92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540D">
            <w:pPr>
              <w:jc w:val="left"/>
            </w:pPr>
            <w:r>
              <w:rPr>
                <w:b w:val="0"/>
                <w:bCs w:val="0"/>
                <w:color w:val="000000"/>
              </w:rPr>
              <w:t>Secrets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061F8">
            <w:pPr>
              <w:jc w:val="left"/>
            </w:pPr>
            <w:r>
              <w:rPr>
                <w:b w:val="0"/>
                <w:bCs w:val="0"/>
                <w:color w:val="000000"/>
              </w:rPr>
              <w:t>Key Vault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4A5FB">
            <w:pPr>
              <w:jc w:val="left"/>
            </w:pPr>
            <w:r>
              <w:rPr>
                <w:b w:val="0"/>
                <w:bCs w:val="0"/>
                <w:color w:val="000000"/>
              </w:rPr>
              <w:t>RBAC authorization mode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E86E2">
            <w:pPr>
              <w:jc w:val="left"/>
            </w:pPr>
            <w:r>
              <w:rPr>
                <w:b w:val="0"/>
                <w:bCs w:val="0"/>
                <w:color w:val="000000"/>
              </w:rPr>
              <w:t>kv-expenses-&lt;your_suffix&gt; *</w:t>
            </w:r>
          </w:p>
        </w:tc>
      </w:tr>
      <w:tr w14:paraId="21A7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E6446">
            <w:pPr>
              <w:jc w:val="left"/>
            </w:pPr>
            <w:r>
              <w:rPr>
                <w:b w:val="0"/>
                <w:bCs w:val="0"/>
                <w:color w:val="000000"/>
              </w:rPr>
              <w:t>Monitoring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CFC94">
            <w:pPr>
              <w:jc w:val="left"/>
            </w:pPr>
            <w:r>
              <w:rPr>
                <w:b w:val="0"/>
                <w:bCs w:val="0"/>
                <w:color w:val="000000"/>
              </w:rPr>
              <w:t>Application Insights + dedicated Log Analytics workspace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2983B">
            <w:pPr>
              <w:jc w:val="left"/>
            </w:pPr>
            <w:r>
              <w:rPr>
                <w:b w:val="0"/>
                <w:bCs w:val="0"/>
                <w:color w:val="000000"/>
              </w:rPr>
              <w:t>Workspace-based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6A50B">
            <w:pPr>
              <w:jc w:val="left"/>
            </w:pPr>
            <w:r>
              <w:rPr>
                <w:b w:val="0"/>
                <w:bCs w:val="0"/>
                <w:color w:val="000000"/>
              </w:rPr>
              <w:t>appi-expenses-&lt;your_suffix&gt; / law-expenses-appi-&lt;your_suffix&gt;</w:t>
            </w:r>
          </w:p>
        </w:tc>
      </w:tr>
      <w:tr w14:paraId="03F2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E71C2">
            <w:pPr>
              <w:jc w:val="left"/>
            </w:pPr>
            <w:r>
              <w:rPr>
                <w:b w:val="0"/>
                <w:bCs w:val="0"/>
                <w:color w:val="000000"/>
              </w:rPr>
              <w:t>API gateway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CB7A3">
            <w:pPr>
              <w:jc w:val="left"/>
            </w:pPr>
            <w:r>
              <w:rPr>
                <w:b w:val="0"/>
                <w:bCs w:val="0"/>
                <w:color w:val="000000"/>
              </w:rPr>
              <w:t>API Management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D57E6">
            <w:pPr>
              <w:jc w:val="left"/>
            </w:pPr>
            <w:r>
              <w:rPr>
                <w:b w:val="0"/>
                <w:bCs w:val="0"/>
                <w:color w:val="000000"/>
              </w:rPr>
              <w:t>Consumption tier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7E549">
            <w:pPr>
              <w:jc w:val="left"/>
            </w:pPr>
            <w:r>
              <w:rPr>
                <w:b w:val="0"/>
                <w:bCs w:val="0"/>
                <w:color w:val="000000"/>
              </w:rPr>
              <w:t>apim-expenses-&lt;your_suffix&gt; *</w:t>
            </w:r>
          </w:p>
        </w:tc>
      </w:tr>
    </w:tbl>
    <w:p w14:paraId="485A6247">
      <w:pPr>
        <w:spacing w:before="120" w:after="120"/>
      </w:pPr>
    </w:p>
    <w:p w14:paraId="73B997E0">
      <w:pPr>
        <w:pStyle w:val="16"/>
        <w:numPr>
          <w:ilvl w:val="0"/>
          <w:numId w:val="1"/>
        </w:numPr>
        <w:spacing w:after="60"/>
      </w:pPr>
      <w:r>
        <w:t>&lt;your_suffix&gt; is fixed by a rule, not freely chosen: the first two letters of your surname, followed by the first letter of your first name — all lowercase, no accents or spaces. Example: Marie Dupont → "dum". Use the exact same suffix in every resource name so it's obvious in the Azure Portal, and during the soutenance, which resources are yours.</w:t>
      </w:r>
    </w:p>
    <w:p w14:paraId="2E644783">
      <w:pPr>
        <w:pStyle w:val="16"/>
        <w:numPr>
          <w:ilvl w:val="0"/>
          <w:numId w:val="1"/>
        </w:numPr>
        <w:spacing w:after="60"/>
      </w:pPr>
      <w:r>
        <w:t>An asterisk (*) marks a globally-unique name (it becomes part of a public DNS name) — if Azure rejects a name built from your suffix as already taken, append a digit (e.g. "dum2") and keep using that adjusted suffix everywhere for that resource.</w:t>
      </w:r>
    </w:p>
    <w:p w14:paraId="514B5F53">
      <w:pPr>
        <w:pStyle w:val="16"/>
        <w:numPr>
          <w:ilvl w:val="0"/>
          <w:numId w:val="1"/>
        </w:numPr>
        <w:spacing w:after="60"/>
      </w:pPr>
      <w:r>
        <w:t>Resource Group and Container Apps Environment names only need to be unique within your own subscription, not globally.</w:t>
      </w:r>
    </w:p>
    <w:p w14:paraId="77F6BA50">
      <w:pPr>
        <w:pStyle w:val="2"/>
        <w:spacing w:before="300" w:after="150"/>
      </w:pPr>
      <w:r>
        <w:rPr>
          <w:b/>
          <w:bCs/>
          <w:color w:val="1E2761"/>
          <w:sz w:val="30"/>
          <w:szCs w:val="30"/>
        </w:rPr>
        <w:t>4. Deliverables</w:t>
      </w:r>
    </w:p>
    <w:p w14:paraId="1197A76B">
      <w:pPr>
        <w:spacing w:after="120"/>
      </w:pPr>
      <w:r>
        <w:t>Each deliverable below is assessed independently as part of the project barème in Section 5.</w:t>
      </w:r>
    </w:p>
    <w:p w14:paraId="3ACCA133">
      <w:pPr>
        <w:pStyle w:val="16"/>
        <w:numPr>
          <w:ilvl w:val="0"/>
          <w:numId w:val="1"/>
        </w:numPr>
        <w:spacing w:after="60"/>
      </w:pPr>
      <w:r>
        <w:t>D1 — Core resources: Resource Group, Cosmos DB, Blob Storage, and a hosting compute service for the app (e.g. Azure Container Apps or App Service), matching the names in Section 3.</w:t>
      </w:r>
    </w:p>
    <w:p w14:paraId="13989F92">
      <w:pPr>
        <w:pStyle w:val="16"/>
        <w:numPr>
          <w:ilvl w:val="0"/>
          <w:numId w:val="1"/>
        </w:numPr>
        <w:spacing w:after="60"/>
      </w:pPr>
      <w:r>
        <w:t>D2 — API Management: the API is exposed through Azure API Management, not called directly.</w:t>
      </w:r>
    </w:p>
    <w:p w14:paraId="0EC601C5">
      <w:pPr>
        <w:pStyle w:val="16"/>
        <w:numPr>
          <w:ilvl w:val="0"/>
          <w:numId w:val="1"/>
        </w:numPr>
        <w:spacing w:after="60"/>
      </w:pPr>
      <w:r>
        <w:t>D3 — Security: Managed Identity, RBAC, and Key Vault used throughout — no secrets or connection strings hard-coded or pasted into configuration.</w:t>
      </w:r>
    </w:p>
    <w:p w14:paraId="2C906A40">
      <w:pPr>
        <w:pStyle w:val="16"/>
        <w:numPr>
          <w:ilvl w:val="0"/>
          <w:numId w:val="1"/>
        </w:numPr>
        <w:spacing w:after="60"/>
      </w:pPr>
      <w:r>
        <w:t>D4 — Working deployment: the given application actually runs, end to end, on your infrastructure.</w:t>
      </w:r>
    </w:p>
    <w:p w14:paraId="61858234">
      <w:pPr>
        <w:pStyle w:val="16"/>
        <w:numPr>
          <w:ilvl w:val="0"/>
          <w:numId w:val="1"/>
        </w:numPr>
        <w:spacing w:after="60"/>
      </w:pPr>
      <w:r>
        <w:t>D5 — Monitoring: Application Insights instrumented and showing real telemetry.</w:t>
      </w:r>
    </w:p>
    <w:p w14:paraId="22B8851E">
      <w:pPr>
        <w:pStyle w:val="16"/>
        <w:numPr>
          <w:ilvl w:val="0"/>
          <w:numId w:val="1"/>
        </w:numPr>
        <w:spacing w:after="60"/>
      </w:pPr>
      <w:r>
        <w:t>D6 — Architecture documentation: a short diagram and written explanation of what you built and why.</w:t>
      </w:r>
    </w:p>
    <w:p w14:paraId="38832F8E">
      <w:pPr>
        <w:pStyle w:val="16"/>
        <w:numPr>
          <w:ilvl w:val="0"/>
          <w:numId w:val="1"/>
        </w:numPr>
        <w:spacing w:after="60"/>
      </w:pPr>
      <w:r>
        <w:t>D7 — Soutenance: a live defense of the above (Section 5).</w:t>
      </w:r>
      <w:bookmarkStart w:id="0" w:name="_GoBack"/>
      <w:bookmarkEnd w:id="0"/>
    </w:p>
    <w:p w14:paraId="61F56C52">
      <w:pPr>
        <w:pStyle w:val="2"/>
        <w:spacing w:before="300" w:after="150"/>
      </w:pPr>
      <w:r>
        <w:rPr>
          <w:b/>
          <w:bCs/>
          <w:color w:val="1E2761"/>
          <w:sz w:val="30"/>
          <w:szCs w:val="30"/>
        </w:rPr>
        <w:t>5. Project Barème — /20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0"/>
        <w:gridCol w:w="1200"/>
        <w:gridCol w:w="3200"/>
      </w:tblGrid>
      <w:tr w14:paraId="3BDA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5606D">
            <w:pPr>
              <w:jc w:val="left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2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02599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32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41B13">
            <w:pPr>
              <w:jc w:val="left"/>
            </w:pPr>
            <w:r>
              <w:rPr>
                <w:b/>
                <w:bCs/>
                <w:color w:val="FFFFFF"/>
              </w:rPr>
              <w:t>What is assessed</w:t>
            </w:r>
          </w:p>
        </w:tc>
      </w:tr>
      <w:tr w14:paraId="3AE2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78E9E">
            <w:pPr>
              <w:jc w:val="left"/>
            </w:pPr>
            <w:r>
              <w:rPr>
                <w:b w:val="0"/>
                <w:bCs w:val="0"/>
                <w:color w:val="000000"/>
              </w:rPr>
              <w:t>Core resources provisioned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C677B">
            <w:pPr>
              <w:jc w:val="center"/>
            </w:pPr>
            <w:r>
              <w:rPr>
                <w:b w:val="0"/>
                <w:bCs w:val="0"/>
                <w:color w:val="000000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7FB2C">
            <w:pPr>
              <w:jc w:val="left"/>
            </w:pPr>
            <w:r>
              <w:rPr>
                <w:b w:val="0"/>
                <w:bCs w:val="0"/>
                <w:color w:val="000000"/>
              </w:rPr>
              <w:t>Resource Group, Cosmos DB account/database/container, Blob Storage account/container — created, correctly configured, and reachable by the deployed app.</w:t>
            </w:r>
          </w:p>
        </w:tc>
      </w:tr>
      <w:tr w14:paraId="21119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64796">
            <w:pPr>
              <w:jc w:val="left"/>
            </w:pPr>
            <w:r>
              <w:rPr>
                <w:b w:val="0"/>
                <w:bCs w:val="0"/>
                <w:color w:val="000000"/>
              </w:rPr>
              <w:t>API exposure via API Management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240FD"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B1192">
            <w:pPr>
              <w:jc w:val="left"/>
            </w:pPr>
            <w:r>
              <w:rPr>
                <w:b w:val="0"/>
                <w:bCs w:val="0"/>
                <w:color w:val="000000"/>
              </w:rPr>
              <w:t>An Azure API Management instance fronts the API (import/route configured, subscription key required) rather than the API being called directly.</w:t>
            </w:r>
          </w:p>
        </w:tc>
      </w:tr>
      <w:tr w14:paraId="50EC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F08E0">
            <w:pPr>
              <w:jc w:val="left"/>
            </w:pPr>
            <w:r>
              <w:rPr>
                <w:b w:val="0"/>
                <w:bCs w:val="0"/>
                <w:color w:val="000000"/>
              </w:rPr>
              <w:t>Security configuration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4B22">
            <w:pPr>
              <w:jc w:val="center"/>
            </w:pPr>
            <w:r>
              <w:rPr>
                <w:b w:val="0"/>
                <w:bCs w:val="0"/>
                <w:color w:val="000000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D09D0">
            <w:pPr>
              <w:jc w:val="left"/>
            </w:pPr>
            <w:r>
              <w:rPr>
                <w:b w:val="0"/>
                <w:bCs w:val="0"/>
                <w:color w:val="000000"/>
              </w:rPr>
              <w:t>Managed Identity used for service-to-service access, RBAC role assignments in place, secrets/connection strings held in Key Vault — nothing sensitive hard-coded or pasted into app configuration.</w:t>
            </w:r>
          </w:p>
        </w:tc>
      </w:tr>
      <w:tr w14:paraId="41B1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6E50E">
            <w:pPr>
              <w:jc w:val="left"/>
            </w:pPr>
            <w:r>
              <w:rPr>
                <w:b w:val="0"/>
                <w:bCs w:val="0"/>
                <w:color w:val="000000"/>
              </w:rPr>
              <w:t>End-to-end working deployment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D7CC6">
            <w:pPr>
              <w:jc w:val="center"/>
            </w:pPr>
            <w:r>
              <w:rPr>
                <w:b w:val="0"/>
                <w:bCs w:val="0"/>
                <w:color w:val="000000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9214A">
            <w:pPr>
              <w:jc w:val="left"/>
            </w:pPr>
            <w:r>
              <w:rPr>
                <w:b w:val="0"/>
                <w:bCs w:val="0"/>
                <w:color w:val="000000"/>
              </w:rPr>
              <w:t>The provided application (API + UI) runs on the student's infrastructure and is fully usable: log an expense, optionally attach a receipt photo (stored in Blob Storage), list past expenses.</w:t>
            </w:r>
          </w:p>
        </w:tc>
      </w:tr>
      <w:tr w14:paraId="3843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76E8B">
            <w:pPr>
              <w:jc w:val="left"/>
            </w:pPr>
            <w:r>
              <w:rPr>
                <w:b w:val="0"/>
                <w:bCs w:val="0"/>
                <w:color w:val="000000"/>
              </w:rPr>
              <w:t>Monitoring &amp; observability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46137">
            <w:pPr>
              <w:jc w:val="center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D4855">
            <w:pPr>
              <w:jc w:val="left"/>
            </w:pPr>
            <w:r>
              <w:rPr>
                <w:b w:val="0"/>
                <w:bCs w:val="0"/>
                <w:color w:val="000000"/>
              </w:rPr>
              <w:t>Application Insights is wired into the deployed app and shows real, live telemetry (requests, dependencies) — not just provisioned and empty.</w:t>
            </w:r>
          </w:p>
        </w:tc>
      </w:tr>
      <w:tr w14:paraId="1E61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F9468">
            <w:pPr>
              <w:jc w:val="left"/>
            </w:pPr>
            <w:r>
              <w:rPr>
                <w:b w:val="0"/>
                <w:bCs w:val="0"/>
                <w:color w:val="000000"/>
              </w:rPr>
              <w:t>Architecture documentation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E1275"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B1A66">
            <w:pPr>
              <w:jc w:val="left"/>
            </w:pPr>
            <w:r>
              <w:rPr>
                <w:b w:val="0"/>
                <w:bCs w:val="0"/>
                <w:color w:val="000000"/>
              </w:rPr>
              <w:t>A short written record (diagram + brief explanation) of what was provisioned, why, and how the pieces connect — submitted alongside the rest via Teams.</w:t>
            </w:r>
          </w:p>
        </w:tc>
      </w:tr>
      <w:tr w14:paraId="53C0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F2A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9942C">
            <w:pPr>
              <w:jc w:val="left"/>
            </w:pPr>
            <w:r>
              <w:rPr>
                <w:b/>
                <w:bCs/>
                <w:color w:val="000000"/>
              </w:rPr>
              <w:t>Total — Project</w:t>
            </w:r>
          </w:p>
        </w:tc>
        <w:tc>
          <w:tcPr>
            <w:tcW w:w="1200" w:type="dxa"/>
            <w:shd w:val="clear" w:color="auto" w:fill="F2A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1506E">
            <w:pPr>
              <w:jc w:val="center"/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3200" w:type="dxa"/>
            <w:shd w:val="clear" w:color="auto" w:fill="F2A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A3D53">
            <w:pPr>
              <w:jc w:val="left"/>
            </w:pPr>
          </w:p>
        </w:tc>
      </w:tr>
    </w:tbl>
    <w:p w14:paraId="77977B4C">
      <w:pPr>
        <w:pStyle w:val="2"/>
        <w:spacing w:before="300" w:after="150"/>
      </w:pPr>
      <w:r>
        <w:rPr>
          <w:b/>
          <w:bCs/>
          <w:color w:val="1E2761"/>
          <w:sz w:val="30"/>
          <w:szCs w:val="30"/>
        </w:rPr>
        <w:t>6. Soutenance (Live Defense) — /20</w:t>
      </w:r>
    </w:p>
    <w:p w14:paraId="00B15F31">
      <w:pPr>
        <w:spacing w:after="120"/>
      </w:pPr>
      <w:r>
        <w:t>The soutenance is a live video call (Microsoft Teams) — not a recorded submission. At the start of your call you will be asked to show a valid photo ID on camera for identity verification, per ÉSTIAM's assessment rules.</w:t>
      </w:r>
    </w:p>
    <w:p w14:paraId="31CCCC56">
      <w:pPr>
        <w:spacing w:after="120"/>
      </w:pPr>
      <w:r>
        <w:t>You will present as if to Nimbus's management: a professional walkthrough of what you built and why, followed by questions. The running order and time slots will be communicated to you in advance of Day 3.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0"/>
        <w:gridCol w:w="1200"/>
        <w:gridCol w:w="3200"/>
      </w:tblGrid>
      <w:tr w14:paraId="7B8C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BF9A0">
            <w:pPr>
              <w:jc w:val="left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2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C2B0B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32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04420">
            <w:pPr>
              <w:jc w:val="left"/>
            </w:pPr>
            <w:r>
              <w:rPr>
                <w:b/>
                <w:bCs/>
                <w:color w:val="FFFFFF"/>
              </w:rPr>
              <w:t>What is assessed</w:t>
            </w:r>
          </w:p>
        </w:tc>
      </w:tr>
      <w:tr w14:paraId="23F96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03D68">
            <w:pPr>
              <w:jc w:val="left"/>
            </w:pPr>
            <w:r>
              <w:rPr>
                <w:b w:val="0"/>
                <w:bCs w:val="0"/>
                <w:color w:val="000000"/>
              </w:rPr>
              <w:t>Live demo &amp; walkthrough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74972">
            <w:pPr>
              <w:jc w:val="center"/>
            </w:pPr>
            <w:r>
              <w:rPr>
                <w:b w:val="0"/>
                <w:bCs w:val="0"/>
                <w:color w:val="000000"/>
              </w:rPr>
              <w:t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272F0">
            <w:pPr>
              <w:jc w:val="left"/>
            </w:pPr>
            <w:r>
              <w:rPr>
                <w:b w:val="0"/>
                <w:bCs w:val="0"/>
                <w:color w:val="000000"/>
              </w:rPr>
              <w:t>Student shares their screen and shows: the provisioned resources in the Azure Portal, the app working end-to-end, and live telemetry in Application Insights.</w:t>
            </w:r>
          </w:p>
        </w:tc>
      </w:tr>
      <w:tr w14:paraId="1E673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B47DC">
            <w:pPr>
              <w:jc w:val="left"/>
            </w:pPr>
            <w:r>
              <w:rPr>
                <w:b w:val="0"/>
                <w:bCs w:val="0"/>
                <w:color w:val="000000"/>
              </w:rPr>
              <w:t>Technical explanation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4719E">
            <w:pPr>
              <w:jc w:val="center"/>
            </w:pPr>
            <w:r>
              <w:rPr>
                <w:b w:val="0"/>
                <w:bCs w:val="0"/>
                <w:color w:val="000000"/>
              </w:rPr>
              <w:t>5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B561A">
            <w:pPr>
              <w:jc w:val="left"/>
            </w:pPr>
            <w:r>
              <w:rPr>
                <w:b w:val="0"/>
                <w:bCs w:val="0"/>
                <w:color w:val="000000"/>
              </w:rPr>
              <w:t>Student explains the choices behind the infrastructure — why these resources, how the security model works, how API Management is configured — in their own words.</w:t>
            </w:r>
          </w:p>
        </w:tc>
      </w:tr>
      <w:tr w14:paraId="40C4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AFCD7">
            <w:pPr>
              <w:jc w:val="left"/>
            </w:pPr>
            <w:r>
              <w:rPr>
                <w:b w:val="0"/>
                <w:bCs w:val="0"/>
                <w:color w:val="000000"/>
              </w:rPr>
              <w:t>Questions &amp; depth of understanding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0B5B7">
            <w:pPr>
              <w:jc w:val="center"/>
            </w:pPr>
            <w:r>
              <w:rPr>
                <w:b w:val="0"/>
                <w:bCs w:val="0"/>
                <w:color w:val="000000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BDE00">
            <w:pPr>
              <w:jc w:val="left"/>
            </w:pPr>
            <w:r>
              <w:rPr>
                <w:b w:val="0"/>
                <w:bCs w:val="0"/>
                <w:color w:val="000000"/>
              </w:rPr>
              <w:t>Student answers the trainer's follow-up questions convincingly, showing they understand what they built rather than having memorized steps.</w:t>
            </w:r>
          </w:p>
        </w:tc>
      </w:tr>
      <w:tr w14:paraId="5455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CBEC7">
            <w:pPr>
              <w:jc w:val="left"/>
            </w:pPr>
            <w:r>
              <w:rPr>
                <w:b w:val="0"/>
                <w:bCs w:val="0"/>
                <w:color w:val="000000"/>
              </w:rPr>
              <w:t>Communication &amp; delivery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2EA39">
            <w:pPr>
              <w:jc w:val="center"/>
            </w:pPr>
            <w:r>
              <w:rPr>
                <w:b w:val="0"/>
                <w:bCs w:val="0"/>
                <w:color w:val="000000"/>
              </w:rPr>
              <w:t>3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6C62C">
            <w:pPr>
              <w:jc w:val="left"/>
            </w:pPr>
            <w:r>
              <w:rPr>
                <w:b w:val="0"/>
                <w:bCs w:val="0"/>
                <w:color w:val="000000"/>
              </w:rPr>
              <w:t>Clear, structured, professional delivery — as if presenting to a client or manager, not just a class exercise. Keeps to time.</w:t>
            </w:r>
          </w:p>
        </w:tc>
      </w:tr>
      <w:tr w14:paraId="29A1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E1DD7">
            <w:pPr>
              <w:jc w:val="left"/>
            </w:pPr>
            <w:r>
              <w:rPr>
                <w:b w:val="0"/>
                <w:bCs w:val="0"/>
                <w:color w:val="000000"/>
              </w:rPr>
              <w:t>Visual support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06138">
            <w:pPr>
              <w:jc w:val="center"/>
            </w:pPr>
            <w:r>
              <w:rPr>
                <w:b w:val="0"/>
                <w:bCs w:val="0"/>
                <w:color w:val="000000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563F3">
            <w:pPr>
              <w:jc w:val="left"/>
            </w:pPr>
            <w:r>
              <w:rPr>
                <w:b w:val="0"/>
                <w:bCs w:val="0"/>
                <w:color w:val="000000"/>
              </w:rPr>
              <w:t>A short set of slides or a diagram is used to support the walkthrough (not read from, used as backing).</w:t>
            </w:r>
          </w:p>
        </w:tc>
      </w:tr>
      <w:tr w14:paraId="760CF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F2A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9DC75">
            <w:pPr>
              <w:jc w:val="left"/>
            </w:pPr>
            <w:r>
              <w:rPr>
                <w:b/>
                <w:bCs/>
                <w:color w:val="000000"/>
              </w:rPr>
              <w:t>Total — Soutenance</w:t>
            </w:r>
          </w:p>
        </w:tc>
        <w:tc>
          <w:tcPr>
            <w:tcW w:w="1200" w:type="dxa"/>
            <w:shd w:val="clear" w:color="auto" w:fill="F2A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79F56">
            <w:pPr>
              <w:jc w:val="center"/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3200" w:type="dxa"/>
            <w:shd w:val="clear" w:color="auto" w:fill="F2A9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97C84">
            <w:pPr>
              <w:jc w:val="left"/>
            </w:pPr>
          </w:p>
        </w:tc>
      </w:tr>
    </w:tbl>
    <w:p w14:paraId="1026CD1B">
      <w:pPr>
        <w:pStyle w:val="2"/>
        <w:spacing w:before="300" w:after="150"/>
      </w:pPr>
      <w:r>
        <w:rPr>
          <w:b/>
          <w:bCs/>
          <w:color w:val="1E2761"/>
          <w:sz w:val="30"/>
          <w:szCs w:val="30"/>
        </w:rPr>
        <w:t>7. Submission &amp; Logistics</w:t>
      </w:r>
    </w:p>
    <w:p w14:paraId="798CCA98">
      <w:pPr>
        <w:pStyle w:val="16"/>
        <w:numPr>
          <w:ilvl w:val="0"/>
          <w:numId w:val="1"/>
        </w:numPr>
        <w:spacing w:after="60"/>
      </w:pPr>
      <w:r>
        <w:t>Submissions are individual — this is not a group project.</w:t>
      </w:r>
    </w:p>
    <w:p w14:paraId="6666B4AA">
      <w:pPr>
        <w:pStyle w:val="16"/>
        <w:numPr>
          <w:ilvl w:val="0"/>
          <w:numId w:val="1"/>
        </w:numPr>
        <w:spacing w:after="60"/>
      </w:pPr>
      <w:r>
        <w:t>Submit via the Microsoft Teams "Assignments" (Devoirs) feature in the class's Général channel. Emailed submissions are not accepted.</w:t>
      </w:r>
    </w:p>
    <w:p w14:paraId="66ED4131">
      <w:pPr>
        <w:pStyle w:val="16"/>
        <w:numPr>
          <w:ilvl w:val="0"/>
          <w:numId w:val="1"/>
        </w:numPr>
        <w:spacing w:after="60"/>
      </w:pPr>
      <w:r>
        <w:t>Include your architecture documentation (D6) and any supporting screenshots as part of your Teams submission.</w:t>
      </w:r>
    </w:p>
    <w:p w14:paraId="4C5A5DB0">
      <w:pPr>
        <w:pStyle w:val="16"/>
        <w:numPr>
          <w:ilvl w:val="0"/>
          <w:numId w:val="1"/>
        </w:numPr>
        <w:spacing w:after="60"/>
      </w:pPr>
      <w:r>
        <w:t>Provision your infrastructure on your own Azure for Students subscription.</w:t>
      </w:r>
    </w:p>
    <w:p w14:paraId="27FB5520">
      <w:pPr>
        <w:pStyle w:val="16"/>
        <w:numPr>
          <w:ilvl w:val="0"/>
          <w:numId w:val="1"/>
        </w:numPr>
        <w:spacing w:after="60"/>
      </w:pPr>
      <w:r>
        <w:t>Remember to delete or pause resources you are not actively demoing, to conserve your Azure credit.</w:t>
      </w:r>
    </w:p>
    <w:p w14:paraId="16D9C5FA">
      <w:pPr>
        <w:pStyle w:val="16"/>
        <w:numPr>
          <w:ilvl w:val="0"/>
          <w:numId w:val="1"/>
        </w:numPr>
        <w:spacing w:after="60"/>
      </w:pPr>
      <w:r>
        <w:t>Grading combines: Contrôle continu (participation + in-course exercises — assessed separately, see Section 8), the Project barème (Section 5), and the Soutenance barème (Section 6).</w:t>
      </w:r>
    </w:p>
    <w:p w14:paraId="526B6E70">
      <w:pPr>
        <w:pStyle w:val="16"/>
        <w:numPr>
          <w:ilvl w:val="0"/>
          <w:numId w:val="1"/>
        </w:numPr>
        <w:spacing w:after="60"/>
      </w:pPr>
      <w:r>
        <w:t>Remediation: any student scoring below 10/20 on this module will be offered a second project subject (rattrapage), per ÉSTIAM policy.</w:t>
      </w:r>
    </w:p>
    <w:p w14:paraId="1623CB96">
      <w:pPr>
        <w:pStyle w:val="2"/>
        <w:spacing w:before="300" w:after="150"/>
      </w:pPr>
      <w:r>
        <w:rPr>
          <w:b/>
          <w:bCs/>
          <w:color w:val="1E2761"/>
          <w:sz w:val="30"/>
          <w:szCs w:val="30"/>
        </w:rPr>
        <w:t>8. Timing</w:t>
      </w:r>
    </w:p>
    <w:p w14:paraId="7E543BA4">
      <w:pPr>
        <w:spacing w:after="120"/>
      </w:pPr>
      <w:r>
        <w:t>Project kickoff: Day 2, afternoon session. Project work time: Day 3, morning session. Soutenance: Day 3, afternoon session (assessment block).</w:t>
      </w:r>
    </w:p>
    <w:p w14:paraId="691BF2A0">
      <w:pPr>
        <w:spacing w:after="120"/>
      </w:pPr>
      <w:r>
        <w:t>Contrôle continu (participation and in-course exercise grades) is recorded separately across all three days and is not part of the barèmes above.</w:t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DF548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1467</Words>
  <Characters>8301</Characters>
  <TotalTime>16</TotalTime>
  <ScaleCrop>false</ScaleCrop>
  <LinksUpToDate>false</LinksUpToDate>
  <CharactersWithSpaces>9604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2026-09-01T18:13:00Z</dcterms:created>
  <dc:creator>Un-named</dc:creator>
  <cp:lastModifiedBy>Guilherme</cp:lastModifiedBy>
  <dcterms:modified xsi:type="dcterms:W3CDTF">2026-09-02T15:22:37Z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eyJoZGlkIjoiMTM3NDVmNGI3NzE2ODA5ZmFkODA1MWFmZTJjZTVmYTIiLCJ1c2VySWQiOiI5NjM4MTg3OTAyNzAyIn0=</vt:lpwstr>
  </property>
  <property fmtid="{D5CDD505-2E9C-101B-9397-08002B2CF9AE}" pid="3" name="KSOProductBuildVer">
    <vt:lpwstr>1033-12.1.0.28485</vt:lpwstr>
  </property>
  <property fmtid="{D5CDD505-2E9C-101B-9397-08002B2CF9AE}" pid="4" name="ICV">
    <vt:lpwstr>A32C96CC30B0419CB547A6FCE2B91058_12</vt:lpwstr>
  </property>
</Properties>
</file>