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E2761"/>
          <w:sz w:val="22"/>
          <w:szCs w:val="22"/>
        </w:rPr>
        <w:t xml:space="preserve">ÉSTIAM — 3EADOTN</w:t>
      </w:r>
    </w:p>
    <w:p>
      <w:pPr>
        <w:spacing w:after="60"/>
        <w:jc w:val="center"/>
      </w:pPr>
      <w:r>
        <w:rPr>
          <w:b/>
          <w:bCs/>
          <w:color w:val="1E2761"/>
          <w:sz w:val="26"/>
          <w:szCs w:val="26"/>
        </w:rPr>
        <w:t xml:space="preserve">Modern Enterprise Software Engineering</w:t>
      </w:r>
    </w:p>
    <w:p>
      <w:pPr>
        <w:spacing w:after="300"/>
        <w:jc w:val="center"/>
      </w:pPr>
      <w:r>
        <w:rPr>
          <w:b/>
          <w:bCs/>
          <w:color w:val="F2A93B"/>
          <w:sz w:val="32"/>
          <w:szCs w:val="32"/>
        </w:rPr>
        <w:t xml:space="preserve">Project Brief: CloudExpense Deployment Challenge</w:t>
      </w:r>
    </w:p>
    <w:p>
      <w:pPr>
        <w:pStyle w:val="Heading1"/>
        <w:spacing w:after="150" w:before="300"/>
      </w:pPr>
      <w:r>
        <w:rPr>
          <w:b/>
          <w:bCs/>
          <w:color w:val="1E2761"/>
          <w:sz w:val="30"/>
          <w:szCs w:val="30"/>
        </w:rPr>
        <w:t xml:space="preserve">1. Presentation &amp; Framework</w:t>
      </w:r>
    </w:p>
    <w:p>
      <w:pPr>
        <w:spacing w:after="120"/>
      </w:pPr>
      <w:r>
        <w:t xml:space="preserve">Fictitious company: Nimbus Expensing Ltd., a fast-growing startup that has built a personal expense-tracking application for its staff — "ExpenseTrack". Employees log day-to-day expenses (groceries, entertainment, restaurants, and similar categories) and can optionally attach a photo of the receipt for their records.</w:t>
      </w:r>
    </w:p>
    <w:p>
      <w:pPr>
        <w:spacing w:after="120"/>
      </w:pPr>
      <w:r>
        <w:t xml:space="preserve">Nimbus's development team has already written the full application — both the API and the user interface. What Nimbus does not have yet is production infrastructure to run it on. You have been hired as their cloud engineer: your job is not to write or change a single line of application code, but to design, provision, and secure the Azure infrastructure that this given application will run on, deploy it, and prove — live, to Nimbus's management — that it works and is being monitored.</w:t>
      </w:r>
    </w:p>
    <w:p>
      <w:pPr>
        <w:spacing w:after="120"/>
      </w:pPr>
      <w:r>
        <w:t xml:space="preserve">Goal: stand up a secure, observable, working deployment of the provided ExpenseTrack application on your own Azure subscription, and defend your infrastructure choices in a live presentation.</w:t>
      </w:r>
    </w:p>
    <w:p>
      <w:pPr>
        <w:pStyle w:val="Heading1"/>
        <w:spacing w:after="150" w:before="300"/>
      </w:pPr>
      <w:r>
        <w:rPr>
          <w:b/>
          <w:bCs/>
          <w:color w:val="1E2761"/>
          <w:sz w:val="30"/>
          <w:szCs w:val="30"/>
        </w:rPr>
        <w:t xml:space="preserve">2. What you are given vs. what you must build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Given to you (no changes required or expected): the complete ExpenseTrack API and UI source code, ready to build and deploy.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Your deliverable: the infrastructure — resource provisioning, security configuration, monitoring, and a working deployment of the given code onto that infrastructure.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Receipt photo upload is optional for any single expense record (a student demo does not need every entry to have a photo), but the Blob Storage capability behind it is mandatory infrastructure — it must be provisioned and working.</w:t>
      </w:r>
    </w:p>
    <w:p>
      <w:pPr>
        <w:pStyle w:val="Heading1"/>
        <w:spacing w:after="150" w:before="300"/>
      </w:pPr>
      <w:r>
        <w:rPr>
          <w:b/>
          <w:bCs/>
          <w:color w:val="1E2761"/>
          <w:sz w:val="30"/>
          <w:szCs w:val="30"/>
        </w:rPr>
        <w:t xml:space="preserve">3. Data Model &amp; Technical Specification</w:t>
      </w:r>
    </w:p>
    <w:p>
      <w:pPr>
        <w:spacing w:after="120"/>
      </w:pPr>
      <w:r>
        <w:t xml:space="preserve">The application code is identical for every student, so every student's infrastructure must match this specification exactly — this is what the given code expects to find. There is no end-user login: the app is single-tenant ("my expenses"), secured at the infrastructure level (Managed Identity, RBAC, Key Vault) rather than with per-user accounts.</w:t>
      </w:r>
    </w:p>
    <w:p>
      <w:pPr>
        <w:pStyle w:val="Heading2"/>
        <w:spacing w:after="120" w:before="240"/>
      </w:pPr>
      <w:r>
        <w:rPr>
          <w:b/>
          <w:bCs/>
          <w:color w:val="1E2761"/>
          <w:sz w:val="24"/>
          <w:szCs w:val="24"/>
        </w:rPr>
        <w:t xml:space="preserve">3.1 Expense item (Cosmos DB)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6100"/>
      </w:tblGrid>
      <w:tr>
        <w:trPr>
          <w:tblHeader/>
        </w:trPr>
        <w:tc>
          <w:tcPr>
            <w:tcW w:type="dxa" w:w="2400"/>
            <w:shd w:fill="1E276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tcW w:type="dxa" w:w="1500"/>
            <w:shd w:fill="1E276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Type</w:t>
            </w:r>
          </w:p>
        </w:tc>
        <w:tc>
          <w:tcPr>
            <w:tcW w:type="dxa" w:w="6100"/>
            <w:shd w:fill="1E276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id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string (GUID)</w:t>
            </w:r>
          </w:p>
        </w:tc>
        <w:tc>
          <w:tcPr>
            <w:tcW w:type="dxa" w:w="6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Cosmos DB item id, generated by the API on create.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category</w:t>
            </w:r>
          </w:p>
        </w:tc>
        <w:tc>
          <w:tcPr>
            <w:tcW w:type="dxa" w:w="15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string, fixed list</w:t>
            </w:r>
          </w:p>
        </w:tc>
        <w:tc>
          <w:tcPr>
            <w:tcW w:type="dxa" w:w="61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One of: Groceries, Entertainment, Restaurants, Transport, Utilities, Other. This is also the Cosmos DB partition key value.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description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string</w:t>
            </w:r>
          </w:p>
        </w:tc>
        <w:tc>
          <w:tcPr>
            <w:tcW w:type="dxa" w:w="6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Free-text description of the expense (e.g. "Weekly shop").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amount</w:t>
            </w:r>
          </w:p>
        </w:tc>
        <w:tc>
          <w:tcPr>
            <w:tcW w:type="dxa" w:w="15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decimal</w:t>
            </w:r>
          </w:p>
        </w:tc>
        <w:tc>
          <w:tcPr>
            <w:tcW w:type="dxa" w:w="61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Expense amount.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currency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string</w:t>
            </w:r>
          </w:p>
        </w:tc>
        <w:tc>
          <w:tcPr>
            <w:tcW w:type="dxa" w:w="6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Fixed to "EUR" for every deployment.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date</w:t>
            </w:r>
          </w:p>
        </w:tc>
        <w:tc>
          <w:tcPr>
            <w:tcW w:type="dxa" w:w="15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date</w:t>
            </w:r>
          </w:p>
        </w:tc>
        <w:tc>
          <w:tcPr>
            <w:tcW w:type="dxa" w:w="61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Date the expense was incurred (not the record creation date).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receiptPhotoUrl</w:t>
            </w:r>
          </w:p>
        </w:tc>
        <w:tc>
          <w:tcPr>
            <w:tcW w:type="dxa" w:w="1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string, nullable</w:t>
            </w:r>
          </w:p>
        </w:tc>
        <w:tc>
          <w:tcPr>
            <w:tcW w:type="dxa" w:w="6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Blob Storage URL of the receipt photo. Null/empty when no photo was attached — optional per record.</w:t>
            </w:r>
          </w:p>
        </w:tc>
      </w:tr>
      <w:tr>
        <w:tc>
          <w:tcPr>
            <w:tcW w:type="dxa" w:w="24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createdAt</w:t>
            </w:r>
          </w:p>
        </w:tc>
        <w:tc>
          <w:tcPr>
            <w:tcW w:type="dxa" w:w="15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datetime</w:t>
            </w:r>
          </w:p>
        </w:tc>
        <w:tc>
          <w:tcPr>
            <w:tcW w:type="dxa" w:w="61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Record creation timestamp, set by the API.</w:t>
            </w:r>
          </w:p>
        </w:tc>
      </w:tr>
    </w:tbl>
    <w:p>
      <w:pPr>
        <w:spacing w:after="120" w:before="12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Cosmos DB database name: ExpenseTrackerDb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Container name: Expenses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Partition key: /category — mirrors the pattern used in the module demos (catalog-api's /genre).</w:t>
      </w:r>
    </w:p>
    <w:p>
      <w:pPr>
        <w:pStyle w:val="Heading2"/>
        <w:spacing w:after="120" w:before="240"/>
      </w:pPr>
      <w:r>
        <w:rPr>
          <w:b/>
          <w:bCs/>
          <w:color w:val="1E2761"/>
          <w:sz w:val="24"/>
          <w:szCs w:val="24"/>
        </w:rPr>
        <w:t xml:space="preserve">3.2 Receipt photos (Blob Storage)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Blob container name: receipts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photo per expense, named by the expense's id (e.g. &lt;id&gt;.jpg).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Attaching a photo is optional per expense record; the container and upload path must still exist and work regardless of how many records use it.</w:t>
      </w:r>
    </w:p>
    <w:p>
      <w:pPr>
        <w:pStyle w:val="Heading2"/>
        <w:spacing w:after="120" w:before="240"/>
      </w:pPr>
      <w:r>
        <w:rPr>
          <w:b/>
          <w:bCs/>
          <w:color w:val="1E2761"/>
          <w:sz w:val="24"/>
          <w:szCs w:val="24"/>
        </w:rPr>
        <w:t xml:space="preserve">3.3 Resource Naming Convention</w:t>
      </w:r>
    </w:p>
    <w:p>
      <w:pPr>
        <w:spacing w:after="120"/>
      </w:pPr>
      <w:r>
        <w:t xml:space="preserve">Use these exact resource names and types — they match what the manuals from Modules 1-5 already walked you through, and the two application components go on the same Azure services as their module counterparts (catalog-ui on App Service, catalog-api on Container Apps), so the same commands apply here.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500"/>
        <w:gridCol w:w="2100"/>
        <w:gridCol w:w="3400"/>
      </w:tblGrid>
      <w:tr>
        <w:trPr>
          <w:tblHeader/>
        </w:trPr>
        <w:tc>
          <w:tcPr>
            <w:tcW w:type="dxa" w:w="1900"/>
            <w:shd w:fill="1E276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Component</w:t>
            </w:r>
          </w:p>
        </w:tc>
        <w:tc>
          <w:tcPr>
            <w:tcW w:type="dxa" w:w="2500"/>
            <w:shd w:fill="1E276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Azure Resource</w:t>
            </w:r>
          </w:p>
        </w:tc>
        <w:tc>
          <w:tcPr>
            <w:tcW w:type="dxa" w:w="2100"/>
            <w:shd w:fill="1E276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Plan / SKU</w:t>
            </w:r>
          </w:p>
        </w:tc>
        <w:tc>
          <w:tcPr>
            <w:tcW w:type="dxa" w:w="3400"/>
            <w:shd w:fill="1E276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Naming Pattern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expenses-ui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App Service (Web App)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Linux, B1 App Service Plan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webapp-expenses-&lt;your_suffix&gt; *</w:t>
            </w:r>
          </w:p>
        </w:tc>
      </w:tr>
      <w:tr>
        <w:tc>
          <w:tcPr>
            <w:tcW w:type="dxa" w:w="19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expenses-api</w:t>
            </w:r>
          </w:p>
        </w:tc>
        <w:tc>
          <w:tcPr>
            <w:tcW w:type="dxa" w:w="25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Container App</w:t>
            </w:r>
          </w:p>
        </w:tc>
        <w:tc>
          <w:tcPr>
            <w:tcW w:type="dxa" w:w="21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Consumption, in a Container Apps Environment</w:t>
            </w:r>
          </w:p>
        </w:tc>
        <w:tc>
          <w:tcPr>
            <w:tcW w:type="dxa" w:w="34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app-expenses-&lt;your_suffix&gt;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(shared) Registry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Azure Container Registry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Basic SKU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acrexpenses&lt;your_suffix&gt; *</w:t>
            </w:r>
          </w:p>
        </w:tc>
      </w:tr>
      <w:tr>
        <w:tc>
          <w:tcPr>
            <w:tcW w:type="dxa" w:w="19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(shared) Resource Group</w:t>
            </w:r>
          </w:p>
        </w:tc>
        <w:tc>
          <w:tcPr>
            <w:tcW w:type="dxa" w:w="25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Resource Group</w:t>
            </w:r>
          </w:p>
        </w:tc>
        <w:tc>
          <w:tcPr>
            <w:tcW w:type="dxa" w:w="21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—</w:t>
            </w:r>
          </w:p>
        </w:tc>
        <w:tc>
          <w:tcPr>
            <w:tcW w:type="dxa" w:w="34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rg-expenses-&lt;your_suffix&gt;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(shared) Env.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Container Apps Environment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—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env-expenses-&lt;your_suffix&gt;</w:t>
            </w:r>
          </w:p>
        </w:tc>
      </w:tr>
      <w:tr>
        <w:tc>
          <w:tcPr>
            <w:tcW w:type="dxa" w:w="19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Database</w:t>
            </w:r>
          </w:p>
        </w:tc>
        <w:tc>
          <w:tcPr>
            <w:tcW w:type="dxa" w:w="25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Cosmos DB Account (Core/SQL API)</w:t>
            </w:r>
          </w:p>
        </w:tc>
        <w:tc>
          <w:tcPr>
            <w:tcW w:type="dxa" w:w="21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Manual throughput, 400 RU/s</w:t>
            </w:r>
          </w:p>
        </w:tc>
        <w:tc>
          <w:tcPr>
            <w:tcW w:type="dxa" w:w="34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cosmos-expenses-&lt;your_suffix&gt; *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Receipt storage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Storage Account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Standard_LRS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stexpenses&lt;your_suffix&gt; * (no hyphens, ≤24 chars)</w:t>
            </w:r>
          </w:p>
        </w:tc>
      </w:tr>
      <w:tr>
        <w:tc>
          <w:tcPr>
            <w:tcW w:type="dxa" w:w="19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Secrets</w:t>
            </w:r>
          </w:p>
        </w:tc>
        <w:tc>
          <w:tcPr>
            <w:tcW w:type="dxa" w:w="25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Key Vault</w:t>
            </w:r>
          </w:p>
        </w:tc>
        <w:tc>
          <w:tcPr>
            <w:tcW w:type="dxa" w:w="21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RBAC authorization mode</w:t>
            </w:r>
          </w:p>
        </w:tc>
        <w:tc>
          <w:tcPr>
            <w:tcW w:type="dxa" w:w="34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kv-expenses-&lt;your_suffix&gt; *</w:t>
            </w:r>
          </w:p>
        </w:tc>
      </w:tr>
      <w:tr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Monitoring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Application Insights + dedicated Log Analytics workspace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Workspace-based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appi-expenses-&lt;your_suffix&gt; / law-expenses-appi-&lt;your_suffix&gt;</w:t>
            </w:r>
          </w:p>
        </w:tc>
      </w:tr>
      <w:tr>
        <w:tc>
          <w:tcPr>
            <w:tcW w:type="dxa" w:w="19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API gateway</w:t>
            </w:r>
          </w:p>
        </w:tc>
        <w:tc>
          <w:tcPr>
            <w:tcW w:type="dxa" w:w="25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API Management</w:t>
            </w:r>
          </w:p>
        </w:tc>
        <w:tc>
          <w:tcPr>
            <w:tcW w:type="dxa" w:w="21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Consumption tier</w:t>
            </w:r>
          </w:p>
        </w:tc>
        <w:tc>
          <w:tcPr>
            <w:tcW w:type="dxa" w:w="34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apim-expenses-&lt;your_suffix&gt; *</w:t>
            </w:r>
          </w:p>
        </w:tc>
      </w:tr>
    </w:tbl>
    <w:p>
      <w:pPr>
        <w:spacing w:after="120" w:before="12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&lt;your_suffix&gt; is fixed by a rule, not freely chosen: the first two letters of your surname, followed by the first letter of your first name — all lowercase, no accents or spaces. Example: Marie Dupont → "dum". Use the exact same suffix in every resource name so it's obvious in the Azure Portal, and during the soutenance, which resources are yours.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 asterisk (*) marks a globally-unique name (it becomes part of a public DNS name) — if Azure rejects a name built from your suffix as already taken, append a digit (e.g. "dum2") and keep using that adjusted suffix everywhere for that resource.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Resource Group and Container Apps Environment names only need to be unique within your own subscription, not globally.</w:t>
      </w:r>
    </w:p>
    <w:p>
      <w:pPr>
        <w:pStyle w:val="Heading1"/>
        <w:spacing w:after="150" w:before="300"/>
      </w:pPr>
      <w:r>
        <w:rPr>
          <w:b/>
          <w:bCs/>
          <w:color w:val="1E2761"/>
          <w:sz w:val="30"/>
          <w:szCs w:val="30"/>
        </w:rPr>
        <w:t xml:space="preserve">4. Deliverables</w:t>
      </w:r>
    </w:p>
    <w:p>
      <w:pPr>
        <w:spacing w:after="120"/>
      </w:pPr>
      <w:r>
        <w:t xml:space="preserve">Each deliverable below is assessed independently as part of the project barème in Section 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D1 — Core resources: Resource Group, Cosmos DB, Blob Storage, and a hosting compute service for the app (e.g. Azure Container Apps or App Service), matching the names in Section 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D2 — API Management: the API is exposed through Azure API Management, not called directly.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D3 — Security: Managed Identity, RBAC, and Key Vault used throughout — no secrets or connection strings hard-coded or pasted into configuration.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D4 — Working deployment: the given application actually runs, end to end, on your infrastructure.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D5 — Monitoring: Application Insights instrumented and showing real telemetry.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D6 — Architecture documentation: a short diagram and written explanation of what you built and why.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D7 — Soutenance: a live defense of the above (Section 5).</w:t>
      </w:r>
    </w:p>
    <w:p>
      <w:pPr>
        <w:pStyle w:val="Heading1"/>
        <w:spacing w:after="150" w:before="300"/>
      </w:pPr>
      <w:r>
        <w:rPr>
          <w:b/>
          <w:bCs/>
          <w:color w:val="1E2761"/>
          <w:sz w:val="30"/>
          <w:szCs w:val="30"/>
        </w:rPr>
        <w:t xml:space="preserve">5. Project Barème — /20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1200"/>
        <w:gridCol w:w="3200"/>
      </w:tblGrid>
      <w:tr>
        <w:trPr>
          <w:tblHeader/>
        </w:trPr>
        <w:tc>
          <w:tcPr>
            <w:tcW w:type="dxa" w:w="5600"/>
            <w:shd w:fill="1E276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Criterion</w:t>
            </w:r>
          </w:p>
        </w:tc>
        <w:tc>
          <w:tcPr>
            <w:tcW w:type="dxa" w:w="1200"/>
            <w:shd w:fill="1E276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Points</w:t>
            </w:r>
          </w:p>
        </w:tc>
        <w:tc>
          <w:tcPr>
            <w:tcW w:type="dxa" w:w="3200"/>
            <w:shd w:fill="1E276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What is assessed</w:t>
            </w:r>
          </w:p>
        </w:tc>
      </w:tr>
      <w:tr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Core resources provisioned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5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Resource Group, Cosmos DB account/database/container, Blob Storage account/container — created, correctly configured, and reachable by the deployed app.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API exposure via API Management</w:t>
            </w:r>
          </w:p>
        </w:tc>
        <w:tc>
          <w:tcPr>
            <w:tcW w:type="dxa" w:w="12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2</w:t>
            </w:r>
          </w:p>
        </w:tc>
        <w:tc>
          <w:tcPr>
            <w:tcW w:type="dxa" w:w="32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An Azure API Management instance fronts the API (import/route configured, subscription key required) rather than the API being called directly.</w:t>
            </w:r>
          </w:p>
        </w:tc>
      </w:tr>
      <w:tr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Security configuration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4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Managed Identity used for service-to-service access, RBAC role assignments in place, secrets/connection strings held in Key Vault — nothing sensitive hard-coded or pasted into app configuration.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End-to-end working deployment</w:t>
            </w:r>
          </w:p>
        </w:tc>
        <w:tc>
          <w:tcPr>
            <w:tcW w:type="dxa" w:w="12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4</w:t>
            </w:r>
          </w:p>
        </w:tc>
        <w:tc>
          <w:tcPr>
            <w:tcW w:type="dxa" w:w="32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The provided application (API + UI) runs on the student's infrastructure and is fully usable: log an expense, optionally attach a receipt photo (stored in Blob Storage), list past expenses.</w:t>
            </w:r>
          </w:p>
        </w:tc>
      </w:tr>
      <w:tr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Monitoring &amp; observability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Application Insights is wired into the deployed app and shows real, live telemetry (requests, dependencies) — not just provisioned and empty.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Architecture documentation</w:t>
            </w:r>
          </w:p>
        </w:tc>
        <w:tc>
          <w:tcPr>
            <w:tcW w:type="dxa" w:w="12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2</w:t>
            </w:r>
          </w:p>
        </w:tc>
        <w:tc>
          <w:tcPr>
            <w:tcW w:type="dxa" w:w="32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 short written record (diagram + brief explanation) of what was provisioned, why, and how the pieces connect — submitted alongside the rest via Teams.</w:t>
            </w:r>
          </w:p>
        </w:tc>
      </w:tr>
      <w:tr>
        <w:tc>
          <w:tcPr>
            <w:tcW w:type="dxa" w:w="5600"/>
            <w:shd w:fill="F2A93B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</w:rPr>
              <w:t xml:space="preserve">Total — Project</w:t>
            </w:r>
          </w:p>
        </w:tc>
        <w:tc>
          <w:tcPr>
            <w:tcW w:type="dxa" w:w="1200"/>
            <w:shd w:fill="F2A93B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</w:rPr>
              <w:t xml:space="preserve">20</w:t>
            </w:r>
          </w:p>
        </w:tc>
        <w:tc>
          <w:tcPr>
            <w:tcW w:type="dxa" w:w="3200"/>
            <w:shd w:fill="F2A93B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/>
            </w:r>
          </w:p>
        </w:tc>
      </w:tr>
    </w:tbl>
    <w:p>
      <w:pPr>
        <w:pStyle w:val="Heading1"/>
        <w:spacing w:after="150" w:before="300"/>
      </w:pPr>
      <w:r>
        <w:rPr>
          <w:b/>
          <w:bCs/>
          <w:color w:val="1E2761"/>
          <w:sz w:val="30"/>
          <w:szCs w:val="30"/>
        </w:rPr>
        <w:t xml:space="preserve">6. Soutenance (Live Defense) — /20</w:t>
      </w:r>
    </w:p>
    <w:p>
      <w:pPr>
        <w:spacing w:after="120"/>
      </w:pPr>
      <w:r>
        <w:t xml:space="preserve">The soutenance is a live video call (Microsoft Teams) — not a recorded submission. At the start of your call you will be asked to show a valid photo ID on camera for identity verification, per ÉSTIAM's assessment rules.</w:t>
      </w:r>
    </w:p>
    <w:p>
      <w:pPr>
        <w:spacing w:after="120"/>
      </w:pPr>
      <w:r>
        <w:t xml:space="preserve">You will present as if to Nimbus's management: a professional walkthrough of what you built and why, followed by questions. The running order and time slots will be communicated to you in advance of Day 3.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1200"/>
        <w:gridCol w:w="3200"/>
      </w:tblGrid>
      <w:tr>
        <w:trPr>
          <w:tblHeader/>
        </w:trPr>
        <w:tc>
          <w:tcPr>
            <w:tcW w:type="dxa" w:w="5600"/>
            <w:shd w:fill="1E276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Criterion</w:t>
            </w:r>
          </w:p>
        </w:tc>
        <w:tc>
          <w:tcPr>
            <w:tcW w:type="dxa" w:w="1200"/>
            <w:shd w:fill="1E276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Points</w:t>
            </w:r>
          </w:p>
        </w:tc>
        <w:tc>
          <w:tcPr>
            <w:tcW w:type="dxa" w:w="3200"/>
            <w:shd w:fill="1E276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What is assessed</w:t>
            </w:r>
          </w:p>
        </w:tc>
      </w:tr>
      <w:tr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Live demo &amp; walkthrough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6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Student shares their screen and shows: the provisioned resources in the Azure Portal, the app working end-to-end, and live telemetry in Application Insights.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Technical explanation</w:t>
            </w:r>
          </w:p>
        </w:tc>
        <w:tc>
          <w:tcPr>
            <w:tcW w:type="dxa" w:w="12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5</w:t>
            </w:r>
          </w:p>
        </w:tc>
        <w:tc>
          <w:tcPr>
            <w:tcW w:type="dxa" w:w="32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Student explains the choices behind the infrastructure — why these resources, how the security model works, how API Management is configured — in their own words.</w:t>
            </w:r>
          </w:p>
        </w:tc>
      </w:tr>
      <w:tr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Questions &amp; depth of understanding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4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Student answers the trainer's follow-up questions convincingly, showing they understand what they built rather than having memorized steps.</w:t>
            </w:r>
          </w:p>
        </w:tc>
      </w:tr>
      <w:tr>
        <w:tc>
          <w:tcPr>
            <w:tcW w:type="dxa" w:w="56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Communication &amp; delivery</w:t>
            </w:r>
          </w:p>
        </w:tc>
        <w:tc>
          <w:tcPr>
            <w:tcW w:type="dxa" w:w="12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3200"/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Clear, structured, professional delivery — as if presenting to a client or manager, not just a class exercise. Keeps to time.</w:t>
            </w:r>
          </w:p>
        </w:tc>
      </w:tr>
      <w:tr>
        <w:tc>
          <w:tcPr>
            <w:tcW w:type="dxa" w:w="5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Visual support</w:t>
            </w:r>
          </w:p>
        </w:tc>
        <w:tc>
          <w:tcPr>
            <w:tcW w:type="dxa" w:w="1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</w:rPr>
              <w:t xml:space="preserve">2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 short set of slides or a diagram is used to support the walkthrough (not read from, used as backing).</w:t>
            </w:r>
          </w:p>
        </w:tc>
      </w:tr>
      <w:tr>
        <w:tc>
          <w:tcPr>
            <w:tcW w:type="dxa" w:w="5600"/>
            <w:shd w:fill="F2A93B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</w:rPr>
              <w:t xml:space="preserve">Total — Soutenance</w:t>
            </w:r>
          </w:p>
        </w:tc>
        <w:tc>
          <w:tcPr>
            <w:tcW w:type="dxa" w:w="1200"/>
            <w:shd w:fill="F2A93B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000000"/>
              </w:rPr>
              <w:t xml:space="preserve">20</w:t>
            </w:r>
          </w:p>
        </w:tc>
        <w:tc>
          <w:tcPr>
            <w:tcW w:type="dxa" w:w="3200"/>
            <w:shd w:fill="F2A93B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/>
            </w:r>
          </w:p>
        </w:tc>
      </w:tr>
    </w:tbl>
    <w:p>
      <w:pPr>
        <w:pStyle w:val="Heading1"/>
        <w:spacing w:after="150" w:before="300"/>
      </w:pPr>
      <w:r>
        <w:rPr>
          <w:b/>
          <w:bCs/>
          <w:color w:val="1E2761"/>
          <w:sz w:val="30"/>
          <w:szCs w:val="30"/>
        </w:rPr>
        <w:t xml:space="preserve">7. Submission &amp; Logistics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Submissions are individual — this is not a group project.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Submit via the Microsoft Teams "Assignments" (Devoirs) feature in the class's Général channel. Emailed submissions are not accepted.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Include your architecture documentation (D6) and any supporting screenshots as part of your Teams submission.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Provision your infrastructure on your own Azure for Students subscription.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Remember to delete or pause resources you are not actively demoing, to conserve your Azure credit.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Grading combines: Contrôle continu (participation + in-course exercises — assessed separately, see Section 8), the Project barème (Section 5), and the Soutenance barème (Section 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Remediation: any student scoring below 10/20 on this module will be offered a second project subject (rattrapage), per ÉSTIAM policy.</w:t>
      </w:r>
    </w:p>
    <w:p>
      <w:pPr>
        <w:pStyle w:val="Heading1"/>
        <w:spacing w:after="150" w:before="300"/>
      </w:pPr>
      <w:r>
        <w:rPr>
          <w:b/>
          <w:bCs/>
          <w:color w:val="1E2761"/>
          <w:sz w:val="30"/>
          <w:szCs w:val="30"/>
        </w:rPr>
        <w:t xml:space="preserve">8. Timing</w:t>
      </w:r>
    </w:p>
    <w:p>
      <w:pPr>
        <w:spacing w:after="120"/>
      </w:pPr>
      <w:r>
        <w:t xml:space="preserve">Project kickoff: Day 2, afternoon session. Project work time: Day 3, morning session. Soutenance: Day 3, afternoon session (assessment block).</w:t>
      </w:r>
    </w:p>
    <w:p>
      <w:pPr>
        <w:spacing w:after="120"/>
      </w:pPr>
      <w:r>
        <w:t xml:space="preserve">Contrôle continu (participation and in-course exercise grades) is recorded separately across all three days and is not part of the barèmes above.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2026-09-01T18:13:16.329Z</dcterms:created>
  <dcterms:modified xsi:type="dcterms:W3CDTF">2026-09-01T18:13:16.350Z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