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F3864" w:val="clear"/>
            <w:tcMar>
              <w:top w:type="dxa" w:w="400"/>
              <w:left w:type="dxa" w:w="360"/>
              <w:bottom w:type="dxa" w:w="160"/>
              <w:right w:type="dxa" w:w="360"/>
            </w:tcMar>
          </w:tcPr>
          <w:p>
            <w:pPr>
              <w:jc w:val="center"/>
            </w:pPr>
            <w:r>
              <w:rPr>
                <w:rFonts w:ascii="Arial" w:cs="Arial" w:eastAsia="Arial" w:hAnsi="Arial"/>
                <w:b/>
                <w:bCs/>
                <w:color w:val="FFFFFF"/>
                <w:sz w:val="56"/>
                <w:szCs w:val="56"/>
              </w:rPr>
              <w:t xml:space="preserve">PATENT ASSET BUYER PROFILES</w:t>
            </w:r>
          </w:p>
        </w:tc>
      </w:tr>
      <w:tr>
        <w:tc>
          <w:tcPr>
            <w:tcBorders>
              <w:top w:val="nil"/>
              <w:left w:val="nil"/>
              <w:bottom w:val="nil"/>
              <w:right w:val="nil"/>
            </w:tcBorders>
            <w:shd w:fill="2E75B6" w:val="clear"/>
            <w:tcMar>
              <w:top w:type="dxa" w:w="120"/>
              <w:left w:type="dxa" w:w="360"/>
              <w:bottom w:type="dxa" w:w="120"/>
              <w:right w:type="dxa" w:w="360"/>
            </w:tcMar>
          </w:tcPr>
          <w:p>
            <w:pPr>
              <w:jc w:val="center"/>
            </w:pPr>
            <w:r>
              <w:rPr>
                <w:rFonts w:ascii="Arial" w:cs="Arial" w:eastAsia="Arial" w:hAnsi="Arial"/>
                <w:i/>
                <w:iCs/>
                <w:color w:val="F5F8FC"/>
                <w:sz w:val="24"/>
                <w:szCs w:val="24"/>
              </w:rPr>
              <w:t xml:space="preserve">Stakeholder Intelligence for Patent Sale Targeting &amp; IAM Market Positioning</w:t>
            </w:r>
          </w:p>
        </w:tc>
      </w:tr>
      <w:tr>
        <w:tc>
          <w:tcPr>
            <w:tcBorders>
              <w:top w:val="nil"/>
              <w:left w:val="nil"/>
              <w:bottom w:val="nil"/>
              <w:right w:val="nil"/>
            </w:tcBorders>
            <w:shd w:fill="17375E" w:val="clear"/>
            <w:tcMar>
              <w:top w:type="dxa" w:w="80"/>
              <w:left w:type="dxa" w:w="360"/>
              <w:bottom w:type="dxa" w:w="80"/>
              <w:right w:type="dxa" w:w="360"/>
            </w:tcMar>
          </w:tcPr>
          <w:p>
            <w:pPr>
              <w:jc w:val="center"/>
            </w:pPr>
            <w:r>
              <w:rPr>
                <w:rFonts w:ascii="Arial" w:cs="Arial" w:eastAsia="Arial" w:hAnsi="Arial"/>
                <w:color w:val="D6E4F0"/>
                <w:sz w:val="18"/>
                <w:szCs w:val="18"/>
              </w:rPr>
              <w:t xml:space="preserve">Patent Brokerage Framework  ·  v1.0  ·  </w:t>
            </w:r>
            <w:r>
              <w:rPr>
                <w:rFonts w:ascii="Arial" w:cs="Arial" w:eastAsia="Arial" w:hAnsi="Arial"/>
                <w:i/>
                <w:iCs/>
                <w:color w:val="D6E4F0"/>
                <w:sz w:val="18"/>
                <w:szCs w:val="18"/>
              </w:rPr>
              <w:t xml:space="preserve">Companion to Patent_Bundling_Template_v4.xlsx &amp; Value_Proposition_Framework_v3.md</w:t>
            </w:r>
          </w:p>
        </w:tc>
      </w:tr>
    </w:tbl>
    <w:p>
      <w:pPr>
        <w:spacing w:after="0" w:before="0" w:line="400"/>
      </w:pPr>
      <w:r>
        <w:t xml:space="preserve"/>
      </w:r>
    </w:p>
    <w:p>
      <w:pPr>
        <w:pStyle w:val="Heading1"/>
        <w:spacing w:after="120" w:before="300"/>
      </w:pPr>
      <w:r>
        <w:rPr>
          <w:rFonts w:ascii="Arial" w:cs="Arial" w:eastAsia="Arial" w:hAnsi="Arial"/>
          <w:b/>
          <w:bCs/>
          <w:color w:val="1F3864"/>
          <w:sz w:val="36"/>
          <w:szCs w:val="36"/>
        </w:rPr>
        <w:t xml:space="preserve">Introduction &amp; How to Use This Document</w:t>
      </w:r>
    </w:p>
    <w:p>
      <w:pPr>
        <w:pBdr>
          <w:bottom w:val="single" w:color="2E75B6" w:sz="6" w:space="1"/>
        </w:pBdr>
        <w:spacing w:after="60" w:before="60"/>
      </w:pPr>
      <w:r>
        <w:t xml:space="preserve"/>
      </w:r>
    </w:p>
    <w:p>
      <w:pPr>
        <w:spacing w:after="80" w:before="60"/>
      </w:pPr>
      <w:r>
        <w:rPr>
          <w:rFonts w:ascii="Arial" w:cs="Arial" w:eastAsia="Arial" w:hAnsi="Arial"/>
          <w:color w:val="222222"/>
          <w:sz w:val="20"/>
          <w:szCs w:val="20"/>
        </w:rPr>
        <w:t xml:space="preserve">This document provides detailed buyer profiles for all major stakeholder archetypes active in the patent secondary market. Each profile is built from the patent attribute framework in Patent_Bundling_Template_v4.xlsx — the same 42 attributes (Groups A–I) that drive bundle routing, quality scoring, and IAM Market positioning.</w:t>
      </w:r>
    </w:p>
    <w:p>
      <w:pPr>
        <w:spacing w:after="80" w:before="40"/>
      </w:pPr>
      <w:r>
        <w:rPr>
          <w:rFonts w:ascii="Arial" w:cs="Arial" w:eastAsia="Arial" w:hAnsi="Arial"/>
          <w:color w:val="222222"/>
          <w:sz w:val="20"/>
          <w:szCs w:val="20"/>
        </w:rPr>
        <w:t xml:space="preserve">Use these profiles to: (1) identify which buyer archetypes are most likely to respond to a given patent bundle; (2) tune the Configuration sheet presets in the v4 workbook to the correct buyer mode; (3) calibrate language register and signal emphasis when writing IAM Market listings; and (4) prioritize outreach channels and approach tactics for each sale.</w:t>
      </w:r>
    </w:p>
    <w:p>
      <w:pPr>
        <w:pStyle w:val="Heading2"/>
        <w:spacing w:after="100" w:before="240"/>
      </w:pPr>
      <w:r>
        <w:rPr>
          <w:rFonts w:ascii="Arial" w:cs="Arial" w:eastAsia="Arial" w:hAnsi="Arial"/>
          <w:b/>
          <w:bCs/>
          <w:color w:val="2E75B6"/>
          <w:sz w:val="28"/>
          <w:szCs w:val="28"/>
        </w:rPr>
        <w:t xml:space="preserve">Buyer Archetype Quick Reference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700"/>
        <w:gridCol w:w="1800"/>
        <w:gridCol w:w="800"/>
        <w:gridCol w:w="800"/>
        <w:gridCol w:w="7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Buyer ID</w:t>
            </w:r>
          </w:p>
        </w:tc>
        <w:tc>
          <w:tcPr>
            <w:tcW w:type="dxa" w:w="21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Type</w:t>
            </w:r>
          </w:p>
        </w:tc>
        <w:tc>
          <w:tcPr>
            <w:tcW w:type="dxa" w:w="17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Primary Goal</w:t>
            </w:r>
          </w:p>
        </w:tc>
        <w:tc>
          <w:tcPr>
            <w:tcW w:type="dxa" w:w="18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Top Signal</w:t>
            </w:r>
          </w:p>
        </w:tc>
        <w:tc>
          <w:tcPr>
            <w:tcW w:type="dxa" w:w="8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Avg. Deal Size</w:t>
            </w:r>
          </w:p>
        </w:tc>
        <w:tc>
          <w:tcPr>
            <w:tcW w:type="dxa" w:w="8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Time-to-Close</w:t>
            </w:r>
          </w:p>
        </w:tc>
        <w:tc>
          <w:tcPr>
            <w:tcW w:type="dxa" w:w="76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IAM Activity</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OC-DEF</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Operating Co. — Defensive</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FTO / litigation shield</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High D3 + Clean Title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Mid–High</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Long</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Moderate</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OC-OFF</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Operating Co. — Offensive</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Assert / leverage competitors</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EoU-Backed + Detectability</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High</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Medium</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OC-EXP</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Operating Co. — Expansion</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Enter new markets / block rivals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Cross-industry + Convergent Theme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Mid–High</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Medium</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Moderate</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NPE-LIC</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NPE — Licensing-First</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Royalty revenue via licensing</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Broad claims + Multi-target reads</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Low–Mid</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Short–Med</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NPE-LIT</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NPE — Litigation-Funded</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Litigation damages / settlement</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EoU-Backed + Battle-Tested</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Short</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Very High</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DEF-AGG</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Defensive Aggregator</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Shield members from NPE attack</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Salvage / Volume lots + Clean Title</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Low–Mid</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Short</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Moderate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LIT-FIN</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Litigation Finance</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Return on capital from cases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Pre-Expiry + Survived-Challenge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Low–Mid</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Short</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Moderate</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STD-LIC</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Standards Licensee</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FRAND licensing or SEP blocking</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SEP potential + Interface role</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Mid–High</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Long</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CORP-VC</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Corp Dev / M&amp;A Unit</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IP as part of deal or carve-out</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Provenance-coherent + Family tree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High</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Very Long</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IP-FUND</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Patent Investment Fund</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Portfolio ROI + resale optionality</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High-Citation + Adjacent Re-Read</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Mid</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Medium</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High</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UNIV</w:t>
            </w:r>
          </w:p>
        </w:tc>
        <w:tc>
          <w:tcPr>
            <w:tcW w:type="dxa" w:w="21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University / Gov TTO</w:t>
            </w:r>
          </w:p>
        </w:tc>
        <w:tc>
          <w:tcPr>
            <w:tcW w:type="dxa" w:w="17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Commercialize research IP</w:t>
            </w:r>
          </w:p>
        </w:tc>
        <w:tc>
          <w:tcPr>
            <w:tcW w:type="dxa" w:w="1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Implementation maturity + Broad claims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Low–Mid</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Long</w:t>
            </w:r>
          </w:p>
        </w:tc>
        <w:tc>
          <w:tcPr>
            <w:tcW w:type="dxa" w:w="76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r>
      <w:tr>
        <w:tc>
          <w:tcPr>
            <w:tcW w:type="dxa" w:w="9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INSUR</w:t>
            </w:r>
          </w:p>
        </w:tc>
        <w:tc>
          <w:tcPr>
            <w:tcW w:type="dxa" w:w="21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IP Insurance / Risk Mgmt</w:t>
            </w:r>
          </w:p>
        </w:tc>
        <w:tc>
          <w:tcPr>
            <w:tcW w:type="dxa" w:w="17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Underwrite infringement / validity risk</w:t>
            </w:r>
          </w:p>
        </w:tc>
        <w:tc>
          <w:tcPr>
            <w:tcW w:type="dxa" w:w="1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Clean Title + Battle-Tested + Low H2</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c>
          <w:tcPr>
            <w:tcW w:type="dxa" w:w="8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Long</w:t>
            </w:r>
          </w:p>
        </w:tc>
        <w:tc>
          <w:tcPr>
            <w:tcW w:type="dxa" w:w="76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r>
              <w:rPr>
                <w:rFonts w:ascii="Arial" w:cs="Arial" w:eastAsia="Arial" w:hAnsi="Arial"/>
                <w:b w:val="false"/>
                <w:bCs w:val="false"/>
                <w:color w:val="222222"/>
                <w:sz w:val="17"/>
                <w:szCs w:val="17"/>
              </w:rPr>
              <w:t xml:space="preserve">Low</w:t>
            </w:r>
          </w:p>
        </w:tc>
      </w:tr>
    </w:tbl>
    <w:p>
      <w:pPr>
        <w:spacing w:after="0" w:before="0" w:line="240"/>
      </w:pPr>
      <w:r>
        <w:t xml:space="preserve"/>
      </w:r>
    </w:p>
    <w:p>
      <w:pPr>
        <w:pStyle w:val="Heading2"/>
        <w:spacing w:after="100" w:before="240"/>
      </w:pPr>
      <w:r>
        <w:rPr>
          <w:rFonts w:ascii="Arial" w:cs="Arial" w:eastAsia="Arial" w:hAnsi="Arial"/>
          <w:b/>
          <w:bCs/>
          <w:color w:val="2E75B6"/>
          <w:sz w:val="28"/>
          <w:szCs w:val="28"/>
        </w:rPr>
        <w:t xml:space="preserve">Signal Tier Mapping Across Buyer Archetypes</w:t>
      </w:r>
    </w:p>
    <w:p>
      <w:pPr>
        <w:spacing w:after="60" w:before="40"/>
      </w:pPr>
      <w:r>
        <w:rPr>
          <w:rFonts w:ascii="Arial" w:cs="Arial" w:eastAsia="Arial" w:hAnsi="Arial"/>
          <w:color w:val="222222"/>
          <w:sz w:val="19"/>
          <w:szCs w:val="19"/>
        </w:rPr>
        <w:t xml:space="preserve">The table below maps each workbook signal to the buyer archetypes that weight it most heavily. Tier designations (T1–T4) align with the signal credibility taxonomy in Value_Proposition_Framework_v3.md.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460"/>
        <w:gridCol w:w="1500"/>
      </w:tblGrid>
      <w:tr>
        <w:tc>
          <w:tcPr>
            <w:tcW w:type="dxa" w:w="44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Signal (Workbook Attribute)</w:t>
            </w:r>
          </w:p>
        </w:tc>
        <w:tc>
          <w:tcPr>
            <w:tcW w:type="dxa" w:w="346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Archetypes That Weight It</w:t>
            </w:r>
          </w:p>
        </w:tc>
        <w:tc>
          <w:tcPr>
            <w:tcW w:type="dxa" w:w="1500"/>
            <w:tcBorders>
              <w:top w:val="single" w:color="BBBBBB" w:sz="1"/>
              <w:left w:val="single" w:color="BBBBBB" w:sz="1"/>
              <w:bottom w:val="single" w:color="BBBBBB" w:sz="1"/>
              <w:right w:val="single" w:color="BBBBBB" w:sz="1"/>
            </w:tcBorders>
            <w:shd w:fill="1F3864" w:val="clear"/>
            <w:tcMar>
              <w:top w:type="dxa" w:w="60"/>
              <w:left w:type="dxa" w:w="80"/>
              <w:bottom w:type="dxa" w:w="60"/>
              <w:right w:type="dxa" w:w="80"/>
            </w:tcMar>
          </w:tcPr>
          <w:p>
            <w:pPr>
              <w:jc w:val="center"/>
            </w:pPr>
            <w:r>
              <w:rPr>
                <w:rFonts w:ascii="Arial" w:cs="Arial" w:eastAsia="Arial" w:hAnsi="Arial"/>
                <w:b/>
                <w:bCs/>
                <w:color w:val="FFFFFF"/>
                <w:sz w:val="19"/>
                <w:szCs w:val="19"/>
              </w:rPr>
              <w:t xml:space="preserve">Signal Tier</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Claim strength (H1 ≥ 3)</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OC-DEF, OC-OFF, NPE-LIC, NPE-LIT, STD-LIC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EoU claim chart available (H9 = Full)</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NPE-LIT, OC-OFF, LIT-FIN</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External detectability (D1 ≥ 2)</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NPE-LIT, OC-OFF, NPE-LIC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SEP potential (B1 ≥ 2)</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STD-LIC, NPE-LIC, DEF-AGG</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Clean chain of title (H8 = Clean)</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All buyers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Survived validity challenge (H7 = Survived)</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NPE-LIT, LIT-FIN, OC-OFF</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00000"/>
                <w:sz w:val="20"/>
                <w:szCs w:val="20"/>
              </w:rPr>
              <w:t xml:space="preserve">T1</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Broad independent claims (C2 = 3)</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NPE-LIC, OC-OFF, IP-FUND</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Reads on known commercial products (D3 ≥ 2)</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OC-DEF, NPE-LIC, DEF-AGG</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Long remaining term (E4 &gt; 7 years)</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OC-DEF, OC-OFF, IP-FUND, STD-LIC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Short remaining term (E4 1–4 years)</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LIT-FIN, NPE-LIT, DEF-AGG</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High forward citations (H5 ≥ 15)</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IP-FUND, CORP-VC, UNIV</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Live continuation pending (E3 = Yes)</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OC-OFF, NPE-LIC, IP-FUND</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Trilateral coverage (F2 = Yes)</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OC-DEF, STD-LIC, CORP-VC</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C55A11"/>
                <w:sz w:val="20"/>
                <w:szCs w:val="20"/>
              </w:rPr>
              <w:t xml:space="preserve">T2</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Adjacent-market re-read (I3 ≥ 2)</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IP-FUND, OC-EXP, CORP-VC</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7030A0"/>
                <w:sz w:val="20"/>
                <w:szCs w:val="20"/>
              </w:rPr>
              <w:t xml:space="preserve">T3</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Cross-industry applicability (G3 ≥ 2)</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OC-EXP, IP-FUND, DEF-AGG</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7030A0"/>
                <w:sz w:val="20"/>
                <w:szCs w:val="20"/>
              </w:rPr>
              <w:t xml:space="preserve">T3</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Convergent theme (G1 populated)</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OC-EXP, CORP-VC, IP-FUND</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7030A0"/>
                <w:sz w:val="20"/>
                <w:szCs w:val="20"/>
              </w:rPr>
              <w:t xml:space="preserve">T3</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Productized implementation (I2 = Productized)</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UNIV, CORP-VC, STD-LIC</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7030A0"/>
                <w:sz w:val="20"/>
                <w:szCs w:val="20"/>
              </w:rPr>
              <w:t xml:space="preserve">T3</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Low invalidity exposure (H2 ≥ 2)</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INSUR, OC-DEF, LIT-FIN</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7030A0"/>
                <w:sz w:val="20"/>
                <w:szCs w:val="20"/>
              </w:rPr>
              <w:t xml:space="preserve">T3</w:t>
            </w:r>
          </w:p>
        </w:tc>
      </w:tr>
      <w:tr>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Provenance-coherent family (A1 + A4 aligned)</w:t>
            </w:r>
          </w:p>
        </w:tc>
        <w:tc>
          <w:tcPr>
            <w:tcW w:type="dxa" w:w="3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546A"/>
                <w:sz w:val="18"/>
                <w:szCs w:val="18"/>
              </w:rPr>
              <w:t xml:space="preserve">CORP-VC, INSUR, OC-DEF</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44546A"/>
                <w:sz w:val="20"/>
                <w:szCs w:val="20"/>
              </w:rPr>
              <w:t xml:space="preserve">T4</w:t>
            </w:r>
          </w:p>
        </w:tc>
      </w:tr>
      <w:tr>
        <w:tc>
          <w:tcPr>
            <w:tcW w:type="dxa" w:w="440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222222"/>
                <w:sz w:val="19"/>
                <w:szCs w:val="19"/>
              </w:rPr>
              <w:t xml:space="preserve">Design-around difficulty (C4 = 3)</w:t>
            </w:r>
          </w:p>
        </w:tc>
        <w:tc>
          <w:tcPr>
            <w:tcW w:type="dxa" w:w="3460"/>
            <w:tcBorders>
              <w:top w:val="single" w:color="BBBBBB" w:sz="1"/>
              <w:left w:val="single" w:color="BBBBBB" w:sz="1"/>
              <w:bottom w:val="single" w:color="BBBBBB" w:sz="1"/>
              <w:right w:val="single" w:color="BBBBBB" w:sz="1"/>
            </w:tcBorders>
            <w:shd w:fill="F5F8FC" w:val="clear"/>
            <w:tcMar>
              <w:top w:type="dxa" w:w="60"/>
              <w:left w:type="dxa" w:w="120"/>
              <w:bottom w:type="dxa" w:w="60"/>
              <w:right w:type="dxa" w:w="120"/>
            </w:tcMar>
          </w:tcPr>
          <w:p>
            <w:r>
              <w:rPr>
                <w:rFonts w:ascii="Arial" w:cs="Arial" w:eastAsia="Arial" w:hAnsi="Arial"/>
                <w:color w:val="44546A"/>
                <w:sz w:val="18"/>
                <w:szCs w:val="18"/>
              </w:rPr>
              <w:t xml:space="preserve">OC-DEF, NPE-LIC, DEF-AGG</w:t>
            </w:r>
          </w:p>
        </w:tc>
        <w:tc>
          <w:tcPr>
            <w:tcW w:type="dxa" w:w="1500"/>
            <w:tcBorders>
              <w:top w:val="single" w:color="BBBBBB" w:sz="1"/>
              <w:left w:val="single" w:color="BBBBBB" w:sz="1"/>
              <w:bottom w:val="single" w:color="BBBBBB" w:sz="1"/>
              <w:right w:val="single" w:color="BBBBBB" w:sz="1"/>
            </w:tcBorders>
            <w:shd w:fill="F5F8FC" w:val="clear"/>
            <w:tcMar>
              <w:top w:type="dxa" w:w="60"/>
              <w:left w:type="dxa" w:w="80"/>
              <w:bottom w:type="dxa" w:w="60"/>
              <w:right w:type="dxa" w:w="80"/>
            </w:tcMar>
          </w:tcPr>
          <w:p>
            <w:pPr>
              <w:jc w:val="center"/>
            </w:pPr>
            <w:r>
              <w:rPr>
                <w:rFonts w:ascii="Arial" w:cs="Arial" w:eastAsia="Arial" w:hAnsi="Arial"/>
                <w:b/>
                <w:bCs/>
                <w:color w:val="44546A"/>
                <w:sz w:val="20"/>
                <w:szCs w:val="20"/>
              </w:rPr>
              <w:t xml:space="preserve">T4</w:t>
            </w:r>
          </w:p>
        </w:tc>
      </w:tr>
    </w:tbl>
    <w:p>
      <w:pPr>
        <w:spacing w:after="0" w:before="0" w:line="240"/>
      </w:pPr>
      <w:r>
        <w:t xml:space="preserve"/>
      </w:r>
    </w:p>
    <w:p>
      <w:r>
        <w:br w:type="page"/>
      </w:r>
    </w:p>
    <w:p>
      <w:pPr>
        <w:pStyle w:val="Heading1"/>
        <w:spacing w:after="120" w:before="300"/>
      </w:pPr>
      <w:r>
        <w:rPr>
          <w:rFonts w:ascii="Arial" w:cs="Arial" w:eastAsia="Arial" w:hAnsi="Arial"/>
          <w:b/>
          <w:bCs/>
          <w:color w:val="1F3864"/>
          <w:sz w:val="36"/>
          <w:szCs w:val="36"/>
        </w:rPr>
        <w:t xml:space="preserve">Detailed Buyer Profiles</w:t>
      </w:r>
    </w:p>
    <w:p>
      <w:pPr>
        <w:pBdr>
          <w:bottom w:val="single" w:color="2E75B6" w:sz="6" w:space="1"/>
        </w:pBdr>
        <w:spacing w:after="60" w:before="60"/>
      </w:pPr>
      <w:r>
        <w:t xml:space="preserve"/>
      </w:r>
    </w:p>
    <w:p>
      <w:pPr>
        <w:spacing w:after="80" w:before="40"/>
      </w:pPr>
      <w:r>
        <w:rPr>
          <w:rFonts w:ascii="Arial" w:cs="Arial" w:eastAsia="Arial" w:hAnsi="Arial"/>
          <w:i/>
          <w:iCs/>
          <w:color w:val="44546A"/>
          <w:sz w:val="19"/>
          <w:szCs w:val="19"/>
        </w:rPr>
        <w:t xml:space="preserve">Each profile below covers: organization types, mandate and goal, top workbook attributes evaluated, buy signals vs. deal killers, preferred bundle types, language register, where to find the buyer, outreach tactics, and a sample IAM Market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1F3864"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OC-DEF</w:t>
            </w:r>
          </w:p>
          <w:p>
            <w:pPr>
              <w:jc w:val="center"/>
            </w:pPr>
            <w:r>
              <w:rPr>
                <w:rFonts w:ascii="Arial" w:cs="Arial" w:eastAsia="Arial" w:hAnsi="Arial"/>
                <w:b/>
                <w:bCs/>
                <w:color w:val="FFFFFF"/>
                <w:sz w:val="18"/>
                <w:szCs w:val="18"/>
              </w:rPr>
              <w:t xml:space="preserve">DEFENSIVE</w:t>
            </w:r>
          </w:p>
        </w:tc>
        <w:tc>
          <w:tcPr>
            <w:tcBorders>
              <w:top w:val="nil"/>
              <w:left w:val="nil"/>
              <w:bottom w:val="nil"/>
              <w:right w:val="nil"/>
            </w:tcBorders>
            <w:shd w:fill="2E75B6" w:val="clear"/>
            <w:tcMar>
              <w:top w:type="dxa" w:w="140"/>
              <w:left w:type="dxa" w:w="220"/>
              <w:bottom w:type="dxa" w:w="140"/>
              <w:right w:type="dxa" w:w="220"/>
            </w:tcMar>
          </w:tcPr>
          <w:p>
            <w:r>
              <w:rPr>
                <w:rFonts w:ascii="Arial" w:cs="Arial" w:eastAsia="Arial" w:hAnsi="Arial"/>
                <w:b/>
                <w:bCs/>
                <w:color w:val="FFFFFF"/>
                <w:sz w:val="30"/>
                <w:szCs w:val="30"/>
              </w:rPr>
              <w:t xml:space="preserve">Operating Company — Defensive Buyer</w:t>
            </w:r>
          </w:p>
          <w:p>
            <w:pPr>
              <w:spacing w:before="60"/>
            </w:pPr>
            <w:r>
              <w:rPr>
                <w:rFonts w:ascii="Arial" w:cs="Arial" w:eastAsia="Arial" w:hAnsi="Arial"/>
                <w:i/>
                <w:iCs/>
                <w:color w:val="D9E8F5"/>
                <w:sz w:val="20"/>
                <w:szCs w:val="20"/>
              </w:rPr>
              <w:t xml:space="preserve">Risk managers shielding the business from litigation exposure</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Large publicly-traded tech, auto, consumer electronics, or telecom OEMs</w:t>
            </w:r>
          </w:p>
          <w:p>
            <w:pPr>
              <w:pStyle w:val="ListParagraph"/>
              <w:numPr>
                <w:ilvl w:val="0"/>
                <w:numId w:val="2"/>
              </w:numPr>
              <w:spacing w:after="40" w:before="40"/>
            </w:pPr>
            <w:r>
              <w:rPr>
                <w:rFonts w:ascii="Arial" w:cs="Arial" w:eastAsia="Arial" w:hAnsi="Arial"/>
                <w:color w:val="222222"/>
                <w:sz w:val="19"/>
                <w:szCs w:val="19"/>
              </w:rPr>
              <w:t xml:space="preserve">Mid-market manufacturers facing active NPE campaigns</w:t>
            </w:r>
          </w:p>
          <w:p>
            <w:pPr>
              <w:pStyle w:val="ListParagraph"/>
              <w:numPr>
                <w:ilvl w:val="0"/>
                <w:numId w:val="2"/>
              </w:numPr>
              <w:spacing w:after="40" w:before="40"/>
            </w:pPr>
            <w:r>
              <w:rPr>
                <w:rFonts w:ascii="Arial" w:cs="Arial" w:eastAsia="Arial" w:hAnsi="Arial"/>
                <w:color w:val="222222"/>
                <w:sz w:val="19"/>
                <w:szCs w:val="19"/>
              </w:rPr>
              <w:t xml:space="preserve">Platform companies with broad product footprints</w:t>
            </w:r>
          </w:p>
          <w:p>
            <w:pPr>
              <w:pStyle w:val="ListParagraph"/>
              <w:numPr>
                <w:ilvl w:val="0"/>
                <w:numId w:val="2"/>
              </w:numPr>
              <w:spacing w:after="40" w:before="40"/>
            </w:pPr>
            <w:r>
              <w:rPr>
                <w:rFonts w:ascii="Arial" w:cs="Arial" w:eastAsia="Arial" w:hAnsi="Arial"/>
                <w:color w:val="222222"/>
                <w:sz w:val="19"/>
                <w:szCs w:val="19"/>
              </w:rPr>
              <w:t xml:space="preserve">In-house IP teams with mandate to build counter-assertion reserves</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Reduce litigation exposure, block competitor design-arounds, and build FTO clarity for core product lines. Budget is risk-management, not revenue.</w:t>
            </w:r>
          </w:p>
          <w:p>
            <w:pPr>
              <w:spacing w:before="80"/>
            </w:pPr>
            <w:r>
              <w:rPr>
                <w:rFonts w:ascii="Arial" w:cs="Arial" w:eastAsia="Arial" w:hAnsi="Arial"/>
                <w:i/>
                <w:iCs/>
                <w:color w:val="2E75B6"/>
                <w:sz w:val="19"/>
                <w:szCs w:val="19"/>
              </w:rPr>
              <w:t xml:space="preserve">Goal: Patents that read directly on their own products OR on products of known litigants — defensively held, never asserted.</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D3 — Reads-on-Products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Need to verify the patent covers technology they already ship; otherwise it adds no FTO value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H8 — Chain of Title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Any cloud on title becomes their legal problem post-sale; must be clean</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H10 — Encumbrance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FRAND obligations or licensing encumbrances can defeat the defensive purpose entirely</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C4 — Design-Around Difficulty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Easy design-arounds mean competitors can bypass the patent; they need blocking patents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Patent must cover the product lifecycle — minimum 5–7 years is a hard floor for most programs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F1 — Jurisdictions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Coverage must align with their sales geographies; US-only rarely suffices for global OEMs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Patent directly reads on a product line they ship or plan to ship</w:t>
            </w:r>
          </w:p>
          <w:p>
            <w:pPr>
              <w:pStyle w:val="ListParagraph"/>
              <w:numPr>
                <w:ilvl w:val="0"/>
                <w:numId w:val="2"/>
              </w:numPr>
              <w:spacing w:after="40" w:before="40"/>
            </w:pPr>
            <w:r>
              <w:rPr>
                <w:rFonts w:ascii="Arial" w:cs="Arial" w:eastAsia="Arial" w:hAnsi="Arial"/>
                <w:color w:val="1D4714"/>
                <w:sz w:val="19"/>
                <w:szCs w:val="19"/>
              </w:rPr>
              <w:t xml:space="preserve">Broad independent claims with high design-around difficulty (C4 = 3)</w:t>
            </w:r>
          </w:p>
          <w:p>
            <w:pPr>
              <w:pStyle w:val="ListParagraph"/>
              <w:numPr>
                <w:ilvl w:val="0"/>
                <w:numId w:val="2"/>
              </w:numPr>
              <w:spacing w:after="40" w:before="40"/>
            </w:pPr>
            <w:r>
              <w:rPr>
                <w:rFonts w:ascii="Arial" w:cs="Arial" w:eastAsia="Arial" w:hAnsi="Arial"/>
                <w:color w:val="1D4714"/>
                <w:sz w:val="19"/>
                <w:szCs w:val="19"/>
              </w:rPr>
              <w:t xml:space="preserve">Clean title, no FRAND/RAND obligations, no prior encumbrances</w:t>
            </w:r>
          </w:p>
          <w:p>
            <w:pPr>
              <w:pStyle w:val="ListParagraph"/>
              <w:numPr>
                <w:ilvl w:val="0"/>
                <w:numId w:val="2"/>
              </w:numPr>
              <w:spacing w:after="40" w:before="40"/>
            </w:pPr>
            <w:r>
              <w:rPr>
                <w:rFonts w:ascii="Arial" w:cs="Arial" w:eastAsia="Arial" w:hAnsi="Arial"/>
                <w:color w:val="1D4714"/>
                <w:sz w:val="19"/>
                <w:szCs w:val="19"/>
              </w:rPr>
              <w:t xml:space="preserve">Long remaining term (&gt;6 years) covering core product lifecycle</w:t>
            </w:r>
          </w:p>
          <w:p>
            <w:pPr>
              <w:pStyle w:val="ListParagraph"/>
              <w:numPr>
                <w:ilvl w:val="0"/>
                <w:numId w:val="2"/>
              </w:numPr>
              <w:spacing w:after="40" w:before="40"/>
            </w:pPr>
            <w:r>
              <w:rPr>
                <w:rFonts w:ascii="Arial" w:cs="Arial" w:eastAsia="Arial" w:hAnsi="Arial"/>
                <w:color w:val="1D4714"/>
                <w:sz w:val="19"/>
                <w:szCs w:val="19"/>
              </w:rPr>
              <w:t xml:space="preserve">Trilateral coverage (US, EP, JP/CN) matching their geographic footprint</w:t>
            </w:r>
          </w:p>
          <w:p>
            <w:pPr>
              <w:pStyle w:val="ListParagraph"/>
              <w:numPr>
                <w:ilvl w:val="0"/>
                <w:numId w:val="2"/>
              </w:numPr>
              <w:spacing w:after="40" w:before="40"/>
            </w:pPr>
            <w:r>
              <w:rPr>
                <w:rFonts w:ascii="Arial" w:cs="Arial" w:eastAsia="Arial" w:hAnsi="Arial"/>
                <w:color w:val="1D4714"/>
                <w:sz w:val="19"/>
                <w:szCs w:val="19"/>
              </w:rPr>
              <w:t xml:space="preserve">Prior-art exposure is low (H2 ≥ 2) — patent is hard to invalidate</w:t>
            </w:r>
          </w:p>
          <w:p>
            <w:pPr>
              <w:pStyle w:val="ListParagraph"/>
              <w:numPr>
                <w:ilvl w:val="0"/>
                <w:numId w:val="2"/>
              </w:numPr>
              <w:spacing w:after="40" w:before="40"/>
            </w:pPr>
            <w:r>
              <w:rPr>
                <w:rFonts w:ascii="Arial" w:cs="Arial" w:eastAsia="Arial" w:hAnsi="Arial"/>
                <w:color w:val="1D4714"/>
                <w:sz w:val="19"/>
                <w:szCs w:val="19"/>
              </w:rPr>
              <w:t xml:space="preserve">Provenance from credible original assignee in same technical domain</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FRAND/RAND declaration on the family — limits offensive optionality</w:t>
            </w:r>
          </w:p>
          <w:p>
            <w:pPr>
              <w:pStyle w:val="ListParagraph"/>
              <w:numPr>
                <w:ilvl w:val="0"/>
                <w:numId w:val="2"/>
              </w:numPr>
              <w:spacing w:after="40" w:before="40"/>
            </w:pPr>
            <w:r>
              <w:rPr>
                <w:rFonts w:ascii="Arial" w:cs="Arial" w:eastAsia="Arial" w:hAnsi="Arial"/>
                <w:color w:val="7B0000"/>
                <w:sz w:val="19"/>
                <w:szCs w:val="19"/>
              </w:rPr>
              <w:t xml:space="preserve">Short remaining term (&lt;4 years) — expires before product cycle ends</w:t>
            </w:r>
          </w:p>
          <w:p>
            <w:pPr>
              <w:pStyle w:val="ListParagraph"/>
              <w:numPr>
                <w:ilvl w:val="0"/>
                <w:numId w:val="2"/>
              </w:numPr>
              <w:spacing w:after="40" w:before="40"/>
            </w:pPr>
            <w:r>
              <w:rPr>
                <w:rFonts w:ascii="Arial" w:cs="Arial" w:eastAsia="Arial" w:hAnsi="Arial"/>
                <w:color w:val="7B0000"/>
                <w:sz w:val="19"/>
                <w:szCs w:val="19"/>
              </w:rPr>
              <w:t xml:space="preserve">Divided infringement risk (H4 ≤ 1) — hard to enforce against any single actor</w:t>
            </w:r>
          </w:p>
          <w:p>
            <w:pPr>
              <w:pStyle w:val="ListParagraph"/>
              <w:numPr>
                <w:ilvl w:val="0"/>
                <w:numId w:val="2"/>
              </w:numPr>
              <w:spacing w:after="40" w:before="40"/>
            </w:pPr>
            <w:r>
              <w:rPr>
                <w:rFonts w:ascii="Arial" w:cs="Arial" w:eastAsia="Arial" w:hAnsi="Arial"/>
                <w:color w:val="7B0000"/>
                <w:sz w:val="19"/>
                <w:szCs w:val="19"/>
              </w:rPr>
              <w:t xml:space="preserve">Clouded chain of title, missing assignments, or contested inventorship</w:t>
            </w:r>
          </w:p>
          <w:p>
            <w:pPr>
              <w:pStyle w:val="ListParagraph"/>
              <w:numPr>
                <w:ilvl w:val="0"/>
                <w:numId w:val="2"/>
              </w:numPr>
              <w:spacing w:after="40" w:before="40"/>
            </w:pPr>
            <w:r>
              <w:rPr>
                <w:rFonts w:ascii="Arial" w:cs="Arial" w:eastAsia="Arial" w:hAnsi="Arial"/>
                <w:color w:val="7B0000"/>
                <w:sz w:val="19"/>
                <w:szCs w:val="19"/>
              </w:rPr>
              <w:t xml:space="preserve">Active IPR/PTAB challenge with outcome pending</w:t>
            </w:r>
          </w:p>
          <w:p>
            <w:pPr>
              <w:pStyle w:val="ListParagraph"/>
              <w:numPr>
                <w:ilvl w:val="0"/>
                <w:numId w:val="2"/>
              </w:numPr>
              <w:spacing w:after="40" w:before="40"/>
            </w:pPr>
            <w:r>
              <w:rPr>
                <w:rFonts w:ascii="Arial" w:cs="Arial" w:eastAsia="Arial" w:hAnsi="Arial"/>
                <w:color w:val="7B0000"/>
                <w:sz w:val="19"/>
                <w:szCs w:val="19"/>
              </w:rPr>
              <w:t xml:space="preserve">No coverage in their key sales markets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19 — Defensive/Counter-Assertion (reads on known products)</w:t>
            </w:r>
          </w:p>
          <w:p>
            <w:pPr>
              <w:pStyle w:val="ListParagraph"/>
              <w:numPr>
                <w:ilvl w:val="0"/>
                <w:numId w:val="2"/>
              </w:numPr>
              <w:spacing w:after="40" w:before="40"/>
            </w:pPr>
            <w:r>
              <w:rPr>
                <w:rFonts w:ascii="Arial" w:cs="Arial" w:eastAsia="Arial" w:hAnsi="Arial"/>
                <w:color w:val="222222"/>
                <w:sz w:val="19"/>
                <w:szCs w:val="19"/>
              </w:rPr>
              <w:t xml:space="preserve">Bundle 20 — Whitespace/Design-Around (high C4)</w:t>
            </w:r>
          </w:p>
          <w:p>
            <w:pPr>
              <w:pStyle w:val="ListParagraph"/>
              <w:numPr>
                <w:ilvl w:val="0"/>
                <w:numId w:val="2"/>
              </w:numPr>
              <w:spacing w:after="40" w:before="40"/>
            </w:pPr>
            <w:r>
              <w:rPr>
                <w:rFonts w:ascii="Arial" w:cs="Arial" w:eastAsia="Arial" w:hAnsi="Arial"/>
                <w:color w:val="222222"/>
                <w:sz w:val="19"/>
                <w:szCs w:val="19"/>
              </w:rPr>
              <w:t xml:space="preserve">Bundle 28 — Clean-Chain-of-Title</w:t>
            </w:r>
          </w:p>
          <w:p>
            <w:pPr>
              <w:pStyle w:val="ListParagraph"/>
              <w:numPr>
                <w:ilvl w:val="0"/>
                <w:numId w:val="2"/>
              </w:numPr>
              <w:spacing w:after="40" w:before="40"/>
            </w:pPr>
            <w:r>
              <w:rPr>
                <w:rFonts w:ascii="Arial" w:cs="Arial" w:eastAsia="Arial" w:hAnsi="Arial"/>
                <w:color w:val="222222"/>
                <w:sz w:val="19"/>
                <w:szCs w:val="19"/>
              </w:rPr>
              <w:t xml:space="preserve">Bundle 16 — Foundational + Improvement (hard to route around)</w:t>
            </w:r>
          </w:p>
          <w:p>
            <w:pPr>
              <w:pStyle w:val="ListParagraph"/>
              <w:numPr>
                <w:ilvl w:val="0"/>
                <w:numId w:val="2"/>
              </w:numPr>
              <w:spacing w:after="40" w:before="40"/>
            </w:pPr>
            <w:r>
              <w:rPr>
                <w:rFonts w:ascii="Arial" w:cs="Arial" w:eastAsia="Arial" w:hAnsi="Arial"/>
                <w:color w:val="222222"/>
                <w:sz w:val="19"/>
                <w:szCs w:val="19"/>
              </w:rPr>
              <w:t xml:space="preserve">Bundle 13 — Geographic (trilateral coverage matching their footprint)</w:t>
            </w:r>
          </w:p>
          <w:p>
            <w:pPr>
              <w:pStyle w:val="ListParagraph"/>
              <w:numPr>
                <w:ilvl w:val="0"/>
                <w:numId w:val="2"/>
              </w:numPr>
              <w:spacing w:after="40" w:before="40"/>
            </w:pPr>
            <w:r>
              <w:rPr>
                <w:rFonts w:ascii="Arial" w:cs="Arial" w:eastAsia="Arial" w:hAnsi="Arial"/>
                <w:color w:val="222222"/>
                <w:sz w:val="19"/>
                <w:szCs w:val="19"/>
              </w:rPr>
              <w:t xml:space="preserve">Bundle 27 — Survived-Challenge/Battle-Tested</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Risk-mitigation framing. Avoid litigation language. Focus on 'FTO coverage', 'design-around blocking', 'freedom to operate', 'portfolio depth'. Quantify product read-on. Never use 'assertion'. Emphasize clean title and low maintenance burden.</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IAM Market — OC buyers browse regularly; inbound interest via listing</w:t>
            </w:r>
          </w:p>
          <w:p>
            <w:pPr>
              <w:pStyle w:val="ListParagraph"/>
              <w:numPr>
                <w:ilvl w:val="0"/>
                <w:numId w:val="2"/>
              </w:numPr>
              <w:spacing w:after="40" w:before="40"/>
            </w:pPr>
            <w:r>
              <w:rPr>
                <w:rFonts w:ascii="Arial" w:cs="Arial" w:eastAsia="Arial" w:hAnsi="Arial"/>
                <w:color w:val="1A3E5C"/>
                <w:sz w:val="19"/>
                <w:szCs w:val="19"/>
              </w:rPr>
              <w:t xml:space="preserve">In-house IP counsel at Fortune 1000 tech / auto / consumer electronics firms</w:t>
            </w:r>
          </w:p>
          <w:p>
            <w:pPr>
              <w:pStyle w:val="ListParagraph"/>
              <w:numPr>
                <w:ilvl w:val="0"/>
                <w:numId w:val="2"/>
              </w:numPr>
              <w:spacing w:after="40" w:before="40"/>
            </w:pPr>
            <w:r>
              <w:rPr>
                <w:rFonts w:ascii="Arial" w:cs="Arial" w:eastAsia="Arial" w:hAnsi="Arial"/>
                <w:color w:val="1A3E5C"/>
                <w:sz w:val="19"/>
                <w:szCs w:val="19"/>
              </w:rPr>
              <w:t xml:space="preserve">Patent brokers who carry pre-approved OC buyer lists</w:t>
            </w:r>
          </w:p>
          <w:p>
            <w:pPr>
              <w:pStyle w:val="ListParagraph"/>
              <w:numPr>
                <w:ilvl w:val="0"/>
                <w:numId w:val="2"/>
              </w:numPr>
              <w:spacing w:after="40" w:before="40"/>
            </w:pPr>
            <w:r>
              <w:rPr>
                <w:rFonts w:ascii="Arial" w:cs="Arial" w:eastAsia="Arial" w:hAnsi="Arial"/>
                <w:color w:val="1A3E5C"/>
                <w:sz w:val="19"/>
                <w:szCs w:val="19"/>
              </w:rPr>
              <w:t xml:space="preserve">IP industry conferences: LES, IAM Patent Summit, IP Business Congress</w:t>
            </w:r>
          </w:p>
          <w:p>
            <w:pPr>
              <w:pStyle w:val="ListParagraph"/>
              <w:numPr>
                <w:ilvl w:val="0"/>
                <w:numId w:val="2"/>
              </w:numPr>
              <w:spacing w:after="40" w:before="40"/>
            </w:pPr>
            <w:r>
              <w:rPr>
                <w:rFonts w:ascii="Arial" w:cs="Arial" w:eastAsia="Arial" w:hAnsi="Arial"/>
                <w:color w:val="1A3E5C"/>
                <w:sz w:val="19"/>
                <w:szCs w:val="19"/>
              </w:rPr>
              <w:t xml:space="preserve">LinkedIn targeting: 'Director of IP', 'VP Patent Strategy', 'IP Counsel' at large OEMs</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Lead with a product-read-on map: show exactly which SKUs the patent covers</w:t>
            </w:r>
          </w:p>
          <w:p>
            <w:pPr>
              <w:pStyle w:val="ListParagraph"/>
              <w:numPr>
                <w:ilvl w:val="0"/>
                <w:numId w:val="2"/>
              </w:numPr>
              <w:spacing w:after="40" w:before="40"/>
            </w:pPr>
            <w:r>
              <w:rPr>
                <w:rFonts w:ascii="Arial" w:cs="Arial" w:eastAsia="Arial" w:hAnsi="Arial"/>
                <w:color w:val="1A3E5C"/>
                <w:sz w:val="19"/>
                <w:szCs w:val="19"/>
              </w:rPr>
              <w:t xml:space="preserve">Provide an FTO opinion summary or claim chart rather than asking them to build it</w:t>
            </w:r>
          </w:p>
          <w:p>
            <w:pPr>
              <w:pStyle w:val="ListParagraph"/>
              <w:numPr>
                <w:ilvl w:val="0"/>
                <w:numId w:val="2"/>
              </w:numPr>
              <w:spacing w:after="40" w:before="40"/>
            </w:pPr>
            <w:r>
              <w:rPr>
                <w:rFonts w:ascii="Arial" w:cs="Arial" w:eastAsia="Arial" w:hAnsi="Arial"/>
                <w:color w:val="1A3E5C"/>
                <w:sz w:val="19"/>
                <w:szCs w:val="19"/>
              </w:rPr>
              <w:t xml:space="preserve">Address encumbrance status and chain of title proactively in the first communication</w:t>
            </w:r>
          </w:p>
          <w:p>
            <w:pPr>
              <w:pStyle w:val="ListParagraph"/>
              <w:numPr>
                <w:ilvl w:val="0"/>
                <w:numId w:val="2"/>
              </w:numPr>
              <w:spacing w:after="40" w:before="40"/>
            </w:pPr>
            <w:r>
              <w:rPr>
                <w:rFonts w:ascii="Arial" w:cs="Arial" w:eastAsia="Arial" w:hAnsi="Arial"/>
                <w:color w:val="1A3E5C"/>
                <w:sz w:val="19"/>
                <w:szCs w:val="19"/>
              </w:rPr>
              <w:t xml:space="preserve">Avoid quoting licensing revenue projections — they are defensive, not monetizers</w:t>
            </w:r>
          </w:p>
          <w:p>
            <w:pPr>
              <w:pStyle w:val="ListParagraph"/>
              <w:numPr>
                <w:ilvl w:val="0"/>
                <w:numId w:val="2"/>
              </w:numPr>
              <w:spacing w:after="40" w:before="40"/>
            </w:pPr>
            <w:r>
              <w:rPr>
                <w:rFonts w:ascii="Arial" w:cs="Arial" w:eastAsia="Arial" w:hAnsi="Arial"/>
                <w:color w:val="1A3E5C"/>
                <w:sz w:val="19"/>
                <w:szCs w:val="19"/>
              </w:rPr>
              <w:t xml:space="preserve">Include remaining term and jurisdiction list in the opening data package</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Seven US and EP granted patents covering thermal management in high-density battery packs — all claims read directly on production EV architectures, trilateral coverage intact, clean title from OEM origination, no encumbrances. A complete FTO-enhancement package for any manufacturer shipping energy storage products after 2024.</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7B0000"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OC-OFF</w:t>
            </w:r>
          </w:p>
          <w:p>
            <w:pPr>
              <w:jc w:val="center"/>
            </w:pPr>
            <w:r>
              <w:rPr>
                <w:rFonts w:ascii="Arial" w:cs="Arial" w:eastAsia="Arial" w:hAnsi="Arial"/>
                <w:b/>
                <w:bCs/>
                <w:color w:val="FFFFFF"/>
                <w:sz w:val="18"/>
                <w:szCs w:val="18"/>
              </w:rPr>
              <w:t xml:space="preserve">OFFENSIVE</w:t>
            </w:r>
          </w:p>
        </w:tc>
        <w:tc>
          <w:tcPr>
            <w:tcBorders>
              <w:top w:val="nil"/>
              <w:left w:val="nil"/>
              <w:bottom w:val="nil"/>
              <w:right w:val="nil"/>
            </w:tcBorders>
            <w:shd w:fill="C00000" w:val="clear"/>
            <w:tcMar>
              <w:top w:type="dxa" w:w="140"/>
              <w:left w:type="dxa" w:w="220"/>
              <w:bottom w:type="dxa" w:w="140"/>
              <w:right w:type="dxa" w:w="220"/>
            </w:tcMar>
          </w:tcPr>
          <w:p>
            <w:r>
              <w:rPr>
                <w:rFonts w:ascii="Arial" w:cs="Arial" w:eastAsia="Arial" w:hAnsi="Arial"/>
                <w:b/>
                <w:bCs/>
                <w:color w:val="FFFFFF"/>
                <w:sz w:val="30"/>
                <w:szCs w:val="30"/>
              </w:rPr>
              <w:t xml:space="preserve">Operating Company — Offensive Buyer</w:t>
            </w:r>
          </w:p>
          <w:p>
            <w:pPr>
              <w:spacing w:before="60"/>
            </w:pPr>
            <w:r>
              <w:rPr>
                <w:rFonts w:ascii="Arial" w:cs="Arial" w:eastAsia="Arial" w:hAnsi="Arial"/>
                <w:i/>
                <w:iCs/>
                <w:color w:val="D9E8F5"/>
                <w:sz w:val="20"/>
                <w:szCs w:val="20"/>
              </w:rPr>
              <w:t xml:space="preserve">Market leaders building assertion leverage against competitors</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Dominant market players seeking licensing revenue from industry peers</w:t>
            </w:r>
          </w:p>
          <w:p>
            <w:pPr>
              <w:pStyle w:val="ListParagraph"/>
              <w:numPr>
                <w:ilvl w:val="0"/>
                <w:numId w:val="2"/>
              </w:numPr>
              <w:spacing w:after="40" w:before="40"/>
            </w:pPr>
            <w:r>
              <w:rPr>
                <w:rFonts w:ascii="Arial" w:cs="Arial" w:eastAsia="Arial" w:hAnsi="Arial"/>
                <w:color w:val="222222"/>
                <w:sz w:val="19"/>
                <w:szCs w:val="19"/>
              </w:rPr>
              <w:t xml:space="preserve">Companies facing a competitor product that potentially infringes their space</w:t>
            </w:r>
          </w:p>
          <w:p>
            <w:pPr>
              <w:pStyle w:val="ListParagraph"/>
              <w:numPr>
                <w:ilvl w:val="0"/>
                <w:numId w:val="2"/>
              </w:numPr>
              <w:spacing w:after="40" w:before="40"/>
            </w:pPr>
            <w:r>
              <w:rPr>
                <w:rFonts w:ascii="Arial" w:cs="Arial" w:eastAsia="Arial" w:hAnsi="Arial"/>
                <w:color w:val="222222"/>
                <w:sz w:val="19"/>
                <w:szCs w:val="19"/>
              </w:rPr>
              <w:t xml:space="preserve">OEMs entering cross-licensing negotiations and needing negotiation leverage</w:t>
            </w:r>
          </w:p>
          <w:p>
            <w:pPr>
              <w:pStyle w:val="ListParagraph"/>
              <w:numPr>
                <w:ilvl w:val="0"/>
                <w:numId w:val="2"/>
              </w:numPr>
              <w:spacing w:after="40" w:before="40"/>
            </w:pPr>
            <w:r>
              <w:rPr>
                <w:rFonts w:ascii="Arial" w:cs="Arial" w:eastAsia="Arial" w:hAnsi="Arial"/>
                <w:color w:val="222222"/>
                <w:sz w:val="19"/>
                <w:szCs w:val="19"/>
              </w:rPr>
              <w:t xml:space="preserve">Corporate IP teams with a mandate to generate licensing return</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Acquire patents that read on competitors' shipping products, with detectable infringement and strong claims — to assert, license, or use as cross-licensing currency.</w:t>
            </w:r>
          </w:p>
          <w:p>
            <w:pPr>
              <w:spacing w:before="80"/>
            </w:pPr>
            <w:r>
              <w:rPr>
                <w:rFonts w:ascii="Arial" w:cs="Arial" w:eastAsia="Arial" w:hAnsi="Arial"/>
                <w:i/>
                <w:iCs/>
                <w:color w:val="2E75B6"/>
                <w:sz w:val="19"/>
                <w:szCs w:val="19"/>
              </w:rPr>
              <w:t xml:space="preserve">Goal: Enforceable, detectable, high-claim-strength patents that make a licensing demand credible on day one.</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H9 — EoU Availability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Evidence-of-Use chart mapped to a named product is the difference between a licensing demand and a letter that gets dismissed</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D1/D2 — Detectability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Can infringement be proven from product inspection or teardown? If not, the patent is useless offensively</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Weak claims invite IPR; must withstand reexam pressure during licensing negotiations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H7 — Litigation History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Survived challenges are field-tested — commands more credibility with opposing counsel</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C2 — Claim Breadth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Broad claims cover more products and reduce the target's design-around options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H4 — Divided Infringement</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Method claims split across client-server or user-provider dramatically reduce enforceability</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EoU claim chart available and mapped to a named, shipping competitor product</w:t>
            </w:r>
          </w:p>
          <w:p>
            <w:pPr>
              <w:pStyle w:val="ListParagraph"/>
              <w:numPr>
                <w:ilvl w:val="0"/>
                <w:numId w:val="2"/>
              </w:numPr>
              <w:spacing w:after="40" w:before="40"/>
            </w:pPr>
            <w:r>
              <w:rPr>
                <w:rFonts w:ascii="Arial" w:cs="Arial" w:eastAsia="Arial" w:hAnsi="Arial"/>
                <w:color w:val="1D4714"/>
                <w:sz w:val="19"/>
                <w:szCs w:val="19"/>
              </w:rPr>
              <w:t xml:space="preserve">External detectability (D1 ≥ 2) — infringement visible from product documentation</w:t>
            </w:r>
          </w:p>
          <w:p>
            <w:pPr>
              <w:pStyle w:val="ListParagraph"/>
              <w:numPr>
                <w:ilvl w:val="0"/>
                <w:numId w:val="2"/>
              </w:numPr>
              <w:spacing w:after="40" w:before="40"/>
            </w:pPr>
            <w:r>
              <w:rPr>
                <w:rFonts w:ascii="Arial" w:cs="Arial" w:eastAsia="Arial" w:hAnsi="Arial"/>
                <w:color w:val="1D4714"/>
                <w:sz w:val="19"/>
                <w:szCs w:val="19"/>
              </w:rPr>
              <w:t xml:space="preserve">High claim strength (H1 = 3) with clean prosecution history</w:t>
            </w:r>
          </w:p>
          <w:p>
            <w:pPr>
              <w:pStyle w:val="ListParagraph"/>
              <w:numPr>
                <w:ilvl w:val="0"/>
                <w:numId w:val="2"/>
              </w:numPr>
              <w:spacing w:after="40" w:before="40"/>
            </w:pPr>
            <w:r>
              <w:rPr>
                <w:rFonts w:ascii="Arial" w:cs="Arial" w:eastAsia="Arial" w:hAnsi="Arial"/>
                <w:color w:val="1D4714"/>
                <w:sz w:val="19"/>
                <w:szCs w:val="19"/>
              </w:rPr>
              <w:t xml:space="preserve">Survived IPR/PTAB or litigation with validity affirmed</w:t>
            </w:r>
          </w:p>
          <w:p>
            <w:pPr>
              <w:pStyle w:val="ListParagraph"/>
              <w:numPr>
                <w:ilvl w:val="0"/>
                <w:numId w:val="2"/>
              </w:numPr>
              <w:spacing w:after="40" w:before="40"/>
            </w:pPr>
            <w:r>
              <w:rPr>
                <w:rFonts w:ascii="Arial" w:cs="Arial" w:eastAsia="Arial" w:hAnsi="Arial"/>
                <w:color w:val="1D4714"/>
                <w:sz w:val="19"/>
                <w:szCs w:val="19"/>
              </w:rPr>
              <w:t xml:space="preserve">Sufficient remaining term (&gt;4 years) for a full licensing campaign</w:t>
            </w:r>
          </w:p>
          <w:p>
            <w:pPr>
              <w:pStyle w:val="ListParagraph"/>
              <w:numPr>
                <w:ilvl w:val="0"/>
                <w:numId w:val="2"/>
              </w:numPr>
              <w:spacing w:after="40" w:before="40"/>
            </w:pPr>
            <w:r>
              <w:rPr>
                <w:rFonts w:ascii="Arial" w:cs="Arial" w:eastAsia="Arial" w:hAnsi="Arial"/>
                <w:color w:val="1D4714"/>
                <w:sz w:val="19"/>
                <w:szCs w:val="19"/>
              </w:rPr>
              <w:t xml:space="preserve">Broad independent claims covering the genus, not a specific embodiment</w:t>
            </w:r>
          </w:p>
          <w:p>
            <w:pPr>
              <w:pStyle w:val="ListParagraph"/>
              <w:numPr>
                <w:ilvl w:val="0"/>
                <w:numId w:val="2"/>
              </w:numPr>
              <w:spacing w:after="40" w:before="40"/>
            </w:pPr>
            <w:r>
              <w:rPr>
                <w:rFonts w:ascii="Arial" w:cs="Arial" w:eastAsia="Arial" w:hAnsi="Arial"/>
                <w:color w:val="1D4714"/>
                <w:sz w:val="19"/>
                <w:szCs w:val="19"/>
              </w:rPr>
              <w:t xml:space="preserve">Forward citations pointing to known infringers (H5 data)</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No EoU chart and no clear read on any shipping product</w:t>
            </w:r>
          </w:p>
          <w:p>
            <w:pPr>
              <w:pStyle w:val="ListParagraph"/>
              <w:numPr>
                <w:ilvl w:val="0"/>
                <w:numId w:val="2"/>
              </w:numPr>
              <w:spacing w:after="40" w:before="40"/>
            </w:pPr>
            <w:r>
              <w:rPr>
                <w:rFonts w:ascii="Arial" w:cs="Arial" w:eastAsia="Arial" w:hAnsi="Arial"/>
                <w:color w:val="7B0000"/>
                <w:sz w:val="19"/>
                <w:szCs w:val="19"/>
              </w:rPr>
              <w:t xml:space="preserve">Low detectability (D1 = 0) — infringement cannot be established without access to source code or internals</w:t>
            </w:r>
          </w:p>
          <w:p>
            <w:pPr>
              <w:pStyle w:val="ListParagraph"/>
              <w:numPr>
                <w:ilvl w:val="0"/>
                <w:numId w:val="2"/>
              </w:numPr>
              <w:spacing w:after="40" w:before="40"/>
            </w:pPr>
            <w:r>
              <w:rPr>
                <w:rFonts w:ascii="Arial" w:cs="Arial" w:eastAsia="Arial" w:hAnsi="Arial"/>
                <w:color w:val="7B0000"/>
                <w:sz w:val="19"/>
                <w:szCs w:val="19"/>
              </w:rPr>
              <w:t xml:space="preserve">Pending validity challenge (H7 = Pending) — creates uncertainty mid-campaign</w:t>
            </w:r>
          </w:p>
          <w:p>
            <w:pPr>
              <w:pStyle w:val="ListParagraph"/>
              <w:numPr>
                <w:ilvl w:val="0"/>
                <w:numId w:val="2"/>
              </w:numPr>
              <w:spacing w:after="40" w:before="40"/>
            </w:pPr>
            <w:r>
              <w:rPr>
                <w:rFonts w:ascii="Arial" w:cs="Arial" w:eastAsia="Arial" w:hAnsi="Arial"/>
                <w:color w:val="7B0000"/>
                <w:sz w:val="19"/>
                <w:szCs w:val="19"/>
              </w:rPr>
              <w:t xml:space="preserve">Divided infringement risk (H4 ≤ 1) — limits enforceability to single-actor scenarios</w:t>
            </w:r>
          </w:p>
          <w:p>
            <w:pPr>
              <w:pStyle w:val="ListParagraph"/>
              <w:numPr>
                <w:ilvl w:val="0"/>
                <w:numId w:val="2"/>
              </w:numPr>
              <w:spacing w:after="40" w:before="40"/>
            </w:pPr>
            <w:r>
              <w:rPr>
                <w:rFonts w:ascii="Arial" w:cs="Arial" w:eastAsia="Arial" w:hAnsi="Arial"/>
                <w:color w:val="7B0000"/>
                <w:sz w:val="19"/>
                <w:szCs w:val="19"/>
              </w:rPr>
              <w:t xml:space="preserve">Prior FRAND/SEP declaration restricting licensing terms</w:t>
            </w:r>
          </w:p>
          <w:p>
            <w:pPr>
              <w:pStyle w:val="ListParagraph"/>
              <w:numPr>
                <w:ilvl w:val="0"/>
                <w:numId w:val="2"/>
              </w:numPr>
              <w:spacing w:after="40" w:before="40"/>
            </w:pPr>
            <w:r>
              <w:rPr>
                <w:rFonts w:ascii="Arial" w:cs="Arial" w:eastAsia="Arial" w:hAnsi="Arial"/>
                <w:color w:val="7B0000"/>
                <w:sz w:val="19"/>
                <w:szCs w:val="19"/>
              </w:rPr>
              <w:t xml:space="preserve">Short remaining term (&lt;3 years) — too narrow a window for a licensing campaign</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26 — EoU-Backed/Litigation-Ready</w:t>
            </w:r>
          </w:p>
          <w:p>
            <w:pPr>
              <w:pStyle w:val="ListParagraph"/>
              <w:numPr>
                <w:ilvl w:val="0"/>
                <w:numId w:val="2"/>
              </w:numPr>
              <w:spacing w:after="40" w:before="40"/>
            </w:pPr>
            <w:r>
              <w:rPr>
                <w:rFonts w:ascii="Arial" w:cs="Arial" w:eastAsia="Arial" w:hAnsi="Arial"/>
                <w:color w:val="222222"/>
                <w:sz w:val="19"/>
                <w:szCs w:val="19"/>
              </w:rPr>
              <w:t xml:space="preserve">Bundle 12 — Detectability (D1/D2 ≥ 2)</w:t>
            </w:r>
          </w:p>
          <w:p>
            <w:pPr>
              <w:pStyle w:val="ListParagraph"/>
              <w:numPr>
                <w:ilvl w:val="0"/>
                <w:numId w:val="2"/>
              </w:numPr>
              <w:spacing w:after="40" w:before="40"/>
            </w:pPr>
            <w:r>
              <w:rPr>
                <w:rFonts w:ascii="Arial" w:cs="Arial" w:eastAsia="Arial" w:hAnsi="Arial"/>
                <w:color w:val="222222"/>
                <w:sz w:val="19"/>
                <w:szCs w:val="19"/>
              </w:rPr>
              <w:t xml:space="preserve">Bundle 27 — Survived-Challenge/Battle-Tested</w:t>
            </w:r>
          </w:p>
          <w:p>
            <w:pPr>
              <w:pStyle w:val="ListParagraph"/>
              <w:numPr>
                <w:ilvl w:val="0"/>
                <w:numId w:val="2"/>
              </w:numPr>
              <w:spacing w:after="40" w:before="40"/>
            </w:pPr>
            <w:r>
              <w:rPr>
                <w:rFonts w:ascii="Arial" w:cs="Arial" w:eastAsia="Arial" w:hAnsi="Arial"/>
                <w:color w:val="222222"/>
                <w:sz w:val="19"/>
                <w:szCs w:val="19"/>
              </w:rPr>
              <w:t xml:space="preserve">Bundle 22 — Anchor-and-Halo (anchor with high H1 + detectable)</w:t>
            </w:r>
          </w:p>
          <w:p>
            <w:pPr>
              <w:pStyle w:val="ListParagraph"/>
              <w:numPr>
                <w:ilvl w:val="0"/>
                <w:numId w:val="2"/>
              </w:numPr>
              <w:spacing w:after="40" w:before="40"/>
            </w:pPr>
            <w:r>
              <w:rPr>
                <w:rFonts w:ascii="Arial" w:cs="Arial" w:eastAsia="Arial" w:hAnsi="Arial"/>
                <w:color w:val="222222"/>
                <w:sz w:val="19"/>
                <w:szCs w:val="19"/>
              </w:rPr>
              <w:t xml:space="preserve">Bundle 23 — Picket-Fence (cluster of narrow patents around a standard)</w:t>
            </w:r>
          </w:p>
          <w:p>
            <w:pPr>
              <w:pStyle w:val="ListParagraph"/>
              <w:numPr>
                <w:ilvl w:val="0"/>
                <w:numId w:val="2"/>
              </w:numPr>
              <w:spacing w:after="40" w:before="40"/>
            </w:pPr>
            <w:r>
              <w:rPr>
                <w:rFonts w:ascii="Arial" w:cs="Arial" w:eastAsia="Arial" w:hAnsi="Arial"/>
                <w:color w:val="222222"/>
                <w:sz w:val="19"/>
                <w:szCs w:val="19"/>
              </w:rPr>
              <w:t xml:space="preserve">Bundle 11 — Claim-Type (method claims preferred for licensing demands)</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Enforcement-adjacent language is acceptable. Use 'assertion-ready', 'licensing program', 'product-mapped', 'detectable infringement', 'EoU-backed'. Reference forward citation targets by category (not by name). Quantify the addressable royalty base. Be direct about licensing revenue potential.</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IAM Market listings — OC-OFF buyers run active searches for targeted technology domains</w:t>
            </w:r>
          </w:p>
          <w:p>
            <w:pPr>
              <w:pStyle w:val="ListParagraph"/>
              <w:numPr>
                <w:ilvl w:val="0"/>
                <w:numId w:val="2"/>
              </w:numPr>
              <w:spacing w:after="40" w:before="40"/>
            </w:pPr>
            <w:r>
              <w:rPr>
                <w:rFonts w:ascii="Arial" w:cs="Arial" w:eastAsia="Arial" w:hAnsi="Arial"/>
                <w:color w:val="1A3E5C"/>
                <w:sz w:val="19"/>
                <w:szCs w:val="19"/>
              </w:rPr>
              <w:t xml:space="preserve">IP brokers with OEM client rosters (Richardson Oliver, Acacia, InterDigital licensing arm)</w:t>
            </w:r>
          </w:p>
          <w:p>
            <w:pPr>
              <w:pStyle w:val="ListParagraph"/>
              <w:numPr>
                <w:ilvl w:val="0"/>
                <w:numId w:val="2"/>
              </w:numPr>
              <w:spacing w:after="40" w:before="40"/>
            </w:pPr>
            <w:r>
              <w:rPr>
                <w:rFonts w:ascii="Arial" w:cs="Arial" w:eastAsia="Arial" w:hAnsi="Arial"/>
                <w:color w:val="1A3E5C"/>
                <w:sz w:val="19"/>
                <w:szCs w:val="19"/>
              </w:rPr>
              <w:t xml:space="preserve">Patent assertion entities that white-label to OEMs</w:t>
            </w:r>
          </w:p>
          <w:p>
            <w:pPr>
              <w:pStyle w:val="ListParagraph"/>
              <w:numPr>
                <w:ilvl w:val="0"/>
                <w:numId w:val="2"/>
              </w:numPr>
              <w:spacing w:after="40" w:before="40"/>
            </w:pPr>
            <w:r>
              <w:rPr>
                <w:rFonts w:ascii="Arial" w:cs="Arial" w:eastAsia="Arial" w:hAnsi="Arial"/>
                <w:color w:val="1A3E5C"/>
                <w:sz w:val="19"/>
                <w:szCs w:val="19"/>
              </w:rPr>
              <w:t xml:space="preserve">Conference outreach: LES Annual, IPBC Global</w:t>
            </w:r>
          </w:p>
          <w:p>
            <w:pPr>
              <w:pStyle w:val="ListParagraph"/>
              <w:numPr>
                <w:ilvl w:val="0"/>
                <w:numId w:val="2"/>
              </w:numPr>
              <w:spacing w:after="40" w:before="40"/>
            </w:pPr>
            <w:r>
              <w:rPr>
                <w:rFonts w:ascii="Arial" w:cs="Arial" w:eastAsia="Arial" w:hAnsi="Arial"/>
                <w:color w:val="1A3E5C"/>
                <w:sz w:val="19"/>
                <w:szCs w:val="19"/>
              </w:rPr>
              <w:t xml:space="preserve">LinkedIn: 'VP Patent Licensing', 'Head of IP Monetization' at tech companies</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Open with the product-mapping story: which competitor SKUs and which claim limitations match</w:t>
            </w:r>
          </w:p>
          <w:p>
            <w:pPr>
              <w:pStyle w:val="ListParagraph"/>
              <w:numPr>
                <w:ilvl w:val="0"/>
                <w:numId w:val="2"/>
              </w:numPr>
              <w:spacing w:after="40" w:before="40"/>
            </w:pPr>
            <w:r>
              <w:rPr>
                <w:rFonts w:ascii="Arial" w:cs="Arial" w:eastAsia="Arial" w:hAnsi="Arial"/>
                <w:color w:val="1A3E5C"/>
                <w:sz w:val="19"/>
                <w:szCs w:val="19"/>
              </w:rPr>
              <w:t xml:space="preserve">Provide or offer to provide a preliminary EoU chart or claim-charting summary</w:t>
            </w:r>
          </w:p>
          <w:p>
            <w:pPr>
              <w:pStyle w:val="ListParagraph"/>
              <w:numPr>
                <w:ilvl w:val="0"/>
                <w:numId w:val="2"/>
              </w:numPr>
              <w:spacing w:after="40" w:before="40"/>
            </w:pPr>
            <w:r>
              <w:rPr>
                <w:rFonts w:ascii="Arial" w:cs="Arial" w:eastAsia="Arial" w:hAnsi="Arial"/>
                <w:color w:val="1A3E5C"/>
                <w:sz w:val="19"/>
                <w:szCs w:val="19"/>
              </w:rPr>
              <w:t xml:space="preserve">Quantify addressable market: number of potential licensees, estimated royalty base</w:t>
            </w:r>
          </w:p>
          <w:p>
            <w:pPr>
              <w:pStyle w:val="ListParagraph"/>
              <w:numPr>
                <w:ilvl w:val="0"/>
                <w:numId w:val="2"/>
              </w:numPr>
              <w:spacing w:after="40" w:before="40"/>
            </w:pPr>
            <w:r>
              <w:rPr>
                <w:rFonts w:ascii="Arial" w:cs="Arial" w:eastAsia="Arial" w:hAnsi="Arial"/>
                <w:color w:val="1A3E5C"/>
                <w:sz w:val="19"/>
                <w:szCs w:val="19"/>
              </w:rPr>
              <w:t xml:space="preserve">Highlight survived-challenge history prominently — de-risks their investment</w:t>
            </w:r>
          </w:p>
          <w:p>
            <w:pPr>
              <w:pStyle w:val="ListParagraph"/>
              <w:numPr>
                <w:ilvl w:val="0"/>
                <w:numId w:val="2"/>
              </w:numPr>
              <w:spacing w:after="40" w:before="40"/>
            </w:pPr>
            <w:r>
              <w:rPr>
                <w:rFonts w:ascii="Arial" w:cs="Arial" w:eastAsia="Arial" w:hAnsi="Arial"/>
                <w:color w:val="1A3E5C"/>
                <w:sz w:val="19"/>
                <w:szCs w:val="19"/>
              </w:rPr>
              <w:t xml:space="preserve">Be prepared for rapid due diligence turnaround; OC-OFF buyers move faster than DEF</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Four US granted patents covering OFDMA resource allocation in dense wireless deployments — claim charts already mapped to three Tier-1 router and access point product lines, external detectability confirmed via FCC filings, all families survived reexamination. Actionable licensing program available from day one of ownership transfer.</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375623"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NPE-LIC</w:t>
            </w:r>
          </w:p>
          <w:p>
            <w:pPr>
              <w:jc w:val="center"/>
            </w:pPr>
            <w:r>
              <w:rPr>
                <w:rFonts w:ascii="Arial" w:cs="Arial" w:eastAsia="Arial" w:hAnsi="Arial"/>
                <w:b/>
                <w:bCs/>
                <w:color w:val="FFFFFF"/>
                <w:sz w:val="18"/>
                <w:szCs w:val="18"/>
              </w:rPr>
              <w:t xml:space="preserve">NPE — LIC</w:t>
            </w:r>
          </w:p>
        </w:tc>
        <w:tc>
          <w:tcPr>
            <w:tcBorders>
              <w:top w:val="nil"/>
              <w:left w:val="nil"/>
              <w:bottom w:val="nil"/>
              <w:right w:val="nil"/>
            </w:tcBorders>
            <w:shd w:fill="548235" w:val="clear"/>
            <w:tcMar>
              <w:top w:type="dxa" w:w="140"/>
              <w:left w:type="dxa" w:w="220"/>
              <w:bottom w:type="dxa" w:w="140"/>
              <w:right w:type="dxa" w:w="220"/>
            </w:tcMar>
          </w:tcPr>
          <w:p>
            <w:r>
              <w:rPr>
                <w:rFonts w:ascii="Arial" w:cs="Arial" w:eastAsia="Arial" w:hAnsi="Arial"/>
                <w:b/>
                <w:bCs/>
                <w:color w:val="FFFFFF"/>
                <w:sz w:val="30"/>
                <w:szCs w:val="30"/>
              </w:rPr>
              <w:t xml:space="preserve">Non-Practicing Entity — Licensing-First</w:t>
            </w:r>
          </w:p>
          <w:p>
            <w:pPr>
              <w:spacing w:before="60"/>
            </w:pPr>
            <w:r>
              <w:rPr>
                <w:rFonts w:ascii="Arial" w:cs="Arial" w:eastAsia="Arial" w:hAnsi="Arial"/>
                <w:i/>
                <w:iCs/>
                <w:color w:val="D9E8F5"/>
                <w:sz w:val="20"/>
                <w:szCs w:val="20"/>
              </w:rPr>
              <w:t xml:space="preserve">Volume licensors running structured royalty programs across industries</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Patent licensing companies (Acacia Research, InterDigital, IP Bridge)</w:t>
            </w:r>
          </w:p>
          <w:p>
            <w:pPr>
              <w:pStyle w:val="ListParagraph"/>
              <w:numPr>
                <w:ilvl w:val="0"/>
                <w:numId w:val="2"/>
              </w:numPr>
              <w:spacing w:after="40" w:before="40"/>
            </w:pPr>
            <w:r>
              <w:rPr>
                <w:rFonts w:ascii="Arial" w:cs="Arial" w:eastAsia="Arial" w:hAnsi="Arial"/>
                <w:color w:val="222222"/>
                <w:sz w:val="19"/>
                <w:szCs w:val="19"/>
              </w:rPr>
              <w:t xml:space="preserve">University-spin-out licensing arms</w:t>
            </w:r>
          </w:p>
          <w:p>
            <w:pPr>
              <w:pStyle w:val="ListParagraph"/>
              <w:numPr>
                <w:ilvl w:val="0"/>
                <w:numId w:val="2"/>
              </w:numPr>
              <w:spacing w:after="40" w:before="40"/>
            </w:pPr>
            <w:r>
              <w:rPr>
                <w:rFonts w:ascii="Arial" w:cs="Arial" w:eastAsia="Arial" w:hAnsi="Arial"/>
                <w:color w:val="222222"/>
                <w:sz w:val="19"/>
                <w:szCs w:val="19"/>
              </w:rPr>
              <w:t xml:space="preserve">Former OEM patent portfolios carved out for licensing</w:t>
            </w:r>
          </w:p>
          <w:p>
            <w:pPr>
              <w:pStyle w:val="ListParagraph"/>
              <w:numPr>
                <w:ilvl w:val="0"/>
                <w:numId w:val="2"/>
              </w:numPr>
              <w:spacing w:after="40" w:before="40"/>
            </w:pPr>
            <w:r>
              <w:rPr>
                <w:rFonts w:ascii="Arial" w:cs="Arial" w:eastAsia="Arial" w:hAnsi="Arial"/>
                <w:color w:val="222222"/>
                <w:sz w:val="19"/>
                <w:szCs w:val="19"/>
              </w:rPr>
              <w:t xml:space="preserve">Inventor-founded licensing entities</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Generate recurring royalty revenue through structured licensing campaigns. Buy patents with broad claims that read on multiple independent companies across an industry.</w:t>
            </w:r>
          </w:p>
          <w:p>
            <w:pPr>
              <w:spacing w:before="80"/>
            </w:pPr>
            <w:r>
              <w:rPr>
                <w:rFonts w:ascii="Arial" w:cs="Arial" w:eastAsia="Arial" w:hAnsi="Arial"/>
                <w:i/>
                <w:iCs/>
                <w:color w:val="2E75B6"/>
                <w:sz w:val="19"/>
                <w:szCs w:val="19"/>
              </w:rPr>
              <w:t xml:space="preserve">Goal: Maximum addressable licensee pool — broad claims, multiple targets, long enough term to run multiple licensing rounds.</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C2 — Claim Breadth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Broad genus claims license to more companies; narrow picture claims limit the pool to one architecture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D3 — Reads-on-Products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Need to confirm which product categories infringe before building a licensing program</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G3 — Cross-Industry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The same claim reading on telecom, automotive, and IoT triples the addressable licensee pool</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Longer term = more licensing rounds = higher total return; &lt;5 years limits campaign duration</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I3 — Adjacent Re-Read</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Adjacent market applicability extends the campaign beyond the primary industry</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Weak claims invite IPR challenges that kill the program mid-execution</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Broad independent claims covering a technical genus (C2 = 2–3)</w:t>
            </w:r>
          </w:p>
          <w:p>
            <w:pPr>
              <w:pStyle w:val="ListParagraph"/>
              <w:numPr>
                <w:ilvl w:val="0"/>
                <w:numId w:val="2"/>
              </w:numPr>
              <w:spacing w:after="40" w:before="40"/>
            </w:pPr>
            <w:r>
              <w:rPr>
                <w:rFonts w:ascii="Arial" w:cs="Arial" w:eastAsia="Arial" w:hAnsi="Arial"/>
                <w:color w:val="1D4714"/>
                <w:sz w:val="19"/>
                <w:szCs w:val="19"/>
              </w:rPr>
              <w:t xml:space="preserve">Multiple independent companies infringe — not one dominant player</w:t>
            </w:r>
          </w:p>
          <w:p>
            <w:pPr>
              <w:pStyle w:val="ListParagraph"/>
              <w:numPr>
                <w:ilvl w:val="0"/>
                <w:numId w:val="2"/>
              </w:numPr>
              <w:spacing w:after="40" w:before="40"/>
            </w:pPr>
            <w:r>
              <w:rPr>
                <w:rFonts w:ascii="Arial" w:cs="Arial" w:eastAsia="Arial" w:hAnsi="Arial"/>
                <w:color w:val="1D4714"/>
                <w:sz w:val="19"/>
                <w:szCs w:val="19"/>
              </w:rPr>
              <w:t xml:space="preserve">Cross-industry applicability: telecom + automotive + industrial IoT, etc.</w:t>
            </w:r>
          </w:p>
          <w:p>
            <w:pPr>
              <w:pStyle w:val="ListParagraph"/>
              <w:numPr>
                <w:ilvl w:val="0"/>
                <w:numId w:val="2"/>
              </w:numPr>
              <w:spacing w:after="40" w:before="40"/>
            </w:pPr>
            <w:r>
              <w:rPr>
                <w:rFonts w:ascii="Arial" w:cs="Arial" w:eastAsia="Arial" w:hAnsi="Arial"/>
                <w:color w:val="1D4714"/>
                <w:sz w:val="19"/>
                <w:szCs w:val="19"/>
              </w:rPr>
              <w:t xml:space="preserve">Adjacent re-read potential in at least one adjacent market (I3 ≥ 2)</w:t>
            </w:r>
          </w:p>
          <w:p>
            <w:pPr>
              <w:pStyle w:val="ListParagraph"/>
              <w:numPr>
                <w:ilvl w:val="0"/>
                <w:numId w:val="2"/>
              </w:numPr>
              <w:spacing w:after="40" w:before="40"/>
            </w:pPr>
            <w:r>
              <w:rPr>
                <w:rFonts w:ascii="Arial" w:cs="Arial" w:eastAsia="Arial" w:hAnsi="Arial"/>
                <w:color w:val="1D4714"/>
                <w:sz w:val="19"/>
                <w:szCs w:val="19"/>
              </w:rPr>
              <w:t xml:space="preserve">Remaining term allows at least 2 full licensing rounds (&gt;6 years)</w:t>
            </w:r>
          </w:p>
          <w:p>
            <w:pPr>
              <w:pStyle w:val="ListParagraph"/>
              <w:numPr>
                <w:ilvl w:val="0"/>
                <w:numId w:val="2"/>
              </w:numPr>
              <w:spacing w:after="40" w:before="40"/>
            </w:pPr>
            <w:r>
              <w:rPr>
                <w:rFonts w:ascii="Arial" w:cs="Arial" w:eastAsia="Arial" w:hAnsi="Arial"/>
                <w:color w:val="1D4714"/>
                <w:sz w:val="19"/>
                <w:szCs w:val="19"/>
              </w:rPr>
              <w:t xml:space="preserve">Implementation maturity: technology is productized and widespread</w:t>
            </w:r>
          </w:p>
          <w:p>
            <w:pPr>
              <w:pStyle w:val="ListParagraph"/>
              <w:numPr>
                <w:ilvl w:val="0"/>
                <w:numId w:val="2"/>
              </w:numPr>
              <w:spacing w:after="40" w:before="40"/>
            </w:pPr>
            <w:r>
              <w:rPr>
                <w:rFonts w:ascii="Arial" w:cs="Arial" w:eastAsia="Arial" w:hAnsi="Arial"/>
                <w:color w:val="1D4714"/>
                <w:sz w:val="19"/>
                <w:szCs w:val="19"/>
              </w:rPr>
              <w:t xml:space="preserve">Reasonable prior-art profile — not trivially IPR-able</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Narrow picture claims that only cover one company's specific architecture</w:t>
            </w:r>
          </w:p>
          <w:p>
            <w:pPr>
              <w:pStyle w:val="ListParagraph"/>
              <w:numPr>
                <w:ilvl w:val="0"/>
                <w:numId w:val="2"/>
              </w:numPr>
              <w:spacing w:after="40" w:before="40"/>
            </w:pPr>
            <w:r>
              <w:rPr>
                <w:rFonts w:ascii="Arial" w:cs="Arial" w:eastAsia="Arial" w:hAnsi="Arial"/>
                <w:color w:val="7B0000"/>
                <w:sz w:val="19"/>
                <w:szCs w:val="19"/>
              </w:rPr>
              <w:t xml:space="preserve">Short remaining term (&lt;4 years) limiting campaign windows</w:t>
            </w:r>
          </w:p>
          <w:p>
            <w:pPr>
              <w:pStyle w:val="ListParagraph"/>
              <w:numPr>
                <w:ilvl w:val="0"/>
                <w:numId w:val="2"/>
              </w:numPr>
              <w:spacing w:after="40" w:before="40"/>
            </w:pPr>
            <w:r>
              <w:rPr>
                <w:rFonts w:ascii="Arial" w:cs="Arial" w:eastAsia="Arial" w:hAnsi="Arial"/>
                <w:color w:val="7B0000"/>
                <w:sz w:val="19"/>
                <w:szCs w:val="19"/>
              </w:rPr>
              <w:t xml:space="preserve">High prior-art exposure (H2 = 0–1) — any licensee can run a PTAB challenge</w:t>
            </w:r>
          </w:p>
          <w:p>
            <w:pPr>
              <w:pStyle w:val="ListParagraph"/>
              <w:numPr>
                <w:ilvl w:val="0"/>
                <w:numId w:val="2"/>
              </w:numPr>
              <w:spacing w:after="40" w:before="40"/>
            </w:pPr>
            <w:r>
              <w:rPr>
                <w:rFonts w:ascii="Arial" w:cs="Arial" w:eastAsia="Arial" w:hAnsi="Arial"/>
                <w:color w:val="7B0000"/>
                <w:sz w:val="19"/>
                <w:szCs w:val="19"/>
              </w:rPr>
              <w:t xml:space="preserve">Encumbrances or existing licenses that reduce the available licensee pool</w:t>
            </w:r>
          </w:p>
          <w:p>
            <w:pPr>
              <w:pStyle w:val="ListParagraph"/>
              <w:numPr>
                <w:ilvl w:val="0"/>
                <w:numId w:val="2"/>
              </w:numPr>
              <w:spacing w:after="40" w:before="40"/>
            </w:pPr>
            <w:r>
              <w:rPr>
                <w:rFonts w:ascii="Arial" w:cs="Arial" w:eastAsia="Arial" w:hAnsi="Arial"/>
                <w:color w:val="7B0000"/>
                <w:sz w:val="19"/>
                <w:szCs w:val="19"/>
              </w:rPr>
              <w:t xml:space="preserve">FRAND/SEP obligations constraining royalty rates</w:t>
            </w:r>
          </w:p>
          <w:p>
            <w:pPr>
              <w:pStyle w:val="ListParagraph"/>
              <w:numPr>
                <w:ilvl w:val="0"/>
                <w:numId w:val="2"/>
              </w:numPr>
              <w:spacing w:after="40" w:before="40"/>
            </w:pPr>
            <w:r>
              <w:rPr>
                <w:rFonts w:ascii="Arial" w:cs="Arial" w:eastAsia="Arial" w:hAnsi="Arial"/>
                <w:color w:val="7B0000"/>
                <w:sz w:val="19"/>
                <w:szCs w:val="19"/>
              </w:rPr>
              <w:t xml:space="preserve">Technology not yet widely deployed — no products to read on yet</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17 — Cross-Industry (G3 ≥ 2)</w:t>
            </w:r>
          </w:p>
          <w:p>
            <w:pPr>
              <w:pStyle w:val="ListParagraph"/>
              <w:numPr>
                <w:ilvl w:val="0"/>
                <w:numId w:val="2"/>
              </w:numPr>
              <w:spacing w:after="40" w:before="40"/>
            </w:pPr>
            <w:r>
              <w:rPr>
                <w:rFonts w:ascii="Arial" w:cs="Arial" w:eastAsia="Arial" w:hAnsi="Arial"/>
                <w:color w:val="222222"/>
                <w:sz w:val="19"/>
                <w:szCs w:val="19"/>
              </w:rPr>
              <w:t xml:space="preserve">Bundle 30 — Adjacent-Industry Re-Read (I3 ≥ 2 + G3 ≥ 2)</w:t>
            </w:r>
          </w:p>
          <w:p>
            <w:pPr>
              <w:pStyle w:val="ListParagraph"/>
              <w:numPr>
                <w:ilvl w:val="0"/>
                <w:numId w:val="2"/>
              </w:numPr>
              <w:spacing w:after="40" w:before="40"/>
            </w:pPr>
            <w:r>
              <w:rPr>
                <w:rFonts w:ascii="Arial" w:cs="Arial" w:eastAsia="Arial" w:hAnsi="Arial"/>
                <w:color w:val="222222"/>
                <w:sz w:val="19"/>
                <w:szCs w:val="19"/>
              </w:rPr>
              <w:t xml:space="preserve">Bundle 5 — Use-Case (shared problem across industries)</w:t>
            </w:r>
          </w:p>
          <w:p>
            <w:pPr>
              <w:pStyle w:val="ListParagraph"/>
              <w:numPr>
                <w:ilvl w:val="0"/>
                <w:numId w:val="2"/>
              </w:numPr>
              <w:spacing w:after="40" w:before="40"/>
            </w:pPr>
            <w:r>
              <w:rPr>
                <w:rFonts w:ascii="Arial" w:cs="Arial" w:eastAsia="Arial" w:hAnsi="Arial"/>
                <w:color w:val="222222"/>
                <w:sz w:val="19"/>
                <w:szCs w:val="19"/>
              </w:rPr>
              <w:t xml:space="preserve">Bundle 16 — Foundational + Improvement (genus + specific implementations)</w:t>
            </w:r>
          </w:p>
          <w:p>
            <w:pPr>
              <w:pStyle w:val="ListParagraph"/>
              <w:numPr>
                <w:ilvl w:val="0"/>
                <w:numId w:val="2"/>
              </w:numPr>
              <w:spacing w:after="40" w:before="40"/>
            </w:pPr>
            <w:r>
              <w:rPr>
                <w:rFonts w:ascii="Arial" w:cs="Arial" w:eastAsia="Arial" w:hAnsi="Arial"/>
                <w:color w:val="222222"/>
                <w:sz w:val="19"/>
                <w:szCs w:val="19"/>
              </w:rPr>
              <w:t xml:space="preserve">Bundle 25 — Continuation-Live (shape claims to match new product generations)</w:t>
            </w:r>
          </w:p>
          <w:p>
            <w:pPr>
              <w:pStyle w:val="ListParagraph"/>
              <w:numPr>
                <w:ilvl w:val="0"/>
                <w:numId w:val="2"/>
              </w:numPr>
              <w:spacing w:after="40" w:before="40"/>
            </w:pPr>
            <w:r>
              <w:rPr>
                <w:rFonts w:ascii="Arial" w:cs="Arial" w:eastAsia="Arial" w:hAnsi="Arial"/>
                <w:color w:val="222222"/>
                <w:sz w:val="19"/>
                <w:szCs w:val="19"/>
              </w:rPr>
              <w:t xml:space="preserve">Bundle 22 — Anchor-and-Halo (lead patent plus supporting family members)</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Business development register. Use 'licensing program', 'addressable royalty base', 'multi-industry applicability', 'broad claim coverage', 'continuation optionality'. Quantify the licensee universe. Avoid litigation language — NPE-LIC buyers prefer to settle without litigation.</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IAM Market — primary sourcing channel for licensing-first NPEs</w:t>
            </w:r>
          </w:p>
          <w:p>
            <w:pPr>
              <w:pStyle w:val="ListParagraph"/>
              <w:numPr>
                <w:ilvl w:val="0"/>
                <w:numId w:val="2"/>
              </w:numPr>
              <w:spacing w:after="40" w:before="40"/>
            </w:pPr>
            <w:r>
              <w:rPr>
                <w:rFonts w:ascii="Arial" w:cs="Arial" w:eastAsia="Arial" w:hAnsi="Arial"/>
                <w:color w:val="1A3E5C"/>
                <w:sz w:val="19"/>
                <w:szCs w:val="19"/>
              </w:rPr>
              <w:t xml:space="preserve">Direct outreach to licensing VP/Directors at known licensing entities</w:t>
            </w:r>
          </w:p>
          <w:p>
            <w:pPr>
              <w:pStyle w:val="ListParagraph"/>
              <w:numPr>
                <w:ilvl w:val="0"/>
                <w:numId w:val="2"/>
              </w:numPr>
              <w:spacing w:after="40" w:before="40"/>
            </w:pPr>
            <w:r>
              <w:rPr>
                <w:rFonts w:ascii="Arial" w:cs="Arial" w:eastAsia="Arial" w:hAnsi="Arial"/>
                <w:color w:val="1A3E5C"/>
                <w:sz w:val="19"/>
                <w:szCs w:val="19"/>
              </w:rPr>
              <w:t xml:space="preserve">Patent auctions: Ocean Tomo Live Auction, Richardson Oliver</w:t>
            </w:r>
          </w:p>
          <w:p>
            <w:pPr>
              <w:pStyle w:val="ListParagraph"/>
              <w:numPr>
                <w:ilvl w:val="0"/>
                <w:numId w:val="2"/>
              </w:numPr>
              <w:spacing w:after="40" w:before="40"/>
            </w:pPr>
            <w:r>
              <w:rPr>
                <w:rFonts w:ascii="Arial" w:cs="Arial" w:eastAsia="Arial" w:hAnsi="Arial"/>
                <w:color w:val="1A3E5C"/>
                <w:sz w:val="19"/>
                <w:szCs w:val="19"/>
              </w:rPr>
              <w:t xml:space="preserve">IP brokerage firms: Acuitas, AQUA IP, ThinkFire</w:t>
            </w:r>
          </w:p>
          <w:p>
            <w:pPr>
              <w:pStyle w:val="ListParagraph"/>
              <w:numPr>
                <w:ilvl w:val="0"/>
                <w:numId w:val="2"/>
              </w:numPr>
              <w:spacing w:after="40" w:before="40"/>
            </w:pPr>
            <w:r>
              <w:rPr>
                <w:rFonts w:ascii="Arial" w:cs="Arial" w:eastAsia="Arial" w:hAnsi="Arial"/>
                <w:color w:val="1A3E5C"/>
                <w:sz w:val="19"/>
                <w:szCs w:val="19"/>
              </w:rPr>
              <w:t xml:space="preserve">LES Annual Conference and IAM Patent Summit</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Open with the licensee universe map: estimated number of companies that read on the claims</w:t>
            </w:r>
          </w:p>
          <w:p>
            <w:pPr>
              <w:pStyle w:val="ListParagraph"/>
              <w:numPr>
                <w:ilvl w:val="0"/>
                <w:numId w:val="2"/>
              </w:numPr>
              <w:spacing w:after="40" w:before="40"/>
            </w:pPr>
            <w:r>
              <w:rPr>
                <w:rFonts w:ascii="Arial" w:cs="Arial" w:eastAsia="Arial" w:hAnsi="Arial"/>
                <w:color w:val="1A3E5C"/>
                <w:sz w:val="19"/>
                <w:szCs w:val="19"/>
              </w:rPr>
              <w:t xml:space="preserve">Provide cross-industry applicability analysis showing secondary markets</w:t>
            </w:r>
          </w:p>
          <w:p>
            <w:pPr>
              <w:pStyle w:val="ListParagraph"/>
              <w:numPr>
                <w:ilvl w:val="0"/>
                <w:numId w:val="2"/>
              </w:numPr>
              <w:spacing w:after="40" w:before="40"/>
            </w:pPr>
            <w:r>
              <w:rPr>
                <w:rFonts w:ascii="Arial" w:cs="Arial" w:eastAsia="Arial" w:hAnsi="Arial"/>
                <w:color w:val="1A3E5C"/>
                <w:sz w:val="19"/>
                <w:szCs w:val="19"/>
              </w:rPr>
              <w:t xml:space="preserve">Highlight continuation optionality — live continuations are a major premium driver</w:t>
            </w:r>
          </w:p>
          <w:p>
            <w:pPr>
              <w:pStyle w:val="ListParagraph"/>
              <w:numPr>
                <w:ilvl w:val="0"/>
                <w:numId w:val="2"/>
              </w:numPr>
              <w:spacing w:after="40" w:before="40"/>
            </w:pPr>
            <w:r>
              <w:rPr>
                <w:rFonts w:ascii="Arial" w:cs="Arial" w:eastAsia="Arial" w:hAnsi="Arial"/>
                <w:color w:val="1A3E5C"/>
                <w:sz w:val="19"/>
                <w:szCs w:val="19"/>
              </w:rPr>
              <w:t xml:space="preserve">Show claim breadth analysis: compare independent claim word count vs. industry median</w:t>
            </w:r>
          </w:p>
          <w:p>
            <w:pPr>
              <w:pStyle w:val="ListParagraph"/>
              <w:numPr>
                <w:ilvl w:val="0"/>
                <w:numId w:val="2"/>
              </w:numPr>
              <w:spacing w:after="40" w:before="40"/>
            </w:pPr>
            <w:r>
              <w:rPr>
                <w:rFonts w:ascii="Arial" w:cs="Arial" w:eastAsia="Arial" w:hAnsi="Arial"/>
                <w:color w:val="1A3E5C"/>
                <w:sz w:val="19"/>
                <w:szCs w:val="19"/>
              </w:rPr>
              <w:t xml:space="preserve">De-risk IPR exposure: provide prior-art search summary or prosecution history notes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Twelve granted US patents covering multi-antenna beamforming management across Wi-Fi, cellular, and satellite link budgets — broad method and apparatus claims readable on access points, CPEs, and mobile handsets from dozens of manufacturers, two live continuation families allowing claim tailoring to next-generation 6GHz deployments. Ideal anchor for a multi-year structured licensing program.</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843C0C"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NPE-LIT</w:t>
            </w:r>
          </w:p>
          <w:p>
            <w:pPr>
              <w:jc w:val="center"/>
            </w:pPr>
            <w:r>
              <w:rPr>
                <w:rFonts w:ascii="Arial" w:cs="Arial" w:eastAsia="Arial" w:hAnsi="Arial"/>
                <w:b/>
                <w:bCs/>
                <w:color w:val="FFFFFF"/>
                <w:sz w:val="18"/>
                <w:szCs w:val="18"/>
              </w:rPr>
              <w:t xml:space="preserve">NPE — LIT</w:t>
            </w:r>
          </w:p>
        </w:tc>
        <w:tc>
          <w:tcPr>
            <w:tcBorders>
              <w:top w:val="nil"/>
              <w:left w:val="nil"/>
              <w:bottom w:val="nil"/>
              <w:right w:val="nil"/>
            </w:tcBorders>
            <w:shd w:fill="C55A11" w:val="clear"/>
            <w:tcMar>
              <w:top w:type="dxa" w:w="140"/>
              <w:left w:type="dxa" w:w="220"/>
              <w:bottom w:type="dxa" w:w="140"/>
              <w:right w:type="dxa" w:w="220"/>
            </w:tcMar>
          </w:tcPr>
          <w:p>
            <w:r>
              <w:rPr>
                <w:rFonts w:ascii="Arial" w:cs="Arial" w:eastAsia="Arial" w:hAnsi="Arial"/>
                <w:b/>
                <w:bCs/>
                <w:color w:val="FFFFFF"/>
                <w:sz w:val="30"/>
                <w:szCs w:val="30"/>
              </w:rPr>
              <w:t xml:space="preserve">Non-Practicing Entity — Litigation-Funded</w:t>
            </w:r>
          </w:p>
          <w:p>
            <w:pPr>
              <w:spacing w:before="60"/>
            </w:pPr>
            <w:r>
              <w:rPr>
                <w:rFonts w:ascii="Arial" w:cs="Arial" w:eastAsia="Arial" w:hAnsi="Arial"/>
                <w:i/>
                <w:iCs/>
                <w:color w:val="D9E8F5"/>
                <w:sz w:val="20"/>
                <w:szCs w:val="20"/>
              </w:rPr>
              <w:t xml:space="preserve">High-conviction litigants targeting identifiable defendants</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Litigation-model NPEs (Acacia operating companies, Longbow IP, Lamplight Licensing)</w:t>
            </w:r>
          </w:p>
          <w:p>
            <w:pPr>
              <w:pStyle w:val="ListParagraph"/>
              <w:numPr>
                <w:ilvl w:val="0"/>
                <w:numId w:val="2"/>
              </w:numPr>
              <w:spacing w:after="40" w:before="40"/>
            </w:pPr>
            <w:r>
              <w:rPr>
                <w:rFonts w:ascii="Arial" w:cs="Arial" w:eastAsia="Arial" w:hAnsi="Arial"/>
                <w:color w:val="222222"/>
                <w:sz w:val="19"/>
                <w:szCs w:val="19"/>
              </w:rPr>
              <w:t xml:space="preserve">Single-purpose assertion vehicles with litigation funding backing</w:t>
            </w:r>
          </w:p>
          <w:p>
            <w:pPr>
              <w:pStyle w:val="ListParagraph"/>
              <w:numPr>
                <w:ilvl w:val="0"/>
                <w:numId w:val="2"/>
              </w:numPr>
              <w:spacing w:after="40" w:before="40"/>
            </w:pPr>
            <w:r>
              <w:rPr>
                <w:rFonts w:ascii="Arial" w:cs="Arial" w:eastAsia="Arial" w:hAnsi="Arial"/>
                <w:color w:val="222222"/>
                <w:sz w:val="19"/>
                <w:szCs w:val="19"/>
              </w:rPr>
              <w:t xml:space="preserve">IP holding companies managing a litigation docket</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Buy patents with a clear, demonstrable read on a named defendant's product, existing EoU evidence, and claims that can survive IPR — then litigate or threaten to litigate to a settlement.</w:t>
            </w:r>
          </w:p>
          <w:p>
            <w:pPr>
              <w:spacing w:before="80"/>
            </w:pPr>
            <w:r>
              <w:rPr>
                <w:rFonts w:ascii="Arial" w:cs="Arial" w:eastAsia="Arial" w:hAnsi="Arial"/>
                <w:i/>
                <w:iCs/>
                <w:color w:val="2E75B6"/>
                <w:sz w:val="19"/>
                <w:szCs w:val="19"/>
              </w:rPr>
              <w:t xml:space="preserve">Goal: One clear defendant, one credible infringement read, one strong anchor patent — fast to case, fast to settlement.</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H9 — EoU Availability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Full EoU chart already mapped to a named product is a near-requirement; building one is expensive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H7 — Litigation History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Survived challenge means the validity argument is already won — removes the biggest litigation risk</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D1/D2 — Detectability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External detectability means infringement can be established from public evidence, not discovery</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Claim strength must be high enough to survive the IPR counterattack that always follows assertion</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Remaining term of 2–7 years is ideal: short enough to create urgency, long enough to run a case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H4 — Divided Infringement</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Single-actor claims are essential; divided-infringement claims typically cannot be asserted</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Full EoU claim chart available, mapped to a named shipping product</w:t>
            </w:r>
          </w:p>
          <w:p>
            <w:pPr>
              <w:pStyle w:val="ListParagraph"/>
              <w:numPr>
                <w:ilvl w:val="0"/>
                <w:numId w:val="2"/>
              </w:numPr>
              <w:spacing w:after="40" w:before="40"/>
            </w:pPr>
            <w:r>
              <w:rPr>
                <w:rFonts w:ascii="Arial" w:cs="Arial" w:eastAsia="Arial" w:hAnsi="Arial"/>
                <w:color w:val="1D4714"/>
                <w:sz w:val="19"/>
                <w:szCs w:val="19"/>
              </w:rPr>
              <w:t xml:space="preserve">Survived IPR, PTAB, or district court validity challenge</w:t>
            </w:r>
          </w:p>
          <w:p>
            <w:pPr>
              <w:pStyle w:val="ListParagraph"/>
              <w:numPr>
                <w:ilvl w:val="0"/>
                <w:numId w:val="2"/>
              </w:numPr>
              <w:spacing w:after="40" w:before="40"/>
            </w:pPr>
            <w:r>
              <w:rPr>
                <w:rFonts w:ascii="Arial" w:cs="Arial" w:eastAsia="Arial" w:hAnsi="Arial"/>
                <w:color w:val="1D4714"/>
                <w:sz w:val="19"/>
                <w:szCs w:val="19"/>
              </w:rPr>
              <w:t xml:space="preserve">Externally detectable infringement (D1 ≥ 3) — no forensic access needed</w:t>
            </w:r>
          </w:p>
          <w:p>
            <w:pPr>
              <w:pStyle w:val="ListParagraph"/>
              <w:numPr>
                <w:ilvl w:val="0"/>
                <w:numId w:val="2"/>
              </w:numPr>
              <w:spacing w:after="40" w:before="40"/>
            </w:pPr>
            <w:r>
              <w:rPr>
                <w:rFonts w:ascii="Arial" w:cs="Arial" w:eastAsia="Arial" w:hAnsi="Arial"/>
                <w:color w:val="1D4714"/>
                <w:sz w:val="19"/>
                <w:szCs w:val="19"/>
              </w:rPr>
              <w:t xml:space="preserve">Single-actor method or apparatus claims (H4 = 3)</w:t>
            </w:r>
          </w:p>
          <w:p>
            <w:pPr>
              <w:pStyle w:val="ListParagraph"/>
              <w:numPr>
                <w:ilvl w:val="0"/>
                <w:numId w:val="2"/>
              </w:numPr>
              <w:spacing w:after="40" w:before="40"/>
            </w:pPr>
            <w:r>
              <w:rPr>
                <w:rFonts w:ascii="Arial" w:cs="Arial" w:eastAsia="Arial" w:hAnsi="Arial"/>
                <w:color w:val="1D4714"/>
                <w:sz w:val="19"/>
                <w:szCs w:val="19"/>
              </w:rPr>
              <w:t xml:space="preserve">Remaining term in the 2–8 year sweet spot</w:t>
            </w:r>
          </w:p>
          <w:p>
            <w:pPr>
              <w:pStyle w:val="ListParagraph"/>
              <w:numPr>
                <w:ilvl w:val="0"/>
                <w:numId w:val="2"/>
              </w:numPr>
              <w:spacing w:after="40" w:before="40"/>
            </w:pPr>
            <w:r>
              <w:rPr>
                <w:rFonts w:ascii="Arial" w:cs="Arial" w:eastAsia="Arial" w:hAnsi="Arial"/>
                <w:color w:val="1D4714"/>
                <w:sz w:val="19"/>
                <w:szCs w:val="19"/>
              </w:rPr>
              <w:t xml:space="preserve">Prior litigation or licensing correspondence establishes awareness</w:t>
            </w:r>
          </w:p>
          <w:p>
            <w:pPr>
              <w:pStyle w:val="ListParagraph"/>
              <w:numPr>
                <w:ilvl w:val="0"/>
                <w:numId w:val="2"/>
              </w:numPr>
              <w:spacing w:after="40" w:before="40"/>
            </w:pPr>
            <w:r>
              <w:rPr>
                <w:rFonts w:ascii="Arial" w:cs="Arial" w:eastAsia="Arial" w:hAnsi="Arial"/>
                <w:color w:val="1D4714"/>
                <w:sz w:val="19"/>
                <w:szCs w:val="19"/>
              </w:rPr>
              <w:t xml:space="preserve">Clean title from original assignee — no chain complications</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No EoU chart and no clear defendant mapping</w:t>
            </w:r>
          </w:p>
          <w:p>
            <w:pPr>
              <w:pStyle w:val="ListParagraph"/>
              <w:numPr>
                <w:ilvl w:val="0"/>
                <w:numId w:val="2"/>
              </w:numPr>
              <w:spacing w:after="40" w:before="40"/>
            </w:pPr>
            <w:r>
              <w:rPr>
                <w:rFonts w:ascii="Arial" w:cs="Arial" w:eastAsia="Arial" w:hAnsi="Arial"/>
                <w:color w:val="7B0000"/>
                <w:sz w:val="19"/>
                <w:szCs w:val="19"/>
              </w:rPr>
              <w:t xml:space="preserve">Pending IPR with uncertain outcome — can kill the case mid-litigation</w:t>
            </w:r>
          </w:p>
          <w:p>
            <w:pPr>
              <w:pStyle w:val="ListParagraph"/>
              <w:numPr>
                <w:ilvl w:val="0"/>
                <w:numId w:val="2"/>
              </w:numPr>
              <w:spacing w:after="40" w:before="40"/>
            </w:pPr>
            <w:r>
              <w:rPr>
                <w:rFonts w:ascii="Arial" w:cs="Arial" w:eastAsia="Arial" w:hAnsi="Arial"/>
                <w:color w:val="7B0000"/>
                <w:sz w:val="19"/>
                <w:szCs w:val="19"/>
              </w:rPr>
              <w:t xml:space="preserve">Divided infringement risk (H4 ≤ 1) — unenforceable</w:t>
            </w:r>
          </w:p>
          <w:p>
            <w:pPr>
              <w:pStyle w:val="ListParagraph"/>
              <w:numPr>
                <w:ilvl w:val="0"/>
                <w:numId w:val="2"/>
              </w:numPr>
              <w:spacing w:after="40" w:before="40"/>
            </w:pPr>
            <w:r>
              <w:rPr>
                <w:rFonts w:ascii="Arial" w:cs="Arial" w:eastAsia="Arial" w:hAnsi="Arial"/>
                <w:color w:val="7B0000"/>
                <w:sz w:val="19"/>
                <w:szCs w:val="19"/>
              </w:rPr>
              <w:t xml:space="preserve">Claim scope too narrow to survive defendant's design-around mid-case</w:t>
            </w:r>
          </w:p>
          <w:p>
            <w:pPr>
              <w:pStyle w:val="ListParagraph"/>
              <w:numPr>
                <w:ilvl w:val="0"/>
                <w:numId w:val="2"/>
              </w:numPr>
              <w:spacing w:after="40" w:before="40"/>
            </w:pPr>
            <w:r>
              <w:rPr>
                <w:rFonts w:ascii="Arial" w:cs="Arial" w:eastAsia="Arial" w:hAnsi="Arial"/>
                <w:color w:val="7B0000"/>
                <w:sz w:val="19"/>
                <w:szCs w:val="19"/>
              </w:rPr>
              <w:t xml:space="preserve">Multiple existing licenses that reduce damages exposure</w:t>
            </w:r>
          </w:p>
          <w:p>
            <w:pPr>
              <w:pStyle w:val="ListParagraph"/>
              <w:numPr>
                <w:ilvl w:val="0"/>
                <w:numId w:val="2"/>
              </w:numPr>
              <w:spacing w:after="40" w:before="40"/>
            </w:pPr>
            <w:r>
              <w:rPr>
                <w:rFonts w:ascii="Arial" w:cs="Arial" w:eastAsia="Arial" w:hAnsi="Arial"/>
                <w:color w:val="7B0000"/>
                <w:sz w:val="19"/>
                <w:szCs w:val="19"/>
              </w:rPr>
              <w:t xml:space="preserve">Encumbrances limiting which companies can be targeted</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26 — EoU-Backed/Litigation-Ready</w:t>
            </w:r>
          </w:p>
          <w:p>
            <w:pPr>
              <w:pStyle w:val="ListParagraph"/>
              <w:numPr>
                <w:ilvl w:val="0"/>
                <w:numId w:val="2"/>
              </w:numPr>
              <w:spacing w:after="40" w:before="40"/>
            </w:pPr>
            <w:r>
              <w:rPr>
                <w:rFonts w:ascii="Arial" w:cs="Arial" w:eastAsia="Arial" w:hAnsi="Arial"/>
                <w:color w:val="222222"/>
                <w:sz w:val="19"/>
                <w:szCs w:val="19"/>
              </w:rPr>
              <w:t xml:space="preserve">Bundle 27 — Survived-Challenge/Battle-Tested</w:t>
            </w:r>
          </w:p>
          <w:p>
            <w:pPr>
              <w:pStyle w:val="ListParagraph"/>
              <w:numPr>
                <w:ilvl w:val="0"/>
                <w:numId w:val="2"/>
              </w:numPr>
              <w:spacing w:after="40" w:before="40"/>
            </w:pPr>
            <w:r>
              <w:rPr>
                <w:rFonts w:ascii="Arial" w:cs="Arial" w:eastAsia="Arial" w:hAnsi="Arial"/>
                <w:color w:val="222222"/>
                <w:sz w:val="19"/>
                <w:szCs w:val="19"/>
              </w:rPr>
              <w:t xml:space="preserve">Bundle 12 — Detectability</w:t>
            </w:r>
          </w:p>
          <w:p>
            <w:pPr>
              <w:pStyle w:val="ListParagraph"/>
              <w:numPr>
                <w:ilvl w:val="0"/>
                <w:numId w:val="2"/>
              </w:numPr>
              <w:spacing w:after="40" w:before="40"/>
            </w:pPr>
            <w:r>
              <w:rPr>
                <w:rFonts w:ascii="Arial" w:cs="Arial" w:eastAsia="Arial" w:hAnsi="Arial"/>
                <w:color w:val="222222"/>
                <w:sz w:val="19"/>
                <w:szCs w:val="19"/>
              </w:rPr>
              <w:t xml:space="preserve">Bundle 32 — Pre-Expiry/Last-Window (2–4 year sweet spot)</w:t>
            </w:r>
          </w:p>
          <w:p>
            <w:pPr>
              <w:pStyle w:val="ListParagraph"/>
              <w:numPr>
                <w:ilvl w:val="0"/>
                <w:numId w:val="2"/>
              </w:numPr>
              <w:spacing w:after="40" w:before="40"/>
            </w:pPr>
            <w:r>
              <w:rPr>
                <w:rFonts w:ascii="Arial" w:cs="Arial" w:eastAsia="Arial" w:hAnsi="Arial"/>
                <w:color w:val="222222"/>
                <w:sz w:val="19"/>
                <w:szCs w:val="19"/>
              </w:rPr>
              <w:t xml:space="preserve">Bundle 22 — Anchor-and-Halo (one strong anchor + halo for damages breadth)</w:t>
            </w:r>
          </w:p>
          <w:p>
            <w:pPr>
              <w:pStyle w:val="ListParagraph"/>
              <w:numPr>
                <w:ilvl w:val="0"/>
                <w:numId w:val="2"/>
              </w:numPr>
              <w:spacing w:after="40" w:before="40"/>
            </w:pPr>
            <w:r>
              <w:rPr>
                <w:rFonts w:ascii="Arial" w:cs="Arial" w:eastAsia="Arial" w:hAnsi="Arial"/>
                <w:color w:val="222222"/>
                <w:sz w:val="19"/>
                <w:szCs w:val="19"/>
              </w:rPr>
              <w:t xml:space="preserve">Bundle 28 — Clean-Chain-of-Title</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Transactional and precise. Use 'litigation-ready', 'defendant-mapped', 'EoU-backed', 'survived IPR', 'single-actor claim', 'enforcement window'. Name the technology, not the company. Quantify the damages exposure frame. Be specific about claim elements that establish infringement.</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IAM Market — NPE-LIT buyers actively browse for assertion-ready assets</w:t>
            </w:r>
          </w:p>
          <w:p>
            <w:pPr>
              <w:pStyle w:val="ListParagraph"/>
              <w:numPr>
                <w:ilvl w:val="0"/>
                <w:numId w:val="2"/>
              </w:numPr>
              <w:spacing w:after="40" w:before="40"/>
            </w:pPr>
            <w:r>
              <w:rPr>
                <w:rFonts w:ascii="Arial" w:cs="Arial" w:eastAsia="Arial" w:hAnsi="Arial"/>
                <w:color w:val="1A3E5C"/>
                <w:sz w:val="19"/>
                <w:szCs w:val="19"/>
              </w:rPr>
              <w:t xml:space="preserve">Direct outreach to IP holding company counsel</w:t>
            </w:r>
          </w:p>
          <w:p>
            <w:pPr>
              <w:pStyle w:val="ListParagraph"/>
              <w:numPr>
                <w:ilvl w:val="0"/>
                <w:numId w:val="2"/>
              </w:numPr>
              <w:spacing w:after="40" w:before="40"/>
            </w:pPr>
            <w:r>
              <w:rPr>
                <w:rFonts w:ascii="Arial" w:cs="Arial" w:eastAsia="Arial" w:hAnsi="Arial"/>
                <w:color w:val="1A3E5C"/>
                <w:sz w:val="19"/>
                <w:szCs w:val="19"/>
              </w:rPr>
              <w:t xml:space="preserve">Patent litigation finance firms who can identify acquisition targets</w:t>
            </w:r>
          </w:p>
          <w:p>
            <w:pPr>
              <w:pStyle w:val="ListParagraph"/>
              <w:numPr>
                <w:ilvl w:val="0"/>
                <w:numId w:val="2"/>
              </w:numPr>
              <w:spacing w:after="40" w:before="40"/>
            </w:pPr>
            <w:r>
              <w:rPr>
                <w:rFonts w:ascii="Arial" w:cs="Arial" w:eastAsia="Arial" w:hAnsi="Arial"/>
                <w:color w:val="1A3E5C"/>
                <w:sz w:val="19"/>
                <w:szCs w:val="19"/>
              </w:rPr>
              <w:t xml:space="preserve">Unified Patents market intelligence (identifies active assertion entities)</w:t>
            </w:r>
          </w:p>
          <w:p>
            <w:pPr>
              <w:pStyle w:val="ListParagraph"/>
              <w:numPr>
                <w:ilvl w:val="0"/>
                <w:numId w:val="2"/>
              </w:numPr>
              <w:spacing w:after="40" w:before="40"/>
            </w:pPr>
            <w:r>
              <w:rPr>
                <w:rFonts w:ascii="Arial" w:cs="Arial" w:eastAsia="Arial" w:hAnsi="Arial"/>
                <w:color w:val="1A3E5C"/>
                <w:sz w:val="19"/>
                <w:szCs w:val="19"/>
              </w:rPr>
              <w:t xml:space="preserve">Conference circuit: IP Dealmakers Forum, Patent Litigation Summit</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Lead with the claim chart summary — what product, what claim limitation, what evidence</w:t>
            </w:r>
          </w:p>
          <w:p>
            <w:pPr>
              <w:pStyle w:val="ListParagraph"/>
              <w:numPr>
                <w:ilvl w:val="0"/>
                <w:numId w:val="2"/>
              </w:numPr>
              <w:spacing w:after="40" w:before="40"/>
            </w:pPr>
            <w:r>
              <w:rPr>
                <w:rFonts w:ascii="Arial" w:cs="Arial" w:eastAsia="Arial" w:hAnsi="Arial"/>
                <w:color w:val="1A3E5C"/>
                <w:sz w:val="19"/>
                <w:szCs w:val="19"/>
              </w:rPr>
              <w:t xml:space="preserve">State the IPR-survived or clean-prosecution status in the first paragraph</w:t>
            </w:r>
          </w:p>
          <w:p>
            <w:pPr>
              <w:pStyle w:val="ListParagraph"/>
              <w:numPr>
                <w:ilvl w:val="0"/>
                <w:numId w:val="2"/>
              </w:numPr>
              <w:spacing w:after="40" w:before="40"/>
            </w:pPr>
            <w:r>
              <w:rPr>
                <w:rFonts w:ascii="Arial" w:cs="Arial" w:eastAsia="Arial" w:hAnsi="Arial"/>
                <w:color w:val="1A3E5C"/>
                <w:sz w:val="19"/>
                <w:szCs w:val="19"/>
              </w:rPr>
              <w:t xml:space="preserve">Provide a clear enforcement timeline estimate (filing to settlement window)</w:t>
            </w:r>
          </w:p>
          <w:p>
            <w:pPr>
              <w:pStyle w:val="ListParagraph"/>
              <w:numPr>
                <w:ilvl w:val="0"/>
                <w:numId w:val="2"/>
              </w:numPr>
              <w:spacing w:after="40" w:before="40"/>
            </w:pPr>
            <w:r>
              <w:rPr>
                <w:rFonts w:ascii="Arial" w:cs="Arial" w:eastAsia="Arial" w:hAnsi="Arial"/>
                <w:color w:val="1A3E5C"/>
                <w:sz w:val="19"/>
                <w:szCs w:val="19"/>
              </w:rPr>
              <w:t xml:space="preserve">Be ready to provide chain-of-title documentation immediately</w:t>
            </w:r>
          </w:p>
          <w:p>
            <w:pPr>
              <w:pStyle w:val="ListParagraph"/>
              <w:numPr>
                <w:ilvl w:val="0"/>
                <w:numId w:val="2"/>
              </w:numPr>
              <w:spacing w:after="40" w:before="40"/>
            </w:pPr>
            <w:r>
              <w:rPr>
                <w:rFonts w:ascii="Arial" w:cs="Arial" w:eastAsia="Arial" w:hAnsi="Arial"/>
                <w:color w:val="1A3E5C"/>
                <w:sz w:val="19"/>
                <w:szCs w:val="19"/>
              </w:rPr>
              <w:t xml:space="preserve">Litigation funders are often co-buyers — frame as a co-investment opportunity if applicable</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Three US granted apparatus patents covering power delivery negotiation in USB-C port controllers — full EoU charts map claim elements directly to teardown evidence from two leading device OEMs, all families survived inter partes reexamination in 2021, external detectability confirmed from FCC-posted compliance documentation. Ready to file.</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0070C0"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DEF-AGG</w:t>
            </w:r>
          </w:p>
          <w:p>
            <w:pPr>
              <w:jc w:val="center"/>
            </w:pPr>
            <w:r>
              <w:rPr>
                <w:rFonts w:ascii="Arial" w:cs="Arial" w:eastAsia="Arial" w:hAnsi="Arial"/>
                <w:b/>
                <w:bCs/>
                <w:color w:val="FFFFFF"/>
                <w:sz w:val="18"/>
                <w:szCs w:val="18"/>
              </w:rPr>
              <w:t xml:space="preserve">DEF-AGG</w:t>
            </w:r>
          </w:p>
        </w:tc>
        <w:tc>
          <w:tcPr>
            <w:tcBorders>
              <w:top w:val="nil"/>
              <w:left w:val="nil"/>
              <w:bottom w:val="nil"/>
              <w:right w:val="nil"/>
            </w:tcBorders>
            <w:shd w:fill="00B0F0" w:val="clear"/>
            <w:tcMar>
              <w:top w:type="dxa" w:w="140"/>
              <w:left w:type="dxa" w:w="220"/>
              <w:bottom w:type="dxa" w:w="140"/>
              <w:right w:type="dxa" w:w="220"/>
            </w:tcMar>
          </w:tcPr>
          <w:p>
            <w:r>
              <w:rPr>
                <w:rFonts w:ascii="Arial" w:cs="Arial" w:eastAsia="Arial" w:hAnsi="Arial"/>
                <w:b/>
                <w:bCs/>
                <w:color w:val="FFFFFF"/>
                <w:sz w:val="30"/>
                <w:szCs w:val="30"/>
              </w:rPr>
              <w:t xml:space="preserve">Defensive Aggregator</w:t>
            </w:r>
          </w:p>
          <w:p>
            <w:pPr>
              <w:spacing w:before="60"/>
            </w:pPr>
            <w:r>
              <w:rPr>
                <w:rFonts w:ascii="Arial" w:cs="Arial" w:eastAsia="Arial" w:hAnsi="Arial"/>
                <w:i/>
                <w:iCs/>
                <w:color w:val="D9E8F5"/>
                <w:sz w:val="20"/>
                <w:szCs w:val="20"/>
              </w:rPr>
              <w:t xml:space="preserve">Shield providers protecting corporate members from NPE exposure</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RPX Corporation</w:t>
            </w:r>
          </w:p>
          <w:p>
            <w:pPr>
              <w:pStyle w:val="ListParagraph"/>
              <w:numPr>
                <w:ilvl w:val="0"/>
                <w:numId w:val="2"/>
              </w:numPr>
              <w:spacing w:after="40" w:before="40"/>
            </w:pPr>
            <w:r>
              <w:rPr>
                <w:rFonts w:ascii="Arial" w:cs="Arial" w:eastAsia="Arial" w:hAnsi="Arial"/>
                <w:color w:val="222222"/>
                <w:sz w:val="19"/>
                <w:szCs w:val="19"/>
              </w:rPr>
              <w:t xml:space="preserve">Open Invention Network (OIN)</w:t>
            </w:r>
          </w:p>
          <w:p>
            <w:pPr>
              <w:pStyle w:val="ListParagraph"/>
              <w:numPr>
                <w:ilvl w:val="0"/>
                <w:numId w:val="2"/>
              </w:numPr>
              <w:spacing w:after="40" w:before="40"/>
            </w:pPr>
            <w:r>
              <w:rPr>
                <w:rFonts w:ascii="Arial" w:cs="Arial" w:eastAsia="Arial" w:hAnsi="Arial"/>
                <w:color w:val="222222"/>
                <w:sz w:val="19"/>
                <w:szCs w:val="19"/>
              </w:rPr>
              <w:t xml:space="preserve">LOT Network</w:t>
            </w:r>
          </w:p>
          <w:p>
            <w:pPr>
              <w:pStyle w:val="ListParagraph"/>
              <w:numPr>
                <w:ilvl w:val="0"/>
                <w:numId w:val="2"/>
              </w:numPr>
              <w:spacing w:after="40" w:before="40"/>
            </w:pPr>
            <w:r>
              <w:rPr>
                <w:rFonts w:ascii="Arial" w:cs="Arial" w:eastAsia="Arial" w:hAnsi="Arial"/>
                <w:color w:val="222222"/>
                <w:sz w:val="19"/>
                <w:szCs w:val="19"/>
              </w:rPr>
              <w:t xml:space="preserve">Allied Security Trust (AST)</w:t>
            </w:r>
          </w:p>
          <w:p>
            <w:pPr>
              <w:pStyle w:val="ListParagraph"/>
              <w:numPr>
                <w:ilvl w:val="0"/>
                <w:numId w:val="2"/>
              </w:numPr>
              <w:spacing w:after="40" w:before="40"/>
            </w:pPr>
            <w:r>
              <w:rPr>
                <w:rFonts w:ascii="Arial" w:cs="Arial" w:eastAsia="Arial" w:hAnsi="Arial"/>
                <w:color w:val="222222"/>
                <w:sz w:val="19"/>
                <w:szCs w:val="19"/>
              </w:rPr>
              <w:t xml:space="preserve">Industry consortia with patent defense mandates</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Acquire patents that are actively being asserted against member companies — or that are likely to be asserted — to neutralize the threat by taking them off the market.</w:t>
            </w:r>
          </w:p>
          <w:p>
            <w:pPr>
              <w:spacing w:before="80"/>
            </w:pPr>
            <w:r>
              <w:rPr>
                <w:rFonts w:ascii="Arial" w:cs="Arial" w:eastAsia="Arial" w:hAnsi="Arial"/>
                <w:i/>
                <w:iCs/>
                <w:color w:val="2E75B6"/>
                <w:sz w:val="19"/>
                <w:szCs w:val="19"/>
              </w:rPr>
              <w:t xml:space="preserve">Goal: Volume acquisition of neutralization targets — buy the weapons before the NPE does, or acquire after assertion to settle all members simultaneously.</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D3 — Reads-on-Products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Need to confirm which member company products are at risk; read-on drives the threat assessment</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H8/H10 — Clean Title + No Encumbrances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Must be able to hold and not assert; any existing FRAND obligation is acceptable but encumbrances create complications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H2 — Prior Art Exposure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High invalidity risk is actually acceptable — they can afford to hold weak patents off-market</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Short remaining term is fine for reactive buys; they just need to neutralize the threat window</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C2 — Claim Breadth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Broader claims cover more member companies — higher protection value per dollar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G3 — Cross-Industry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Cross-industry patents threaten more members — prioritized for acquisition</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Patent is actively asserted or in a demand letter campaign against tech companies</w:t>
            </w:r>
          </w:p>
          <w:p>
            <w:pPr>
              <w:pStyle w:val="ListParagraph"/>
              <w:numPr>
                <w:ilvl w:val="0"/>
                <w:numId w:val="2"/>
              </w:numPr>
              <w:spacing w:after="40" w:before="40"/>
            </w:pPr>
            <w:r>
              <w:rPr>
                <w:rFonts w:ascii="Arial" w:cs="Arial" w:eastAsia="Arial" w:hAnsi="Arial"/>
                <w:color w:val="1D4714"/>
                <w:sz w:val="19"/>
                <w:szCs w:val="19"/>
              </w:rPr>
              <w:t xml:space="preserve">Claims read on technology widely deployed among member companies</w:t>
            </w:r>
          </w:p>
          <w:p>
            <w:pPr>
              <w:pStyle w:val="ListParagraph"/>
              <w:numPr>
                <w:ilvl w:val="0"/>
                <w:numId w:val="2"/>
              </w:numPr>
              <w:spacing w:after="40" w:before="40"/>
            </w:pPr>
            <w:r>
              <w:rPr>
                <w:rFonts w:ascii="Arial" w:cs="Arial" w:eastAsia="Arial" w:hAnsi="Arial"/>
                <w:color w:val="1D4714"/>
                <w:sz w:val="19"/>
                <w:szCs w:val="19"/>
              </w:rPr>
              <w:t xml:space="preserve">Seller is an NPE or known assertion entity (threat is real and documented)</w:t>
            </w:r>
          </w:p>
          <w:p>
            <w:pPr>
              <w:pStyle w:val="ListParagraph"/>
              <w:numPr>
                <w:ilvl w:val="0"/>
                <w:numId w:val="2"/>
              </w:numPr>
              <w:spacing w:after="40" w:before="40"/>
            </w:pPr>
            <w:r>
              <w:rPr>
                <w:rFonts w:ascii="Arial" w:cs="Arial" w:eastAsia="Arial" w:hAnsi="Arial"/>
                <w:color w:val="1D4714"/>
                <w:sz w:val="19"/>
                <w:szCs w:val="19"/>
              </w:rPr>
              <w:t xml:space="preserve">Volume lot pricing — DEF-AGGs acquire in bulk to minimize per-member cost</w:t>
            </w:r>
          </w:p>
          <w:p>
            <w:pPr>
              <w:pStyle w:val="ListParagraph"/>
              <w:numPr>
                <w:ilvl w:val="0"/>
                <w:numId w:val="2"/>
              </w:numPr>
              <w:spacing w:after="40" w:before="40"/>
            </w:pPr>
            <w:r>
              <w:rPr>
                <w:rFonts w:ascii="Arial" w:cs="Arial" w:eastAsia="Arial" w:hAnsi="Arial"/>
                <w:color w:val="1D4714"/>
                <w:sz w:val="19"/>
                <w:szCs w:val="19"/>
              </w:rPr>
              <w:t xml:space="preserve">Cross-industry applicability increasing the member company coverage</w:t>
            </w:r>
          </w:p>
          <w:p>
            <w:pPr>
              <w:pStyle w:val="ListParagraph"/>
              <w:numPr>
                <w:ilvl w:val="0"/>
                <w:numId w:val="2"/>
              </w:numPr>
              <w:spacing w:after="40" w:before="40"/>
            </w:pPr>
            <w:r>
              <w:rPr>
                <w:rFonts w:ascii="Arial" w:cs="Arial" w:eastAsia="Arial" w:hAnsi="Arial"/>
                <w:color w:val="1D4714"/>
                <w:sz w:val="19"/>
                <w:szCs w:val="19"/>
              </w:rPr>
              <w:t xml:space="preserve">Weak claims acceptable — they are buying neutralization, not assertion</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Seller is an operating company with ongoing assertion programs (credibility risk)</w:t>
            </w:r>
          </w:p>
          <w:p>
            <w:pPr>
              <w:pStyle w:val="ListParagraph"/>
              <w:numPr>
                <w:ilvl w:val="0"/>
                <w:numId w:val="2"/>
              </w:numPr>
              <w:spacing w:after="40" w:before="40"/>
            </w:pPr>
            <w:r>
              <w:rPr>
                <w:rFonts w:ascii="Arial" w:cs="Arial" w:eastAsia="Arial" w:hAnsi="Arial"/>
                <w:color w:val="7B0000"/>
                <w:sz w:val="19"/>
                <w:szCs w:val="19"/>
              </w:rPr>
              <w:t xml:space="preserve">Encumbrances that prevent the aggregator from freely licensing to all members</w:t>
            </w:r>
          </w:p>
          <w:p>
            <w:pPr>
              <w:pStyle w:val="ListParagraph"/>
              <w:numPr>
                <w:ilvl w:val="0"/>
                <w:numId w:val="2"/>
              </w:numPr>
              <w:spacing w:after="40" w:before="40"/>
            </w:pPr>
            <w:r>
              <w:rPr>
                <w:rFonts w:ascii="Arial" w:cs="Arial" w:eastAsia="Arial" w:hAnsi="Arial"/>
                <w:color w:val="7B0000"/>
                <w:sz w:val="19"/>
                <w:szCs w:val="19"/>
              </w:rPr>
              <w:t xml:space="preserve">Extremely high acquisition price for patents with limited member relevance</w:t>
            </w:r>
          </w:p>
          <w:p>
            <w:pPr>
              <w:pStyle w:val="ListParagraph"/>
              <w:numPr>
                <w:ilvl w:val="0"/>
                <w:numId w:val="2"/>
              </w:numPr>
              <w:spacing w:after="40" w:before="40"/>
            </w:pPr>
            <w:r>
              <w:rPr>
                <w:rFonts w:ascii="Arial" w:cs="Arial" w:eastAsia="Arial" w:hAnsi="Arial"/>
                <w:color w:val="7B0000"/>
                <w:sz w:val="19"/>
                <w:szCs w:val="19"/>
              </w:rPr>
              <w:t xml:space="preserve">Technology domain completely outside any member company's product portfolio</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19 — Defensive/Counter-Assertion (reads on products)</w:t>
            </w:r>
          </w:p>
          <w:p>
            <w:pPr>
              <w:pStyle w:val="ListParagraph"/>
              <w:numPr>
                <w:ilvl w:val="0"/>
                <w:numId w:val="2"/>
              </w:numPr>
              <w:spacing w:after="40" w:before="40"/>
            </w:pPr>
            <w:r>
              <w:rPr>
                <w:rFonts w:ascii="Arial" w:cs="Arial" w:eastAsia="Arial" w:hAnsi="Arial"/>
                <w:color w:val="222222"/>
                <w:sz w:val="19"/>
                <w:szCs w:val="19"/>
              </w:rPr>
              <w:t xml:space="preserve">Bundle 31 — Salvage/Defensive-Volume Lot (volume, lower price)</w:t>
            </w:r>
          </w:p>
          <w:p>
            <w:pPr>
              <w:pStyle w:val="ListParagraph"/>
              <w:numPr>
                <w:ilvl w:val="0"/>
                <w:numId w:val="2"/>
              </w:numPr>
              <w:spacing w:after="40" w:before="40"/>
            </w:pPr>
            <w:r>
              <w:rPr>
                <w:rFonts w:ascii="Arial" w:cs="Arial" w:eastAsia="Arial" w:hAnsi="Arial"/>
                <w:color w:val="222222"/>
                <w:sz w:val="19"/>
                <w:szCs w:val="19"/>
              </w:rPr>
              <w:t xml:space="preserve">Bundle 17 — Cross-Industry (covers more members)</w:t>
            </w:r>
          </w:p>
          <w:p>
            <w:pPr>
              <w:pStyle w:val="ListParagraph"/>
              <w:numPr>
                <w:ilvl w:val="0"/>
                <w:numId w:val="2"/>
              </w:numPr>
              <w:spacing w:after="40" w:before="40"/>
            </w:pPr>
            <w:r>
              <w:rPr>
                <w:rFonts w:ascii="Arial" w:cs="Arial" w:eastAsia="Arial" w:hAnsi="Arial"/>
                <w:color w:val="222222"/>
                <w:sz w:val="19"/>
                <w:szCs w:val="19"/>
              </w:rPr>
              <w:t xml:space="preserve">Bundle 28 — Clean-Chain-of-Title</w:t>
            </w:r>
          </w:p>
          <w:p>
            <w:pPr>
              <w:pStyle w:val="ListParagraph"/>
              <w:numPr>
                <w:ilvl w:val="0"/>
                <w:numId w:val="2"/>
              </w:numPr>
              <w:spacing w:after="40" w:before="40"/>
            </w:pPr>
            <w:r>
              <w:rPr>
                <w:rFonts w:ascii="Arial" w:cs="Arial" w:eastAsia="Arial" w:hAnsi="Arial"/>
                <w:color w:val="222222"/>
                <w:sz w:val="19"/>
                <w:szCs w:val="19"/>
              </w:rPr>
              <w:t xml:space="preserve">Bundle 5 — Use-Case (same threat clustered by problem domain)</w:t>
            </w:r>
          </w:p>
          <w:p>
            <w:pPr>
              <w:pStyle w:val="ListParagraph"/>
              <w:numPr>
                <w:ilvl w:val="0"/>
                <w:numId w:val="2"/>
              </w:numPr>
              <w:spacing w:after="40" w:before="40"/>
            </w:pPr>
            <w:r>
              <w:rPr>
                <w:rFonts w:ascii="Arial" w:cs="Arial" w:eastAsia="Arial" w:hAnsi="Arial"/>
                <w:color w:val="222222"/>
                <w:sz w:val="19"/>
                <w:szCs w:val="19"/>
              </w:rPr>
              <w:t xml:space="preserve">Bundle 15 — Lifecycle/Term (near-expiry is fine for neutralization)</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Neutral and transactional. Use 'neutralization value', 'member company coverage', 'threat landscape', 'defensive acquisition', 'hold and not assert'. Avoid offensive framing entirely. Emphasize breadth of coverage across industries and ease of transfer/hold.</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Direct approach: RPX, OIN, AST, LOT Network each have stated acquisition programs</w:t>
            </w:r>
          </w:p>
          <w:p>
            <w:pPr>
              <w:pStyle w:val="ListParagraph"/>
              <w:numPr>
                <w:ilvl w:val="0"/>
                <w:numId w:val="2"/>
              </w:numPr>
              <w:spacing w:after="40" w:before="40"/>
            </w:pPr>
            <w:r>
              <w:rPr>
                <w:rFonts w:ascii="Arial" w:cs="Arial" w:eastAsia="Arial" w:hAnsi="Arial"/>
                <w:color w:val="1A3E5C"/>
                <w:sz w:val="19"/>
                <w:szCs w:val="19"/>
              </w:rPr>
              <w:t xml:space="preserve">Member company IP counsel who refer at-risk patents to aggregators</w:t>
            </w:r>
          </w:p>
          <w:p>
            <w:pPr>
              <w:pStyle w:val="ListParagraph"/>
              <w:numPr>
                <w:ilvl w:val="0"/>
                <w:numId w:val="2"/>
              </w:numPr>
              <w:spacing w:after="40" w:before="40"/>
            </w:pPr>
            <w:r>
              <w:rPr>
                <w:rFonts w:ascii="Arial" w:cs="Arial" w:eastAsia="Arial" w:hAnsi="Arial"/>
                <w:color w:val="1A3E5C"/>
                <w:sz w:val="19"/>
                <w:szCs w:val="19"/>
              </w:rPr>
              <w:t xml:space="preserve">IAM Market — aggregators monitor listings actively for threat landscape</w:t>
            </w:r>
          </w:p>
          <w:p>
            <w:pPr>
              <w:pStyle w:val="ListParagraph"/>
              <w:numPr>
                <w:ilvl w:val="0"/>
                <w:numId w:val="2"/>
              </w:numPr>
              <w:spacing w:after="40" w:before="40"/>
            </w:pPr>
            <w:r>
              <w:rPr>
                <w:rFonts w:ascii="Arial" w:cs="Arial" w:eastAsia="Arial" w:hAnsi="Arial"/>
                <w:color w:val="1A3E5C"/>
                <w:sz w:val="19"/>
                <w:szCs w:val="19"/>
              </w:rPr>
              <w:t xml:space="preserve">Patent brokerage intermediaries who place assets with aggregators as first right of refusal</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Identify which specific member companies are at risk and frame the threat quantitatively</w:t>
            </w:r>
          </w:p>
          <w:p>
            <w:pPr>
              <w:pStyle w:val="ListParagraph"/>
              <w:numPr>
                <w:ilvl w:val="0"/>
                <w:numId w:val="2"/>
              </w:numPr>
              <w:spacing w:after="40" w:before="40"/>
            </w:pPr>
            <w:r>
              <w:rPr>
                <w:rFonts w:ascii="Arial" w:cs="Arial" w:eastAsia="Arial" w:hAnsi="Arial"/>
                <w:color w:val="1A3E5C"/>
                <w:sz w:val="19"/>
                <w:szCs w:val="19"/>
              </w:rPr>
              <w:t xml:space="preserve">Volume lot pricing (per-patent, not per-bundle) accelerates deal velocity with aggregators</w:t>
            </w:r>
          </w:p>
          <w:p>
            <w:pPr>
              <w:pStyle w:val="ListParagraph"/>
              <w:numPr>
                <w:ilvl w:val="0"/>
                <w:numId w:val="2"/>
              </w:numPr>
              <w:spacing w:after="40" w:before="40"/>
            </w:pPr>
            <w:r>
              <w:rPr>
                <w:rFonts w:ascii="Arial" w:cs="Arial" w:eastAsia="Arial" w:hAnsi="Arial"/>
                <w:color w:val="1A3E5C"/>
                <w:sz w:val="19"/>
                <w:szCs w:val="19"/>
              </w:rPr>
              <w:t xml:space="preserve">RPX and AST move quickly on active-assertion situations — same-week decisions are possible</w:t>
            </w:r>
          </w:p>
          <w:p>
            <w:pPr>
              <w:pStyle w:val="ListParagraph"/>
              <w:numPr>
                <w:ilvl w:val="0"/>
                <w:numId w:val="2"/>
              </w:numPr>
              <w:spacing w:after="40" w:before="40"/>
            </w:pPr>
            <w:r>
              <w:rPr>
                <w:rFonts w:ascii="Arial" w:cs="Arial" w:eastAsia="Arial" w:hAnsi="Arial"/>
                <w:color w:val="1A3E5C"/>
                <w:sz w:val="19"/>
                <w:szCs w:val="19"/>
              </w:rPr>
              <w:t xml:space="preserve">Provide a threat assessment memo: which NPEs are likely to acquire if the aggregator does not</w:t>
            </w:r>
          </w:p>
          <w:p>
            <w:pPr>
              <w:pStyle w:val="ListParagraph"/>
              <w:numPr>
                <w:ilvl w:val="0"/>
                <w:numId w:val="2"/>
              </w:numPr>
              <w:spacing w:after="40" w:before="40"/>
            </w:pPr>
            <w:r>
              <w:rPr>
                <w:rFonts w:ascii="Arial" w:cs="Arial" w:eastAsia="Arial" w:hAnsi="Arial"/>
                <w:color w:val="1A3E5C"/>
                <w:sz w:val="19"/>
                <w:szCs w:val="19"/>
              </w:rPr>
              <w:t xml:space="preserve">OIN specifically covers Linux and open-source adjacent patents — match technology domain carefully</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Fourteen US and EU patents covering adaptive bitrate streaming protocols, currently in active demand letter stage from a known licensing entity — broad method claims read on streaming infrastructure operated by a majority of OIN and RPX member companies. Volume lot pricing available for full portfolio neutralization.</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4B0082"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LIT-FIN</w:t>
            </w:r>
          </w:p>
          <w:p>
            <w:pPr>
              <w:jc w:val="center"/>
            </w:pPr>
            <w:r>
              <w:rPr>
                <w:rFonts w:ascii="Arial" w:cs="Arial" w:eastAsia="Arial" w:hAnsi="Arial"/>
                <w:b/>
                <w:bCs/>
                <w:color w:val="FFFFFF"/>
                <w:sz w:val="18"/>
                <w:szCs w:val="18"/>
              </w:rPr>
              <w:t xml:space="preserve">LIT-FIN</w:t>
            </w:r>
          </w:p>
        </w:tc>
        <w:tc>
          <w:tcPr>
            <w:tcBorders>
              <w:top w:val="nil"/>
              <w:left w:val="nil"/>
              <w:bottom w:val="nil"/>
              <w:right w:val="nil"/>
            </w:tcBorders>
            <w:shd w:fill="7030A0" w:val="clear"/>
            <w:tcMar>
              <w:top w:type="dxa" w:w="140"/>
              <w:left w:type="dxa" w:w="220"/>
              <w:bottom w:type="dxa" w:w="140"/>
              <w:right w:type="dxa" w:w="220"/>
            </w:tcMar>
          </w:tcPr>
          <w:p>
            <w:r>
              <w:rPr>
                <w:rFonts w:ascii="Arial" w:cs="Arial" w:eastAsia="Arial" w:hAnsi="Arial"/>
                <w:b/>
                <w:bCs/>
                <w:color w:val="FFFFFF"/>
                <w:sz w:val="30"/>
                <w:szCs w:val="30"/>
              </w:rPr>
              <w:t xml:space="preserve">Litigation Finance Buyer</w:t>
            </w:r>
          </w:p>
          <w:p>
            <w:pPr>
              <w:spacing w:before="60"/>
            </w:pPr>
            <w:r>
              <w:rPr>
                <w:rFonts w:ascii="Arial" w:cs="Arial" w:eastAsia="Arial" w:hAnsi="Arial"/>
                <w:i/>
                <w:iCs/>
                <w:color w:val="D9E8F5"/>
                <w:sz w:val="20"/>
                <w:szCs w:val="20"/>
              </w:rPr>
              <w:t xml:space="preserve">Return-on-capital investors funding patent assertion as an asset class</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Litigation finance firms (Burford Capital, Bentham IMF, Longford Capital)</w:t>
            </w:r>
          </w:p>
          <w:p>
            <w:pPr>
              <w:pStyle w:val="ListParagraph"/>
              <w:numPr>
                <w:ilvl w:val="0"/>
                <w:numId w:val="2"/>
              </w:numPr>
              <w:spacing w:after="40" w:before="40"/>
            </w:pPr>
            <w:r>
              <w:rPr>
                <w:rFonts w:ascii="Arial" w:cs="Arial" w:eastAsia="Arial" w:hAnsi="Arial"/>
                <w:color w:val="222222"/>
                <w:sz w:val="19"/>
                <w:szCs w:val="19"/>
              </w:rPr>
              <w:t xml:space="preserve">Hedge funds with litigation finance strategies</w:t>
            </w:r>
          </w:p>
          <w:p>
            <w:pPr>
              <w:pStyle w:val="ListParagraph"/>
              <w:numPr>
                <w:ilvl w:val="0"/>
                <w:numId w:val="2"/>
              </w:numPr>
              <w:spacing w:after="40" w:before="40"/>
            </w:pPr>
            <w:r>
              <w:rPr>
                <w:rFonts w:ascii="Arial" w:cs="Arial" w:eastAsia="Arial" w:hAnsi="Arial"/>
                <w:color w:val="222222"/>
                <w:sz w:val="19"/>
                <w:szCs w:val="19"/>
              </w:rPr>
              <w:t xml:space="preserve">Family offices and HNW investors in patent fund vehicles</w:t>
            </w:r>
          </w:p>
          <w:p>
            <w:pPr>
              <w:pStyle w:val="ListParagraph"/>
              <w:numPr>
                <w:ilvl w:val="0"/>
                <w:numId w:val="2"/>
              </w:numPr>
              <w:spacing w:after="40" w:before="40"/>
            </w:pPr>
            <w:r>
              <w:rPr>
                <w:rFonts w:ascii="Arial" w:cs="Arial" w:eastAsia="Arial" w:hAnsi="Arial"/>
                <w:color w:val="222222"/>
                <w:sz w:val="19"/>
                <w:szCs w:val="19"/>
              </w:rPr>
              <w:t xml:space="preserve">NPE operators backed by institutional capital</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Fund or acquire patent assets where the expected litigation settlement or judgment exceeds the acquisition and case-cost by a 3–5x return multiple within 3–5 years.</w:t>
            </w:r>
          </w:p>
          <w:p>
            <w:pPr>
              <w:spacing w:before="80"/>
            </w:pPr>
            <w:r>
              <w:rPr>
                <w:rFonts w:ascii="Arial" w:cs="Arial" w:eastAsia="Arial" w:hAnsi="Arial"/>
                <w:i/>
                <w:iCs/>
                <w:color w:val="2E75B6"/>
                <w:sz w:val="19"/>
                <w:szCs w:val="19"/>
              </w:rPr>
              <w:t xml:space="preserve">Goal: Short-window, high-conviction assertions — single defendant, established infringement, case economics that work at the acquisition price.</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H9 — EoU Availability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Case economics require proof-of-infringement before commitment; no EoU = no funding</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1–5 year term is the sweet spot: urgency for defendant, case completes before expiry</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H7 — Litigation History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Survived challenge dramatically de-risks the invalidity counterclaim — the primary way cases fail</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IPR-vulnerable claims mean the defendant cancels the patent before trial; claim strength is the underwrite variable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D1 — External Detectability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Must be able to prove infringement without relying on discovery or source code access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H2 — Prior Art Exposure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Low prior-art exposure means the IPR defense fails — critical for case survivability</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Full EoU chart available, defendant products identified and still shipping</w:t>
            </w:r>
          </w:p>
          <w:p>
            <w:pPr>
              <w:pStyle w:val="ListParagraph"/>
              <w:numPr>
                <w:ilvl w:val="0"/>
                <w:numId w:val="2"/>
              </w:numPr>
              <w:spacing w:after="40" w:before="40"/>
            </w:pPr>
            <w:r>
              <w:rPr>
                <w:rFonts w:ascii="Arial" w:cs="Arial" w:eastAsia="Arial" w:hAnsi="Arial"/>
                <w:color w:val="1D4714"/>
                <w:sz w:val="19"/>
                <w:szCs w:val="19"/>
              </w:rPr>
              <w:t xml:space="preserve">Remaining term of 1–5 years (urgency + case window)</w:t>
            </w:r>
          </w:p>
          <w:p>
            <w:pPr>
              <w:pStyle w:val="ListParagraph"/>
              <w:numPr>
                <w:ilvl w:val="0"/>
                <w:numId w:val="2"/>
              </w:numPr>
              <w:spacing w:after="40" w:before="40"/>
            </w:pPr>
            <w:r>
              <w:rPr>
                <w:rFonts w:ascii="Arial" w:cs="Arial" w:eastAsia="Arial" w:hAnsi="Arial"/>
                <w:color w:val="1D4714"/>
                <w:sz w:val="19"/>
                <w:szCs w:val="19"/>
              </w:rPr>
              <w:t xml:space="preserve">Survived IPR, CBM, or district court validity challenge</w:t>
            </w:r>
          </w:p>
          <w:p>
            <w:pPr>
              <w:pStyle w:val="ListParagraph"/>
              <w:numPr>
                <w:ilvl w:val="0"/>
                <w:numId w:val="2"/>
              </w:numPr>
              <w:spacing w:after="40" w:before="40"/>
            </w:pPr>
            <w:r>
              <w:rPr>
                <w:rFonts w:ascii="Arial" w:cs="Arial" w:eastAsia="Arial" w:hAnsi="Arial"/>
                <w:color w:val="1D4714"/>
                <w:sz w:val="19"/>
                <w:szCs w:val="19"/>
              </w:rPr>
              <w:t xml:space="preserve">External detectability confirmed — no source-code access needed</w:t>
            </w:r>
          </w:p>
          <w:p>
            <w:pPr>
              <w:pStyle w:val="ListParagraph"/>
              <w:numPr>
                <w:ilvl w:val="0"/>
                <w:numId w:val="2"/>
              </w:numPr>
              <w:spacing w:after="40" w:before="40"/>
            </w:pPr>
            <w:r>
              <w:rPr>
                <w:rFonts w:ascii="Arial" w:cs="Arial" w:eastAsia="Arial" w:hAnsi="Arial"/>
                <w:color w:val="1D4714"/>
                <w:sz w:val="19"/>
                <w:szCs w:val="19"/>
              </w:rPr>
              <w:t xml:space="preserve">Single primary defendant with clear infringing product</w:t>
            </w:r>
          </w:p>
          <w:p>
            <w:pPr>
              <w:pStyle w:val="ListParagraph"/>
              <w:numPr>
                <w:ilvl w:val="0"/>
                <w:numId w:val="2"/>
              </w:numPr>
              <w:spacing w:after="40" w:before="40"/>
            </w:pPr>
            <w:r>
              <w:rPr>
                <w:rFonts w:ascii="Arial" w:cs="Arial" w:eastAsia="Arial" w:hAnsi="Arial"/>
                <w:color w:val="1D4714"/>
                <w:sz w:val="19"/>
                <w:szCs w:val="19"/>
              </w:rPr>
              <w:t xml:space="preserve">Case economics work: damages exposure &gt;&gt; (acquisition + case cost) × 3x return target</w:t>
            </w:r>
          </w:p>
          <w:p>
            <w:pPr>
              <w:pStyle w:val="ListParagraph"/>
              <w:numPr>
                <w:ilvl w:val="0"/>
                <w:numId w:val="2"/>
              </w:numPr>
              <w:spacing w:after="40" w:before="40"/>
            </w:pPr>
            <w:r>
              <w:rPr>
                <w:rFonts w:ascii="Arial" w:cs="Arial" w:eastAsia="Arial" w:hAnsi="Arial"/>
                <w:color w:val="1D4714"/>
                <w:sz w:val="19"/>
                <w:szCs w:val="19"/>
              </w:rPr>
              <w:t xml:space="preserve">Clean title and no FRAND encumbrances</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No clear defendant mapping or EoU evidence</w:t>
            </w:r>
          </w:p>
          <w:p>
            <w:pPr>
              <w:pStyle w:val="ListParagraph"/>
              <w:numPr>
                <w:ilvl w:val="0"/>
                <w:numId w:val="2"/>
              </w:numPr>
              <w:spacing w:after="40" w:before="40"/>
            </w:pPr>
            <w:r>
              <w:rPr>
                <w:rFonts w:ascii="Arial" w:cs="Arial" w:eastAsia="Arial" w:hAnsi="Arial"/>
                <w:color w:val="7B0000"/>
                <w:sz w:val="19"/>
                <w:szCs w:val="19"/>
              </w:rPr>
              <w:t xml:space="preserve">Pending IPR with unknown outcome</w:t>
            </w:r>
          </w:p>
          <w:p>
            <w:pPr>
              <w:pStyle w:val="ListParagraph"/>
              <w:numPr>
                <w:ilvl w:val="0"/>
                <w:numId w:val="2"/>
              </w:numPr>
              <w:spacing w:after="40" w:before="40"/>
            </w:pPr>
            <w:r>
              <w:rPr>
                <w:rFonts w:ascii="Arial" w:cs="Arial" w:eastAsia="Arial" w:hAnsi="Arial"/>
                <w:color w:val="7B0000"/>
                <w:sz w:val="19"/>
                <w:szCs w:val="19"/>
              </w:rPr>
              <w:t xml:space="preserve">Multiple prior licenses that cap damages exposure below case-cost threshold</w:t>
            </w:r>
          </w:p>
          <w:p>
            <w:pPr>
              <w:pStyle w:val="ListParagraph"/>
              <w:numPr>
                <w:ilvl w:val="0"/>
                <w:numId w:val="2"/>
              </w:numPr>
              <w:spacing w:after="40" w:before="40"/>
            </w:pPr>
            <w:r>
              <w:rPr>
                <w:rFonts w:ascii="Arial" w:cs="Arial" w:eastAsia="Arial" w:hAnsi="Arial"/>
                <w:color w:val="7B0000"/>
                <w:sz w:val="19"/>
                <w:szCs w:val="19"/>
              </w:rPr>
              <w:t xml:space="preserve">Divided infringement risk (H4 ≤ 1) — lawsuit cannot be filed</w:t>
            </w:r>
          </w:p>
          <w:p>
            <w:pPr>
              <w:pStyle w:val="ListParagraph"/>
              <w:numPr>
                <w:ilvl w:val="0"/>
                <w:numId w:val="2"/>
              </w:numPr>
              <w:spacing w:after="40" w:before="40"/>
            </w:pPr>
            <w:r>
              <w:rPr>
                <w:rFonts w:ascii="Arial" w:cs="Arial" w:eastAsia="Arial" w:hAnsi="Arial"/>
                <w:color w:val="7B0000"/>
                <w:sz w:val="19"/>
                <w:szCs w:val="19"/>
              </w:rPr>
              <w:t xml:space="preserve">Remaining term &gt; 8 years — too long; or &lt; 1 year — too short</w:t>
            </w:r>
          </w:p>
          <w:p>
            <w:pPr>
              <w:pStyle w:val="ListParagraph"/>
              <w:numPr>
                <w:ilvl w:val="0"/>
                <w:numId w:val="2"/>
              </w:numPr>
              <w:spacing w:after="40" w:before="40"/>
            </w:pPr>
            <w:r>
              <w:rPr>
                <w:rFonts w:ascii="Arial" w:cs="Arial" w:eastAsia="Arial" w:hAnsi="Arial"/>
                <w:color w:val="7B0000"/>
                <w:sz w:val="19"/>
                <w:szCs w:val="19"/>
              </w:rPr>
              <w:t xml:space="preserve">FRAND/SEP encumbrances limiting royalty rates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32 — Pre-Expiry/Last-Window (1–4 year remaining term)</w:t>
            </w:r>
          </w:p>
          <w:p>
            <w:pPr>
              <w:pStyle w:val="ListParagraph"/>
              <w:numPr>
                <w:ilvl w:val="0"/>
                <w:numId w:val="2"/>
              </w:numPr>
              <w:spacing w:after="40" w:before="40"/>
            </w:pPr>
            <w:r>
              <w:rPr>
                <w:rFonts w:ascii="Arial" w:cs="Arial" w:eastAsia="Arial" w:hAnsi="Arial"/>
                <w:color w:val="222222"/>
                <w:sz w:val="19"/>
                <w:szCs w:val="19"/>
              </w:rPr>
              <w:t xml:space="preserve">Bundle 26 — EoU-Backed/Litigation-Ready</w:t>
            </w:r>
          </w:p>
          <w:p>
            <w:pPr>
              <w:pStyle w:val="ListParagraph"/>
              <w:numPr>
                <w:ilvl w:val="0"/>
                <w:numId w:val="2"/>
              </w:numPr>
              <w:spacing w:after="40" w:before="40"/>
            </w:pPr>
            <w:r>
              <w:rPr>
                <w:rFonts w:ascii="Arial" w:cs="Arial" w:eastAsia="Arial" w:hAnsi="Arial"/>
                <w:color w:val="222222"/>
                <w:sz w:val="19"/>
                <w:szCs w:val="19"/>
              </w:rPr>
              <w:t xml:space="preserve">Bundle 27 — Survived-Challenge/Battle-Tested</w:t>
            </w:r>
          </w:p>
          <w:p>
            <w:pPr>
              <w:pStyle w:val="ListParagraph"/>
              <w:numPr>
                <w:ilvl w:val="0"/>
                <w:numId w:val="2"/>
              </w:numPr>
              <w:spacing w:after="40" w:before="40"/>
            </w:pPr>
            <w:r>
              <w:rPr>
                <w:rFonts w:ascii="Arial" w:cs="Arial" w:eastAsia="Arial" w:hAnsi="Arial"/>
                <w:color w:val="222222"/>
                <w:sz w:val="19"/>
                <w:szCs w:val="19"/>
              </w:rPr>
              <w:t xml:space="preserve">Bundle 12 — Detectability</w:t>
            </w:r>
          </w:p>
          <w:p>
            <w:pPr>
              <w:pStyle w:val="ListParagraph"/>
              <w:numPr>
                <w:ilvl w:val="0"/>
                <w:numId w:val="2"/>
              </w:numPr>
              <w:spacing w:after="40" w:before="40"/>
            </w:pPr>
            <w:r>
              <w:rPr>
                <w:rFonts w:ascii="Arial" w:cs="Arial" w:eastAsia="Arial" w:hAnsi="Arial"/>
                <w:color w:val="222222"/>
                <w:sz w:val="19"/>
                <w:szCs w:val="19"/>
              </w:rPr>
              <w:t xml:space="preserve">Bundle 28 — Clean-Chain-of-Title</w:t>
            </w:r>
          </w:p>
          <w:p>
            <w:pPr>
              <w:pStyle w:val="ListParagraph"/>
              <w:numPr>
                <w:ilvl w:val="0"/>
                <w:numId w:val="2"/>
              </w:numPr>
              <w:spacing w:after="40" w:before="40"/>
            </w:pPr>
            <w:r>
              <w:rPr>
                <w:rFonts w:ascii="Arial" w:cs="Arial" w:eastAsia="Arial" w:hAnsi="Arial"/>
                <w:color w:val="222222"/>
                <w:sz w:val="19"/>
                <w:szCs w:val="19"/>
              </w:rPr>
              <w:t xml:space="preserve">Bundle 22 — Anchor-and-Halo (one EoU-backed anchor + supporting patents for damages)</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Finance-first register. Use 'case economics', 'return multiple', 'damages exposure', 'assertion window', 'enforcement readiness', 'portfolio IRR'. Quantify expected royalty rate, damages base, and case timeline. This audience reads deal memos, not patent abstracts.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Burford Capital, Bentham IMF, Longford Capital direct outreach</w:t>
            </w:r>
          </w:p>
          <w:p>
            <w:pPr>
              <w:pStyle w:val="ListParagraph"/>
              <w:numPr>
                <w:ilvl w:val="0"/>
                <w:numId w:val="2"/>
              </w:numPr>
              <w:spacing w:after="40" w:before="40"/>
            </w:pPr>
            <w:r>
              <w:rPr>
                <w:rFonts w:ascii="Arial" w:cs="Arial" w:eastAsia="Arial" w:hAnsi="Arial"/>
                <w:color w:val="1A3E5C"/>
                <w:sz w:val="19"/>
                <w:szCs w:val="19"/>
              </w:rPr>
              <w:t xml:space="preserve">Litigation finance brokers and placement agents</w:t>
            </w:r>
          </w:p>
          <w:p>
            <w:pPr>
              <w:pStyle w:val="ListParagraph"/>
              <w:numPr>
                <w:ilvl w:val="0"/>
                <w:numId w:val="2"/>
              </w:numPr>
              <w:spacing w:after="40" w:before="40"/>
            </w:pPr>
            <w:r>
              <w:rPr>
                <w:rFonts w:ascii="Arial" w:cs="Arial" w:eastAsia="Arial" w:hAnsi="Arial"/>
                <w:color w:val="1A3E5C"/>
                <w:sz w:val="19"/>
                <w:szCs w:val="19"/>
              </w:rPr>
              <w:t xml:space="preserve">Patent analytics firms who advise LitFin funds (Richardson Oliver, Acuitas IP)</w:t>
            </w:r>
          </w:p>
          <w:p>
            <w:pPr>
              <w:pStyle w:val="ListParagraph"/>
              <w:numPr>
                <w:ilvl w:val="0"/>
                <w:numId w:val="2"/>
              </w:numPr>
              <w:spacing w:after="40" w:before="40"/>
            </w:pPr>
            <w:r>
              <w:rPr>
                <w:rFonts w:ascii="Arial" w:cs="Arial" w:eastAsia="Arial" w:hAnsi="Arial"/>
                <w:color w:val="1A3E5C"/>
                <w:sz w:val="19"/>
                <w:szCs w:val="19"/>
              </w:rPr>
              <w:t xml:space="preserve">IP Dealmakers Forum and Patent Litigation Summit conference circuit</w:t>
            </w:r>
          </w:p>
          <w:p>
            <w:pPr>
              <w:pStyle w:val="ListParagraph"/>
              <w:numPr>
                <w:ilvl w:val="0"/>
                <w:numId w:val="2"/>
              </w:numPr>
              <w:spacing w:after="40" w:before="40"/>
            </w:pPr>
            <w:r>
              <w:rPr>
                <w:rFonts w:ascii="Arial" w:cs="Arial" w:eastAsia="Arial" w:hAnsi="Arial"/>
                <w:color w:val="1A3E5C"/>
                <w:sz w:val="19"/>
                <w:szCs w:val="19"/>
              </w:rPr>
              <w:t xml:space="preserve">Law firms with dedicated patent litigation practices who co-refer clients</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Structure the pitch as a case-economics model: acquisition price, estimated case cost, damages exposure, target settlement range</w:t>
            </w:r>
          </w:p>
          <w:p>
            <w:pPr>
              <w:pStyle w:val="ListParagraph"/>
              <w:numPr>
                <w:ilvl w:val="0"/>
                <w:numId w:val="2"/>
              </w:numPr>
              <w:spacing w:after="40" w:before="40"/>
            </w:pPr>
            <w:r>
              <w:rPr>
                <w:rFonts w:ascii="Arial" w:cs="Arial" w:eastAsia="Arial" w:hAnsi="Arial"/>
                <w:color w:val="1A3E5C"/>
                <w:sz w:val="19"/>
                <w:szCs w:val="19"/>
              </w:rPr>
              <w:t xml:space="preserve">Provide remaining term, claim chart summary, and validity opinion summary in the opening package</w:t>
            </w:r>
          </w:p>
          <w:p>
            <w:pPr>
              <w:pStyle w:val="ListParagraph"/>
              <w:numPr>
                <w:ilvl w:val="0"/>
                <w:numId w:val="2"/>
              </w:numPr>
              <w:spacing w:after="40" w:before="40"/>
            </w:pPr>
            <w:r>
              <w:rPr>
                <w:rFonts w:ascii="Arial" w:cs="Arial" w:eastAsia="Arial" w:hAnsi="Arial"/>
                <w:color w:val="1A3E5C"/>
                <w:sz w:val="19"/>
                <w:szCs w:val="19"/>
              </w:rPr>
              <w:t xml:space="preserve">Reference comparable settlements in the same technology space</w:t>
            </w:r>
          </w:p>
          <w:p>
            <w:pPr>
              <w:pStyle w:val="ListParagraph"/>
              <w:numPr>
                <w:ilvl w:val="0"/>
                <w:numId w:val="2"/>
              </w:numPr>
              <w:spacing w:after="40" w:before="40"/>
            </w:pPr>
            <w:r>
              <w:rPr>
                <w:rFonts w:ascii="Arial" w:cs="Arial" w:eastAsia="Arial" w:hAnsi="Arial"/>
                <w:color w:val="1A3E5C"/>
                <w:sz w:val="19"/>
                <w:szCs w:val="19"/>
              </w:rPr>
              <w:t xml:space="preserve">Speed and specificity matter: LitFin buyers have investment committees — package everything in one data room</w:t>
            </w:r>
          </w:p>
          <w:p>
            <w:pPr>
              <w:pStyle w:val="ListParagraph"/>
              <w:numPr>
                <w:ilvl w:val="0"/>
                <w:numId w:val="2"/>
              </w:numPr>
              <w:spacing w:after="40" w:before="40"/>
            </w:pPr>
            <w:r>
              <w:rPr>
                <w:rFonts w:ascii="Arial" w:cs="Arial" w:eastAsia="Arial" w:hAnsi="Arial"/>
                <w:color w:val="1A3E5C"/>
                <w:sz w:val="19"/>
                <w:szCs w:val="19"/>
              </w:rPr>
              <w:t xml:space="preserve">If there are multiple patents, identify the anchor and explain the supporting role of each secondary patent</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Two US patents with 3.5 and 4.2 years of remaining term, fully charted against a leading wearable OEM's heart rate monitoring subsystem, both families survived CBM review, external detectability confirmed from regulatory filings — case economics support a 4x return multiple at the asking price based on comparable wearable licensing settlements.</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003366"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STD-LIC</w:t>
            </w:r>
          </w:p>
          <w:p>
            <w:pPr>
              <w:jc w:val="center"/>
            </w:pPr>
            <w:r>
              <w:rPr>
                <w:rFonts w:ascii="Arial" w:cs="Arial" w:eastAsia="Arial" w:hAnsi="Arial"/>
                <w:b/>
                <w:bCs/>
                <w:color w:val="FFFFFF"/>
                <w:sz w:val="18"/>
                <w:szCs w:val="18"/>
              </w:rPr>
              <w:t xml:space="preserve">STD-LIC</w:t>
            </w:r>
          </w:p>
        </w:tc>
        <w:tc>
          <w:tcPr>
            <w:tcBorders>
              <w:top w:val="nil"/>
              <w:left w:val="nil"/>
              <w:bottom w:val="nil"/>
              <w:right w:val="nil"/>
            </w:tcBorders>
            <w:shd w:fill="005999" w:val="clear"/>
            <w:tcMar>
              <w:top w:type="dxa" w:w="140"/>
              <w:left w:type="dxa" w:w="220"/>
              <w:bottom w:type="dxa" w:w="140"/>
              <w:right w:type="dxa" w:w="220"/>
            </w:tcMar>
          </w:tcPr>
          <w:p>
            <w:r>
              <w:rPr>
                <w:rFonts w:ascii="Arial" w:cs="Arial" w:eastAsia="Arial" w:hAnsi="Arial"/>
                <w:b/>
                <w:bCs/>
                <w:color w:val="FFFFFF"/>
                <w:sz w:val="30"/>
                <w:szCs w:val="30"/>
              </w:rPr>
              <w:t xml:space="preserve">Standards Licensee / SEP Acquirer</w:t>
            </w:r>
          </w:p>
          <w:p>
            <w:pPr>
              <w:spacing w:before="60"/>
            </w:pPr>
            <w:r>
              <w:rPr>
                <w:rFonts w:ascii="Arial" w:cs="Arial" w:eastAsia="Arial" w:hAnsi="Arial"/>
                <w:i/>
                <w:iCs/>
                <w:color w:val="D9E8F5"/>
                <w:sz w:val="20"/>
                <w:szCs w:val="20"/>
              </w:rPr>
              <w:t xml:space="preserve">Standards ecosystem players building FRAND licensing leverage or defense</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Telecom OEMs with declared SEP portfolios (Qualcomm, Ericsson, Nokia, InterDigital)</w:t>
            </w:r>
          </w:p>
          <w:p>
            <w:pPr>
              <w:pStyle w:val="ListParagraph"/>
              <w:numPr>
                <w:ilvl w:val="0"/>
                <w:numId w:val="2"/>
              </w:numPr>
              <w:spacing w:after="40" w:before="40"/>
            </w:pPr>
            <w:r>
              <w:rPr>
                <w:rFonts w:ascii="Arial" w:cs="Arial" w:eastAsia="Arial" w:hAnsi="Arial"/>
                <w:color w:val="222222"/>
                <w:sz w:val="19"/>
                <w:szCs w:val="19"/>
              </w:rPr>
              <w:t xml:space="preserve">Standards licensing platforms acquiring to SEP pool programs</w:t>
            </w:r>
          </w:p>
          <w:p>
            <w:pPr>
              <w:pStyle w:val="ListParagraph"/>
              <w:numPr>
                <w:ilvl w:val="0"/>
                <w:numId w:val="2"/>
              </w:numPr>
              <w:spacing w:after="40" w:before="40"/>
            </w:pPr>
            <w:r>
              <w:rPr>
                <w:rFonts w:ascii="Arial" w:cs="Arial" w:eastAsia="Arial" w:hAnsi="Arial"/>
                <w:color w:val="222222"/>
                <w:sz w:val="19"/>
                <w:szCs w:val="19"/>
              </w:rPr>
              <w:t xml:space="preserve">Companies defending against FRAND licensing demands</w:t>
            </w:r>
          </w:p>
          <w:p>
            <w:pPr>
              <w:pStyle w:val="ListParagraph"/>
              <w:numPr>
                <w:ilvl w:val="0"/>
                <w:numId w:val="2"/>
              </w:numPr>
              <w:spacing w:after="40" w:before="40"/>
            </w:pPr>
            <w:r>
              <w:rPr>
                <w:rFonts w:ascii="Arial" w:cs="Arial" w:eastAsia="Arial" w:hAnsi="Arial"/>
                <w:color w:val="222222"/>
                <w:sz w:val="19"/>
                <w:szCs w:val="19"/>
              </w:rPr>
              <w:t xml:space="preserve">Consortia managing SEP licensing programs (Via LA, HEVC Advance, MPEG LA)</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Acquire SEP-declared or SEP-adjacent patents to build FRAND licensing leverage, enter cross-licensing negotiations, or defend against existing royalty demands in standards-intensive markets.</w:t>
            </w:r>
          </w:p>
          <w:p>
            <w:pPr>
              <w:spacing w:before="80"/>
            </w:pPr>
            <w:r>
              <w:rPr>
                <w:rFonts w:ascii="Arial" w:cs="Arial" w:eastAsia="Arial" w:hAnsi="Arial"/>
                <w:i/>
                <w:iCs/>
                <w:color w:val="2E75B6"/>
                <w:sz w:val="19"/>
                <w:szCs w:val="19"/>
              </w:rPr>
              <w:t xml:space="preserve">Goal: Declared or declarable SEP families with strong essentiality arguments, trilateral coverage, and long remaining term — for licensing program building or cross-licensing offset.</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B1 — SEP Potential</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The core purchase criterion; must score 2–3 to have licensing leverage under FRAND frameworks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B2 — Standard Tagged</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Must know exactly which standard version and clause is implicated; ambiguous essentiality has no leverage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F1/F2 — Jurisdictions + Trilateral</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FRAND licensing runs across all markets; US-only SEP families have limited international reach</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B3 — Interface Role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Claims at mandatory standards interfaces carry higher essentiality weight than peripheral implementations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E4 — Remaining Term</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Standards licensing campaigns run 5–10 years; term must cover the product generation lifecycle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SEP licensees challenge weak claims; claim strength determines how many targets will simply pay vs. dispute</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Declared SEP in ETSI IPR, IEEE-SA, or ITU database (B1 = 3)</w:t>
            </w:r>
          </w:p>
          <w:p>
            <w:pPr>
              <w:pStyle w:val="ListParagraph"/>
              <w:numPr>
                <w:ilvl w:val="0"/>
                <w:numId w:val="2"/>
              </w:numPr>
              <w:spacing w:after="40" w:before="40"/>
            </w:pPr>
            <w:r>
              <w:rPr>
                <w:rFonts w:ascii="Arial" w:cs="Arial" w:eastAsia="Arial" w:hAnsi="Arial"/>
                <w:color w:val="1D4714"/>
                <w:sz w:val="19"/>
                <w:szCs w:val="19"/>
              </w:rPr>
              <w:t xml:space="preserve">Claim language directly mirrors a normative spec section</w:t>
            </w:r>
          </w:p>
          <w:p>
            <w:pPr>
              <w:pStyle w:val="ListParagraph"/>
              <w:numPr>
                <w:ilvl w:val="0"/>
                <w:numId w:val="2"/>
              </w:numPr>
              <w:spacing w:after="40" w:before="40"/>
            </w:pPr>
            <w:r>
              <w:rPr>
                <w:rFonts w:ascii="Arial" w:cs="Arial" w:eastAsia="Arial" w:hAnsi="Arial"/>
                <w:color w:val="1D4714"/>
                <w:sz w:val="19"/>
                <w:szCs w:val="19"/>
              </w:rPr>
              <w:t xml:space="preserve">Trilateral coverage — US, EP, and at least one Asia-Pacific jurisdiction</w:t>
            </w:r>
          </w:p>
          <w:p>
            <w:pPr>
              <w:pStyle w:val="ListParagraph"/>
              <w:numPr>
                <w:ilvl w:val="0"/>
                <w:numId w:val="2"/>
              </w:numPr>
              <w:spacing w:after="40" w:before="40"/>
            </w:pPr>
            <w:r>
              <w:rPr>
                <w:rFonts w:ascii="Arial" w:cs="Arial" w:eastAsia="Arial" w:hAnsi="Arial"/>
                <w:color w:val="1D4714"/>
                <w:sz w:val="19"/>
                <w:szCs w:val="19"/>
              </w:rPr>
              <w:t xml:space="preserve">Claim sits at a mandatory interface between systems (B3 = 3)</w:t>
            </w:r>
          </w:p>
          <w:p>
            <w:pPr>
              <w:pStyle w:val="ListParagraph"/>
              <w:numPr>
                <w:ilvl w:val="0"/>
                <w:numId w:val="2"/>
              </w:numPr>
              <w:spacing w:after="40" w:before="40"/>
            </w:pPr>
            <w:r>
              <w:rPr>
                <w:rFonts w:ascii="Arial" w:cs="Arial" w:eastAsia="Arial" w:hAnsi="Arial"/>
                <w:color w:val="1D4714"/>
                <w:sz w:val="19"/>
                <w:szCs w:val="19"/>
              </w:rPr>
              <w:t xml:space="preserve">Standard is currently active and widely implemented (5G NR, Wi-Fi 6/7, H.265/266, USB PD)</w:t>
            </w:r>
          </w:p>
          <w:p>
            <w:pPr>
              <w:pStyle w:val="ListParagraph"/>
              <w:numPr>
                <w:ilvl w:val="0"/>
                <w:numId w:val="2"/>
              </w:numPr>
              <w:spacing w:after="40" w:before="40"/>
            </w:pPr>
            <w:r>
              <w:rPr>
                <w:rFonts w:ascii="Arial" w:cs="Arial" w:eastAsia="Arial" w:hAnsi="Arial"/>
                <w:color w:val="1D4714"/>
                <w:sz w:val="19"/>
                <w:szCs w:val="19"/>
              </w:rPr>
              <w:t xml:space="preserve">Long remaining term matching the standard's deployment lifecycle (&gt;6 years)</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No SSO declaration and claim language does not directly mirror any normative spec</w:t>
            </w:r>
          </w:p>
          <w:p>
            <w:pPr>
              <w:pStyle w:val="ListParagraph"/>
              <w:numPr>
                <w:ilvl w:val="0"/>
                <w:numId w:val="2"/>
              </w:numPr>
              <w:spacing w:after="40" w:before="40"/>
            </w:pPr>
            <w:r>
              <w:rPr>
                <w:rFonts w:ascii="Arial" w:cs="Arial" w:eastAsia="Arial" w:hAnsi="Arial"/>
                <w:color w:val="7B0000"/>
                <w:sz w:val="19"/>
                <w:szCs w:val="19"/>
              </w:rPr>
              <w:t xml:space="preserve">FRAND obligation already exists with royalty rates locked by prior agreement</w:t>
            </w:r>
          </w:p>
          <w:p>
            <w:pPr>
              <w:pStyle w:val="ListParagraph"/>
              <w:numPr>
                <w:ilvl w:val="0"/>
                <w:numId w:val="2"/>
              </w:numPr>
              <w:spacing w:after="40" w:before="40"/>
            </w:pPr>
            <w:r>
              <w:rPr>
                <w:rFonts w:ascii="Arial" w:cs="Arial" w:eastAsia="Arial" w:hAnsi="Arial"/>
                <w:color w:val="7B0000"/>
                <w:sz w:val="19"/>
                <w:szCs w:val="19"/>
              </w:rPr>
              <w:t xml:space="preserve">Standard is deprecated or transition is underway to a successor spec</w:t>
            </w:r>
          </w:p>
          <w:p>
            <w:pPr>
              <w:pStyle w:val="ListParagraph"/>
              <w:numPr>
                <w:ilvl w:val="0"/>
                <w:numId w:val="2"/>
              </w:numPr>
              <w:spacing w:after="40" w:before="40"/>
            </w:pPr>
            <w:r>
              <w:rPr>
                <w:rFonts w:ascii="Arial" w:cs="Arial" w:eastAsia="Arial" w:hAnsi="Arial"/>
                <w:color w:val="7B0000"/>
                <w:sz w:val="19"/>
                <w:szCs w:val="19"/>
              </w:rPr>
              <w:t xml:space="preserve">Weak claim strength (H1 ≤ 1) — licensees will challenge essentiality and validity simultaneously</w:t>
            </w:r>
          </w:p>
          <w:p>
            <w:pPr>
              <w:pStyle w:val="ListParagraph"/>
              <w:numPr>
                <w:ilvl w:val="0"/>
                <w:numId w:val="2"/>
              </w:numPr>
              <w:spacing w:after="40" w:before="40"/>
            </w:pPr>
            <w:r>
              <w:rPr>
                <w:rFonts w:ascii="Arial" w:cs="Arial" w:eastAsia="Arial" w:hAnsi="Arial"/>
                <w:color w:val="7B0000"/>
                <w:sz w:val="19"/>
                <w:szCs w:val="19"/>
              </w:rPr>
              <w:t xml:space="preserve">US-only coverage for a global licensing program</w:t>
            </w:r>
          </w:p>
          <w:p>
            <w:pPr>
              <w:pStyle w:val="ListParagraph"/>
              <w:numPr>
                <w:ilvl w:val="0"/>
                <w:numId w:val="2"/>
              </w:numPr>
              <w:spacing w:after="40" w:before="40"/>
            </w:pPr>
            <w:r>
              <w:rPr>
                <w:rFonts w:ascii="Arial" w:cs="Arial" w:eastAsia="Arial" w:hAnsi="Arial"/>
                <w:color w:val="7B0000"/>
                <w:sz w:val="19"/>
                <w:szCs w:val="19"/>
              </w:rPr>
              <w:t xml:space="preserve">Divided infringement structure across standards-actor boundaries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2 — SEP (B1 ≥ 2 + B2 populated)</w:t>
            </w:r>
          </w:p>
          <w:p>
            <w:pPr>
              <w:pStyle w:val="ListParagraph"/>
              <w:numPr>
                <w:ilvl w:val="0"/>
                <w:numId w:val="2"/>
              </w:numPr>
              <w:spacing w:after="40" w:before="40"/>
            </w:pPr>
            <w:r>
              <w:rPr>
                <w:rFonts w:ascii="Arial" w:cs="Arial" w:eastAsia="Arial" w:hAnsi="Arial"/>
                <w:color w:val="222222"/>
                <w:sz w:val="19"/>
                <w:szCs w:val="19"/>
              </w:rPr>
              <w:t xml:space="preserve">Bundle 9 — Interoperability (B3 ≥ 2)</w:t>
            </w:r>
          </w:p>
          <w:p>
            <w:pPr>
              <w:pStyle w:val="ListParagraph"/>
              <w:numPr>
                <w:ilvl w:val="0"/>
                <w:numId w:val="2"/>
              </w:numPr>
              <w:spacing w:after="40" w:before="40"/>
            </w:pPr>
            <w:r>
              <w:rPr>
                <w:rFonts w:ascii="Arial" w:cs="Arial" w:eastAsia="Arial" w:hAnsi="Arial"/>
                <w:color w:val="222222"/>
                <w:sz w:val="19"/>
                <w:szCs w:val="19"/>
              </w:rPr>
              <w:t xml:space="preserve">Bundle 13 — Geographic (trilateral coverage)</w:t>
            </w:r>
          </w:p>
          <w:p>
            <w:pPr>
              <w:pStyle w:val="ListParagraph"/>
              <w:numPr>
                <w:ilvl w:val="0"/>
                <w:numId w:val="2"/>
              </w:numPr>
              <w:spacing w:after="40" w:before="40"/>
            </w:pPr>
            <w:r>
              <w:rPr>
                <w:rFonts w:ascii="Arial" w:cs="Arial" w:eastAsia="Arial" w:hAnsi="Arial"/>
                <w:color w:val="222222"/>
                <w:sz w:val="19"/>
                <w:szCs w:val="19"/>
              </w:rPr>
              <w:t xml:space="preserve">Bundle 23 — Picket-Fence (cluster of SEPs covering multiple standard clauses)</w:t>
            </w:r>
          </w:p>
          <w:p>
            <w:pPr>
              <w:pStyle w:val="ListParagraph"/>
              <w:numPr>
                <w:ilvl w:val="0"/>
                <w:numId w:val="2"/>
              </w:numPr>
              <w:spacing w:after="40" w:before="40"/>
            </w:pPr>
            <w:r>
              <w:rPr>
                <w:rFonts w:ascii="Arial" w:cs="Arial" w:eastAsia="Arial" w:hAnsi="Arial"/>
                <w:color w:val="222222"/>
                <w:sz w:val="19"/>
                <w:szCs w:val="19"/>
              </w:rPr>
              <w:t xml:space="preserve">Bundle 10 — Generational Roadmap (legacy + next-gen standard coverage)</w:t>
            </w:r>
          </w:p>
          <w:p>
            <w:pPr>
              <w:pStyle w:val="ListParagraph"/>
              <w:numPr>
                <w:ilvl w:val="0"/>
                <w:numId w:val="2"/>
              </w:numPr>
              <w:spacing w:after="40" w:before="40"/>
            </w:pPr>
            <w:r>
              <w:rPr>
                <w:rFonts w:ascii="Arial" w:cs="Arial" w:eastAsia="Arial" w:hAnsi="Arial"/>
                <w:color w:val="222222"/>
                <w:sz w:val="19"/>
                <w:szCs w:val="19"/>
              </w:rPr>
              <w:t xml:space="preserve">Bundle 16 — Foundational + Improvement (broad SEP + specific implementation claims)</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Technical and standards-precise. Use 'normative essentiality', 'FRAND-obligated', 'declared SEP', 'standard clause mapping', '3GPP TS reference', 'licensing program accretion'. Reference the specific standard by name and version. This buyer will read the claim charts.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Direct outreach to IP licensing divisions at Qualcomm, Ericsson, Nokia, InterDigital</w:t>
            </w:r>
          </w:p>
          <w:p>
            <w:pPr>
              <w:pStyle w:val="ListParagraph"/>
              <w:numPr>
                <w:ilvl w:val="0"/>
                <w:numId w:val="2"/>
              </w:numPr>
              <w:spacing w:after="40" w:before="40"/>
            </w:pPr>
            <w:r>
              <w:rPr>
                <w:rFonts w:ascii="Arial" w:cs="Arial" w:eastAsia="Arial" w:hAnsi="Arial"/>
                <w:color w:val="1A3E5C"/>
                <w:sz w:val="19"/>
                <w:szCs w:val="19"/>
              </w:rPr>
              <w:t xml:space="preserve">Patent pool administrators: MPEG LA, Via LA, HEVC Advance, Avanci</w:t>
            </w:r>
          </w:p>
          <w:p>
            <w:pPr>
              <w:pStyle w:val="ListParagraph"/>
              <w:numPr>
                <w:ilvl w:val="0"/>
                <w:numId w:val="2"/>
              </w:numPr>
              <w:spacing w:after="40" w:before="40"/>
            </w:pPr>
            <w:r>
              <w:rPr>
                <w:rFonts w:ascii="Arial" w:cs="Arial" w:eastAsia="Arial" w:hAnsi="Arial"/>
                <w:color w:val="1A3E5C"/>
                <w:sz w:val="19"/>
                <w:szCs w:val="19"/>
              </w:rPr>
              <w:t xml:space="preserve">SEP analytics firms: IPlytics, Amplified.ai — they track active buyers</w:t>
            </w:r>
          </w:p>
          <w:p>
            <w:pPr>
              <w:pStyle w:val="ListParagraph"/>
              <w:numPr>
                <w:ilvl w:val="0"/>
                <w:numId w:val="2"/>
              </w:numPr>
              <w:spacing w:after="40" w:before="40"/>
            </w:pPr>
            <w:r>
              <w:rPr>
                <w:rFonts w:ascii="Arial" w:cs="Arial" w:eastAsia="Arial" w:hAnsi="Arial"/>
                <w:color w:val="1A3E5C"/>
                <w:sz w:val="19"/>
                <w:szCs w:val="19"/>
              </w:rPr>
              <w:t xml:space="preserve">Standards conferences: 3GPP meetings, IEEE 802 plenary sessions</w:t>
            </w:r>
          </w:p>
          <w:p>
            <w:pPr>
              <w:pStyle w:val="ListParagraph"/>
              <w:numPr>
                <w:ilvl w:val="0"/>
                <w:numId w:val="2"/>
              </w:numPr>
              <w:spacing w:after="40" w:before="40"/>
            </w:pPr>
            <w:r>
              <w:rPr>
                <w:rFonts w:ascii="Arial" w:cs="Arial" w:eastAsia="Arial" w:hAnsi="Arial"/>
                <w:color w:val="1A3E5C"/>
                <w:sz w:val="19"/>
                <w:szCs w:val="19"/>
              </w:rPr>
              <w:t xml:space="preserve">IAM Patent Summit and IP Business Congress</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Lead with the SSO declaration record and the specific standard clause the claims map to</w:t>
            </w:r>
          </w:p>
          <w:p>
            <w:pPr>
              <w:pStyle w:val="ListParagraph"/>
              <w:numPr>
                <w:ilvl w:val="0"/>
                <w:numId w:val="2"/>
              </w:numPr>
              <w:spacing w:after="40" w:before="40"/>
            </w:pPr>
            <w:r>
              <w:rPr>
                <w:rFonts w:ascii="Arial" w:cs="Arial" w:eastAsia="Arial" w:hAnsi="Arial"/>
                <w:color w:val="1A3E5C"/>
                <w:sz w:val="19"/>
                <w:szCs w:val="19"/>
              </w:rPr>
              <w:t xml:space="preserve">Provide or offer to provide an essentiality analysis by a recognized SEP expert</w:t>
            </w:r>
          </w:p>
          <w:p>
            <w:pPr>
              <w:pStyle w:val="ListParagraph"/>
              <w:numPr>
                <w:ilvl w:val="0"/>
                <w:numId w:val="2"/>
              </w:numPr>
              <w:spacing w:after="40" w:before="40"/>
            </w:pPr>
            <w:r>
              <w:rPr>
                <w:rFonts w:ascii="Arial" w:cs="Arial" w:eastAsia="Arial" w:hAnsi="Arial"/>
                <w:color w:val="1A3E5C"/>
                <w:sz w:val="19"/>
                <w:szCs w:val="19"/>
              </w:rPr>
              <w:t xml:space="preserve">Quantify the geographic coverage relative to the standard's deployment markets</w:t>
            </w:r>
          </w:p>
          <w:p>
            <w:pPr>
              <w:pStyle w:val="ListParagraph"/>
              <w:numPr>
                <w:ilvl w:val="0"/>
                <w:numId w:val="2"/>
              </w:numPr>
              <w:spacing w:after="40" w:before="40"/>
            </w:pPr>
            <w:r>
              <w:rPr>
                <w:rFonts w:ascii="Arial" w:cs="Arial" w:eastAsia="Arial" w:hAnsi="Arial"/>
                <w:color w:val="1A3E5C"/>
                <w:sz w:val="19"/>
                <w:szCs w:val="19"/>
              </w:rPr>
              <w:t xml:space="preserve">Show remaining term against the standard's projected lifecycle</w:t>
            </w:r>
          </w:p>
          <w:p>
            <w:pPr>
              <w:pStyle w:val="ListParagraph"/>
              <w:numPr>
                <w:ilvl w:val="0"/>
                <w:numId w:val="2"/>
              </w:numPr>
              <w:spacing w:after="40" w:before="40"/>
            </w:pPr>
            <w:r>
              <w:rPr>
                <w:rFonts w:ascii="Arial" w:cs="Arial" w:eastAsia="Arial" w:hAnsi="Arial"/>
                <w:color w:val="1A3E5C"/>
                <w:sz w:val="19"/>
                <w:szCs w:val="19"/>
              </w:rPr>
              <w:t xml:space="preserve">If no SSO declaration exists, provide a detailed claim-vs-spec mapping to demonstrate potential essentiality</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Six EP and US families declared to ETSI covering uplink HARQ-ACK timing alignment in 5G NR — claim language tracks normative language in 3GPP TS 38.213 clauses 9.1 and 9.2, trilateral coverage across US/EP/JP, essentiality analysis available from a Tier-1 telecom IP firm, remaining term through 2031.</w:t>
            </w:r>
          </w:p>
        </w:tc>
      </w:tr>
    </w:tbl>
    <w:p>
      <w:pPr>
        <w:spacing w:after="0" w:before="0" w:line="400"/>
      </w:pPr>
      <w:r>
        <w:t xml:space="preserve"/>
      </w:r>
    </w:p>
    <w:p>
      <w:pPr>
        <w:pBdr>
          <w:bottom w:val="single" w:color="F0F0F0" w:sz="6" w:space="1"/>
        </w:pBdr>
        <w:spacing w:after="60" w:before="60"/>
      </w:pPr>
      <w:r>
        <w:t xml:space="preserve"/>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1F4E79" w:val="clear"/>
            <w:tcMar>
              <w:top w:type="dxa" w:w="160"/>
              <w:left w:type="dxa" w:w="200"/>
              <w:bottom w:type="dxa" w:w="160"/>
              <w:right w:type="dxa" w:w="200"/>
            </w:tcMar>
            <w:vAlign w:val="center"/>
          </w:tcPr>
          <w:p>
            <w:pPr>
              <w:jc w:val="center"/>
            </w:pPr>
            <w:r>
              <w:rPr>
                <w:rFonts w:ascii="Arial" w:cs="Arial" w:eastAsia="Arial" w:hAnsi="Arial"/>
                <w:b/>
                <w:bCs/>
                <w:color w:val="FFFFFF"/>
                <w:sz w:val="52"/>
                <w:szCs w:val="52"/>
              </w:rPr>
              <w:t xml:space="preserve">IP-FUND</w:t>
            </w:r>
          </w:p>
          <w:p>
            <w:pPr>
              <w:jc w:val="center"/>
            </w:pPr>
            <w:r>
              <w:rPr>
                <w:rFonts w:ascii="Arial" w:cs="Arial" w:eastAsia="Arial" w:hAnsi="Arial"/>
                <w:b/>
                <w:bCs/>
                <w:color w:val="FFFFFF"/>
                <w:sz w:val="18"/>
                <w:szCs w:val="18"/>
              </w:rPr>
              <w:t xml:space="preserve">IP-FUND</w:t>
            </w:r>
          </w:p>
        </w:tc>
        <w:tc>
          <w:tcPr>
            <w:tcBorders>
              <w:top w:val="nil"/>
              <w:left w:val="nil"/>
              <w:bottom w:val="nil"/>
              <w:right w:val="nil"/>
            </w:tcBorders>
            <w:shd w:fill="2E75B6" w:val="clear"/>
            <w:tcMar>
              <w:top w:type="dxa" w:w="140"/>
              <w:left w:type="dxa" w:w="220"/>
              <w:bottom w:type="dxa" w:w="140"/>
              <w:right w:type="dxa" w:w="220"/>
            </w:tcMar>
          </w:tcPr>
          <w:p>
            <w:r>
              <w:rPr>
                <w:rFonts w:ascii="Arial" w:cs="Arial" w:eastAsia="Arial" w:hAnsi="Arial"/>
                <w:b/>
                <w:bCs/>
                <w:color w:val="FFFFFF"/>
                <w:sz w:val="30"/>
                <w:szCs w:val="30"/>
              </w:rPr>
              <w:t xml:space="preserve">Patent Investment Fund / IP-as-an-Asset-Class Buyer</w:t>
            </w:r>
          </w:p>
          <w:p>
            <w:pPr>
              <w:spacing w:before="60"/>
            </w:pPr>
            <w:r>
              <w:rPr>
                <w:rFonts w:ascii="Arial" w:cs="Arial" w:eastAsia="Arial" w:hAnsi="Arial"/>
                <w:i/>
                <w:iCs/>
                <w:color w:val="D9E8F5"/>
                <w:sz w:val="20"/>
                <w:szCs w:val="20"/>
              </w:rPr>
              <w:t xml:space="preserve">Portfolio investors optimizing risk-adjusted returns across patent asset classes</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Organization Types</w:t>
            </w:r>
          </w:p>
          <w:p>
            <w:pPr>
              <w:pStyle w:val="ListParagraph"/>
              <w:numPr>
                <w:ilvl w:val="0"/>
                <w:numId w:val="2"/>
              </w:numPr>
              <w:spacing w:after="40" w:before="40"/>
            </w:pPr>
            <w:r>
              <w:rPr>
                <w:rFonts w:ascii="Arial" w:cs="Arial" w:eastAsia="Arial" w:hAnsi="Arial"/>
                <w:color w:val="222222"/>
                <w:sz w:val="19"/>
                <w:szCs w:val="19"/>
              </w:rPr>
              <w:t xml:space="preserve">Dedicated patent investment funds (Acacia Research, Conversant IP)</w:t>
            </w:r>
          </w:p>
          <w:p>
            <w:pPr>
              <w:pStyle w:val="ListParagraph"/>
              <w:numPr>
                <w:ilvl w:val="0"/>
                <w:numId w:val="2"/>
              </w:numPr>
              <w:spacing w:after="40" w:before="40"/>
            </w:pPr>
            <w:r>
              <w:rPr>
                <w:rFonts w:ascii="Arial" w:cs="Arial" w:eastAsia="Arial" w:hAnsi="Arial"/>
                <w:color w:val="222222"/>
                <w:sz w:val="19"/>
                <w:szCs w:val="19"/>
              </w:rPr>
              <w:t xml:space="preserve">IP-focused private equity vehicles</w:t>
            </w:r>
          </w:p>
          <w:p>
            <w:pPr>
              <w:pStyle w:val="ListParagraph"/>
              <w:numPr>
                <w:ilvl w:val="0"/>
                <w:numId w:val="2"/>
              </w:numPr>
              <w:spacing w:after="40" w:before="40"/>
            </w:pPr>
            <w:r>
              <w:rPr>
                <w:rFonts w:ascii="Arial" w:cs="Arial" w:eastAsia="Arial" w:hAnsi="Arial"/>
                <w:color w:val="222222"/>
                <w:sz w:val="19"/>
                <w:szCs w:val="19"/>
              </w:rPr>
              <w:t xml:space="preserve">Family offices with IP asset allocations</w:t>
            </w:r>
          </w:p>
          <w:p>
            <w:pPr>
              <w:pStyle w:val="ListParagraph"/>
              <w:numPr>
                <w:ilvl w:val="0"/>
                <w:numId w:val="2"/>
              </w:numPr>
              <w:spacing w:after="40" w:before="40"/>
            </w:pPr>
            <w:r>
              <w:rPr>
                <w:rFonts w:ascii="Arial" w:cs="Arial" w:eastAsia="Arial" w:hAnsi="Arial"/>
                <w:color w:val="222222"/>
                <w:sz w:val="19"/>
                <w:szCs w:val="19"/>
              </w:rPr>
              <w:t xml:space="preserve">Technology royalty funds (Royalty Pharma model applied to tech)</w:t>
            </w:r>
          </w:p>
        </w:tc>
        <w:tc>
          <w:tcPr>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Arial" w:cs="Arial" w:eastAsia="Arial" w:hAnsi="Arial"/>
                <w:b/>
                <w:bCs/>
                <w:color w:val="1F3864"/>
                <w:sz w:val="20"/>
                <w:szCs w:val="20"/>
              </w:rPr>
              <w:t xml:space="preserve">Mandate &amp; Primary Goal</w:t>
            </w:r>
          </w:p>
          <w:p>
            <w:pPr>
              <w:spacing w:before="60"/>
            </w:pPr>
            <w:r>
              <w:rPr>
                <w:rFonts w:ascii="Arial" w:cs="Arial" w:eastAsia="Arial" w:hAnsi="Arial"/>
                <w:color w:val="222222"/>
                <w:sz w:val="19"/>
                <w:szCs w:val="19"/>
              </w:rPr>
              <w:t xml:space="preserve">Acquire diversified patent portfolios or tranches with a combination of near-term assertion value, mid-term licensing potential, and long-term resale optionality — targeting portfolio-level IRR of 20–35%.</w:t>
            </w:r>
          </w:p>
          <w:p>
            <w:pPr>
              <w:spacing w:before="80"/>
            </w:pPr>
            <w:r>
              <w:rPr>
                <w:rFonts w:ascii="Arial" w:cs="Arial" w:eastAsia="Arial" w:hAnsi="Arial"/>
                <w:i/>
                <w:iCs/>
                <w:color w:val="2E75B6"/>
                <w:sz w:val="19"/>
                <w:szCs w:val="19"/>
              </w:rPr>
              <w:t xml:space="preserve">Goal: Diversified exposure across technology domains and buyer archetypes — some LIT-FIN plays, some NPE-LIC candidates, some OC resale candidates — managed as a portfolio.</w:t>
            </w:r>
          </w:p>
        </w:tc>
      </w:tr>
    </w:tbl>
    <w:p>
      <w:pPr>
        <w:spacing w:after="0" w:before="0" w:line="160"/>
      </w:pPr>
      <w:r>
        <w:t xml:space="preserve"/>
      </w:r>
    </w:p>
    <w:p>
      <w:pPr>
        <w:spacing w:after="60" w:before="60"/>
      </w:pPr>
      <w:r>
        <w:rPr>
          <w:rFonts w:ascii="Arial" w:cs="Arial" w:eastAsia="Arial" w:hAnsi="Arial"/>
          <w:b/>
          <w:bCs/>
          <w:color w:val="1F3864"/>
          <w:sz w:val="21"/>
          <w:szCs w:val="21"/>
        </w:rPr>
        <w:t xml:space="preserve">Top Patent Attributes They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It Matters to This Buyer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H5 — Forward Citations</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Forward citations signal technical influence and identify future licensee universe — primary value indicator</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I3 — Adjacent Re-Read</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Cross-market applicability multiplies the licensing scenarios and resale buyer pool</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G3 — Cross-Industry</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Industry diversification reduces concentration risk in the investment portfolio</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E3 — Continuation-Live</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Live continuations create option value — claim tailoring for future products increases terminal value</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H1 — Claim Strength</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Portfolio-wide average claim strength drives the valuation multiple; weak anchors drag the whole portfolio</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r>
              <w:rPr>
                <w:rFonts w:ascii="Arial" w:cs="Arial" w:eastAsia="Arial" w:hAnsi="Arial"/>
                <w:b/>
                <w:bCs/>
                <w:color w:val="1F3864"/>
                <w:sz w:val="19"/>
                <w:szCs w:val="19"/>
              </w:rPr>
              <w:t xml:space="preserve">G2 — Generation</w:t>
            </w:r>
          </w:p>
        </w:tc>
        <w:tc>
          <w:tcPr>
            <w:tcW w:type="dxa" w:w="7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color w:val="333333"/>
                <w:sz w:val="19"/>
                <w:szCs w:val="19"/>
              </w:rPr>
              <w:t xml:space="preserve">Next-gen technology patents have higher forward-looking value; legacy patents have near-term assertion windows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2EFD8" w:val="clear"/>
            <w:tcMar>
              <w:top w:type="dxa" w:w="80"/>
              <w:left w:type="dxa" w:w="160"/>
              <w:bottom w:type="dxa" w:w="80"/>
              <w:right w:type="dxa" w:w="160"/>
            </w:tcMar>
          </w:tcPr>
          <w:p>
            <w:pPr>
              <w:spacing w:after="60"/>
            </w:pPr>
            <w:r>
              <w:rPr>
                <w:rFonts w:ascii="Arial" w:cs="Arial" w:eastAsia="Arial" w:hAnsi="Arial"/>
                <w:b/>
                <w:bCs/>
                <w:color w:val="375623"/>
                <w:sz w:val="21"/>
                <w:szCs w:val="21"/>
              </w:rPr>
              <w:t xml:space="preserve">✓  Buy Signals</w:t>
            </w:r>
          </w:p>
          <w:p>
            <w:pPr>
              <w:pStyle w:val="ListParagraph"/>
              <w:numPr>
                <w:ilvl w:val="0"/>
                <w:numId w:val="2"/>
              </w:numPr>
              <w:spacing w:after="40" w:before="40"/>
            </w:pPr>
            <w:r>
              <w:rPr>
                <w:rFonts w:ascii="Arial" w:cs="Arial" w:eastAsia="Arial" w:hAnsi="Arial"/>
                <w:color w:val="1D4714"/>
                <w:sz w:val="19"/>
                <w:szCs w:val="19"/>
              </w:rPr>
              <w:t xml:space="preserve">High forward citation count (H5 ≥ 15) pointing to an identifiable target company universe</w:t>
            </w:r>
          </w:p>
          <w:p>
            <w:pPr>
              <w:pStyle w:val="ListParagraph"/>
              <w:numPr>
                <w:ilvl w:val="0"/>
                <w:numId w:val="2"/>
              </w:numPr>
              <w:spacing w:after="40" w:before="40"/>
            </w:pPr>
            <w:r>
              <w:rPr>
                <w:rFonts w:ascii="Arial" w:cs="Arial" w:eastAsia="Arial" w:hAnsi="Arial"/>
                <w:color w:val="1D4714"/>
                <w:sz w:val="19"/>
                <w:szCs w:val="19"/>
              </w:rPr>
              <w:t xml:space="preserve">Adjacent-market re-read with 2+ plausible licensing scenarios across different industries</w:t>
            </w:r>
          </w:p>
          <w:p>
            <w:pPr>
              <w:pStyle w:val="ListParagraph"/>
              <w:numPr>
                <w:ilvl w:val="0"/>
                <w:numId w:val="2"/>
              </w:numPr>
              <w:spacing w:after="40" w:before="40"/>
            </w:pPr>
            <w:r>
              <w:rPr>
                <w:rFonts w:ascii="Arial" w:cs="Arial" w:eastAsia="Arial" w:hAnsi="Arial"/>
                <w:color w:val="1D4714"/>
                <w:sz w:val="19"/>
                <w:szCs w:val="19"/>
              </w:rPr>
              <w:t xml:space="preserve">Live continuation families enabling claim tailoring to future product generations</w:t>
            </w:r>
          </w:p>
          <w:p>
            <w:pPr>
              <w:pStyle w:val="ListParagraph"/>
              <w:numPr>
                <w:ilvl w:val="0"/>
                <w:numId w:val="2"/>
              </w:numPr>
              <w:spacing w:after="40" w:before="40"/>
            </w:pPr>
            <w:r>
              <w:rPr>
                <w:rFonts w:ascii="Arial" w:cs="Arial" w:eastAsia="Arial" w:hAnsi="Arial"/>
                <w:color w:val="1D4714"/>
                <w:sz w:val="19"/>
                <w:szCs w:val="19"/>
              </w:rPr>
              <w:t xml:space="preserve">Mix of near-term (LIT-FIN-ready) and long-term (licensing program) assets in one portfolio</w:t>
            </w:r>
          </w:p>
          <w:p>
            <w:pPr>
              <w:pStyle w:val="ListParagraph"/>
              <w:numPr>
                <w:ilvl w:val="0"/>
                <w:numId w:val="2"/>
              </w:numPr>
              <w:spacing w:after="40" w:before="40"/>
            </w:pPr>
            <w:r>
              <w:rPr>
                <w:rFonts w:ascii="Arial" w:cs="Arial" w:eastAsia="Arial" w:hAnsi="Arial"/>
                <w:color w:val="1D4714"/>
                <w:sz w:val="19"/>
                <w:szCs w:val="19"/>
              </w:rPr>
              <w:t xml:space="preserve">Technology in a growth market with expanding royalty base over time</w:t>
            </w:r>
          </w:p>
          <w:p>
            <w:pPr>
              <w:pStyle w:val="ListParagraph"/>
              <w:numPr>
                <w:ilvl w:val="0"/>
                <w:numId w:val="2"/>
              </w:numPr>
              <w:spacing w:after="40" w:before="40"/>
            </w:pPr>
            <w:r>
              <w:rPr>
                <w:rFonts w:ascii="Arial" w:cs="Arial" w:eastAsia="Arial" w:hAnsi="Arial"/>
                <w:color w:val="1D4714"/>
                <w:sz w:val="19"/>
                <w:szCs w:val="19"/>
              </w:rPr>
              <w:t xml:space="preserve">Provenance from credible original assignee (OEM, university, research lab)</w:t>
            </w:r>
          </w:p>
        </w:tc>
        <w:tc>
          <w:tcPr>
            <w:tcW w:type="dxa" w:w="4680"/>
            <w:tcBorders>
              <w:top w:val="single" w:color="BBBBBB" w:sz="1"/>
              <w:left w:val="single" w:color="BBBBBB" w:sz="1"/>
              <w:bottom w:val="single" w:color="BBBBBB" w:sz="1"/>
              <w:right w:val="single" w:color="BBBBBB" w:sz="1"/>
            </w:tcBorders>
            <w:shd w:fill="FCE4D6" w:val="clear"/>
            <w:tcMar>
              <w:top w:type="dxa" w:w="80"/>
              <w:left w:type="dxa" w:w="160"/>
              <w:bottom w:type="dxa" w:w="80"/>
              <w:right w:type="dxa" w:w="160"/>
            </w:tcMar>
          </w:tcPr>
          <w:p>
            <w:pPr>
              <w:spacing w:after="60"/>
            </w:pPr>
            <w:r>
              <w:rPr>
                <w:rFonts w:ascii="Arial" w:cs="Arial" w:eastAsia="Arial" w:hAnsi="Arial"/>
                <w:b/>
                <w:bCs/>
                <w:color w:val="7B0000"/>
                <w:sz w:val="21"/>
                <w:szCs w:val="21"/>
              </w:rPr>
              <w:t xml:space="preserve">✗  Deal Killers</w:t>
            </w:r>
          </w:p>
          <w:p>
            <w:pPr>
              <w:pStyle w:val="ListParagraph"/>
              <w:numPr>
                <w:ilvl w:val="0"/>
                <w:numId w:val="2"/>
              </w:numPr>
              <w:spacing w:after="40" w:before="40"/>
            </w:pPr>
            <w:r>
              <w:rPr>
                <w:rFonts w:ascii="Arial" w:cs="Arial" w:eastAsia="Arial" w:hAnsi="Arial"/>
                <w:color w:val="7B0000"/>
                <w:sz w:val="19"/>
                <w:szCs w:val="19"/>
              </w:rPr>
              <w:t xml:space="preserve">Single-technology concentration with no cross-industry applicability</w:t>
            </w:r>
          </w:p>
          <w:p>
            <w:pPr>
              <w:pStyle w:val="ListParagraph"/>
              <w:numPr>
                <w:ilvl w:val="0"/>
                <w:numId w:val="2"/>
              </w:numPr>
              <w:spacing w:after="40" w:before="40"/>
            </w:pPr>
            <w:r>
              <w:rPr>
                <w:rFonts w:ascii="Arial" w:cs="Arial" w:eastAsia="Arial" w:hAnsi="Arial"/>
                <w:color w:val="7B0000"/>
                <w:sz w:val="19"/>
                <w:szCs w:val="19"/>
              </w:rPr>
              <w:t xml:space="preserve">All patents in a single claim type — limits diversification of licensing strategies</w:t>
            </w:r>
          </w:p>
          <w:p>
            <w:pPr>
              <w:pStyle w:val="ListParagraph"/>
              <w:numPr>
                <w:ilvl w:val="0"/>
                <w:numId w:val="2"/>
              </w:numPr>
              <w:spacing w:after="40" w:before="40"/>
            </w:pPr>
            <w:r>
              <w:rPr>
                <w:rFonts w:ascii="Arial" w:cs="Arial" w:eastAsia="Arial" w:hAnsi="Arial"/>
                <w:color w:val="7B0000"/>
                <w:sz w:val="19"/>
                <w:szCs w:val="19"/>
              </w:rPr>
              <w:t xml:space="preserve">No continuation optionality — claims cannot be shaped to future products</w:t>
            </w:r>
          </w:p>
          <w:p>
            <w:pPr>
              <w:pStyle w:val="ListParagraph"/>
              <w:numPr>
                <w:ilvl w:val="0"/>
                <w:numId w:val="2"/>
              </w:numPr>
              <w:spacing w:after="40" w:before="40"/>
            </w:pPr>
            <w:r>
              <w:rPr>
                <w:rFonts w:ascii="Arial" w:cs="Arial" w:eastAsia="Arial" w:hAnsi="Arial"/>
                <w:color w:val="7B0000"/>
                <w:sz w:val="19"/>
                <w:szCs w:val="19"/>
              </w:rPr>
              <w:t xml:space="preserve">Weak claim strength portfolio-wide (average H1 &lt; 2) — no assertion credibility</w:t>
            </w:r>
          </w:p>
          <w:p>
            <w:pPr>
              <w:pStyle w:val="ListParagraph"/>
              <w:numPr>
                <w:ilvl w:val="0"/>
                <w:numId w:val="2"/>
              </w:numPr>
              <w:spacing w:after="40" w:before="40"/>
            </w:pPr>
            <w:r>
              <w:rPr>
                <w:rFonts w:ascii="Arial" w:cs="Arial" w:eastAsia="Arial" w:hAnsi="Arial"/>
                <w:color w:val="7B0000"/>
                <w:sz w:val="19"/>
                <w:szCs w:val="19"/>
              </w:rPr>
              <w:t xml:space="preserve">High invalidity exposure across the board — PTAB risk eliminates portfolio value</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Preferred Bundle Types (from v4 workbook)</w:t>
            </w:r>
          </w:p>
          <w:p>
            <w:pPr>
              <w:pStyle w:val="ListParagraph"/>
              <w:numPr>
                <w:ilvl w:val="0"/>
                <w:numId w:val="2"/>
              </w:numPr>
              <w:spacing w:after="40" w:before="40"/>
            </w:pPr>
            <w:r>
              <w:rPr>
                <w:rFonts w:ascii="Arial" w:cs="Arial" w:eastAsia="Arial" w:hAnsi="Arial"/>
                <w:color w:val="222222"/>
                <w:sz w:val="19"/>
                <w:szCs w:val="19"/>
              </w:rPr>
              <w:t xml:space="preserve">Bundle 29 — High-Citation/Technical Influence (H5 ≥ 15)</w:t>
            </w:r>
          </w:p>
          <w:p>
            <w:pPr>
              <w:pStyle w:val="ListParagraph"/>
              <w:numPr>
                <w:ilvl w:val="0"/>
                <w:numId w:val="2"/>
              </w:numPr>
              <w:spacing w:after="40" w:before="40"/>
            </w:pPr>
            <w:r>
              <w:rPr>
                <w:rFonts w:ascii="Arial" w:cs="Arial" w:eastAsia="Arial" w:hAnsi="Arial"/>
                <w:color w:val="222222"/>
                <w:sz w:val="19"/>
                <w:szCs w:val="19"/>
              </w:rPr>
              <w:t xml:space="preserve">Bundle 30 — Adjacent-Industry Re-Read</w:t>
            </w:r>
          </w:p>
          <w:p>
            <w:pPr>
              <w:pStyle w:val="ListParagraph"/>
              <w:numPr>
                <w:ilvl w:val="0"/>
                <w:numId w:val="2"/>
              </w:numPr>
              <w:spacing w:after="40" w:before="40"/>
            </w:pPr>
            <w:r>
              <w:rPr>
                <w:rFonts w:ascii="Arial" w:cs="Arial" w:eastAsia="Arial" w:hAnsi="Arial"/>
                <w:color w:val="222222"/>
                <w:sz w:val="19"/>
                <w:szCs w:val="19"/>
              </w:rPr>
              <w:t xml:space="preserve">Bundle 25 — Continuation-Live (option value)</w:t>
            </w:r>
          </w:p>
          <w:p>
            <w:pPr>
              <w:pStyle w:val="ListParagraph"/>
              <w:numPr>
                <w:ilvl w:val="0"/>
                <w:numId w:val="2"/>
              </w:numPr>
              <w:spacing w:after="40" w:before="40"/>
            </w:pPr>
            <w:r>
              <w:rPr>
                <w:rFonts w:ascii="Arial" w:cs="Arial" w:eastAsia="Arial" w:hAnsi="Arial"/>
                <w:color w:val="222222"/>
                <w:sz w:val="19"/>
                <w:szCs w:val="19"/>
              </w:rPr>
              <w:t xml:space="preserve">Bundle 17 — Cross-Industry (G3 ≥ 2)</w:t>
            </w:r>
          </w:p>
          <w:p>
            <w:pPr>
              <w:pStyle w:val="ListParagraph"/>
              <w:numPr>
                <w:ilvl w:val="0"/>
                <w:numId w:val="2"/>
              </w:numPr>
              <w:spacing w:after="40" w:before="40"/>
            </w:pPr>
            <w:r>
              <w:rPr>
                <w:rFonts w:ascii="Arial" w:cs="Arial" w:eastAsia="Arial" w:hAnsi="Arial"/>
                <w:color w:val="222222"/>
                <w:sz w:val="19"/>
                <w:szCs w:val="19"/>
              </w:rPr>
              <w:t xml:space="preserve">Bundle 10 — Generational Roadmap (legacy + next-gen mix)</w:t>
            </w:r>
          </w:p>
          <w:p>
            <w:pPr>
              <w:pStyle w:val="ListParagraph"/>
              <w:numPr>
                <w:ilvl w:val="0"/>
                <w:numId w:val="2"/>
              </w:numPr>
              <w:spacing w:after="40" w:before="40"/>
            </w:pPr>
            <w:r>
              <w:rPr>
                <w:rFonts w:ascii="Arial" w:cs="Arial" w:eastAsia="Arial" w:hAnsi="Arial"/>
                <w:color w:val="222222"/>
                <w:sz w:val="19"/>
                <w:szCs w:val="19"/>
              </w:rPr>
              <w:t xml:space="preserve">Bundle 24 — Strong-Core+Tail (premium anchors + volume tail)</w:t>
            </w:r>
          </w:p>
        </w:tc>
        <w:tc>
          <w:tcPr>
            <w:tcW w:type="dxa" w:w="4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Language Register</w:t>
            </w:r>
          </w:p>
          <w:p>
            <w:pPr>
              <w:spacing w:before="40"/>
            </w:pPr>
            <w:r>
              <w:rPr>
                <w:rFonts w:ascii="Arial" w:cs="Arial" w:eastAsia="Arial" w:hAnsi="Arial"/>
                <w:color w:val="222222"/>
                <w:sz w:val="19"/>
                <w:szCs w:val="19"/>
              </w:rPr>
              <w:t xml:space="preserve">Finance and portfolio register. Use 'portfolio IRR', 'royalty base', 'option value', 'continuation optionality', 'addressable licensee universe', 'forward citation network'. Mix assertion and licensing language depending on which tranche of the portfolio is being discussed.</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Where to Find Them</w:t>
            </w:r>
          </w:p>
          <w:p>
            <w:pPr>
              <w:pStyle w:val="ListParagraph"/>
              <w:numPr>
                <w:ilvl w:val="0"/>
                <w:numId w:val="2"/>
              </w:numPr>
              <w:spacing w:after="40" w:before="40"/>
            </w:pPr>
            <w:r>
              <w:rPr>
                <w:rFonts w:ascii="Arial" w:cs="Arial" w:eastAsia="Arial" w:hAnsi="Arial"/>
                <w:color w:val="1A3E5C"/>
                <w:sz w:val="19"/>
                <w:szCs w:val="19"/>
              </w:rPr>
              <w:t xml:space="preserve">IAM Market — IP funds are the most sophisticated IAM Market buyers</w:t>
            </w:r>
          </w:p>
          <w:p>
            <w:pPr>
              <w:pStyle w:val="ListParagraph"/>
              <w:numPr>
                <w:ilvl w:val="0"/>
                <w:numId w:val="2"/>
              </w:numPr>
              <w:spacing w:after="40" w:before="40"/>
            </w:pPr>
            <w:r>
              <w:rPr>
                <w:rFonts w:ascii="Arial" w:cs="Arial" w:eastAsia="Arial" w:hAnsi="Arial"/>
                <w:color w:val="1A3E5C"/>
                <w:sz w:val="19"/>
                <w:szCs w:val="19"/>
              </w:rPr>
              <w:t xml:space="preserve">Patent brokerage firms: Richardson Oliver, Acuitas, AQUA IP</w:t>
            </w:r>
          </w:p>
          <w:p>
            <w:pPr>
              <w:pStyle w:val="ListParagraph"/>
              <w:numPr>
                <w:ilvl w:val="0"/>
                <w:numId w:val="2"/>
              </w:numPr>
              <w:spacing w:after="40" w:before="40"/>
            </w:pPr>
            <w:r>
              <w:rPr>
                <w:rFonts w:ascii="Arial" w:cs="Arial" w:eastAsia="Arial" w:hAnsi="Arial"/>
                <w:color w:val="1A3E5C"/>
                <w:sz w:val="19"/>
                <w:szCs w:val="19"/>
              </w:rPr>
              <w:t xml:space="preserve">IP-focused investment bankers at boutique M&amp;A firms</w:t>
            </w:r>
          </w:p>
          <w:p>
            <w:pPr>
              <w:pStyle w:val="ListParagraph"/>
              <w:numPr>
                <w:ilvl w:val="0"/>
                <w:numId w:val="2"/>
              </w:numPr>
              <w:spacing w:after="40" w:before="40"/>
            </w:pPr>
            <w:r>
              <w:rPr>
                <w:rFonts w:ascii="Arial" w:cs="Arial" w:eastAsia="Arial" w:hAnsi="Arial"/>
                <w:color w:val="1A3E5C"/>
                <w:sz w:val="19"/>
                <w:szCs w:val="19"/>
              </w:rPr>
              <w:t xml:space="preserve">Patent monetization conferences: IP Business Congress, IAM Patent Summit</w:t>
            </w:r>
          </w:p>
          <w:p>
            <w:pPr>
              <w:pStyle w:val="ListParagraph"/>
              <w:numPr>
                <w:ilvl w:val="0"/>
                <w:numId w:val="2"/>
              </w:numPr>
              <w:spacing w:after="40" w:before="40"/>
            </w:pPr>
            <w:r>
              <w:rPr>
                <w:rFonts w:ascii="Arial" w:cs="Arial" w:eastAsia="Arial" w:hAnsi="Arial"/>
                <w:color w:val="1A3E5C"/>
                <w:sz w:val="19"/>
                <w:szCs w:val="19"/>
              </w:rPr>
              <w:t xml:space="preserve">Placement agents who work with family office and HNW IP allocators</w:t>
            </w:r>
          </w:p>
        </w:tc>
        <w:tc>
          <w:tcPr>
            <w:tcW w:type="dxa" w:w="4780"/>
            <w:tcBorders>
              <w:top w:val="single" w:color="BBBBBB" w:sz="1"/>
              <w:left w:val="single" w:color="BBBBBB" w:sz="1"/>
              <w:bottom w:val="single" w:color="BBBBBB" w:sz="1"/>
              <w:right w:val="single" w:color="BBBBBB" w:sz="1"/>
            </w:tcBorders>
            <w:shd w:fill="EBF3FB" w:val="clear"/>
            <w:tcMar>
              <w:top w:type="dxa" w:w="100"/>
              <w:left w:type="dxa" w:w="160"/>
              <w:bottom w:type="dxa" w:w="100"/>
              <w:right w:type="dxa" w:w="160"/>
            </w:tcMar>
          </w:tcPr>
          <w:p>
            <w:pPr>
              <w:spacing w:after="60"/>
            </w:pPr>
            <w:r>
              <w:rPr>
                <w:rFonts w:ascii="Arial" w:cs="Arial" w:eastAsia="Arial" w:hAnsi="Arial"/>
                <w:b/>
                <w:bCs/>
                <w:color w:val="1F3864"/>
                <w:sz w:val="20"/>
                <w:szCs w:val="20"/>
              </w:rPr>
              <w:t xml:space="preserve">Outreach &amp; Approach Tips</w:t>
            </w:r>
          </w:p>
          <w:p>
            <w:pPr>
              <w:pStyle w:val="ListParagraph"/>
              <w:numPr>
                <w:ilvl w:val="0"/>
                <w:numId w:val="2"/>
              </w:numPr>
              <w:spacing w:after="40" w:before="40"/>
            </w:pPr>
            <w:r>
              <w:rPr>
                <w:rFonts w:ascii="Arial" w:cs="Arial" w:eastAsia="Arial" w:hAnsi="Arial"/>
                <w:color w:val="1A3E5C"/>
                <w:sz w:val="19"/>
                <w:szCs w:val="19"/>
              </w:rPr>
              <w:t xml:space="preserve">Package the portfolio in tranches: aggressive (LIT-FIN ready), steady (NPE-LIC candidates), long-dated (OC resale)</w:t>
            </w:r>
          </w:p>
          <w:p>
            <w:pPr>
              <w:pStyle w:val="ListParagraph"/>
              <w:numPr>
                <w:ilvl w:val="0"/>
                <w:numId w:val="2"/>
              </w:numPr>
              <w:spacing w:after="40" w:before="40"/>
            </w:pPr>
            <w:r>
              <w:rPr>
                <w:rFonts w:ascii="Arial" w:cs="Arial" w:eastAsia="Arial" w:hAnsi="Arial"/>
                <w:color w:val="1A3E5C"/>
                <w:sz w:val="19"/>
                <w:szCs w:val="19"/>
              </w:rPr>
              <w:t xml:space="preserve">Lead with forward citation analysis showing the licensee universe</w:t>
            </w:r>
          </w:p>
          <w:p>
            <w:pPr>
              <w:pStyle w:val="ListParagraph"/>
              <w:numPr>
                <w:ilvl w:val="0"/>
                <w:numId w:val="2"/>
              </w:numPr>
              <w:spacing w:after="40" w:before="40"/>
            </w:pPr>
            <w:r>
              <w:rPr>
                <w:rFonts w:ascii="Arial" w:cs="Arial" w:eastAsia="Arial" w:hAnsi="Arial"/>
                <w:color w:val="1A3E5C"/>
                <w:sz w:val="19"/>
                <w:szCs w:val="19"/>
              </w:rPr>
              <w:t xml:space="preserve">Quantify continuation optionality: how many live families, which claim elements can be narrowed to target products</w:t>
            </w:r>
          </w:p>
          <w:p>
            <w:pPr>
              <w:pStyle w:val="ListParagraph"/>
              <w:numPr>
                <w:ilvl w:val="0"/>
                <w:numId w:val="2"/>
              </w:numPr>
              <w:spacing w:after="40" w:before="40"/>
            </w:pPr>
            <w:r>
              <w:rPr>
                <w:rFonts w:ascii="Arial" w:cs="Arial" w:eastAsia="Arial" w:hAnsi="Arial"/>
                <w:color w:val="1A3E5C"/>
                <w:sz w:val="19"/>
                <w:szCs w:val="19"/>
              </w:rPr>
              <w:t xml:space="preserve">Provide a portfolio-level quality scorecard (mirror the Bundle Quality Scorecard in the v4 workbook)</w:t>
            </w:r>
          </w:p>
          <w:p>
            <w:pPr>
              <w:pStyle w:val="ListParagraph"/>
              <w:numPr>
                <w:ilvl w:val="0"/>
                <w:numId w:val="2"/>
              </w:numPr>
              <w:spacing w:after="40" w:before="40"/>
            </w:pPr>
            <w:r>
              <w:rPr>
                <w:rFonts w:ascii="Arial" w:cs="Arial" w:eastAsia="Arial" w:hAnsi="Arial"/>
                <w:color w:val="1A3E5C"/>
                <w:sz w:val="19"/>
                <w:szCs w:val="19"/>
              </w:rPr>
              <w:t xml:space="preserve">IP funds respect structured data rooms: provide full attribute scoring per patent, not just highlights</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single" w:color="2E75B6" w:sz="12"/>
              <w:bottom w:val="nil"/>
              <w:right w:val="nil"/>
            </w:tcBorders>
            <w:shd w:fill="EDF4FC" w:val="clear"/>
            <w:tcMar>
              <w:top w:type="dxa" w:w="100"/>
              <w:left w:type="dxa" w:w="200"/>
              <w:bottom w:type="dxa" w:w="100"/>
              <w:right w:type="dxa" w:w="200"/>
            </w:tcMar>
          </w:tcPr>
          <w:p>
            <w:r>
              <w:rPr>
                <w:rFonts w:ascii="Arial" w:cs="Arial" w:eastAsia="Arial" w:hAnsi="Arial"/>
                <w:b/>
                <w:bCs/>
                <w:color w:val="2E75B6"/>
                <w:sz w:val="19"/>
                <w:szCs w:val="19"/>
              </w:rPr>
              <w:t xml:space="preserve">Sample IAM Market Hook (for this archetype)</w:t>
            </w:r>
          </w:p>
          <w:p>
            <w:pPr>
              <w:spacing w:before="60"/>
            </w:pPr>
            <w:r>
              <w:rPr>
                <w:rFonts w:ascii="Arial" w:cs="Arial" w:eastAsia="Arial" w:hAnsi="Arial"/>
                <w:i/>
                <w:iCs/>
                <w:color w:val="17375E"/>
                <w:sz w:val="20"/>
                <w:szCs w:val="20"/>
              </w:rPr>
              <w:t xml:space="preserve">Twenty-six patent families spanning AI inference optimization, memory bandwidth management, and neuromorphic processing — 18 families carry live continuations, portfolio-average forward citations of 23 per family, cross-industry reads on automotive, datacenter, and edge compute confirmed through independent claim analysis. Structured as three tranches by assertion readiness.</w:t>
            </w:r>
          </w:p>
        </w:tc>
      </w:tr>
    </w:tbl>
    <w:p>
      <w:pPr>
        <w:spacing w:after="0" w:before="0" w:line="400"/>
      </w:pPr>
      <w:r>
        <w:t xml:space="preserve"/>
      </w:r>
    </w:p>
    <w:p>
      <w:r>
        <w:br w:type="page"/>
      </w:r>
    </w:p>
    <w:p>
      <w:pPr>
        <w:pStyle w:val="Heading1"/>
        <w:spacing w:after="120" w:before="300"/>
      </w:pPr>
      <w:r>
        <w:rPr>
          <w:rFonts w:ascii="Arial" w:cs="Arial" w:eastAsia="Arial" w:hAnsi="Arial"/>
          <w:b/>
          <w:bCs/>
          <w:color w:val="1F3864"/>
          <w:sz w:val="36"/>
          <w:szCs w:val="36"/>
        </w:rPr>
        <w:t xml:space="preserve">Supplementary Buyer Archetypes</w:t>
      </w:r>
    </w:p>
    <w:p>
      <w:pPr>
        <w:pBdr>
          <w:bottom w:val="single" w:color="2E75B6" w:sz="6" w:space="1"/>
        </w:pBdr>
        <w:spacing w:after="60" w:before="60"/>
      </w:pPr>
      <w:r>
        <w:t xml:space="preserve"/>
      </w:r>
    </w:p>
    <w:p>
      <w:pPr>
        <w:spacing w:after="80" w:before="40"/>
      </w:pPr>
      <w:r>
        <w:rPr>
          <w:rFonts w:ascii="Arial" w:cs="Arial" w:eastAsia="Arial" w:hAnsi="Arial"/>
          <w:i/>
          <w:iCs/>
          <w:color w:val="44546A"/>
          <w:sz w:val="19"/>
          <w:szCs w:val="19"/>
        </w:rPr>
        <w:t xml:space="preserve">The following archetypes participate in the patent market but with lower IAM Market activity or more indirect acquisition paths. Each is profiled in condensed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4E3B70" w:val="clear"/>
            <w:tcMar>
              <w:top w:type="dxa" w:w="140"/>
              <w:left w:type="dxa" w:w="200"/>
              <w:bottom w:type="dxa" w:w="140"/>
              <w:right w:type="dxa" w:w="200"/>
            </w:tcMar>
            <w:vAlign w:val="center"/>
          </w:tcPr>
          <w:p>
            <w:pPr>
              <w:jc w:val="center"/>
            </w:pPr>
            <w:r>
              <w:rPr>
                <w:rFonts w:ascii="Arial" w:cs="Arial" w:eastAsia="Arial" w:hAnsi="Arial"/>
                <w:b/>
                <w:bCs/>
                <w:color w:val="FFFFFF"/>
                <w:sz w:val="44"/>
                <w:szCs w:val="44"/>
              </w:rPr>
              <w:t xml:space="preserve">CORP-VC</w:t>
            </w:r>
          </w:p>
          <w:p>
            <w:pPr>
              <w:jc w:val="center"/>
            </w:pPr>
            <w:r>
              <w:rPr>
                <w:rFonts w:ascii="Arial" w:cs="Arial" w:eastAsia="Arial" w:hAnsi="Arial"/>
                <w:b/>
                <w:bCs/>
                <w:color w:val="FFFFFF"/>
                <w:sz w:val="17"/>
                <w:szCs w:val="17"/>
              </w:rPr>
              <w:t xml:space="preserve">CORP-VC</w:t>
            </w:r>
          </w:p>
        </w:tc>
        <w:tc>
          <w:tcPr>
            <w:tcBorders>
              <w:top w:val="nil"/>
              <w:left w:val="nil"/>
              <w:bottom w:val="nil"/>
              <w:right w:val="nil"/>
            </w:tcBorders>
            <w:shd w:fill="7B5EA7" w:val="clear"/>
            <w:tcMar>
              <w:top w:type="dxa" w:w="120"/>
              <w:left w:type="dxa" w:w="220"/>
              <w:bottom w:type="dxa" w:w="120"/>
              <w:right w:type="dxa" w:w="220"/>
            </w:tcMar>
          </w:tcPr>
          <w:p>
            <w:r>
              <w:rPr>
                <w:rFonts w:ascii="Arial" w:cs="Arial" w:eastAsia="Arial" w:hAnsi="Arial"/>
                <w:b/>
                <w:bCs/>
                <w:color w:val="FFFFFF"/>
                <w:sz w:val="26"/>
                <w:szCs w:val="26"/>
              </w:rPr>
              <w:t xml:space="preserve">Corporate Development / M&amp;A Unit</w:t>
            </w:r>
          </w:p>
          <w:p>
            <w:pPr>
              <w:spacing w:before="60"/>
            </w:pPr>
            <w:r>
              <w:rPr>
                <w:rFonts w:ascii="Arial" w:cs="Arial" w:eastAsia="Arial" w:hAnsi="Arial"/>
                <w:i/>
                <w:iCs/>
                <w:color w:val="D9E8F5"/>
                <w:sz w:val="19"/>
                <w:szCs w:val="19"/>
              </w:rPr>
              <w:t xml:space="preserve">IP as part of a broader acquisition, carve-out, or technology transfer</w:t>
            </w:r>
          </w:p>
        </w:tc>
      </w:tr>
    </w:tbl>
    <w:p>
      <w:pPr>
        <w:spacing w:after="0" w:before="0" w:line="120"/>
      </w:pPr>
      <w:r>
        <w:t xml:space="preserve"/>
      </w:r>
    </w:p>
    <w:p>
      <w:pPr>
        <w:spacing w:after="60" w:before="40"/>
      </w:pPr>
      <w:r>
        <w:rPr>
          <w:rFonts w:ascii="Arial" w:cs="Arial" w:eastAsia="Arial" w:hAnsi="Arial"/>
          <w:color w:val="222222"/>
          <w:sz w:val="19"/>
          <w:szCs w:val="19"/>
        </w:rPr>
        <w:t xml:space="preserve">Corporate development teams acquire patents as part of a broader technology transaction — a company acquisition, asset carve-out, or technology partnership. They are not standalone patent buyers. They evaluate IP provenance, family coherence, and how cleanly the patent portfolio separates from the parent entity. Their due diligence is more like M&amp;A than IP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Top Buy Signals</w:t>
            </w:r>
          </w:p>
        </w:tc>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Deal Killers</w:t>
            </w:r>
          </w:p>
        </w:tc>
        <w:tc>
          <w:tcPr>
            <w:tcW w:type="dxa" w:w="316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Preferred Bundles</w:t>
            </w:r>
          </w:p>
        </w:tc>
      </w:tr>
      <w:tr>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D4714"/>
                <w:sz w:val="18"/>
                <w:szCs w:val="18"/>
              </w:rPr>
              <w:t xml:space="preserve">High forward citations confirming technical influence</w:t>
            </w:r>
          </w:p>
          <w:p>
            <w:pPr>
              <w:pStyle w:val="ListParagraph"/>
              <w:numPr>
                <w:ilvl w:val="0"/>
                <w:numId w:val="2"/>
              </w:numPr>
              <w:spacing w:after="40" w:before="40"/>
            </w:pPr>
            <w:r>
              <w:rPr>
                <w:rFonts w:ascii="Arial" w:cs="Arial" w:eastAsia="Arial" w:hAnsi="Arial"/>
                <w:color w:val="1D4714"/>
                <w:sz w:val="18"/>
                <w:szCs w:val="18"/>
              </w:rPr>
              <w:t xml:space="preserve">Provenance-coherent families (same R&amp;D program)</w:t>
            </w:r>
          </w:p>
          <w:p>
            <w:pPr>
              <w:pStyle w:val="ListParagraph"/>
              <w:numPr>
                <w:ilvl w:val="0"/>
                <w:numId w:val="2"/>
              </w:numPr>
              <w:spacing w:after="40" w:before="40"/>
            </w:pPr>
            <w:r>
              <w:rPr>
                <w:rFonts w:ascii="Arial" w:cs="Arial" w:eastAsia="Arial" w:hAnsi="Arial"/>
                <w:color w:val="1D4714"/>
                <w:sz w:val="18"/>
                <w:szCs w:val="18"/>
              </w:rPr>
              <w:t xml:space="preserve">Complete family tree — parent + continuations + foreign</w:t>
            </w:r>
          </w:p>
          <w:p>
            <w:pPr>
              <w:pStyle w:val="ListParagraph"/>
              <w:numPr>
                <w:ilvl w:val="0"/>
                <w:numId w:val="2"/>
              </w:numPr>
              <w:spacing w:after="40" w:before="40"/>
            </w:pPr>
            <w:r>
              <w:rPr>
                <w:rFonts w:ascii="Arial" w:cs="Arial" w:eastAsia="Arial" w:hAnsi="Arial"/>
                <w:color w:val="1D4714"/>
                <w:sz w:val="18"/>
                <w:szCs w:val="18"/>
              </w:rPr>
              <w:t xml:space="preserve">No encumbrances blocking assignment as part of deal</w:t>
            </w:r>
          </w:p>
          <w:p>
            <w:pPr>
              <w:pStyle w:val="ListParagraph"/>
              <w:numPr>
                <w:ilvl w:val="0"/>
                <w:numId w:val="2"/>
              </w:numPr>
              <w:spacing w:after="40" w:before="40"/>
            </w:pPr>
            <w:r>
              <w:rPr>
                <w:rFonts w:ascii="Arial" w:cs="Arial" w:eastAsia="Arial" w:hAnsi="Arial"/>
                <w:color w:val="1D4714"/>
                <w:sz w:val="18"/>
                <w:szCs w:val="18"/>
              </w:rPr>
              <w:t xml:space="preserve">Broad technology domain aligned with acquisition thesis</w:t>
            </w:r>
          </w:p>
        </w:tc>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7B0000"/>
                <w:sz w:val="18"/>
                <w:szCs w:val="18"/>
              </w:rPr>
              <w:t xml:space="preserve">Fragmented chain of title across multiple assignees</w:t>
            </w:r>
          </w:p>
          <w:p>
            <w:pPr>
              <w:pStyle w:val="ListParagraph"/>
              <w:numPr>
                <w:ilvl w:val="0"/>
                <w:numId w:val="2"/>
              </w:numPr>
              <w:spacing w:after="40" w:before="40"/>
            </w:pPr>
            <w:r>
              <w:rPr>
                <w:rFonts w:ascii="Arial" w:cs="Arial" w:eastAsia="Arial" w:hAnsi="Arial"/>
                <w:color w:val="7B0000"/>
                <w:sz w:val="18"/>
                <w:szCs w:val="18"/>
              </w:rPr>
              <w:t xml:space="preserve">Families split across different entities pre-transaction</w:t>
            </w:r>
          </w:p>
          <w:p>
            <w:pPr>
              <w:pStyle w:val="ListParagraph"/>
              <w:numPr>
                <w:ilvl w:val="0"/>
                <w:numId w:val="2"/>
              </w:numPr>
              <w:spacing w:after="40" w:before="40"/>
            </w:pPr>
            <w:r>
              <w:rPr>
                <w:rFonts w:ascii="Arial" w:cs="Arial" w:eastAsia="Arial" w:hAnsi="Arial"/>
                <w:color w:val="7B0000"/>
                <w:sz w:val="18"/>
                <w:szCs w:val="18"/>
              </w:rPr>
              <w:t xml:space="preserve">Active litigation that must transfer with the asset</w:t>
            </w:r>
          </w:p>
          <w:p>
            <w:pPr>
              <w:pStyle w:val="ListParagraph"/>
              <w:numPr>
                <w:ilvl w:val="0"/>
                <w:numId w:val="2"/>
              </w:numPr>
              <w:spacing w:after="40" w:before="40"/>
            </w:pPr>
            <w:r>
              <w:rPr>
                <w:rFonts w:ascii="Arial" w:cs="Arial" w:eastAsia="Arial" w:hAnsi="Arial"/>
                <w:color w:val="7B0000"/>
                <w:sz w:val="18"/>
                <w:szCs w:val="18"/>
              </w:rPr>
              <w:t xml:space="preserve">FRAND obligations limiting post-deal licensing freedom</w:t>
            </w:r>
          </w:p>
        </w:tc>
        <w:tc>
          <w:tcPr>
            <w:tcW w:type="dxa" w:w="31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3E5C"/>
                <w:sz w:val="18"/>
                <w:szCs w:val="18"/>
              </w:rPr>
              <w:t xml:space="preserve">Bundle 33 — Provenance-Coherent</w:t>
            </w:r>
          </w:p>
          <w:p>
            <w:pPr>
              <w:pStyle w:val="ListParagraph"/>
              <w:numPr>
                <w:ilvl w:val="0"/>
                <w:numId w:val="2"/>
              </w:numPr>
              <w:spacing w:after="40" w:before="40"/>
            </w:pPr>
            <w:r>
              <w:rPr>
                <w:rFonts w:ascii="Arial" w:cs="Arial" w:eastAsia="Arial" w:hAnsi="Arial"/>
                <w:color w:val="1A3E5C"/>
                <w:sz w:val="18"/>
                <w:szCs w:val="18"/>
              </w:rPr>
              <w:t xml:space="preserve">Bundle 14 — Family-Tree</w:t>
            </w:r>
          </w:p>
          <w:p>
            <w:pPr>
              <w:pStyle w:val="ListParagraph"/>
              <w:numPr>
                <w:ilvl w:val="0"/>
                <w:numId w:val="2"/>
              </w:numPr>
              <w:spacing w:after="40" w:before="40"/>
            </w:pPr>
            <w:r>
              <w:rPr>
                <w:rFonts w:ascii="Arial" w:cs="Arial" w:eastAsia="Arial" w:hAnsi="Arial"/>
                <w:color w:val="1A3E5C"/>
                <w:sz w:val="18"/>
                <w:szCs w:val="18"/>
              </w:rPr>
              <w:t xml:space="preserve">Bundle 29 — High-Citation</w:t>
            </w:r>
          </w:p>
          <w:p>
            <w:pPr>
              <w:pStyle w:val="ListParagraph"/>
              <w:numPr>
                <w:ilvl w:val="0"/>
                <w:numId w:val="2"/>
              </w:numPr>
              <w:spacing w:after="40" w:before="40"/>
            </w:pPr>
            <w:r>
              <w:rPr>
                <w:rFonts w:ascii="Arial" w:cs="Arial" w:eastAsia="Arial" w:hAnsi="Arial"/>
                <w:color w:val="1A3E5C"/>
                <w:sz w:val="18"/>
                <w:szCs w:val="18"/>
              </w:rPr>
              <w:t xml:space="preserve">Bundle 3 — Product Architecture</w:t>
            </w:r>
          </w:p>
        </w:tc>
      </w:tr>
    </w:tbl>
    <w:p>
      <w:pPr>
        <w:spacing w:after="0" w:before="0" w:line="120"/>
      </w:pPr>
      <w:r>
        <w:t xml:space="preserve"/>
      </w:r>
    </w:p>
    <w:p>
      <w:pPr>
        <w:spacing w:after="40" w:before="40"/>
      </w:pPr>
      <w:r>
        <w:rPr>
          <w:rFonts w:ascii="Arial" w:cs="Arial" w:eastAsia="Arial" w:hAnsi="Arial"/>
          <w:b/>
          <w:bCs/>
          <w:color w:val="1F3864"/>
          <w:sz w:val="19"/>
          <w:szCs w:val="19"/>
        </w:rPr>
        <w:t xml:space="preserve">Where to Find: </w:t>
      </w:r>
      <w:r>
        <w:rPr>
          <w:rFonts w:ascii="Arial" w:cs="Arial" w:eastAsia="Arial" w:hAnsi="Arial"/>
          <w:color w:val="595959"/>
          <w:sz w:val="19"/>
          <w:szCs w:val="19"/>
        </w:rPr>
        <w:t xml:space="preserve">Corporate development VPs at strategic acquirers; technology-focused PE firms; M&amp;A law firms with IP practice groups; investment bankers advising on technology carve-outs.</w:t>
      </w:r>
    </w:p>
    <w:p>
      <w:pPr>
        <w:spacing w:after="0" w:before="0" w:line="320"/>
      </w:pPr>
      <w:r>
        <w:t xml:space="preserve"/>
      </w:r>
    </w:p>
    <w:p>
      <w:pPr>
        <w:pBdr>
          <w:bottom w:val="single" w:color="F0F0F0" w:sz="6" w:space="1"/>
        </w:pBdr>
        <w:spacing w:after="60" w:before="60"/>
      </w:pPr>
      <w:r>
        <w:t xml:space="preserve"/>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375623" w:val="clear"/>
            <w:tcMar>
              <w:top w:type="dxa" w:w="140"/>
              <w:left w:type="dxa" w:w="200"/>
              <w:bottom w:type="dxa" w:w="140"/>
              <w:right w:type="dxa" w:w="200"/>
            </w:tcMar>
            <w:vAlign w:val="center"/>
          </w:tcPr>
          <w:p>
            <w:pPr>
              <w:jc w:val="center"/>
            </w:pPr>
            <w:r>
              <w:rPr>
                <w:rFonts w:ascii="Arial" w:cs="Arial" w:eastAsia="Arial" w:hAnsi="Arial"/>
                <w:b/>
                <w:bCs/>
                <w:color w:val="FFFFFF"/>
                <w:sz w:val="44"/>
                <w:szCs w:val="44"/>
              </w:rPr>
              <w:t xml:space="preserve">UNIV</w:t>
            </w:r>
          </w:p>
          <w:p>
            <w:pPr>
              <w:jc w:val="center"/>
            </w:pPr>
            <w:r>
              <w:rPr>
                <w:rFonts w:ascii="Arial" w:cs="Arial" w:eastAsia="Arial" w:hAnsi="Arial"/>
                <w:b/>
                <w:bCs/>
                <w:color w:val="FFFFFF"/>
                <w:sz w:val="17"/>
                <w:szCs w:val="17"/>
              </w:rPr>
              <w:t xml:space="preserve">UNIV</w:t>
            </w:r>
          </w:p>
        </w:tc>
        <w:tc>
          <w:tcPr>
            <w:tcBorders>
              <w:top w:val="nil"/>
              <w:left w:val="nil"/>
              <w:bottom w:val="nil"/>
              <w:right w:val="nil"/>
            </w:tcBorders>
            <w:shd w:fill="70AD47" w:val="clear"/>
            <w:tcMar>
              <w:top w:type="dxa" w:w="120"/>
              <w:left w:type="dxa" w:w="220"/>
              <w:bottom w:type="dxa" w:w="120"/>
              <w:right w:type="dxa" w:w="220"/>
            </w:tcMar>
          </w:tcPr>
          <w:p>
            <w:r>
              <w:rPr>
                <w:rFonts w:ascii="Arial" w:cs="Arial" w:eastAsia="Arial" w:hAnsi="Arial"/>
                <w:b/>
                <w:bCs/>
                <w:color w:val="FFFFFF"/>
                <w:sz w:val="26"/>
                <w:szCs w:val="26"/>
              </w:rPr>
              <w:t xml:space="preserve">University / Government Technology Transfer Office</w:t>
            </w:r>
          </w:p>
          <w:p>
            <w:pPr>
              <w:spacing w:before="60"/>
            </w:pPr>
            <w:r>
              <w:rPr>
                <w:rFonts w:ascii="Arial" w:cs="Arial" w:eastAsia="Arial" w:hAnsi="Arial"/>
                <w:i/>
                <w:iCs/>
                <w:color w:val="D9E8F5"/>
                <w:sz w:val="19"/>
                <w:szCs w:val="19"/>
              </w:rPr>
              <w:t xml:space="preserve">Commercializing research IP; seeking licensees or co-assignees for foundational patents</w:t>
            </w:r>
          </w:p>
        </w:tc>
      </w:tr>
    </w:tbl>
    <w:p>
      <w:pPr>
        <w:spacing w:after="0" w:before="0" w:line="120"/>
      </w:pPr>
      <w:r>
        <w:t xml:space="preserve"/>
      </w:r>
    </w:p>
    <w:p>
      <w:pPr>
        <w:spacing w:after="60" w:before="40"/>
      </w:pPr>
      <w:r>
        <w:rPr>
          <w:rFonts w:ascii="Arial" w:cs="Arial" w:eastAsia="Arial" w:hAnsi="Arial"/>
          <w:color w:val="222222"/>
          <w:sz w:val="19"/>
          <w:szCs w:val="19"/>
        </w:rPr>
        <w:t xml:space="preserve">Technology transfer offices at universities and federal labs occasionally appear as buyers in two modes: (1) acquiring improvement patents to complement their foundational research IP before licensing; (2) acquiring patents that cite their own research to build a commercialization portfolio. They are typically price-sensitive, process-heavy, and slow to close. Their mandate is commercialization, not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Top Buy Signals</w:t>
            </w:r>
          </w:p>
        </w:tc>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Deal Killers</w:t>
            </w:r>
          </w:p>
        </w:tc>
        <w:tc>
          <w:tcPr>
            <w:tcW w:type="dxa" w:w="316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Preferred Bundles</w:t>
            </w:r>
          </w:p>
        </w:tc>
      </w:tr>
      <w:tr>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D4714"/>
                <w:sz w:val="18"/>
                <w:szCs w:val="18"/>
              </w:rPr>
              <w:t xml:space="preserve">High forward citations to academic literature</w:t>
            </w:r>
          </w:p>
          <w:p>
            <w:pPr>
              <w:pStyle w:val="ListParagraph"/>
              <w:numPr>
                <w:ilvl w:val="0"/>
                <w:numId w:val="2"/>
              </w:numPr>
              <w:spacing w:after="40" w:before="40"/>
            </w:pPr>
            <w:r>
              <w:rPr>
                <w:rFonts w:ascii="Arial" w:cs="Arial" w:eastAsia="Arial" w:hAnsi="Arial"/>
                <w:color w:val="1D4714"/>
                <w:sz w:val="18"/>
                <w:szCs w:val="18"/>
              </w:rPr>
              <w:t xml:space="preserve">Broad foundational claims in emerging research areas</w:t>
            </w:r>
          </w:p>
          <w:p>
            <w:pPr>
              <w:pStyle w:val="ListParagraph"/>
              <w:numPr>
                <w:ilvl w:val="0"/>
                <w:numId w:val="2"/>
              </w:numPr>
              <w:spacing w:after="40" w:before="40"/>
            </w:pPr>
            <w:r>
              <w:rPr>
                <w:rFonts w:ascii="Arial" w:cs="Arial" w:eastAsia="Arial" w:hAnsi="Arial"/>
                <w:color w:val="1D4714"/>
                <w:sz w:val="18"/>
                <w:szCs w:val="18"/>
              </w:rPr>
              <w:t xml:space="preserve">Productized or prototype-stage implementation maturity</w:t>
            </w:r>
          </w:p>
          <w:p>
            <w:pPr>
              <w:pStyle w:val="ListParagraph"/>
              <w:numPr>
                <w:ilvl w:val="0"/>
                <w:numId w:val="2"/>
              </w:numPr>
              <w:spacing w:after="40" w:before="40"/>
            </w:pPr>
            <w:r>
              <w:rPr>
                <w:rFonts w:ascii="Arial" w:cs="Arial" w:eastAsia="Arial" w:hAnsi="Arial"/>
                <w:color w:val="1D4714"/>
                <w:sz w:val="18"/>
                <w:szCs w:val="18"/>
              </w:rPr>
              <w:t xml:space="preserve">Alignment with active research program or lab focus</w:t>
            </w:r>
          </w:p>
          <w:p>
            <w:pPr>
              <w:pStyle w:val="ListParagraph"/>
              <w:numPr>
                <w:ilvl w:val="0"/>
                <w:numId w:val="2"/>
              </w:numPr>
              <w:spacing w:after="40" w:before="40"/>
            </w:pPr>
            <w:r>
              <w:rPr>
                <w:rFonts w:ascii="Arial" w:cs="Arial" w:eastAsia="Arial" w:hAnsi="Arial"/>
                <w:color w:val="1D4714"/>
                <w:sz w:val="18"/>
                <w:szCs w:val="18"/>
              </w:rPr>
              <w:t xml:space="preserve">Clean title from non-NPE originator</w:t>
            </w:r>
          </w:p>
        </w:tc>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7B0000"/>
                <w:sz w:val="18"/>
                <w:szCs w:val="18"/>
              </w:rPr>
              <w:t xml:space="preserve">Patents with active assertion history (reputational risk)</w:t>
            </w:r>
          </w:p>
          <w:p>
            <w:pPr>
              <w:pStyle w:val="ListParagraph"/>
              <w:numPr>
                <w:ilvl w:val="0"/>
                <w:numId w:val="2"/>
              </w:numPr>
              <w:spacing w:after="40" w:before="40"/>
            </w:pPr>
            <w:r>
              <w:rPr>
                <w:rFonts w:ascii="Arial" w:cs="Arial" w:eastAsia="Arial" w:hAnsi="Arial"/>
                <w:color w:val="7B0000"/>
                <w:sz w:val="18"/>
                <w:szCs w:val="18"/>
              </w:rPr>
              <w:t xml:space="preserve">Near-expiry assets with no licensing window</w:t>
            </w:r>
          </w:p>
          <w:p>
            <w:pPr>
              <w:pStyle w:val="ListParagraph"/>
              <w:numPr>
                <w:ilvl w:val="0"/>
                <w:numId w:val="2"/>
              </w:numPr>
              <w:spacing w:after="40" w:before="40"/>
            </w:pPr>
            <w:r>
              <w:rPr>
                <w:rFonts w:ascii="Arial" w:cs="Arial" w:eastAsia="Arial" w:hAnsi="Arial"/>
                <w:color w:val="7B0000"/>
                <w:sz w:val="18"/>
                <w:szCs w:val="18"/>
              </w:rPr>
              <w:t xml:space="preserve">High invalidity exposure — contradicts their research narrative</w:t>
            </w:r>
          </w:p>
          <w:p>
            <w:pPr>
              <w:pStyle w:val="ListParagraph"/>
              <w:numPr>
                <w:ilvl w:val="0"/>
                <w:numId w:val="2"/>
              </w:numPr>
              <w:spacing w:after="40" w:before="40"/>
            </w:pPr>
            <w:r>
              <w:rPr>
                <w:rFonts w:ascii="Arial" w:cs="Arial" w:eastAsia="Arial" w:hAnsi="Arial"/>
                <w:color w:val="7B0000"/>
                <w:sz w:val="18"/>
                <w:szCs w:val="18"/>
              </w:rPr>
              <w:t xml:space="preserve">Complex chain of title involving multiple commercial entities</w:t>
            </w:r>
          </w:p>
        </w:tc>
        <w:tc>
          <w:tcPr>
            <w:tcW w:type="dxa" w:w="31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3E5C"/>
                <w:sz w:val="18"/>
                <w:szCs w:val="18"/>
              </w:rPr>
              <w:t xml:space="preserve">Bundle 1 — Tech Domain (aligned with research area)</w:t>
            </w:r>
          </w:p>
          <w:p>
            <w:pPr>
              <w:pStyle w:val="ListParagraph"/>
              <w:numPr>
                <w:ilvl w:val="0"/>
                <w:numId w:val="2"/>
              </w:numPr>
              <w:spacing w:after="40" w:before="40"/>
            </w:pPr>
            <w:r>
              <w:rPr>
                <w:rFonts w:ascii="Arial" w:cs="Arial" w:eastAsia="Arial" w:hAnsi="Arial"/>
                <w:color w:val="1A3E5C"/>
                <w:sz w:val="18"/>
                <w:szCs w:val="18"/>
              </w:rPr>
              <w:t xml:space="preserve">Bundle 16 — Foundational + Improvement</w:t>
            </w:r>
          </w:p>
          <w:p>
            <w:pPr>
              <w:pStyle w:val="ListParagraph"/>
              <w:numPr>
                <w:ilvl w:val="0"/>
                <w:numId w:val="2"/>
              </w:numPr>
              <w:spacing w:after="40" w:before="40"/>
            </w:pPr>
            <w:r>
              <w:rPr>
                <w:rFonts w:ascii="Arial" w:cs="Arial" w:eastAsia="Arial" w:hAnsi="Arial"/>
                <w:color w:val="1A3E5C"/>
                <w:sz w:val="18"/>
                <w:szCs w:val="18"/>
              </w:rPr>
              <w:t xml:space="preserve">Bundle 29 — High-Citation</w:t>
            </w:r>
          </w:p>
          <w:p>
            <w:pPr>
              <w:pStyle w:val="ListParagraph"/>
              <w:numPr>
                <w:ilvl w:val="0"/>
                <w:numId w:val="2"/>
              </w:numPr>
              <w:spacing w:after="40" w:before="40"/>
            </w:pPr>
            <w:r>
              <w:rPr>
                <w:rFonts w:ascii="Arial" w:cs="Arial" w:eastAsia="Arial" w:hAnsi="Arial"/>
                <w:color w:val="1A3E5C"/>
                <w:sz w:val="18"/>
                <w:szCs w:val="18"/>
              </w:rPr>
              <w:t xml:space="preserve">Bundle 21 — Prosecution-Status (pending applications)</w:t>
            </w:r>
          </w:p>
        </w:tc>
      </w:tr>
    </w:tbl>
    <w:p>
      <w:pPr>
        <w:spacing w:after="0" w:before="0" w:line="120"/>
      </w:pPr>
      <w:r>
        <w:t xml:space="preserve"/>
      </w:r>
    </w:p>
    <w:p>
      <w:pPr>
        <w:spacing w:after="40" w:before="40"/>
      </w:pPr>
      <w:r>
        <w:rPr>
          <w:rFonts w:ascii="Arial" w:cs="Arial" w:eastAsia="Arial" w:hAnsi="Arial"/>
          <w:b/>
          <w:bCs/>
          <w:color w:val="1F3864"/>
          <w:sz w:val="19"/>
          <w:szCs w:val="19"/>
        </w:rPr>
        <w:t xml:space="preserve">Where to Find: </w:t>
      </w:r>
      <w:r>
        <w:rPr>
          <w:rFonts w:ascii="Arial" w:cs="Arial" w:eastAsia="Arial" w:hAnsi="Arial"/>
          <w:color w:val="595959"/>
          <w:sz w:val="19"/>
          <w:szCs w:val="19"/>
        </w:rPr>
        <w:t xml:space="preserve">Tech transfer office directors at R1 research universities; NTTC (National Technology Transfer Center); AUTM (Association of University Technology Managers) annual conference; federal lab commercialization offices (NREL, Oak Ridge, Sandia).</w:t>
      </w:r>
    </w:p>
    <w:p>
      <w:pPr>
        <w:spacing w:after="0" w:before="0" w:line="320"/>
      </w:pPr>
      <w:r>
        <w:t xml:space="preserve"/>
      </w:r>
    </w:p>
    <w:p>
      <w:pPr>
        <w:pBdr>
          <w:bottom w:val="single" w:color="F0F0F0" w:sz="6" w:space="1"/>
        </w:pBdr>
        <w:spacing w:after="60" w:before="60"/>
      </w:pPr>
      <w:r>
        <w:t xml:space="preserve"/>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il"/>
              <w:left w:val="nil"/>
              <w:bottom w:val="nil"/>
              <w:right w:val="nil"/>
            </w:tcBorders>
            <w:shd w:fill="585858" w:val="clear"/>
            <w:tcMar>
              <w:top w:type="dxa" w:w="140"/>
              <w:left w:type="dxa" w:w="200"/>
              <w:bottom w:type="dxa" w:w="140"/>
              <w:right w:type="dxa" w:w="200"/>
            </w:tcMar>
            <w:vAlign w:val="center"/>
          </w:tcPr>
          <w:p>
            <w:pPr>
              <w:jc w:val="center"/>
            </w:pPr>
            <w:r>
              <w:rPr>
                <w:rFonts w:ascii="Arial" w:cs="Arial" w:eastAsia="Arial" w:hAnsi="Arial"/>
                <w:b/>
                <w:bCs/>
                <w:color w:val="FFFFFF"/>
                <w:sz w:val="44"/>
                <w:szCs w:val="44"/>
              </w:rPr>
              <w:t xml:space="preserve">INSUR</w:t>
            </w:r>
          </w:p>
          <w:p>
            <w:pPr>
              <w:jc w:val="center"/>
            </w:pPr>
            <w:r>
              <w:rPr>
                <w:rFonts w:ascii="Arial" w:cs="Arial" w:eastAsia="Arial" w:hAnsi="Arial"/>
                <w:b/>
                <w:bCs/>
                <w:color w:val="FFFFFF"/>
                <w:sz w:val="17"/>
                <w:szCs w:val="17"/>
              </w:rPr>
              <w:t xml:space="preserve">INSUR</w:t>
            </w:r>
          </w:p>
        </w:tc>
        <w:tc>
          <w:tcPr>
            <w:tcBorders>
              <w:top w:val="nil"/>
              <w:left w:val="nil"/>
              <w:bottom w:val="nil"/>
              <w:right w:val="nil"/>
            </w:tcBorders>
            <w:shd w:fill="808080" w:val="clear"/>
            <w:tcMar>
              <w:top w:type="dxa" w:w="120"/>
              <w:left w:type="dxa" w:w="220"/>
              <w:bottom w:type="dxa" w:w="120"/>
              <w:right w:type="dxa" w:w="220"/>
            </w:tcMar>
          </w:tcPr>
          <w:p>
            <w:r>
              <w:rPr>
                <w:rFonts w:ascii="Arial" w:cs="Arial" w:eastAsia="Arial" w:hAnsi="Arial"/>
                <w:b/>
                <w:bCs/>
                <w:color w:val="FFFFFF"/>
                <w:sz w:val="26"/>
                <w:szCs w:val="26"/>
              </w:rPr>
              <w:t xml:space="preserve">IP Insurance &amp; Risk Management Buyer</w:t>
            </w:r>
          </w:p>
          <w:p>
            <w:pPr>
              <w:spacing w:before="60"/>
            </w:pPr>
            <w:r>
              <w:rPr>
                <w:rFonts w:ascii="Arial" w:cs="Arial" w:eastAsia="Arial" w:hAnsi="Arial"/>
                <w:i/>
                <w:iCs/>
                <w:color w:val="D9E8F5"/>
                <w:sz w:val="19"/>
                <w:szCs w:val="19"/>
              </w:rPr>
              <w:t xml:space="preserve">Underwriters assessing patent quality and validity for insurance products</w:t>
            </w:r>
          </w:p>
        </w:tc>
      </w:tr>
    </w:tbl>
    <w:p>
      <w:pPr>
        <w:spacing w:after="0" w:before="0" w:line="120"/>
      </w:pPr>
      <w:r>
        <w:t xml:space="preserve"/>
      </w:r>
    </w:p>
    <w:p>
      <w:pPr>
        <w:spacing w:after="60" w:before="40"/>
      </w:pPr>
      <w:r>
        <w:rPr>
          <w:rFonts w:ascii="Arial" w:cs="Arial" w:eastAsia="Arial" w:hAnsi="Arial"/>
          <w:color w:val="222222"/>
          <w:sz w:val="19"/>
          <w:szCs w:val="19"/>
        </w:rPr>
        <w:t xml:space="preserve">IP insurance underwriters buy or evaluate patents either as collateral for patent-backed lending, or as the underlying assets in IP insurance products (infringement coverage, validity coverage). They are not monetizers — they need to know how likely a patent is to survive a validity challenge, how clean the title is, and whether the claim scope is stable. They are deeply due-diligence-driven, slow, and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Top Buy Signals</w:t>
            </w:r>
          </w:p>
        </w:tc>
        <w:tc>
          <w:tcPr>
            <w:tcW w:type="dxa" w:w="31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Deal Killers</w:t>
            </w:r>
          </w:p>
        </w:tc>
        <w:tc>
          <w:tcPr>
            <w:tcW w:type="dxa" w:w="316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Preferred Bundles</w:t>
            </w:r>
          </w:p>
        </w:tc>
      </w:tr>
      <w:tr>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D4714"/>
                <w:sz w:val="18"/>
                <w:szCs w:val="18"/>
              </w:rPr>
              <w:t xml:space="preserve">Survived IPR/PTAB or litigation challenge (H7)</w:t>
            </w:r>
          </w:p>
          <w:p>
            <w:pPr>
              <w:pStyle w:val="ListParagraph"/>
              <w:numPr>
                <w:ilvl w:val="0"/>
                <w:numId w:val="2"/>
              </w:numPr>
              <w:spacing w:after="40" w:before="40"/>
            </w:pPr>
            <w:r>
              <w:rPr>
                <w:rFonts w:ascii="Arial" w:cs="Arial" w:eastAsia="Arial" w:hAnsi="Arial"/>
                <w:color w:val="1D4714"/>
                <w:sz w:val="18"/>
                <w:szCs w:val="18"/>
              </w:rPr>
              <w:t xml:space="preserve">Low prior-art exposure (H2 = 3)</w:t>
            </w:r>
          </w:p>
          <w:p>
            <w:pPr>
              <w:pStyle w:val="ListParagraph"/>
              <w:numPr>
                <w:ilvl w:val="0"/>
                <w:numId w:val="2"/>
              </w:numPr>
              <w:spacing w:after="40" w:before="40"/>
            </w:pPr>
            <w:r>
              <w:rPr>
                <w:rFonts w:ascii="Arial" w:cs="Arial" w:eastAsia="Arial" w:hAnsi="Arial"/>
                <w:color w:val="1D4714"/>
                <w:sz w:val="18"/>
                <w:szCs w:val="18"/>
              </w:rPr>
              <w:t xml:space="preserve">Clean chain of title with no gaps (H8 = Clean)</w:t>
            </w:r>
          </w:p>
          <w:p>
            <w:pPr>
              <w:pStyle w:val="ListParagraph"/>
              <w:numPr>
                <w:ilvl w:val="0"/>
                <w:numId w:val="2"/>
              </w:numPr>
              <w:spacing w:after="40" w:before="40"/>
            </w:pPr>
            <w:r>
              <w:rPr>
                <w:rFonts w:ascii="Arial" w:cs="Arial" w:eastAsia="Arial" w:hAnsi="Arial"/>
                <w:color w:val="1D4714"/>
                <w:sz w:val="18"/>
                <w:szCs w:val="18"/>
              </w:rPr>
              <w:t xml:space="preserve">No encumbrances or existing FRAND obligations</w:t>
            </w:r>
          </w:p>
          <w:p>
            <w:pPr>
              <w:pStyle w:val="ListParagraph"/>
              <w:numPr>
                <w:ilvl w:val="0"/>
                <w:numId w:val="2"/>
              </w:numPr>
              <w:spacing w:after="40" w:before="40"/>
            </w:pPr>
            <w:r>
              <w:rPr>
                <w:rFonts w:ascii="Arial" w:cs="Arial" w:eastAsia="Arial" w:hAnsi="Arial"/>
                <w:color w:val="1D4714"/>
                <w:sz w:val="18"/>
                <w:szCs w:val="18"/>
              </w:rPr>
              <w:t xml:space="preserve">High claim strength with minimal prosecution estoppel</w:t>
            </w:r>
          </w:p>
        </w:tc>
        <w:tc>
          <w:tcPr>
            <w:tcW w:type="dxa" w:w="31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7B0000"/>
                <w:sz w:val="18"/>
                <w:szCs w:val="18"/>
              </w:rPr>
              <w:t xml:space="preserve">Any pending validity challenge — uninsurable until resolved</w:t>
            </w:r>
          </w:p>
          <w:p>
            <w:pPr>
              <w:pStyle w:val="ListParagraph"/>
              <w:numPr>
                <w:ilvl w:val="0"/>
                <w:numId w:val="2"/>
              </w:numPr>
              <w:spacing w:after="40" w:before="40"/>
            </w:pPr>
            <w:r>
              <w:rPr>
                <w:rFonts w:ascii="Arial" w:cs="Arial" w:eastAsia="Arial" w:hAnsi="Arial"/>
                <w:color w:val="7B0000"/>
                <w:sz w:val="18"/>
                <w:szCs w:val="18"/>
              </w:rPr>
              <w:t xml:space="preserve">Divided infringement structure — scope too uncertain to underwrite</w:t>
            </w:r>
          </w:p>
          <w:p>
            <w:pPr>
              <w:pStyle w:val="ListParagraph"/>
              <w:numPr>
                <w:ilvl w:val="0"/>
                <w:numId w:val="2"/>
              </w:numPr>
              <w:spacing w:after="40" w:before="40"/>
            </w:pPr>
            <w:r>
              <w:rPr>
                <w:rFonts w:ascii="Arial" w:cs="Arial" w:eastAsia="Arial" w:hAnsi="Arial"/>
                <w:color w:val="7B0000"/>
                <w:sz w:val="18"/>
                <w:szCs w:val="18"/>
              </w:rPr>
              <w:t xml:space="preserve">Clouded title or missing assignment records</w:t>
            </w:r>
          </w:p>
          <w:p>
            <w:pPr>
              <w:pStyle w:val="ListParagraph"/>
              <w:numPr>
                <w:ilvl w:val="0"/>
                <w:numId w:val="2"/>
              </w:numPr>
              <w:spacing w:after="40" w:before="40"/>
            </w:pPr>
            <w:r>
              <w:rPr>
                <w:rFonts w:ascii="Arial" w:cs="Arial" w:eastAsia="Arial" w:hAnsi="Arial"/>
                <w:color w:val="7B0000"/>
                <w:sz w:val="18"/>
                <w:szCs w:val="18"/>
              </w:rPr>
              <w:t xml:space="preserve">High prior-art exposure (H2 ≤ 1) — too likely to be invalidated</w:t>
            </w:r>
          </w:p>
        </w:tc>
        <w:tc>
          <w:tcPr>
            <w:tcW w:type="dxa" w:w="31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3E5C"/>
                <w:sz w:val="18"/>
                <w:szCs w:val="18"/>
              </w:rPr>
              <w:t xml:space="preserve">Bundle 27 — Survived-Challenge/Battle-Tested</w:t>
            </w:r>
          </w:p>
          <w:p>
            <w:pPr>
              <w:pStyle w:val="ListParagraph"/>
              <w:numPr>
                <w:ilvl w:val="0"/>
                <w:numId w:val="2"/>
              </w:numPr>
              <w:spacing w:after="40" w:before="40"/>
            </w:pPr>
            <w:r>
              <w:rPr>
                <w:rFonts w:ascii="Arial" w:cs="Arial" w:eastAsia="Arial" w:hAnsi="Arial"/>
                <w:color w:val="1A3E5C"/>
                <w:sz w:val="18"/>
                <w:szCs w:val="18"/>
              </w:rPr>
              <w:t xml:space="preserve">Bundle 28 — Clean-Chain-of-Title</w:t>
            </w:r>
          </w:p>
          <w:p>
            <w:pPr>
              <w:pStyle w:val="ListParagraph"/>
              <w:numPr>
                <w:ilvl w:val="0"/>
                <w:numId w:val="2"/>
              </w:numPr>
              <w:spacing w:after="40" w:before="40"/>
            </w:pPr>
            <w:r>
              <w:rPr>
                <w:rFonts w:ascii="Arial" w:cs="Arial" w:eastAsia="Arial" w:hAnsi="Arial"/>
                <w:color w:val="1A3E5C"/>
                <w:sz w:val="18"/>
                <w:szCs w:val="18"/>
              </w:rPr>
              <w:t xml:space="preserve">Bundle 26 — EoU-Backed (scope clarity)</w:t>
            </w:r>
          </w:p>
          <w:p>
            <w:pPr>
              <w:pStyle w:val="ListParagraph"/>
              <w:numPr>
                <w:ilvl w:val="0"/>
                <w:numId w:val="2"/>
              </w:numPr>
              <w:spacing w:after="40" w:before="40"/>
            </w:pPr>
            <w:r>
              <w:rPr>
                <w:rFonts w:ascii="Arial" w:cs="Arial" w:eastAsia="Arial" w:hAnsi="Arial"/>
                <w:color w:val="1A3E5C"/>
                <w:sz w:val="18"/>
                <w:szCs w:val="18"/>
              </w:rPr>
              <w:t xml:space="preserve">Bundle 33 — Provenance-Coherent</w:t>
            </w:r>
          </w:p>
        </w:tc>
      </w:tr>
    </w:tbl>
    <w:p>
      <w:pPr>
        <w:spacing w:after="0" w:before="0" w:line="120"/>
      </w:pPr>
      <w:r>
        <w:t xml:space="preserve"/>
      </w:r>
    </w:p>
    <w:p>
      <w:pPr>
        <w:spacing w:after="40" w:before="40"/>
      </w:pPr>
      <w:r>
        <w:rPr>
          <w:rFonts w:ascii="Arial" w:cs="Arial" w:eastAsia="Arial" w:hAnsi="Arial"/>
          <w:b/>
          <w:bCs/>
          <w:color w:val="1F3864"/>
          <w:sz w:val="19"/>
          <w:szCs w:val="19"/>
        </w:rPr>
        <w:t xml:space="preserve">Where to Find: </w:t>
      </w:r>
      <w:r>
        <w:rPr>
          <w:rFonts w:ascii="Arial" w:cs="Arial" w:eastAsia="Arial" w:hAnsi="Arial"/>
          <w:color w:val="595959"/>
          <w:sz w:val="19"/>
          <w:szCs w:val="19"/>
        </w:rPr>
        <w:t xml:space="preserve">IP insurance divisions at Munich Re, Aon IP Solutions, Willis Towers Watson; patent-backed lending firms; IP collateral assessment platforms (PatSnap, CPA Global).</w:t>
      </w:r>
    </w:p>
    <w:p>
      <w:pPr>
        <w:spacing w:after="0" w:before="0" w:line="320"/>
      </w:pPr>
      <w:r>
        <w:t xml:space="preserve"/>
      </w:r>
    </w:p>
    <w:p>
      <w:r>
        <w:br w:type="page"/>
      </w:r>
    </w:p>
    <w:p>
      <w:pPr>
        <w:pStyle w:val="Heading1"/>
        <w:spacing w:after="120" w:before="300"/>
      </w:pPr>
      <w:r>
        <w:rPr>
          <w:rFonts w:ascii="Arial" w:cs="Arial" w:eastAsia="Arial" w:hAnsi="Arial"/>
          <w:b/>
          <w:bCs/>
          <w:color w:val="1F3864"/>
          <w:sz w:val="36"/>
          <w:szCs w:val="36"/>
        </w:rPr>
        <w:t xml:space="preserve">Buyer Matching Guide: Bundle Type to Buyer Archetype</w:t>
      </w:r>
    </w:p>
    <w:p>
      <w:pPr>
        <w:pBdr>
          <w:bottom w:val="single" w:color="2E75B6" w:sz="6" w:space="1"/>
        </w:pBdr>
        <w:spacing w:after="60" w:before="60"/>
      </w:pPr>
      <w:r>
        <w:t xml:space="preserve"/>
      </w:r>
    </w:p>
    <w:p>
      <w:pPr>
        <w:spacing w:after="80" w:before="40"/>
      </w:pPr>
      <w:r>
        <w:rPr>
          <w:rFonts w:ascii="Arial" w:cs="Arial" w:eastAsia="Arial" w:hAnsi="Arial"/>
          <w:color w:val="222222"/>
          <w:sz w:val="19"/>
          <w:szCs w:val="19"/>
        </w:rPr>
        <w:t xml:space="preserve">Use this table when you have a completed Bundle Quality Scorecard and need to identify which buyer archetypes to prioritize for each bundle. Select the bundle type, read across to find primary and secondary buyer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Bundle Type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Primary Buyer(s)</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Secondary Buyer(s)</w:t>
            </w:r>
          </w:p>
        </w:tc>
        <w:tc>
          <w:tcPr>
            <w:tcW w:type="dxa" w:w="2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Workbook Preset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1 — Tech Domain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 OC-OFF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IP-FUND</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Operating Company / FTO</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2 — SEP</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STD-LIC</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DEF-AGG</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Standards Licensee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3 — Product Architecture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 CORP-VC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OC-OFF, IP-FUND</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Operating Company / FTO</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5 — Use-Case</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OC-EXP</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DEF-AGG</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8 — Algorithm/Software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OC-OFF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LIT-FIN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9 — Interoperability</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STD-LIC, OC-DEF</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DEF-AGG</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Standards Licensee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12 — Detectability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NPE-LIT, OC-OFF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LIT-FIN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13 — Geographic</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 STD-LIC</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CORP-VC, OC-OFF</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Operating Company / FTO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16 — Foundational+Improvement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OC-DEF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OC-OFF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17 — Cross-Industry</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 IP-FUND</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OC-EXP, DEF-AGG</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19 — Defensive/Counter-Assertion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 DEF-AGG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OC-OFF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Defensive Aggregator</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22 — Anchor-and-Halo</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NPE-LIT, OC-OFF</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LIT-FIN, NPE-LIC</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24 — Strong-Core+Tail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NPE-LIC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All 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25 — Continuation-Live</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OC-OFF, NPE-LIC</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26 — EoU-Backed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NPE-LIT, LIT-FIN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OC-OFF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27 — Survived-Challenge</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NPE-LIT, LIT-FIN</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OC-OFF, INSUR</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28 — Clean-Chain-of-Title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 INSUR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All buyers</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Any preset</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29 — High-Citation</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CORP-VC</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UNIV, NPE-LIC</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All 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30 — Adjacent Re-Read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OC-EXP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NPE-LIC</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All 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31 — Salvage/Volume Lot</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DEF-AGG</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IP-FUND (tail)</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Defensive Aggregator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1F3864"/>
                <w:sz w:val="17"/>
                <w:szCs w:val="17"/>
              </w:rPr>
              <w:t xml:space="preserve">32 — Pre-Expiry/Last-Window</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LIT-FIN, NPE-LIT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22222"/>
                <w:sz w:val="17"/>
                <w:szCs w:val="17"/>
              </w:rPr>
              <w:t xml:space="preserve">DEF-AGG</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44546A"/>
                <w:sz w:val="17"/>
                <w:szCs w:val="17"/>
              </w:rPr>
              <w:t xml:space="preserve">NPE / Counter-Assertion</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bCs/>
                <w:color w:val="1F3864"/>
                <w:sz w:val="17"/>
                <w:szCs w:val="17"/>
              </w:rPr>
              <w:t xml:space="preserve">33 — Provenance-Coherent</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CORP-VC, INSUR</w:t>
            </w:r>
          </w:p>
        </w:tc>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222222"/>
                <w:sz w:val="17"/>
                <w:szCs w:val="17"/>
              </w:rPr>
              <w:t xml:space="preserve">OC-DEF</w:t>
            </w:r>
          </w:p>
        </w:tc>
        <w:tc>
          <w:tcPr>
            <w:tcW w:type="dxa" w:w="23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b w:val="false"/>
                <w:bCs w:val="false"/>
                <w:color w:val="44546A"/>
                <w:sz w:val="17"/>
                <w:szCs w:val="17"/>
              </w:rPr>
              <w:t xml:space="preserve">Operating Company / FTO</w:t>
            </w:r>
          </w:p>
        </w:tc>
      </w:tr>
    </w:tbl>
    <w:p>
      <w:pPr>
        <w:spacing w:after="0" w:before="0" w:line="400"/>
      </w:pPr>
      <w:r>
        <w:t xml:space="preserve"/>
      </w:r>
    </w:p>
    <w:p>
      <w:pPr>
        <w:pBdr>
          <w:bottom w:val="single" w:color="2E75B6" w:sz="6" w:space="1"/>
        </w:pBdr>
        <w:spacing w:after="60" w:before="60"/>
      </w:pPr>
      <w:r>
        <w:t xml:space="preserve"/>
      </w:r>
    </w:p>
    <w:p>
      <w:pPr>
        <w:spacing w:before="80"/>
        <w:jc w:val="center"/>
      </w:pPr>
      <w:r>
        <w:rPr>
          <w:rFonts w:ascii="Arial" w:cs="Arial" w:eastAsia="Arial" w:hAnsi="Arial"/>
          <w:i/>
          <w:iCs/>
          <w:color w:val="44546A"/>
          <w:sz w:val="17"/>
          <w:szCs w:val="17"/>
        </w:rPr>
        <w:t xml:space="preserve">Patent Asset Buyer Profiles v1.0  ·  Companion to Patent_Bundling_Template_v4.xlsx &amp; Value_Proposition_Framework_v3.md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44546A"/>
        <w:sz w:val="17"/>
        <w:szCs w:val="17"/>
      </w:rPr>
      <w:t xml:space="preserve">Page </w:t>
    </w:r>
    <w:r>
      <w:rPr>
        <w:rFonts w:ascii="Arial" w:cs="Arial" w:eastAsia="Arial" w:hAnsi="Arial"/>
        <w:color w:val="44546A"/>
        <w:sz w:val="17"/>
        <w:szCs w:val="17"/>
      </w:rPr>
      <w:pgNum/>
    </w:r>
    <w:r>
      <w:rPr>
        <w:rFonts w:ascii="Arial" w:cs="Arial" w:eastAsia="Arial" w:hAnsi="Arial"/>
        <w:color w:val="44546A"/>
        <w:sz w:val="17"/>
        <w:szCs w:val="17"/>
      </w:rPr>
      <w:t xml:space="preserve">  ·  Companion to Patent_Bundling_Template_v4.xlsx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44546A"/>
        <w:sz w:val="17"/>
        <w:szCs w:val="17"/>
      </w:rPr>
      <w:t xml:space="preserve">Patent Asset Buyer Profiles  |  Brokerage Intelligence Framework</w:t>
    </w:r>
    <w:r>
      <w:rPr>
        <w:rFonts w:ascii="Arial" w:cs="Arial" w:eastAsia="Arial" w:hAnsi="Arial"/>
        <w:color w:val="44546A"/>
        <w:sz w:val="17"/>
        <w:szCs w:val="17"/>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2026-06-03T17:05:47.966Z</dcterms:created>
  <dcterms:modified xsi:type="dcterms:W3CDTF">2026-06-03T17:05:47.978Z</dcterms:modified>
</cp:coreProperties>
</file>

<file path=docProps/custom.xml><?xml version="1.0" encoding="utf-8"?>
<Properties xmlns="http://schemas.openxmlformats.org/officeDocument/2006/custom-properties" xmlns:vt="http://schemas.openxmlformats.org/officeDocument/2006/docPropsVTypes"/>
</file>