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图像问题  </w:t>
      </w: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 HYPERLINK "https://www.runoob.com/html/html-images.html"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Style w:val="4"/>
          <w:rFonts w:hAnsi="宋体" w:eastAsia="宋体" w:cs="宋体" w:asciiTheme="minorAscii"/>
          <w:sz w:val="24"/>
          <w:szCs w:val="24"/>
        </w:rPr>
        <w:t>https://www.runoob.com/html/html-images.html</w:t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创建图像映射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&lt;html&gt;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&lt;meta charset="utf-8"&gt;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&lt;title&gt;菜鸟教程(runoob.com)&lt;/title&gt;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&lt;p&gt;点击太阳或其他行星，注意变化：&lt;/p&gt;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&lt;img src="planets.gif" width="145" height="126" alt="Planets" usemap="#planetmap"&gt;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&lt;map name="planetmap"&gt;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 xml:space="preserve">  &lt;area shape="rect" coords="0,0,82,126" alt="Sun" href="sun.htm"&gt;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 xml:space="preserve">  &lt;area shape="circle" coords="90,58,3" alt="Mercury" href="mercur.htm"&gt;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 xml:space="preserve">  &lt;area shape="circle" coords="124,58,8" alt="Venus" href="venus.htm"&gt;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&lt;/map&gt;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236220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2536F"/>
    <w:rsid w:val="2132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2020-07-03T14:42:00Z</dcterms:created>
  <dc:creator>乐乐</dc:creator>
  <cp:lastModifiedBy>乐乐</cp:lastModifiedBy>
  <dcterms:modified xsi:type="dcterms:W3CDTF">2020-07-03T14:43:12Z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