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8F9" w:rsidRPr="007648F9" w:rsidRDefault="00245650" w:rsidP="00C707D8">
      <w:pPr>
        <w:pStyle w:val="Title"/>
        <w:autoSpaceDE w:val="0"/>
        <w:rPr>
          <w:rFonts w:ascii="Linotext" w:hAnsi="Linotext"/>
          <w:bCs/>
        </w:rPr>
      </w:pPr>
      <w:r>
        <w:rPr>
          <w:rFonts w:ascii="Linotext" w:hAnsi="Linotext"/>
          <w:bC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35.9pt;margin-top:-19.5pt;width:96pt;height:63.75pt;z-index:-251658752" o:allowincell="f" fillcolor="window">
            <v:imagedata r:id="rId7" o:title=""/>
          </v:shape>
          <o:OLEObject Type="Embed" ProgID="Word.Document.8" ShapeID="_x0000_s1039" DrawAspect="Content" ObjectID="_1437466203" r:id="rId8">
            <o:FieldCodes>\s</o:FieldCodes>
          </o:OLEObject>
        </w:pict>
      </w:r>
      <w:r w:rsidR="007648F9" w:rsidRPr="007648F9">
        <w:rPr>
          <w:rFonts w:ascii="Linotext" w:hAnsi="Linotext"/>
          <w:bCs/>
        </w:rPr>
        <w:t>National Institute of Standards &amp; Technology</w:t>
      </w:r>
    </w:p>
    <w:p w:rsidR="007648F9" w:rsidRPr="007648F9" w:rsidRDefault="007648F9" w:rsidP="007648F9">
      <w:pPr>
        <w:jc w:val="center"/>
        <w:rPr>
          <w:rFonts w:ascii="Linotext" w:hAnsi="Linotext"/>
          <w:sz w:val="16"/>
          <w:szCs w:val="16"/>
        </w:rPr>
      </w:pPr>
    </w:p>
    <w:p w:rsidR="007648F9" w:rsidRPr="007648F9" w:rsidRDefault="007648F9" w:rsidP="007648F9">
      <w:pPr>
        <w:pStyle w:val="Subtitle"/>
        <w:rPr>
          <w:rFonts w:ascii="Linotext" w:hAnsi="Linotext"/>
        </w:rPr>
      </w:pPr>
      <w:r w:rsidRPr="007648F9">
        <w:rPr>
          <w:rFonts w:ascii="Linotext" w:hAnsi="Linotext"/>
        </w:rPr>
        <w:t>Certificate of Analysis</w:t>
      </w:r>
    </w:p>
    <w:p w:rsidR="0045636F" w:rsidRPr="007648F9" w:rsidRDefault="0045636F" w:rsidP="007648F9">
      <w:pPr>
        <w:jc w:val="center"/>
        <w:rPr>
          <w:sz w:val="16"/>
          <w:szCs w:val="16"/>
        </w:rPr>
      </w:pPr>
    </w:p>
    <w:p w:rsidR="0045636F" w:rsidRDefault="0045636F" w:rsidP="007648F9">
      <w:pPr>
        <w:suppressAutoHyphens/>
        <w:jc w:val="center"/>
        <w:rPr>
          <w:sz w:val="36"/>
        </w:rPr>
      </w:pPr>
      <w:r>
        <w:rPr>
          <w:sz w:val="36"/>
        </w:rPr>
        <w:t>Standard Reference Material</w:t>
      </w:r>
      <w:r>
        <w:rPr>
          <w:sz w:val="36"/>
          <w:vertAlign w:val="superscript"/>
        </w:rPr>
        <w:t>®</w:t>
      </w:r>
      <w:r w:rsidR="000F5502">
        <w:rPr>
          <w:sz w:val="36"/>
        </w:rPr>
        <w:t> </w:t>
      </w:r>
      <w:r>
        <w:rPr>
          <w:sz w:val="36"/>
        </w:rPr>
        <w:t>1</w:t>
      </w:r>
      <w:r w:rsidR="006D09A9">
        <w:rPr>
          <w:sz w:val="36"/>
        </w:rPr>
        <w:t>361</w:t>
      </w:r>
      <w:r>
        <w:rPr>
          <w:sz w:val="36"/>
        </w:rPr>
        <w:t>b</w:t>
      </w:r>
    </w:p>
    <w:p w:rsidR="0045636F" w:rsidRPr="007648F9" w:rsidRDefault="0045636F" w:rsidP="007648F9">
      <w:pPr>
        <w:suppressAutoHyphens/>
        <w:jc w:val="center"/>
        <w:rPr>
          <w:sz w:val="16"/>
          <w:szCs w:val="16"/>
        </w:rPr>
      </w:pPr>
    </w:p>
    <w:p w:rsidR="0045636F" w:rsidRDefault="0045636F" w:rsidP="007648F9">
      <w:pPr>
        <w:pStyle w:val="Heading3"/>
      </w:pPr>
      <w:r>
        <w:t>Coating Thickness Standard</w:t>
      </w:r>
    </w:p>
    <w:p w:rsidR="0045636F" w:rsidRPr="007648F9" w:rsidRDefault="0045636F" w:rsidP="007648F9">
      <w:pPr>
        <w:jc w:val="center"/>
        <w:rPr>
          <w:sz w:val="16"/>
          <w:szCs w:val="16"/>
        </w:rPr>
      </w:pPr>
    </w:p>
    <w:p w:rsidR="0045636F" w:rsidRDefault="0045636F" w:rsidP="007648F9">
      <w:pPr>
        <w:suppressAutoHyphens/>
        <w:jc w:val="center"/>
        <w:rPr>
          <w:sz w:val="24"/>
        </w:rPr>
      </w:pPr>
      <w:r>
        <w:rPr>
          <w:sz w:val="24"/>
        </w:rPr>
        <w:t>(Nonmagnetic Coating on Steel)</w:t>
      </w:r>
    </w:p>
    <w:p w:rsidR="0045636F" w:rsidRPr="007648F9" w:rsidRDefault="0045636F" w:rsidP="007648F9">
      <w:pPr>
        <w:suppressAutoHyphens/>
        <w:jc w:val="center"/>
        <w:rPr>
          <w:sz w:val="16"/>
          <w:szCs w:val="16"/>
        </w:rPr>
      </w:pPr>
    </w:p>
    <w:p w:rsidR="0045636F" w:rsidRPr="000F5502" w:rsidRDefault="0045636F" w:rsidP="007648F9">
      <w:pPr>
        <w:suppressAutoHyphens/>
        <w:jc w:val="center"/>
        <w:rPr>
          <w:sz w:val="22"/>
          <w:szCs w:val="22"/>
        </w:rPr>
      </w:pPr>
      <w:r w:rsidRPr="000F5502">
        <w:rPr>
          <w:sz w:val="22"/>
          <w:szCs w:val="22"/>
        </w:rPr>
        <w:t>Set Serial No.</w:t>
      </w:r>
      <w:r w:rsidR="00784452" w:rsidRPr="000F5502">
        <w:rPr>
          <w:sz w:val="22"/>
          <w:szCs w:val="22"/>
        </w:rPr>
        <w:t xml:space="preserve"> </w:t>
      </w:r>
      <w:r w:rsidR="00245650" w:rsidRPr="00245650">
        <w:rPr>
          <w:sz w:val="22"/>
          <w:szCs w:val="22"/>
        </w:rPr>
        <w:t>Sample</w:t>
      </w:r>
    </w:p>
    <w:p w:rsidR="0045636F" w:rsidRPr="000F5502" w:rsidRDefault="0045636F" w:rsidP="000F5502">
      <w:pPr>
        <w:suppressAutoHyphens/>
      </w:pPr>
    </w:p>
    <w:p w:rsidR="0045636F" w:rsidRDefault="000F5502">
      <w:pPr>
        <w:pStyle w:val="BodyText"/>
        <w:spacing w:before="0"/>
        <w:jc w:val="both"/>
        <w:rPr>
          <w:sz w:val="20"/>
        </w:rPr>
      </w:pPr>
      <w:r w:rsidRPr="001E4B32">
        <w:rPr>
          <w:sz w:val="20"/>
        </w:rPr>
        <w:t xml:space="preserve">This Standard Reference Material (SRM) is designed for calibrating coating thickness gauges that employ magnetic principles.  These gauges are used to measure the thickness of nonmagnetic coatings on steel including paint and other </w:t>
      </w:r>
      <w:proofErr w:type="gramStart"/>
      <w:r w:rsidRPr="001E4B32">
        <w:rPr>
          <w:sz w:val="20"/>
        </w:rPr>
        <w:t>organic</w:t>
      </w:r>
      <w:proofErr w:type="gramEnd"/>
      <w:r w:rsidRPr="001E4B32">
        <w:rPr>
          <w:sz w:val="20"/>
        </w:rPr>
        <w:t xml:space="preserve"> coatings, as well as nonmagnetic metallic coatings.  A unit of SRM 13</w:t>
      </w:r>
      <w:r w:rsidR="00075EAE">
        <w:rPr>
          <w:sz w:val="20"/>
        </w:rPr>
        <w:t>61</w:t>
      </w:r>
      <w:r w:rsidRPr="001E4B32">
        <w:rPr>
          <w:sz w:val="20"/>
        </w:rPr>
        <w:t>b consists of a preconfigured set of five 45 mm × 45 mm coupons</w:t>
      </w:r>
      <w:r w:rsidR="004C50C1">
        <w:rPr>
          <w:sz w:val="20"/>
        </w:rPr>
        <w:t xml:space="preserve">: </w:t>
      </w:r>
      <w:r w:rsidRPr="001E4B32">
        <w:rPr>
          <w:sz w:val="20"/>
        </w:rPr>
        <w:t xml:space="preserve"> a bare </w:t>
      </w:r>
      <w:proofErr w:type="gramStart"/>
      <w:r w:rsidRPr="001E4B32">
        <w:rPr>
          <w:sz w:val="20"/>
        </w:rPr>
        <w:t>substrate,</w:t>
      </w:r>
      <w:proofErr w:type="gramEnd"/>
      <w:r w:rsidRPr="001E4B32">
        <w:rPr>
          <w:sz w:val="20"/>
        </w:rPr>
        <w:t xml:space="preserve"> and four coupons with metallic coatings certified for total coating thickness (nominal coating thicknesses of </w:t>
      </w:r>
      <w:r>
        <w:rPr>
          <w:sz w:val="20"/>
        </w:rPr>
        <w:t>6 µm, 12 µm, 25 µm, and 48 µm</w:t>
      </w:r>
      <w:r w:rsidRPr="001E4B32">
        <w:rPr>
          <w:sz w:val="20"/>
        </w:rPr>
        <w:t>).  Each coupon consists of an AISI 1010 cold</w:t>
      </w:r>
      <w:r w:rsidRPr="001E4B32">
        <w:rPr>
          <w:sz w:val="20"/>
        </w:rPr>
        <w:noBreakHyphen/>
        <w:t>rolled sheet</w:t>
      </w:r>
      <w:r w:rsidRPr="001E4B32">
        <w:rPr>
          <w:sz w:val="20"/>
        </w:rPr>
        <w:noBreakHyphen/>
        <w:t xml:space="preserve">steel substrate with the coated coupons possessing an additional uniform coating of copper that is </w:t>
      </w:r>
      <w:proofErr w:type="spellStart"/>
      <w:r w:rsidRPr="001E4B32">
        <w:rPr>
          <w:sz w:val="20"/>
        </w:rPr>
        <w:t>overplated</w:t>
      </w:r>
      <w:proofErr w:type="spellEnd"/>
      <w:r w:rsidRPr="001E4B32">
        <w:rPr>
          <w:sz w:val="20"/>
        </w:rPr>
        <w:t xml:space="preserve"> with a thin protective layer of chromium.  This SRM is one in a series </w:t>
      </w:r>
      <w:r w:rsidR="00840DA1">
        <w:rPr>
          <w:sz w:val="20"/>
        </w:rPr>
        <w:t xml:space="preserve">of SRMs </w:t>
      </w:r>
      <w:r w:rsidRPr="001E4B32">
        <w:rPr>
          <w:sz w:val="20"/>
        </w:rPr>
        <w:t>prepared to cover a coating thickness range from 6 µm to 1935 µm.</w:t>
      </w:r>
    </w:p>
    <w:p w:rsidR="000F5502" w:rsidRPr="00812946" w:rsidRDefault="000F5502" w:rsidP="000F5502">
      <w:pPr>
        <w:pStyle w:val="BodyText2"/>
        <w:spacing w:before="0"/>
      </w:pPr>
    </w:p>
    <w:p w:rsidR="000F5502" w:rsidRDefault="000F5502" w:rsidP="000F5502">
      <w:pPr>
        <w:spacing w:line="220" w:lineRule="exact"/>
        <w:jc w:val="both"/>
        <w:rPr>
          <w:snapToGrid w:val="0"/>
          <w:color w:val="000000"/>
        </w:rPr>
      </w:pPr>
      <w:r w:rsidRPr="006747C7">
        <w:rPr>
          <w:b/>
          <w:snapToGrid w:val="0"/>
          <w:color w:val="000000"/>
        </w:rPr>
        <w:t>Certified Coating Thickness Values</w:t>
      </w:r>
      <w:r>
        <w:rPr>
          <w:b/>
          <w:snapToGrid w:val="0"/>
          <w:color w:val="000000"/>
        </w:rPr>
        <w:t>:</w:t>
      </w:r>
      <w:r>
        <w:rPr>
          <w:snapToGrid w:val="0"/>
          <w:color w:val="000000"/>
        </w:rPr>
        <w:t xml:space="preserve">  Certified coating thickness values are provided in Table 1.  </w:t>
      </w:r>
      <w:r>
        <w:rPr>
          <w:kern w:val="2"/>
        </w:rPr>
        <w:t>A NIST certified value is a value for which NIST has the highest confidence in its accuracy in that all known or suspected sources of bias have been investigated or taken into account </w:t>
      </w:r>
      <w:r>
        <w:rPr>
          <w:kern w:val="2"/>
        </w:rPr>
        <w:fldChar w:fldCharType="begin"/>
      </w:r>
      <w:r>
        <w:rPr>
          <w:kern w:val="2"/>
        </w:rPr>
        <w:instrText xml:space="preserve"> ADDIN REFMGR.CITE &lt;Refman&gt;&lt;Cite&gt;&lt;Author&gt;May&lt;/Author&gt;&lt;Year&gt;2000&lt;/Year&gt;&lt;RecNum&gt;33009&lt;/RecNum&gt;&lt;IDText&gt;Definitions of Terms and Modes used at NIST for Value-Assignment of Reference Materials for Chemical Measurements&lt;/IDText&gt;&lt;MDL Ref_Type="Report"&gt;&lt;Ref_Type&gt;Report&lt;/Ref_Type&gt;&lt;Ref_ID&gt;33009&lt;/Ref_ID&gt;&lt;Title_Primary&gt;Definitions of Terms and Modes used at NIST for Value-Assignment of Reference Materials for Chemical Measurements&lt;/Title_Primary&gt;&lt;Authors_Primary&gt;May,W.&lt;/Authors_Primary&gt;&lt;Authors_Primary&gt;Parris,R.&lt;/Authors_Primary&gt;&lt;Authors_Primary&gt;Beck,C.&lt;/Authors_Primary&gt;&lt;Authors_Primary&gt;Fassett,J.&lt;/Authors_Primary&gt;&lt;Authors_Primary&gt;Greenberg,R.&lt;/Authors_Primary&gt;&lt;Authors_Primary&gt;Guenther,F.&lt;/Authors_Primary&gt;&lt;Authors_Primary&gt;Kramer,G.&lt;/Authors_Primary&gt;&lt;Authors_Primary&gt;Wise,S.&lt;/Authors_Primary&gt;&lt;Authors_Primary&gt;Gills,T.&lt;/Authors_Primary&gt;&lt;Authors_Primary&gt;Colbert,J.&lt;/Authors_Primary&gt;&lt;Authors_Primary&gt;Gettings,R.&lt;/Authors_Primary&gt;&lt;Authors_Primary&gt;MacDonald,B.&lt;/Authors_Primary&gt;&lt;Date_Primary&gt;2000&lt;/Date_Primary&gt;&lt;Keywords&gt;standard&lt;/Keywords&gt;&lt;Keywords&gt;Technology&lt;/Keywords&gt;&lt;Keywords&gt;TECHNOLOGIES&lt;/Keywords&gt;&lt;Keywords&gt;assignment&lt;/Keywords&gt;&lt;Keywords&gt;reference material&lt;/Keywords&gt;&lt;Keywords&gt;materials&lt;/Keywords&gt;&lt;Reprint&gt;Not in File&lt;/Reprint&gt;&lt;Volume&gt;NIST Special Publication 260-136&lt;/Volume&gt;&lt;Authors_Secondary&gt;National Institute of Standards and Technology&lt;/Authors_Secondary&gt;&lt;Pub_Place&gt;Gaithersburg, MD&lt;/Pub_Place&gt;&lt;Publisher&gt;U.S. Government Printing Office&lt;/Publisher&gt;&lt;Availability&gt;http://www.cstl.nist.gov/nist839/NIST_special_publications.htm&lt;/Availability&gt;&lt;Web_URL&gt;http://www.cstl.nist.gov/nist839/NIST_special_publications.htm&lt;/Web_URL&gt;&lt;ZZ_WorkformID&gt;24&lt;/ZZ_WorkformID&gt;&lt;/MDL&gt;&lt;/Cite&gt;&lt;/Refman&gt;</w:instrText>
      </w:r>
      <w:r>
        <w:rPr>
          <w:kern w:val="2"/>
        </w:rPr>
        <w:fldChar w:fldCharType="separate"/>
      </w:r>
      <w:r>
        <w:rPr>
          <w:kern w:val="2"/>
        </w:rPr>
        <w:t>[1]</w:t>
      </w:r>
      <w:r>
        <w:rPr>
          <w:kern w:val="2"/>
        </w:rPr>
        <w:fldChar w:fldCharType="end"/>
      </w:r>
      <w:r>
        <w:rPr>
          <w:kern w:val="2"/>
        </w:rPr>
        <w:t xml:space="preserve">.  </w:t>
      </w:r>
      <w:r>
        <w:rPr>
          <w:snapToGrid w:val="0"/>
          <w:color w:val="000000"/>
        </w:rPr>
        <w:t xml:space="preserve">The analytical methods used for the characterization and subsequent certification of this SRM included flame atomic absorption spectrometry, optical microscopy, and magnetic induction.  The resulting certified values are based upon results from the magnetic induction method and are reported as the mean coating thickness of each coupon of the SRM unit.  The uncertainty in the certified value for each coupon is expressed as the expanded uncertainty, </w:t>
      </w:r>
      <w:r>
        <w:rPr>
          <w:i/>
          <w:snapToGrid w:val="0"/>
          <w:color w:val="000000"/>
        </w:rPr>
        <w:t>U</w:t>
      </w:r>
      <w:r>
        <w:rPr>
          <w:snapToGrid w:val="0"/>
          <w:color w:val="000000"/>
        </w:rPr>
        <w:t xml:space="preserve">, of the mean at the 95 % level of confidence and is calculated according to the </w:t>
      </w:r>
      <w:r w:rsidR="00CA3764">
        <w:rPr>
          <w:snapToGrid w:val="0"/>
          <w:color w:val="000000"/>
        </w:rPr>
        <w:t>GUM</w:t>
      </w:r>
      <w:r>
        <w:rPr>
          <w:snapToGrid w:val="0"/>
          <w:color w:val="000000"/>
        </w:rPr>
        <w:t xml:space="preserve"> Guide [2], where </w:t>
      </w:r>
      <w:r>
        <w:rPr>
          <w:i/>
          <w:snapToGrid w:val="0"/>
          <w:color w:val="000000"/>
        </w:rPr>
        <w:t>U </w:t>
      </w:r>
      <w:r w:rsidRPr="006747C7">
        <w:rPr>
          <w:snapToGrid w:val="0"/>
          <w:color w:val="000000"/>
        </w:rPr>
        <w:t>= </w:t>
      </w:r>
      <w:proofErr w:type="spellStart"/>
      <w:r>
        <w:rPr>
          <w:i/>
          <w:snapToGrid w:val="0"/>
          <w:color w:val="000000"/>
        </w:rPr>
        <w:t>ku</w:t>
      </w:r>
      <w:r>
        <w:rPr>
          <w:snapToGrid w:val="0"/>
          <w:color w:val="000000"/>
          <w:vertAlign w:val="subscript"/>
        </w:rPr>
        <w:t>c</w:t>
      </w:r>
      <w:proofErr w:type="spellEnd"/>
      <w:r>
        <w:rPr>
          <w:snapToGrid w:val="0"/>
          <w:color w:val="000000"/>
        </w:rPr>
        <w:t xml:space="preserve">, with a coverage factor, </w:t>
      </w:r>
      <w:r>
        <w:rPr>
          <w:i/>
          <w:snapToGrid w:val="0"/>
          <w:color w:val="000000"/>
        </w:rPr>
        <w:t>k</w:t>
      </w:r>
      <w:r>
        <w:rPr>
          <w:snapToGrid w:val="0"/>
          <w:color w:val="000000"/>
        </w:rPr>
        <w:t xml:space="preserve"> = 2, and </w:t>
      </w:r>
      <w:proofErr w:type="spellStart"/>
      <w:r>
        <w:rPr>
          <w:i/>
          <w:snapToGrid w:val="0"/>
          <w:color w:val="000000"/>
        </w:rPr>
        <w:t>u</w:t>
      </w:r>
      <w:r>
        <w:rPr>
          <w:snapToGrid w:val="0"/>
          <w:color w:val="000000"/>
          <w:vertAlign w:val="subscript"/>
        </w:rPr>
        <w:t>c</w:t>
      </w:r>
      <w:proofErr w:type="spellEnd"/>
      <w:r>
        <w:rPr>
          <w:snapToGrid w:val="0"/>
          <w:color w:val="000000"/>
        </w:rPr>
        <w:t xml:space="preserve">, a combined uncertainty including the estimated uncertainty of the primary standards and the imprecision of the </w:t>
      </w:r>
      <w:proofErr w:type="spellStart"/>
      <w:r>
        <w:rPr>
          <w:snapToGrid w:val="0"/>
          <w:color w:val="000000"/>
        </w:rPr>
        <w:t>intercomparison</w:t>
      </w:r>
      <w:proofErr w:type="spellEnd"/>
      <w:r>
        <w:rPr>
          <w:snapToGrid w:val="0"/>
          <w:color w:val="000000"/>
        </w:rPr>
        <w:t xml:space="preserve"> of the primary standards to the coupon.</w:t>
      </w:r>
    </w:p>
    <w:p w:rsidR="000F5502" w:rsidRPr="00812946" w:rsidRDefault="000F5502" w:rsidP="000F5502">
      <w:pPr>
        <w:jc w:val="both"/>
      </w:pPr>
    </w:p>
    <w:p w:rsidR="000F5502" w:rsidRPr="004D7C72" w:rsidRDefault="000F5502" w:rsidP="000F5502">
      <w:pPr>
        <w:pStyle w:val="BodyText2"/>
        <w:spacing w:before="0"/>
      </w:pPr>
      <w:r w:rsidRPr="004D7C72">
        <w:rPr>
          <w:b/>
        </w:rPr>
        <w:t>Information Coating Thickness Values:</w:t>
      </w:r>
      <w:r w:rsidRPr="004D7C72">
        <w:t xml:space="preserve">  </w:t>
      </w:r>
      <w:r w:rsidR="00664388" w:rsidRPr="00664388">
        <w:t>Information coating thickness values reported in Table 2 were obtained by converting the coating thickness values reported in micrometers from Table 1 to mils.  An information value is considered to be a value that will be of interest to the SRM user, but insufficient information is available to assess the uncertainty associated with the value.</w:t>
      </w:r>
    </w:p>
    <w:p w:rsidR="000F5502" w:rsidRPr="00812946" w:rsidRDefault="000F5502" w:rsidP="000F5502">
      <w:pPr>
        <w:pStyle w:val="BodyText2"/>
        <w:spacing w:before="0"/>
      </w:pPr>
    </w:p>
    <w:p w:rsidR="000F5502" w:rsidRPr="004D7C72" w:rsidRDefault="000F5502" w:rsidP="000F5502">
      <w:pPr>
        <w:jc w:val="both"/>
      </w:pPr>
      <w:r w:rsidRPr="004D7C72">
        <w:t>Certified and information coating thickness values listed in Table</w:t>
      </w:r>
      <w:r>
        <w:t>s</w:t>
      </w:r>
      <w:r w:rsidRPr="004D7C72">
        <w:t xml:space="preserve"> 1 and 2 of this </w:t>
      </w:r>
      <w:r>
        <w:t>c</w:t>
      </w:r>
      <w:r w:rsidRPr="004D7C72">
        <w:t xml:space="preserve">ertificate are considered the official values, should a discrepancy exist between the values </w:t>
      </w:r>
      <w:r>
        <w:t xml:space="preserve">listed </w:t>
      </w:r>
      <w:r w:rsidRPr="004D7C72">
        <w:t xml:space="preserve">in the </w:t>
      </w:r>
      <w:r>
        <w:t>certificate</w:t>
      </w:r>
      <w:r w:rsidRPr="004D7C72">
        <w:t xml:space="preserve"> and the label affixed to the sleeve hold</w:t>
      </w:r>
      <w:r w:rsidR="00840DA1">
        <w:t>ing</w:t>
      </w:r>
      <w:r w:rsidRPr="004D7C72">
        <w:t xml:space="preserve"> </w:t>
      </w:r>
      <w:r w:rsidR="00840DA1">
        <w:t xml:space="preserve">the </w:t>
      </w:r>
      <w:r w:rsidRPr="004D7C72">
        <w:t>coupon.</w:t>
      </w:r>
    </w:p>
    <w:p w:rsidR="000F5502" w:rsidRPr="00812946" w:rsidRDefault="000F5502" w:rsidP="000F5502">
      <w:pPr>
        <w:jc w:val="both"/>
      </w:pPr>
    </w:p>
    <w:p w:rsidR="000F5502" w:rsidRPr="00433240" w:rsidRDefault="000F5502" w:rsidP="000F5502">
      <w:pPr>
        <w:suppressAutoHyphens/>
        <w:spacing w:line="220" w:lineRule="exact"/>
        <w:jc w:val="both"/>
        <w:rPr>
          <w:color w:val="000000" w:themeColor="text1"/>
        </w:rPr>
      </w:pPr>
      <w:r w:rsidRPr="00433240">
        <w:rPr>
          <w:b/>
          <w:color w:val="000000" w:themeColor="text1"/>
        </w:rPr>
        <w:t>Expiration of Certification:</w:t>
      </w:r>
      <w:r w:rsidRPr="00433240">
        <w:rPr>
          <w:color w:val="000000" w:themeColor="text1"/>
        </w:rPr>
        <w:t xml:space="preserve">  The certification of </w:t>
      </w:r>
      <w:r w:rsidRPr="00433240">
        <w:rPr>
          <w:b/>
          <w:color w:val="000000" w:themeColor="text1"/>
        </w:rPr>
        <w:t>SRM 13</w:t>
      </w:r>
      <w:r>
        <w:rPr>
          <w:b/>
          <w:color w:val="000000" w:themeColor="text1"/>
        </w:rPr>
        <w:t>61b</w:t>
      </w:r>
      <w:r w:rsidRPr="00433240">
        <w:rPr>
          <w:color w:val="000000" w:themeColor="text1"/>
        </w:rPr>
        <w:t xml:space="preserve"> is valid indefinitely, within the uncertainty specified, provided the SRM is used infrequently as a primary standard and the unit is handled and stored in accordance with the guidelines given in this certificate (see “Notice and Warnings to Users”).  The wear induced by the contact measurement of the magnetic gauges will alter the thickness values stated in this certificate.  The frequency of replacement or verification of this SRM is determined by the user, based upon the number of uses and the severity of </w:t>
      </w:r>
      <w:r w:rsidR="004C50C1">
        <w:rPr>
          <w:color w:val="000000" w:themeColor="text1"/>
        </w:rPr>
        <w:t>wear</w:t>
      </w:r>
      <w:r w:rsidRPr="00433240">
        <w:rPr>
          <w:color w:val="000000" w:themeColor="text1"/>
        </w:rPr>
        <w:t>.  If excessive wear is suspected, the SRM may be returned to NIST for verification.  To verify certification of this SRM unit, contact the NIST Thin Film and Nanostructure Processing Group by e</w:t>
      </w:r>
      <w:r w:rsidRPr="00433240">
        <w:rPr>
          <w:color w:val="000000" w:themeColor="text1"/>
        </w:rPr>
        <w:noBreakHyphen/>
        <w:t xml:space="preserve">mail at </w:t>
      </w:r>
      <w:hyperlink r:id="rId9" w:history="1">
        <w:r w:rsidRPr="00433240">
          <w:rPr>
            <w:rStyle w:val="Hyperlink"/>
            <w:color w:val="000000" w:themeColor="text1"/>
          </w:rPr>
          <w:t>Coating.Thickness@nist.gov</w:t>
        </w:r>
      </w:hyperlink>
      <w:r w:rsidRPr="00433240">
        <w:rPr>
          <w:color w:val="000000" w:themeColor="text1"/>
        </w:rPr>
        <w:t>, by telephone at (301) </w:t>
      </w:r>
      <w:r w:rsidR="009640E1" w:rsidRPr="009640E1">
        <w:rPr>
          <w:color w:val="000000" w:themeColor="text1"/>
        </w:rPr>
        <w:t>975</w:t>
      </w:r>
      <w:r w:rsidR="009640E1" w:rsidRPr="009640E1">
        <w:rPr>
          <w:color w:val="000000" w:themeColor="text1"/>
        </w:rPr>
        <w:noBreakHyphen/>
        <w:t>6400</w:t>
      </w:r>
      <w:r w:rsidRPr="00433240">
        <w:rPr>
          <w:color w:val="000000" w:themeColor="text1"/>
        </w:rPr>
        <w:t>, or by fax at (301) 926</w:t>
      </w:r>
      <w:r w:rsidRPr="00433240">
        <w:rPr>
          <w:color w:val="000000" w:themeColor="text1"/>
        </w:rPr>
        <w:noBreakHyphen/>
        <w:t>7679.</w:t>
      </w:r>
    </w:p>
    <w:p w:rsidR="000F5502" w:rsidRPr="00812946" w:rsidRDefault="000F5502" w:rsidP="000F5502">
      <w:pPr>
        <w:suppressAutoHyphens/>
        <w:spacing w:line="220" w:lineRule="exact"/>
        <w:jc w:val="both"/>
        <w:rPr>
          <w:color w:val="000000" w:themeColor="text1"/>
        </w:rPr>
      </w:pPr>
    </w:p>
    <w:p w:rsidR="000F5502" w:rsidRDefault="000F5502" w:rsidP="00CA3764">
      <w:pPr>
        <w:spacing w:after="120"/>
        <w:jc w:val="both"/>
      </w:pPr>
      <w:r w:rsidRPr="00CB034F">
        <w:rPr>
          <w:b/>
        </w:rPr>
        <w:t>Maintenance of SRM Certification:</w:t>
      </w:r>
      <w:r w:rsidRPr="004A7CA3">
        <w:t xml:space="preserve">  </w:t>
      </w:r>
      <w:r w:rsidRPr="00CB034F">
        <w:t>NIST will monitor this SRM over the period of its certification.  If substantive technical changes occur that affect the certification, NIST will notify the purchaser.  Registration (see attached sheet) will facilitate notification.</w:t>
      </w:r>
    </w:p>
    <w:p w:rsidR="009640E1" w:rsidRPr="009640E1" w:rsidRDefault="000F5502" w:rsidP="009640E1">
      <w:pPr>
        <w:tabs>
          <w:tab w:val="right" w:pos="9360"/>
        </w:tabs>
        <w:suppressAutoHyphens/>
        <w:jc w:val="both"/>
      </w:pPr>
      <w:r>
        <w:tab/>
      </w:r>
      <w:r w:rsidR="009640E1" w:rsidRPr="009640E1">
        <w:t>Eric K. Lin, Chief</w:t>
      </w:r>
    </w:p>
    <w:p w:rsidR="009640E1" w:rsidRPr="009640E1" w:rsidRDefault="009640E1" w:rsidP="009640E1">
      <w:pPr>
        <w:tabs>
          <w:tab w:val="right" w:pos="9360"/>
        </w:tabs>
        <w:suppressAutoHyphens/>
        <w:jc w:val="both"/>
      </w:pPr>
      <w:r w:rsidRPr="009640E1">
        <w:tab/>
        <w:t>Materials Science and Engineering Division</w:t>
      </w:r>
    </w:p>
    <w:p w:rsidR="009640E1" w:rsidRPr="009640E1" w:rsidRDefault="009640E1" w:rsidP="009640E1">
      <w:pPr>
        <w:tabs>
          <w:tab w:val="right" w:pos="9360"/>
        </w:tabs>
        <w:suppressAutoHyphens/>
        <w:jc w:val="both"/>
      </w:pPr>
    </w:p>
    <w:p w:rsidR="009640E1" w:rsidRPr="009640E1" w:rsidRDefault="009640E1" w:rsidP="009640E1">
      <w:pPr>
        <w:tabs>
          <w:tab w:val="right" w:pos="9360"/>
        </w:tabs>
        <w:suppressAutoHyphens/>
        <w:jc w:val="both"/>
      </w:pPr>
      <w:r w:rsidRPr="009640E1">
        <w:t>Gaithersburg, MD 20899</w:t>
      </w:r>
      <w:r w:rsidRPr="009640E1">
        <w:tab/>
        <w:t>Robert L. Watter</w:t>
      </w:r>
      <w:hyperlink w:history="1"/>
      <w:r w:rsidRPr="009640E1">
        <w:t>s, Jr., </w:t>
      </w:r>
      <w:r w:rsidR="004C50C1">
        <w:t>Director</w:t>
      </w:r>
    </w:p>
    <w:p w:rsidR="009640E1" w:rsidRPr="009640E1" w:rsidRDefault="009640E1" w:rsidP="009640E1">
      <w:pPr>
        <w:tabs>
          <w:tab w:val="right" w:pos="9360"/>
        </w:tabs>
        <w:suppressAutoHyphens/>
        <w:jc w:val="both"/>
      </w:pPr>
      <w:r w:rsidRPr="009640E1">
        <w:t>Certificate</w:t>
      </w:r>
      <w:r w:rsidR="00664388">
        <w:t xml:space="preserve"> Issue Date:  </w:t>
      </w:r>
      <w:r w:rsidR="00B978C2">
        <w:t>24</w:t>
      </w:r>
      <w:r w:rsidRPr="009640E1">
        <w:t> </w:t>
      </w:r>
      <w:r w:rsidR="00CA3764">
        <w:t>May </w:t>
      </w:r>
      <w:r w:rsidRPr="009640E1">
        <w:t>201</w:t>
      </w:r>
      <w:r w:rsidR="00CA3764">
        <w:t>3</w:t>
      </w:r>
      <w:r w:rsidRPr="009640E1">
        <w:tab/>
        <w:t>Office of Reference Materials</w:t>
      </w:r>
    </w:p>
    <w:p w:rsidR="009640E1" w:rsidRPr="009640E1" w:rsidRDefault="009640E1" w:rsidP="009640E1">
      <w:pPr>
        <w:tabs>
          <w:tab w:val="right" w:pos="9360"/>
        </w:tabs>
        <w:suppressAutoHyphens/>
        <w:jc w:val="both"/>
        <w:rPr>
          <w:i/>
          <w:sz w:val="16"/>
          <w:szCs w:val="16"/>
        </w:rPr>
      </w:pPr>
      <w:r w:rsidRPr="009640E1">
        <w:rPr>
          <w:i/>
          <w:sz w:val="16"/>
          <w:szCs w:val="16"/>
        </w:rPr>
        <w:t>Certificate Revision History on Last Page</w:t>
      </w:r>
    </w:p>
    <w:p w:rsidR="009640E1" w:rsidRPr="009640E1" w:rsidRDefault="009640E1" w:rsidP="009640E1">
      <w:pPr>
        <w:tabs>
          <w:tab w:val="right" w:pos="9360"/>
        </w:tabs>
        <w:suppressAutoHyphens/>
        <w:jc w:val="both"/>
      </w:pPr>
      <w:r w:rsidRPr="009640E1">
        <w:lastRenderedPageBreak/>
        <w:t>The overall direction of the technical measurements leading to the certification of this SRM was provided by C.R. Beauchamp of the Thin Film and Nanostructure Processing Group of the NIST Materials Science and Engineering Division.</w:t>
      </w:r>
    </w:p>
    <w:p w:rsidR="009640E1" w:rsidRPr="009640E1" w:rsidRDefault="009640E1" w:rsidP="009640E1">
      <w:pPr>
        <w:tabs>
          <w:tab w:val="right" w:pos="9360"/>
        </w:tabs>
        <w:suppressAutoHyphens/>
        <w:jc w:val="both"/>
      </w:pPr>
    </w:p>
    <w:p w:rsidR="009640E1" w:rsidRPr="009640E1" w:rsidRDefault="009640E1" w:rsidP="009640E1">
      <w:pPr>
        <w:tabs>
          <w:tab w:val="right" w:pos="9360"/>
        </w:tabs>
        <w:suppressAutoHyphens/>
        <w:jc w:val="both"/>
      </w:pPr>
      <w:r w:rsidRPr="009640E1">
        <w:t>This SRM was produced by D.R. Kelley and measured by H.B. Gates of the Thin Film and Nanostructure Processing Group of the NIST Materials Science and Engineering Division.</w:t>
      </w:r>
    </w:p>
    <w:p w:rsidR="009640E1" w:rsidRPr="009640E1" w:rsidRDefault="009640E1" w:rsidP="009640E1">
      <w:pPr>
        <w:tabs>
          <w:tab w:val="right" w:pos="9360"/>
        </w:tabs>
        <w:suppressAutoHyphens/>
        <w:jc w:val="both"/>
      </w:pPr>
    </w:p>
    <w:p w:rsidR="009640E1" w:rsidRPr="009640E1" w:rsidRDefault="009640E1" w:rsidP="009640E1">
      <w:pPr>
        <w:tabs>
          <w:tab w:val="right" w:pos="9360"/>
        </w:tabs>
        <w:suppressAutoHyphens/>
        <w:jc w:val="both"/>
      </w:pPr>
      <w:r w:rsidRPr="009640E1">
        <w:t>Statistical analysis was provided by S.D. Leigh of the NIST Statistical Engineering Division.</w:t>
      </w:r>
    </w:p>
    <w:p w:rsidR="009640E1" w:rsidRPr="009640E1" w:rsidRDefault="009640E1" w:rsidP="009640E1">
      <w:pPr>
        <w:tabs>
          <w:tab w:val="right" w:pos="9360"/>
        </w:tabs>
        <w:suppressAutoHyphens/>
        <w:jc w:val="both"/>
      </w:pPr>
    </w:p>
    <w:p w:rsidR="009640E1" w:rsidRPr="009640E1" w:rsidRDefault="009640E1" w:rsidP="009640E1">
      <w:pPr>
        <w:tabs>
          <w:tab w:val="right" w:pos="9360"/>
        </w:tabs>
        <w:suppressAutoHyphens/>
        <w:jc w:val="both"/>
      </w:pPr>
      <w:r w:rsidRPr="009640E1">
        <w:t>Support aspects involved in the issuance of this SRM were coordinated through the NIST Office of Reference Materials.</w:t>
      </w:r>
    </w:p>
    <w:p w:rsidR="009640E1" w:rsidRPr="009640E1" w:rsidRDefault="009640E1" w:rsidP="009640E1">
      <w:pPr>
        <w:tabs>
          <w:tab w:val="right" w:pos="9360"/>
        </w:tabs>
        <w:suppressAutoHyphens/>
        <w:jc w:val="both"/>
        <w:rPr>
          <w:bCs/>
        </w:rPr>
      </w:pPr>
    </w:p>
    <w:p w:rsidR="000F5502" w:rsidRDefault="000F5502" w:rsidP="009640E1">
      <w:pPr>
        <w:tabs>
          <w:tab w:val="right" w:pos="9360"/>
        </w:tabs>
        <w:suppressAutoHyphens/>
        <w:jc w:val="both"/>
        <w:rPr>
          <w:b/>
          <w:bCs/>
        </w:rPr>
      </w:pPr>
      <w:r w:rsidRPr="00CF05C3">
        <w:rPr>
          <w:b/>
          <w:bCs/>
        </w:rPr>
        <w:t>NOTICE TO USERS</w:t>
      </w:r>
    </w:p>
    <w:p w:rsidR="000F5502" w:rsidRDefault="000F5502" w:rsidP="000F5502">
      <w:pPr>
        <w:suppressAutoHyphens/>
        <w:jc w:val="both"/>
      </w:pPr>
    </w:p>
    <w:p w:rsidR="000F5502" w:rsidRDefault="00840DA1" w:rsidP="000F5502">
      <w:pPr>
        <w:suppressAutoHyphens/>
        <w:jc w:val="both"/>
        <w:outlineLvl w:val="0"/>
      </w:pPr>
      <w:r>
        <w:rPr>
          <w:b/>
        </w:rPr>
        <w:t xml:space="preserve">Notice </w:t>
      </w:r>
      <w:r w:rsidR="000F5502">
        <w:rPr>
          <w:b/>
        </w:rPr>
        <w:t>to User</w:t>
      </w:r>
      <w:r>
        <w:rPr>
          <w:b/>
        </w:rPr>
        <w:t>s</w:t>
      </w:r>
      <w:r w:rsidR="000F5502">
        <w:rPr>
          <w:b/>
        </w:rPr>
        <w:t>:</w:t>
      </w:r>
      <w:r w:rsidR="000F5502">
        <w:t xml:space="preserve">  This SRM should</w:t>
      </w:r>
      <w:r w:rsidR="000F5502" w:rsidRPr="00A80415">
        <w:t xml:space="preserve"> not be le</w:t>
      </w:r>
      <w:r w:rsidR="000F5502">
        <w:t xml:space="preserve">ft unprotected in a corrosive laboratory environment or undergo any treatment that would scratch or remove material from the surface of the coupon.  The surfaces of these coupons require careful preservation and care during storage and use in order to maintain the stated coating thickness within the uncertainty reported on this certificate.  The SRM unit may be cleaned with ethyl alcohol and soft wipe materials.  The surface polish should be protected from abuse.  The certification is nullified if the coupons are </w:t>
      </w:r>
      <w:proofErr w:type="spellStart"/>
      <w:r w:rsidR="000F5502">
        <w:t>repolished</w:t>
      </w:r>
      <w:proofErr w:type="spellEnd"/>
      <w:r w:rsidR="000F5502">
        <w:t>.</w:t>
      </w:r>
    </w:p>
    <w:p w:rsidR="000F5502" w:rsidRDefault="000F5502" w:rsidP="000F5502">
      <w:pPr>
        <w:suppressAutoHyphens/>
        <w:jc w:val="both"/>
      </w:pPr>
    </w:p>
    <w:p w:rsidR="000F5502" w:rsidRDefault="000F5502" w:rsidP="000F5502">
      <w:pPr>
        <w:suppressAutoHyphens/>
        <w:jc w:val="both"/>
      </w:pPr>
      <w:r>
        <w:rPr>
          <w:b/>
        </w:rPr>
        <w:t>Instrument Calibration:</w:t>
      </w:r>
      <w:r>
        <w:t xml:space="preserve">  </w:t>
      </w:r>
      <w:r w:rsidR="009640E1">
        <w:t>The current p</w:t>
      </w:r>
      <w:r>
        <w:t>ublished standard magnetic methods for measuring coating thicknesses [3</w:t>
      </w:r>
      <w:proofErr w:type="gramStart"/>
      <w:r>
        <w:t>,4</w:t>
      </w:r>
      <w:proofErr w:type="gramEnd"/>
      <w:r>
        <w:t>] should be used as guidelines to maximize the accuracy in coating thickness measurements.  In general, it is not possible for the user to achieve the same uncertainty as reported in Table 1 of this certificate when using magnetic</w:t>
      </w:r>
      <w:r>
        <w:noBreakHyphen/>
        <w:t>type coating thickness gauges calibrated with this SRM.  The overall uncertainty of the measurement by the user will include the contribution due to the uncertainty of this SRM, as well as the uncertainty inherent in the measurements performed by the user.  The standard deviation of the measurements performed during the certification process is listed on the label affixed to the sleeve containing each coupon.  It is reported to enable the user to gauge the contribution due to non</w:t>
      </w:r>
      <w:r>
        <w:noBreakHyphen/>
        <w:t xml:space="preserve">uniformity of the coating, since this will be a major contributor to the </w:t>
      </w:r>
      <w:r w:rsidR="002D4711">
        <w:t xml:space="preserve">uncertainty </w:t>
      </w:r>
      <w:r>
        <w:t xml:space="preserve">of the values.  This standard deviation should not be used when performing an error analysis.  Instead, the user is instructed to use the expanded uncertainty listed in Table 1, since </w:t>
      </w:r>
      <w:r w:rsidRPr="00A80415">
        <w:t>all known or suspected sources of bias have been investigated or taken into account</w:t>
      </w:r>
      <w:r>
        <w:t xml:space="preserve"> in this uncertainty.</w:t>
      </w:r>
    </w:p>
    <w:p w:rsidR="009945E7" w:rsidRDefault="009945E7" w:rsidP="000F5502">
      <w:pPr>
        <w:jc w:val="both"/>
      </w:pPr>
    </w:p>
    <w:p w:rsidR="009945E7" w:rsidRDefault="00250529" w:rsidP="00342276">
      <w:pPr>
        <w:pStyle w:val="BodyText2"/>
        <w:spacing w:before="0"/>
        <w:ind w:left="1980"/>
      </w:pPr>
      <w:proofErr w:type="gramStart"/>
      <w:r>
        <w:t>Table </w:t>
      </w:r>
      <w:r w:rsidR="009945E7">
        <w:t>1.</w:t>
      </w:r>
      <w:proofErr w:type="gramEnd"/>
      <w:r w:rsidR="009945E7">
        <w:t xml:space="preserve">  Certified Coating Thickness Values for Each Coupon</w:t>
      </w:r>
    </w:p>
    <w:p w:rsidR="009945E7" w:rsidRDefault="009945E7" w:rsidP="009945E7">
      <w:pPr>
        <w:pStyle w:val="BodyText2"/>
        <w:spacing w:before="0"/>
        <w:jc w:val="left"/>
      </w:pPr>
    </w:p>
    <w:p w:rsidR="00245650" w:rsidRDefault="00245650" w:rsidP="00245650">
      <w:pPr>
        <w:pStyle w:val="BodyText2"/>
        <w:spacing w:before="0"/>
        <w:ind w:left="1980"/>
      </w:pPr>
      <w:proofErr w:type="gramStart"/>
      <w:r>
        <w:t>Table 1.</w:t>
      </w:r>
      <w:proofErr w:type="gramEnd"/>
      <w:r>
        <w:t xml:space="preserve">  Certified Coating Thickness Values for Each Coupon</w:t>
      </w:r>
    </w:p>
    <w:p w:rsidR="00245650" w:rsidRDefault="00245650" w:rsidP="00245650">
      <w:pPr>
        <w:pStyle w:val="BodyText2"/>
        <w:spacing w:before="0"/>
        <w:jc w:val="left"/>
      </w:pPr>
    </w:p>
    <w:p w:rsidR="00245650" w:rsidRDefault="00245650" w:rsidP="00245650">
      <w:pPr>
        <w:pStyle w:val="BodyText2"/>
        <w:tabs>
          <w:tab w:val="center" w:pos="5760"/>
        </w:tabs>
        <w:spacing w:before="0"/>
        <w:ind w:left="2070"/>
        <w:jc w:val="left"/>
      </w:pPr>
      <w:r>
        <w:t>Individual Coupon</w:t>
      </w:r>
      <w:r>
        <w:tab/>
        <w:t>Certified Coating Thickness</w:t>
      </w:r>
    </w:p>
    <w:p w:rsidR="00245650" w:rsidRDefault="00245650" w:rsidP="00245650">
      <w:pPr>
        <w:pStyle w:val="BodyText2"/>
        <w:tabs>
          <w:tab w:val="left" w:pos="5580"/>
        </w:tabs>
        <w:spacing w:before="0"/>
        <w:ind w:left="2070"/>
        <w:jc w:val="left"/>
      </w:pPr>
      <w:r>
        <w:t>Serial Number</w:t>
      </w:r>
      <w:r>
        <w:tab/>
        <w:t>(µm)</w:t>
      </w:r>
    </w:p>
    <w:p w:rsidR="00245650" w:rsidRDefault="00245650" w:rsidP="00245650">
      <w:pPr>
        <w:pStyle w:val="BodyText2"/>
        <w:tabs>
          <w:tab w:val="left" w:pos="5580"/>
        </w:tabs>
        <w:spacing w:before="0"/>
        <w:ind w:left="2070"/>
        <w:jc w:val="left"/>
      </w:pPr>
    </w:p>
    <w:p w:rsidR="00245650" w:rsidRDefault="00245650" w:rsidP="00245650">
      <w:pPr>
        <w:pStyle w:val="BodyText2"/>
        <w:tabs>
          <w:tab w:val="decimal" w:pos="5490"/>
          <w:tab w:val="left" w:pos="5760"/>
          <w:tab w:val="decimal" w:pos="6210"/>
        </w:tabs>
        <w:spacing w:before="0"/>
        <w:ind w:left="2070"/>
        <w:jc w:val="left"/>
      </w:pPr>
      <w:r>
        <w:t>111111111111</w:t>
      </w:r>
      <w:r>
        <w:tab/>
      </w:r>
      <w:r>
        <w:fldChar w:fldCharType="begin"/>
      </w:r>
      <w:r>
        <w:instrText xml:space="preserve"> MERGEFIELD  Coupon_1_Thickness_in_µm \# 0.00 \* MERGEFORMAT </w:instrText>
      </w:r>
      <w:r>
        <w:fldChar w:fldCharType="separate"/>
      </w:r>
      <w:r>
        <w:rPr>
          <w:noProof/>
        </w:rPr>
        <w:t>6.18</w:t>
      </w:r>
      <w:r>
        <w:fldChar w:fldCharType="end"/>
      </w:r>
      <w:r>
        <w:tab/>
      </w:r>
      <w:r>
        <w:sym w:font="Symbol" w:char="F0B1"/>
      </w:r>
      <w:r>
        <w:tab/>
      </w:r>
      <w:r>
        <w:fldChar w:fldCharType="begin"/>
      </w:r>
      <w:r>
        <w:instrText xml:space="preserve"> MERGEFIELD  Coupon_1_Expanded_Uncertainty_in_µm \# 0.00 \* MERGEFORMAT </w:instrText>
      </w:r>
      <w:r>
        <w:fldChar w:fldCharType="separate"/>
      </w:r>
      <w:r>
        <w:rPr>
          <w:noProof/>
        </w:rPr>
        <w:t>0.12</w:t>
      </w:r>
      <w:r>
        <w:fldChar w:fldCharType="end"/>
      </w:r>
    </w:p>
    <w:p w:rsidR="00245650" w:rsidRDefault="00245650" w:rsidP="00245650">
      <w:pPr>
        <w:pStyle w:val="BodyText2"/>
        <w:tabs>
          <w:tab w:val="decimal" w:pos="5490"/>
          <w:tab w:val="left" w:pos="5760"/>
          <w:tab w:val="decimal" w:pos="6210"/>
        </w:tabs>
        <w:spacing w:before="0"/>
        <w:ind w:left="2070"/>
        <w:jc w:val="left"/>
      </w:pPr>
      <w:r>
        <w:t>222222222222</w:t>
      </w:r>
      <w:r>
        <w:tab/>
      </w:r>
      <w:r>
        <w:fldChar w:fldCharType="begin"/>
      </w:r>
      <w:r>
        <w:instrText xml:space="preserve"> MERGEFIELD  Coupon_2_Thickness_in_µm \# 0.00 \* MERGEFORMAT </w:instrText>
      </w:r>
      <w:r>
        <w:fldChar w:fldCharType="separate"/>
      </w:r>
      <w:r>
        <w:rPr>
          <w:noProof/>
        </w:rPr>
        <w:t>12.27</w:t>
      </w:r>
      <w:r>
        <w:fldChar w:fldCharType="end"/>
      </w:r>
      <w:r>
        <w:tab/>
      </w:r>
      <w:r>
        <w:sym w:font="Symbol" w:char="F0B1"/>
      </w:r>
      <w:r>
        <w:tab/>
      </w:r>
      <w:r>
        <w:fldChar w:fldCharType="begin"/>
      </w:r>
      <w:r>
        <w:instrText xml:space="preserve"> MERGEFIELD  Coupon_2_Expanded_Uncertainty_in_µm \# 0.00 \* MERGEFORMAT </w:instrText>
      </w:r>
      <w:r>
        <w:fldChar w:fldCharType="separate"/>
      </w:r>
      <w:r>
        <w:rPr>
          <w:noProof/>
        </w:rPr>
        <w:t>0.25</w:t>
      </w:r>
      <w:r>
        <w:fldChar w:fldCharType="end"/>
      </w:r>
    </w:p>
    <w:p w:rsidR="00245650" w:rsidRDefault="00245650" w:rsidP="00245650">
      <w:pPr>
        <w:pStyle w:val="BodyText2"/>
        <w:tabs>
          <w:tab w:val="decimal" w:pos="5490"/>
          <w:tab w:val="left" w:pos="5760"/>
          <w:tab w:val="decimal" w:pos="6210"/>
        </w:tabs>
        <w:spacing w:before="0"/>
        <w:ind w:left="2070"/>
        <w:jc w:val="left"/>
      </w:pPr>
      <w:r>
        <w:t>333333333333</w:t>
      </w:r>
      <w:r>
        <w:tab/>
      </w:r>
      <w:r>
        <w:fldChar w:fldCharType="begin"/>
      </w:r>
      <w:r>
        <w:instrText xml:space="preserve"> MERGEFIELD  Coupon_3_Thickness_in_µm \# 0.00 \* MERGEFORMAT </w:instrText>
      </w:r>
      <w:r>
        <w:fldChar w:fldCharType="separate"/>
      </w:r>
      <w:r>
        <w:rPr>
          <w:noProof/>
        </w:rPr>
        <w:t>25.72</w:t>
      </w:r>
      <w:r>
        <w:fldChar w:fldCharType="end"/>
      </w:r>
      <w:r>
        <w:tab/>
      </w:r>
      <w:r>
        <w:sym w:font="Symbol" w:char="F0B1"/>
      </w:r>
      <w:r>
        <w:tab/>
      </w:r>
      <w:r>
        <w:fldChar w:fldCharType="begin"/>
      </w:r>
      <w:r>
        <w:instrText xml:space="preserve"> MERGEFIELD  Coupon_3_Expanded_Uncertainty_in_µm \# 0.00 \* MERGEFORMAT </w:instrText>
      </w:r>
      <w:r>
        <w:fldChar w:fldCharType="separate"/>
      </w:r>
      <w:r>
        <w:rPr>
          <w:noProof/>
        </w:rPr>
        <w:t>0.39</w:t>
      </w:r>
      <w:r>
        <w:fldChar w:fldCharType="end"/>
      </w:r>
    </w:p>
    <w:p w:rsidR="00245650" w:rsidRDefault="00245650" w:rsidP="00245650">
      <w:pPr>
        <w:pStyle w:val="BodyText2"/>
        <w:tabs>
          <w:tab w:val="decimal" w:pos="5490"/>
          <w:tab w:val="left" w:pos="5760"/>
          <w:tab w:val="decimal" w:pos="6210"/>
        </w:tabs>
        <w:spacing w:before="0"/>
        <w:ind w:left="2070"/>
        <w:jc w:val="left"/>
      </w:pPr>
      <w:r>
        <w:t>444444444444</w:t>
      </w:r>
      <w:r>
        <w:tab/>
      </w:r>
      <w:r>
        <w:fldChar w:fldCharType="begin"/>
      </w:r>
      <w:r>
        <w:instrText xml:space="preserve"> MERGEFIELD  Coupon_4_Thickness_in_µm \# 0.00 \* MERGEFORMAT </w:instrText>
      </w:r>
      <w:r>
        <w:fldChar w:fldCharType="separate"/>
      </w:r>
      <w:r>
        <w:rPr>
          <w:noProof/>
        </w:rPr>
        <w:t>48.27</w:t>
      </w:r>
      <w:r>
        <w:fldChar w:fldCharType="end"/>
      </w:r>
      <w:r>
        <w:tab/>
      </w:r>
      <w:r>
        <w:sym w:font="Symbol" w:char="F0B1"/>
      </w:r>
      <w:r>
        <w:tab/>
      </w:r>
      <w:r>
        <w:fldChar w:fldCharType="begin"/>
      </w:r>
      <w:r>
        <w:instrText xml:space="preserve"> MERGEFIELD  Coupon_4_Expanded_Uncertainty_in_µm \# 0.00 \* MERGEFORMAT </w:instrText>
      </w:r>
      <w:r>
        <w:fldChar w:fldCharType="separate"/>
      </w:r>
      <w:r>
        <w:rPr>
          <w:noProof/>
        </w:rPr>
        <w:t>0.72</w:t>
      </w:r>
      <w:r>
        <w:fldChar w:fldCharType="end"/>
      </w:r>
    </w:p>
    <w:p w:rsidR="00245650" w:rsidRDefault="00245650" w:rsidP="00245650">
      <w:pPr>
        <w:pStyle w:val="BodyText2"/>
        <w:tabs>
          <w:tab w:val="decimal" w:pos="4590"/>
          <w:tab w:val="left" w:pos="4770"/>
          <w:tab w:val="decimal" w:pos="5130"/>
          <w:tab w:val="decimal" w:pos="6750"/>
        </w:tabs>
        <w:spacing w:before="0"/>
        <w:jc w:val="left"/>
      </w:pPr>
    </w:p>
    <w:p w:rsidR="00245650" w:rsidRDefault="00245650" w:rsidP="00245650">
      <w:pPr>
        <w:suppressAutoHyphens/>
        <w:jc w:val="center"/>
      </w:pPr>
      <w:proofErr w:type="gramStart"/>
      <w:r>
        <w:t>Table 2.</w:t>
      </w:r>
      <w:proofErr w:type="gramEnd"/>
      <w:r>
        <w:t xml:space="preserve">  Information Values for Coating Thickness of Each Coupon</w:t>
      </w:r>
    </w:p>
    <w:p w:rsidR="00245650" w:rsidRDefault="00245650" w:rsidP="00245650">
      <w:pPr>
        <w:suppressAutoHyphens/>
        <w:jc w:val="both"/>
      </w:pPr>
    </w:p>
    <w:p w:rsidR="00245650" w:rsidRDefault="00245650" w:rsidP="00245650">
      <w:pPr>
        <w:pStyle w:val="BodyText2"/>
        <w:tabs>
          <w:tab w:val="center" w:pos="5760"/>
        </w:tabs>
        <w:spacing w:before="0"/>
        <w:ind w:left="2070"/>
        <w:jc w:val="left"/>
      </w:pPr>
      <w:r>
        <w:t>Individual Coupon</w:t>
      </w:r>
      <w:r>
        <w:tab/>
        <w:t>Coating Thickness</w:t>
      </w:r>
    </w:p>
    <w:p w:rsidR="00245650" w:rsidRDefault="00245650" w:rsidP="00245650">
      <w:pPr>
        <w:pStyle w:val="BodyText2"/>
        <w:tabs>
          <w:tab w:val="center" w:pos="5760"/>
        </w:tabs>
        <w:spacing w:before="0"/>
        <w:ind w:left="2070"/>
        <w:jc w:val="left"/>
      </w:pPr>
      <w:r>
        <w:t>Serial Number</w:t>
      </w:r>
      <w:r>
        <w:tab/>
        <w:t>(mils)</w:t>
      </w:r>
    </w:p>
    <w:p w:rsidR="00245650" w:rsidRDefault="00245650" w:rsidP="00245650">
      <w:pPr>
        <w:pStyle w:val="BodyText2"/>
        <w:tabs>
          <w:tab w:val="center" w:pos="5760"/>
        </w:tabs>
        <w:spacing w:before="0"/>
        <w:ind w:left="2070"/>
        <w:jc w:val="left"/>
      </w:pPr>
    </w:p>
    <w:p w:rsidR="00245650" w:rsidRDefault="00245650" w:rsidP="00245650">
      <w:pPr>
        <w:pStyle w:val="BodyText2"/>
        <w:tabs>
          <w:tab w:val="decimal" w:pos="5940"/>
        </w:tabs>
        <w:spacing w:before="0"/>
        <w:ind w:left="2070"/>
        <w:jc w:val="left"/>
      </w:pPr>
      <w:r>
        <w:t>111111111111</w:t>
      </w:r>
      <w:r>
        <w:tab/>
        <w:t xml:space="preserve">≈ </w:t>
      </w:r>
      <w:r>
        <w:fldChar w:fldCharType="begin"/>
      </w:r>
      <w:r>
        <w:instrText xml:space="preserve"> MERGEFIELD  Coupon_1_Thickness_in_mils \# 0.000 \* MERGEFORMAT </w:instrText>
      </w:r>
      <w:r>
        <w:fldChar w:fldCharType="separate"/>
      </w:r>
      <w:r>
        <w:rPr>
          <w:noProof/>
        </w:rPr>
        <w:t>0.243</w:t>
      </w:r>
      <w:r>
        <w:fldChar w:fldCharType="end"/>
      </w:r>
    </w:p>
    <w:p w:rsidR="00245650" w:rsidRDefault="00245650" w:rsidP="00245650">
      <w:pPr>
        <w:pStyle w:val="BodyText2"/>
        <w:tabs>
          <w:tab w:val="decimal" w:pos="5940"/>
        </w:tabs>
        <w:spacing w:before="0"/>
        <w:ind w:left="2070"/>
        <w:jc w:val="left"/>
      </w:pPr>
      <w:r>
        <w:t>222222222222</w:t>
      </w:r>
      <w:r>
        <w:tab/>
        <w:t xml:space="preserve">≈ </w:t>
      </w:r>
      <w:r>
        <w:fldChar w:fldCharType="begin"/>
      </w:r>
      <w:r>
        <w:instrText xml:space="preserve"> MERGEFIELD  Coupon_2_Thickness_in_mils \# 0.000 \* MERGEFORMAT </w:instrText>
      </w:r>
      <w:r>
        <w:fldChar w:fldCharType="separate"/>
      </w:r>
      <w:r>
        <w:rPr>
          <w:noProof/>
        </w:rPr>
        <w:t>0.483</w:t>
      </w:r>
      <w:r>
        <w:fldChar w:fldCharType="end"/>
      </w:r>
    </w:p>
    <w:p w:rsidR="00245650" w:rsidRDefault="00245650" w:rsidP="00245650">
      <w:pPr>
        <w:pStyle w:val="BodyText2"/>
        <w:tabs>
          <w:tab w:val="decimal" w:pos="5940"/>
        </w:tabs>
        <w:spacing w:before="0"/>
        <w:ind w:left="2070"/>
        <w:jc w:val="left"/>
      </w:pPr>
      <w:r>
        <w:t>333333333333</w:t>
      </w:r>
      <w:r>
        <w:tab/>
        <w:t xml:space="preserve">≈ </w:t>
      </w:r>
      <w:r>
        <w:fldChar w:fldCharType="begin"/>
      </w:r>
      <w:r>
        <w:instrText xml:space="preserve"> MERGEFIELD  Coupon_3_Thickness_in_mils \# 0.000 \* MERGEFORMAT </w:instrText>
      </w:r>
      <w:r>
        <w:fldChar w:fldCharType="separate"/>
      </w:r>
      <w:r>
        <w:rPr>
          <w:noProof/>
        </w:rPr>
        <w:t>1.013</w:t>
      </w:r>
      <w:r>
        <w:fldChar w:fldCharType="end"/>
      </w:r>
    </w:p>
    <w:p w:rsidR="00245650" w:rsidRDefault="00245650" w:rsidP="00245650">
      <w:pPr>
        <w:pStyle w:val="BodyText2"/>
        <w:tabs>
          <w:tab w:val="decimal" w:pos="5940"/>
        </w:tabs>
        <w:spacing w:before="0"/>
        <w:ind w:left="2070"/>
        <w:jc w:val="left"/>
      </w:pPr>
      <w:r>
        <w:t>444444444444</w:t>
      </w:r>
      <w:r>
        <w:tab/>
        <w:t xml:space="preserve">≈ </w:t>
      </w:r>
      <w:r>
        <w:fldChar w:fldCharType="begin"/>
      </w:r>
      <w:r>
        <w:instrText xml:space="preserve"> MERGEFIELD  Coupon_4_Thickness_in_mils \# 0.000 \* MERGEFORMAT </w:instrText>
      </w:r>
      <w:r>
        <w:fldChar w:fldCharType="separate"/>
      </w:r>
      <w:r>
        <w:rPr>
          <w:noProof/>
        </w:rPr>
        <w:t>1.900</w:t>
      </w:r>
      <w:r>
        <w:fldChar w:fldCharType="end"/>
      </w:r>
    </w:p>
    <w:p w:rsidR="00245650" w:rsidRDefault="00245650" w:rsidP="00245650">
      <w:pPr>
        <w:pStyle w:val="BodyText2"/>
        <w:tabs>
          <w:tab w:val="decimal" w:pos="4590"/>
          <w:tab w:val="left" w:pos="4770"/>
          <w:tab w:val="decimal" w:pos="5130"/>
          <w:tab w:val="decimal" w:pos="6750"/>
        </w:tabs>
        <w:spacing w:before="0"/>
        <w:ind w:left="2070"/>
        <w:jc w:val="left"/>
      </w:pPr>
    </w:p>
    <w:p w:rsidR="00245650" w:rsidRDefault="00245650" w:rsidP="00245650">
      <w:pPr>
        <w:pStyle w:val="BodyText2"/>
        <w:spacing w:before="0"/>
        <w:ind w:left="2070"/>
        <w:jc w:val="left"/>
      </w:pPr>
      <w:r w:rsidRPr="002F22CF">
        <w:t>Assembly Date</w:t>
      </w:r>
      <w:r w:rsidRPr="00E06268">
        <w:rPr>
          <w:color w:val="000000" w:themeColor="text1"/>
        </w:rPr>
        <w:t xml:space="preserve">:  </w:t>
      </w:r>
      <w:r w:rsidRPr="00E06268">
        <w:rPr>
          <w:color w:val="000000" w:themeColor="text1"/>
        </w:rPr>
        <w:fldChar w:fldCharType="begin"/>
      </w:r>
      <w:r w:rsidRPr="00E06268">
        <w:rPr>
          <w:color w:val="000000" w:themeColor="text1"/>
        </w:rPr>
        <w:instrText xml:space="preserve"> MERGEFIELD SRM_Assembly_Date </w:instrText>
      </w:r>
      <w:r w:rsidRPr="00E06268">
        <w:rPr>
          <w:color w:val="000000" w:themeColor="text1"/>
        </w:rPr>
        <w:fldChar w:fldCharType="separate"/>
      </w:r>
      <w:r w:rsidRPr="006A7E77">
        <w:rPr>
          <w:noProof/>
          <w:color w:val="000000" w:themeColor="text1"/>
        </w:rPr>
        <w:t>Monday, September 27, 1999</w:t>
      </w:r>
      <w:r w:rsidRPr="00E06268">
        <w:rPr>
          <w:color w:val="000000" w:themeColor="text1"/>
        </w:rPr>
        <w:fldChar w:fldCharType="end"/>
      </w:r>
      <w:r>
        <w:t xml:space="preserve"> </w:t>
      </w:r>
    </w:p>
    <w:p w:rsidR="0045636F" w:rsidRDefault="0045636F">
      <w:pPr>
        <w:suppressAutoHyphens/>
        <w:jc w:val="both"/>
      </w:pPr>
    </w:p>
    <w:p w:rsidR="00245650" w:rsidRDefault="000F5502" w:rsidP="00A7708E">
      <w:pPr>
        <w:suppressAutoHyphens/>
        <w:jc w:val="both"/>
      </w:pPr>
      <w:r>
        <w:t>All sets also include an uncoated steel coupon that originated from the same lot of the steel used as the substrate for these SRMs.  The coupon is intended for instruments that have the capability of adjusting their internal calibration based on the substrate material used.  When applicable, please refer to the appropriate manufacturer’s instrument manual for instructions on how to perform the adjustment.</w:t>
      </w:r>
    </w:p>
    <w:p w:rsidR="00A7708E" w:rsidRDefault="00A7708E" w:rsidP="00A7708E">
      <w:pPr>
        <w:suppressAutoHyphens/>
        <w:jc w:val="both"/>
      </w:pPr>
      <w:bookmarkStart w:id="0" w:name="_GoBack"/>
      <w:bookmarkEnd w:id="0"/>
      <w:r>
        <w:br w:type="page"/>
      </w:r>
    </w:p>
    <w:p w:rsidR="000F5502" w:rsidRDefault="000F5502" w:rsidP="000F5502">
      <w:pPr>
        <w:suppressAutoHyphens/>
        <w:jc w:val="center"/>
        <w:outlineLvl w:val="0"/>
      </w:pPr>
      <w:r>
        <w:lastRenderedPageBreak/>
        <w:t>REFERENCES</w:t>
      </w:r>
    </w:p>
    <w:p w:rsidR="000F5502" w:rsidRDefault="000F5502" w:rsidP="002C180C">
      <w:pPr>
        <w:suppressAutoHyphens/>
        <w:outlineLvl w:val="0"/>
      </w:pPr>
    </w:p>
    <w:p w:rsidR="000F5502" w:rsidRPr="0017301F" w:rsidRDefault="000F5502" w:rsidP="000F5502">
      <w:pPr>
        <w:tabs>
          <w:tab w:val="left" w:pos="450"/>
        </w:tabs>
        <w:ind w:left="450" w:hanging="450"/>
        <w:jc w:val="both"/>
        <w:rPr>
          <w:kern w:val="2"/>
        </w:rPr>
      </w:pPr>
      <w:r>
        <w:t>[1]</w:t>
      </w:r>
      <w:r>
        <w:tab/>
      </w:r>
      <w:r w:rsidRPr="0017301F">
        <w:rPr>
          <w:kern w:val="2"/>
        </w:rPr>
        <w:t>May, W.; Parris, R.;</w:t>
      </w:r>
      <w:r w:rsidR="00EA18BA" w:rsidRPr="00EA18BA">
        <w:rPr>
          <w:kern w:val="2"/>
        </w:rPr>
        <w:t xml:space="preserve"> </w:t>
      </w:r>
      <w:r w:rsidR="00EA18BA">
        <w:rPr>
          <w:kern w:val="2"/>
        </w:rPr>
        <w:t>Beck II, C</w:t>
      </w:r>
      <w:r w:rsidRPr="0017301F">
        <w:rPr>
          <w:kern w:val="2"/>
        </w:rPr>
        <w:t xml:space="preserve">; </w:t>
      </w:r>
      <w:proofErr w:type="spellStart"/>
      <w:r w:rsidRPr="0017301F">
        <w:rPr>
          <w:kern w:val="2"/>
        </w:rPr>
        <w:t>Fassett</w:t>
      </w:r>
      <w:proofErr w:type="spellEnd"/>
      <w:r w:rsidRPr="0017301F">
        <w:rPr>
          <w:kern w:val="2"/>
        </w:rPr>
        <w:t xml:space="preserve">, J.; Greenberg, R.; Guenther, F.; Kramer, G.; Wise, S.; Gills, T.; Colbert, J.; </w:t>
      </w:r>
      <w:proofErr w:type="spellStart"/>
      <w:r w:rsidRPr="0017301F">
        <w:rPr>
          <w:kern w:val="2"/>
        </w:rPr>
        <w:t>Gettings</w:t>
      </w:r>
      <w:proofErr w:type="spellEnd"/>
      <w:r w:rsidRPr="0017301F">
        <w:rPr>
          <w:kern w:val="2"/>
        </w:rPr>
        <w:t xml:space="preserve">, R.; MacDonald, B.; </w:t>
      </w:r>
      <w:r w:rsidRPr="0017301F">
        <w:rPr>
          <w:i/>
          <w:iCs/>
          <w:kern w:val="2"/>
        </w:rPr>
        <w:t>Definitions of Terms and Modes Used at NIST for Value-Assignment of Reference Materials for Chemical Measurements</w:t>
      </w:r>
      <w:r w:rsidRPr="0017301F">
        <w:rPr>
          <w:kern w:val="2"/>
        </w:rPr>
        <w:t>;</w:t>
      </w:r>
      <w:r w:rsidRPr="0017301F">
        <w:rPr>
          <w:i/>
          <w:kern w:val="2"/>
        </w:rPr>
        <w:t xml:space="preserve"> </w:t>
      </w:r>
      <w:r w:rsidRPr="0017301F">
        <w:rPr>
          <w:kern w:val="2"/>
        </w:rPr>
        <w:t>NIST Special Publication 260</w:t>
      </w:r>
      <w:r w:rsidRPr="0017301F">
        <w:rPr>
          <w:kern w:val="2"/>
        </w:rPr>
        <w:noBreakHyphen/>
        <w:t xml:space="preserve">136; U.S. Government Printing Office:  Washington, DC (2000); available at: </w:t>
      </w:r>
      <w:hyperlink r:id="rId10" w:history="1">
        <w:r w:rsidRPr="0017301F">
          <w:rPr>
            <w:rStyle w:val="Hyperlink"/>
            <w:kern w:val="2"/>
          </w:rPr>
          <w:t>http://www.nist.gov/srm/publications.cfm</w:t>
        </w:r>
      </w:hyperlink>
      <w:r w:rsidRPr="0017301F">
        <w:rPr>
          <w:kern w:val="2"/>
        </w:rPr>
        <w:t xml:space="preserve"> (accessed </w:t>
      </w:r>
      <w:r w:rsidR="00CA3764">
        <w:rPr>
          <w:kern w:val="2"/>
        </w:rPr>
        <w:t>May</w:t>
      </w:r>
      <w:r w:rsidRPr="0017301F">
        <w:rPr>
          <w:kern w:val="2"/>
        </w:rPr>
        <w:t> 201</w:t>
      </w:r>
      <w:r w:rsidR="00CA3764">
        <w:rPr>
          <w:kern w:val="2"/>
        </w:rPr>
        <w:t>3</w:t>
      </w:r>
      <w:r w:rsidRPr="0017301F">
        <w:rPr>
          <w:kern w:val="2"/>
        </w:rPr>
        <w:t>).</w:t>
      </w:r>
    </w:p>
    <w:p w:rsidR="00840DA1" w:rsidRPr="009A37A8" w:rsidRDefault="000F5502" w:rsidP="009A37A8">
      <w:pPr>
        <w:tabs>
          <w:tab w:val="left" w:pos="450"/>
        </w:tabs>
        <w:ind w:left="450" w:hanging="450"/>
        <w:jc w:val="both"/>
        <w:rPr>
          <w:rFonts w:eastAsia="Calibri"/>
        </w:rPr>
      </w:pPr>
      <w:r>
        <w:t>[2]</w:t>
      </w:r>
      <w:r>
        <w:tab/>
      </w:r>
      <w:r w:rsidR="00840DA1" w:rsidRPr="009A37A8">
        <w:rPr>
          <w:rFonts w:eastAsia="Calibri"/>
        </w:rPr>
        <w:t xml:space="preserve">JCGM 100:2008; </w:t>
      </w:r>
      <w:r w:rsidR="00840DA1" w:rsidRPr="009A37A8">
        <w:rPr>
          <w:rFonts w:eastAsia="Calibri"/>
          <w:i/>
          <w:iCs/>
        </w:rPr>
        <w:t>Evaluation of Measurement Data - Guide to the Expression of Uncertainty in Measurement</w:t>
      </w:r>
      <w:r w:rsidR="00840DA1" w:rsidRPr="009A37A8">
        <w:rPr>
          <w:rFonts w:eastAsia="Calibri"/>
        </w:rPr>
        <w:t xml:space="preserve">; (GUM 1995 with Minor Corrections), Joint Committee for Guides in Metrology (JCGM) (2008); available at </w:t>
      </w:r>
      <w:hyperlink r:id="rId11" w:history="1">
        <w:r w:rsidR="00840DA1" w:rsidRPr="009A37A8">
          <w:rPr>
            <w:rStyle w:val="Hyperlink"/>
            <w:rFonts w:eastAsia="Calibri"/>
          </w:rPr>
          <w:t>http://www.bipm.org/utils/common/documents/jcgm/JCGM_100_2008_E.pdf</w:t>
        </w:r>
      </w:hyperlink>
      <w:r w:rsidR="00840DA1" w:rsidRPr="009A37A8">
        <w:rPr>
          <w:rFonts w:eastAsia="Calibri"/>
        </w:rPr>
        <w:t xml:space="preserve"> (accessed </w:t>
      </w:r>
      <w:r w:rsidR="00CA3764">
        <w:rPr>
          <w:rFonts w:eastAsia="Calibri"/>
        </w:rPr>
        <w:t>May</w:t>
      </w:r>
      <w:r w:rsidR="00840DA1" w:rsidRPr="009A37A8">
        <w:rPr>
          <w:rFonts w:eastAsia="Calibri"/>
        </w:rPr>
        <w:t> 201</w:t>
      </w:r>
      <w:r w:rsidR="00CA3764">
        <w:rPr>
          <w:rFonts w:eastAsia="Calibri"/>
        </w:rPr>
        <w:t>3</w:t>
      </w:r>
      <w:r w:rsidR="00840DA1" w:rsidRPr="009A37A8">
        <w:rPr>
          <w:rFonts w:eastAsia="Calibri"/>
        </w:rPr>
        <w:t xml:space="preserve">); see also Taylor, B.N.; </w:t>
      </w:r>
      <w:proofErr w:type="spellStart"/>
      <w:r w:rsidR="00840DA1" w:rsidRPr="009A37A8">
        <w:rPr>
          <w:rFonts w:eastAsia="Calibri"/>
        </w:rPr>
        <w:t>Kuyatt</w:t>
      </w:r>
      <w:proofErr w:type="spellEnd"/>
      <w:r w:rsidR="00840DA1" w:rsidRPr="009A37A8">
        <w:rPr>
          <w:rFonts w:eastAsia="Calibri"/>
        </w:rPr>
        <w:t xml:space="preserve">, C.E.; </w:t>
      </w:r>
      <w:r w:rsidR="00840DA1" w:rsidRPr="009A37A8">
        <w:rPr>
          <w:rFonts w:eastAsia="Calibri"/>
          <w:i/>
          <w:iCs/>
        </w:rPr>
        <w:t>Guidelines for Evaluating and Expressing the Uncertainty of NIST Measurement Results</w:t>
      </w:r>
      <w:r w:rsidR="00840DA1" w:rsidRPr="009A37A8">
        <w:rPr>
          <w:rFonts w:eastAsia="Calibri"/>
        </w:rPr>
        <w:t xml:space="preserve">; NIST Technical Note 1297, U.S. Government Printing Office: Washington, DC (1994); available at </w:t>
      </w:r>
      <w:hyperlink r:id="rId12" w:history="1">
        <w:r w:rsidR="00840DA1" w:rsidRPr="009A37A8">
          <w:rPr>
            <w:rStyle w:val="Hyperlink"/>
            <w:rFonts w:eastAsia="Calibri"/>
          </w:rPr>
          <w:t>http://www.nist.gov/pml/pubs/index.cfm</w:t>
        </w:r>
      </w:hyperlink>
      <w:r w:rsidR="00840DA1" w:rsidRPr="009A37A8">
        <w:rPr>
          <w:rFonts w:eastAsia="Calibri"/>
        </w:rPr>
        <w:t xml:space="preserve"> (accessed </w:t>
      </w:r>
      <w:r w:rsidR="00CA3764">
        <w:rPr>
          <w:rFonts w:eastAsia="Calibri"/>
        </w:rPr>
        <w:t>May</w:t>
      </w:r>
      <w:r w:rsidR="00840DA1" w:rsidRPr="009A37A8">
        <w:rPr>
          <w:rFonts w:eastAsia="Calibri"/>
        </w:rPr>
        <w:t> 201</w:t>
      </w:r>
      <w:r w:rsidR="00CA3764">
        <w:rPr>
          <w:rFonts w:eastAsia="Calibri"/>
        </w:rPr>
        <w:t>3</w:t>
      </w:r>
      <w:r w:rsidR="00840DA1" w:rsidRPr="009A37A8">
        <w:rPr>
          <w:rFonts w:eastAsia="Calibri"/>
        </w:rPr>
        <w:t>).</w:t>
      </w:r>
    </w:p>
    <w:p w:rsidR="000F5502" w:rsidRPr="00EA0CFE" w:rsidRDefault="000F5502" w:rsidP="00840DA1">
      <w:pPr>
        <w:tabs>
          <w:tab w:val="left" w:pos="450"/>
        </w:tabs>
        <w:ind w:left="450" w:hanging="450"/>
        <w:jc w:val="both"/>
      </w:pPr>
      <w:r w:rsidRPr="00EA0CFE">
        <w:t>[3]</w:t>
      </w:r>
      <w:r w:rsidRPr="00EA0CFE">
        <w:tab/>
        <w:t xml:space="preserve">ASTM B 499; </w:t>
      </w:r>
      <w:r w:rsidRPr="00EA0CFE">
        <w:rPr>
          <w:i/>
        </w:rPr>
        <w:t>Standard Test Method for Measurement of Coating Thicknesses by the Magnetic Method: Nonmagnetic Coatings on Magnetic Basis Metals</w:t>
      </w:r>
      <w:r w:rsidRPr="00EA0CFE">
        <w:t xml:space="preserve">; </w:t>
      </w:r>
      <w:proofErr w:type="spellStart"/>
      <w:r w:rsidRPr="00EA0CFE">
        <w:t>Annu</w:t>
      </w:r>
      <w:proofErr w:type="spellEnd"/>
      <w:r w:rsidRPr="00EA0CFE">
        <w:t xml:space="preserve">. </w:t>
      </w:r>
      <w:proofErr w:type="gramStart"/>
      <w:r w:rsidRPr="00EA0CFE">
        <w:t>Book of</w:t>
      </w:r>
      <w:r w:rsidR="009640E1">
        <w:t xml:space="preserve"> ASTM Stand., Vol. 02.05</w:t>
      </w:r>
      <w:r w:rsidRPr="00EA0CFE">
        <w:t>.</w:t>
      </w:r>
      <w:proofErr w:type="gramEnd"/>
    </w:p>
    <w:p w:rsidR="000F5502" w:rsidRPr="00ED1291" w:rsidRDefault="000F5502" w:rsidP="000F5502">
      <w:pPr>
        <w:pStyle w:val="BodyTextIndent"/>
        <w:spacing w:before="0"/>
        <w:rPr>
          <w:color w:val="000000" w:themeColor="text1"/>
        </w:rPr>
      </w:pPr>
      <w:r w:rsidRPr="00EA0CFE">
        <w:t>[4]</w:t>
      </w:r>
      <w:r w:rsidRPr="00EA0CFE">
        <w:tab/>
        <w:t xml:space="preserve">ISO 2178; </w:t>
      </w:r>
      <w:bookmarkStart w:id="1" w:name="OLE_LINK1"/>
      <w:bookmarkStart w:id="2" w:name="OLE_LINK2"/>
      <w:r w:rsidRPr="00EA0CFE">
        <w:rPr>
          <w:i/>
        </w:rPr>
        <w:t>Nonmagnetic Coatings on Magnetic Substrate-Measurement of Coating Thickness-Magnetic Method</w:t>
      </w:r>
      <w:bookmarkEnd w:id="1"/>
      <w:bookmarkEnd w:id="2"/>
      <w:r w:rsidRPr="00EA0CFE">
        <w:t>; avai</w:t>
      </w:r>
      <w:r w:rsidRPr="00EA0CFE">
        <w:rPr>
          <w:color w:val="000000" w:themeColor="text1"/>
        </w:rPr>
        <w:t xml:space="preserve">lable at </w:t>
      </w:r>
      <w:hyperlink r:id="rId13" w:history="1">
        <w:r w:rsidRPr="00EA0CFE">
          <w:rPr>
            <w:rStyle w:val="Hyperlink"/>
            <w:color w:val="000000" w:themeColor="text1"/>
          </w:rPr>
          <w:t>http://www.ansi.org/</w:t>
        </w:r>
      </w:hyperlink>
      <w:r w:rsidRPr="00EA0CFE">
        <w:rPr>
          <w:rFonts w:eastAsia="Calibri"/>
          <w:color w:val="000000" w:themeColor="text1"/>
        </w:rPr>
        <w:t xml:space="preserve"> (accessed </w:t>
      </w:r>
      <w:r w:rsidR="00CA3764">
        <w:rPr>
          <w:rFonts w:eastAsia="Calibri"/>
          <w:color w:val="000000" w:themeColor="text1"/>
        </w:rPr>
        <w:t>May</w:t>
      </w:r>
      <w:r w:rsidRPr="00EA0CFE">
        <w:rPr>
          <w:rFonts w:eastAsia="Calibri"/>
          <w:color w:val="000000" w:themeColor="text1"/>
        </w:rPr>
        <w:t> 201</w:t>
      </w:r>
      <w:r w:rsidR="00CA3764">
        <w:rPr>
          <w:rFonts w:eastAsia="Calibri"/>
          <w:color w:val="000000" w:themeColor="text1"/>
        </w:rPr>
        <w:t>3</w:t>
      </w:r>
      <w:r w:rsidRPr="00EA0CFE">
        <w:rPr>
          <w:rFonts w:eastAsia="Calibri"/>
          <w:color w:val="000000" w:themeColor="text1"/>
        </w:rPr>
        <w:t>)</w:t>
      </w:r>
      <w:r w:rsidRPr="00EA0CFE">
        <w:rPr>
          <w:color w:val="000000" w:themeColor="text1"/>
        </w:rPr>
        <w:t>.</w:t>
      </w:r>
    </w:p>
    <w:p w:rsidR="002C180C" w:rsidRPr="00ED1291" w:rsidRDefault="002C180C" w:rsidP="002C180C">
      <w:pPr>
        <w:tabs>
          <w:tab w:val="left" w:pos="450"/>
        </w:tabs>
        <w:suppressAutoHyphens/>
        <w:jc w:val="both"/>
        <w:outlineLvl w:val="0"/>
        <w:rPr>
          <w:color w:val="000000" w:themeColor="text1"/>
        </w:rPr>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2C180C" w:rsidRDefault="002C180C" w:rsidP="002C180C">
      <w:pPr>
        <w:tabs>
          <w:tab w:val="left" w:pos="450"/>
        </w:tabs>
        <w:suppressAutoHyphens/>
        <w:jc w:val="both"/>
        <w:outlineLvl w:val="0"/>
      </w:pPr>
    </w:p>
    <w:p w:rsidR="000C285B" w:rsidRPr="001F2BA7" w:rsidRDefault="000F5502" w:rsidP="000C285B">
      <w:pPr>
        <w:pBdr>
          <w:top w:val="single" w:sz="4" w:space="1" w:color="auto"/>
          <w:left w:val="single" w:sz="4" w:space="4" w:color="auto"/>
          <w:bottom w:val="single" w:sz="4" w:space="1" w:color="auto"/>
          <w:right w:val="single" w:sz="4" w:space="4" w:color="auto"/>
        </w:pBdr>
        <w:tabs>
          <w:tab w:val="left" w:pos="450"/>
        </w:tabs>
        <w:suppressAutoHyphens/>
        <w:jc w:val="both"/>
        <w:outlineLvl w:val="0"/>
      </w:pPr>
      <w:r w:rsidRPr="00B978C2">
        <w:rPr>
          <w:b/>
          <w:sz w:val="16"/>
        </w:rPr>
        <w:t>Certificate Revision History:</w:t>
      </w:r>
      <w:r w:rsidRPr="00B978C2">
        <w:rPr>
          <w:sz w:val="16"/>
        </w:rPr>
        <w:t xml:space="preserve">  </w:t>
      </w:r>
      <w:r w:rsidR="00B978C2" w:rsidRPr="00B978C2">
        <w:rPr>
          <w:b/>
          <w:sz w:val="16"/>
        </w:rPr>
        <w:t>24</w:t>
      </w:r>
      <w:r w:rsidR="00CA3764" w:rsidRPr="00B978C2">
        <w:rPr>
          <w:b/>
          <w:sz w:val="16"/>
        </w:rPr>
        <w:t> May 2013</w:t>
      </w:r>
      <w:r w:rsidR="00CA3764" w:rsidRPr="00B978C2">
        <w:rPr>
          <w:sz w:val="16"/>
        </w:rPr>
        <w:t xml:space="preserve"> </w:t>
      </w:r>
      <w:r w:rsidR="000C285B" w:rsidRPr="00B24FC0">
        <w:rPr>
          <w:sz w:val="16"/>
        </w:rPr>
        <w:t>(</w:t>
      </w:r>
      <w:r w:rsidR="000C285B">
        <w:rPr>
          <w:sz w:val="16"/>
        </w:rPr>
        <w:t xml:space="preserve">Revision history corrected; </w:t>
      </w:r>
      <w:r w:rsidR="000C285B" w:rsidRPr="00B24FC0">
        <w:rPr>
          <w:sz w:val="16"/>
        </w:rPr>
        <w:t>editorial changes);</w:t>
      </w:r>
      <w:r w:rsidR="000C285B">
        <w:rPr>
          <w:sz w:val="16"/>
        </w:rPr>
        <w:t xml:space="preserve"> </w:t>
      </w:r>
      <w:r w:rsidR="000C285B">
        <w:rPr>
          <w:b/>
          <w:sz w:val="16"/>
        </w:rPr>
        <w:t>19</w:t>
      </w:r>
      <w:r w:rsidR="000C285B" w:rsidRPr="002439F3">
        <w:rPr>
          <w:b/>
          <w:sz w:val="16"/>
        </w:rPr>
        <w:t> October 2012</w:t>
      </w:r>
      <w:r w:rsidR="000C285B" w:rsidRPr="001F2BA7">
        <w:rPr>
          <w:sz w:val="16"/>
        </w:rPr>
        <w:t xml:space="preserve"> </w:t>
      </w:r>
      <w:r w:rsidR="000C285B">
        <w:rPr>
          <w:sz w:val="16"/>
        </w:rPr>
        <w:t xml:space="preserve">(Moved </w:t>
      </w:r>
      <w:r w:rsidR="000C285B" w:rsidRPr="00A06DD4">
        <w:rPr>
          <w:sz w:val="16"/>
        </w:rPr>
        <w:t xml:space="preserve">coating thickness </w:t>
      </w:r>
      <w:r w:rsidR="000C285B">
        <w:rPr>
          <w:sz w:val="16"/>
        </w:rPr>
        <w:t>information v</w:t>
      </w:r>
      <w:r w:rsidR="000C285B" w:rsidRPr="004518F2">
        <w:rPr>
          <w:sz w:val="16"/>
        </w:rPr>
        <w:t xml:space="preserve">alues </w:t>
      </w:r>
      <w:r w:rsidR="000C285B">
        <w:rPr>
          <w:sz w:val="16"/>
        </w:rPr>
        <w:t>[in mils] in Table 1 to a new table [Table 2]; references updated; e</w:t>
      </w:r>
      <w:r w:rsidR="000C285B" w:rsidRPr="002439F3">
        <w:rPr>
          <w:sz w:val="16"/>
        </w:rPr>
        <w:t>ditoria</w:t>
      </w:r>
      <w:r w:rsidR="000C285B" w:rsidRPr="001F2BA7">
        <w:rPr>
          <w:sz w:val="16"/>
        </w:rPr>
        <w:t xml:space="preserve">l changes); </w:t>
      </w:r>
      <w:r w:rsidR="000C285B" w:rsidRPr="001F2BA7">
        <w:rPr>
          <w:b/>
          <w:sz w:val="16"/>
        </w:rPr>
        <w:t>13 November 2001</w:t>
      </w:r>
      <w:r w:rsidR="000C285B" w:rsidRPr="001F2BA7">
        <w:rPr>
          <w:sz w:val="16"/>
        </w:rPr>
        <w:t xml:space="preserve"> (</w:t>
      </w:r>
      <w:r w:rsidR="000C285B">
        <w:rPr>
          <w:sz w:val="16"/>
        </w:rPr>
        <w:t>E</w:t>
      </w:r>
      <w:r w:rsidR="000C285B" w:rsidRPr="001F2BA7">
        <w:rPr>
          <w:sz w:val="16"/>
        </w:rPr>
        <w:t xml:space="preserve">ditorial changes); </w:t>
      </w:r>
      <w:r w:rsidR="000C285B" w:rsidRPr="001F2BA7">
        <w:rPr>
          <w:b/>
          <w:sz w:val="16"/>
        </w:rPr>
        <w:t>18 June 1999</w:t>
      </w:r>
      <w:r w:rsidR="000C285B" w:rsidRPr="001F2BA7">
        <w:rPr>
          <w:sz w:val="16"/>
        </w:rPr>
        <w:t xml:space="preserve"> (Original certificate date).</w:t>
      </w:r>
    </w:p>
    <w:p w:rsidR="000F5502" w:rsidRDefault="000F5502" w:rsidP="000F5502">
      <w:pPr>
        <w:tabs>
          <w:tab w:val="left" w:pos="450"/>
        </w:tabs>
        <w:suppressAutoHyphens/>
        <w:jc w:val="both"/>
        <w:outlineLvl w:val="0"/>
      </w:pPr>
    </w:p>
    <w:p w:rsidR="00D42054" w:rsidRDefault="00D42054">
      <w:pPr>
        <w:tabs>
          <w:tab w:val="left" w:pos="450"/>
        </w:tabs>
        <w:suppressAutoHyphens/>
        <w:jc w:val="both"/>
        <w:outlineLvl w:val="0"/>
      </w:pPr>
    </w:p>
    <w:p w:rsidR="00FA732F" w:rsidRDefault="00FA732F">
      <w:pPr>
        <w:tabs>
          <w:tab w:val="left" w:pos="450"/>
        </w:tabs>
        <w:suppressAutoHyphens/>
        <w:jc w:val="both"/>
        <w:outlineLvl w:val="0"/>
      </w:pPr>
    </w:p>
    <w:p w:rsidR="00FA732F" w:rsidRDefault="00FA732F">
      <w:pPr>
        <w:tabs>
          <w:tab w:val="left" w:pos="450"/>
        </w:tabs>
        <w:suppressAutoHyphens/>
        <w:jc w:val="both"/>
        <w:outlineLvl w:val="0"/>
      </w:pPr>
    </w:p>
    <w:p w:rsidR="00840DA1" w:rsidRDefault="00840DA1">
      <w:pPr>
        <w:tabs>
          <w:tab w:val="left" w:pos="450"/>
        </w:tabs>
        <w:suppressAutoHyphens/>
        <w:jc w:val="both"/>
        <w:outlineLvl w:val="0"/>
      </w:pPr>
    </w:p>
    <w:p w:rsidR="008F357D" w:rsidRDefault="008F357D">
      <w:pPr>
        <w:tabs>
          <w:tab w:val="left" w:pos="450"/>
        </w:tabs>
        <w:suppressAutoHyphens/>
        <w:jc w:val="both"/>
        <w:outlineLvl w:val="0"/>
      </w:pPr>
    </w:p>
    <w:p w:rsidR="008F357D" w:rsidRDefault="008F357D">
      <w:pPr>
        <w:tabs>
          <w:tab w:val="left" w:pos="450"/>
        </w:tabs>
        <w:suppressAutoHyphens/>
        <w:jc w:val="both"/>
        <w:outlineLvl w:val="0"/>
      </w:pPr>
    </w:p>
    <w:p w:rsidR="008F357D" w:rsidRDefault="008F357D">
      <w:pPr>
        <w:tabs>
          <w:tab w:val="left" w:pos="450"/>
        </w:tabs>
        <w:suppressAutoHyphens/>
        <w:jc w:val="both"/>
        <w:outlineLvl w:val="0"/>
      </w:pPr>
    </w:p>
    <w:p w:rsidR="00377AC8" w:rsidRDefault="00377AC8">
      <w:pPr>
        <w:tabs>
          <w:tab w:val="left" w:pos="450"/>
        </w:tabs>
        <w:suppressAutoHyphens/>
        <w:jc w:val="both"/>
        <w:outlineLvl w:val="0"/>
      </w:pPr>
    </w:p>
    <w:p w:rsidR="00377AC8" w:rsidRDefault="00377AC8">
      <w:pPr>
        <w:tabs>
          <w:tab w:val="left" w:pos="450"/>
        </w:tabs>
        <w:suppressAutoHyphens/>
        <w:jc w:val="both"/>
        <w:outlineLvl w:val="0"/>
      </w:pPr>
    </w:p>
    <w:p w:rsidR="00377AC8" w:rsidRDefault="00377AC8">
      <w:pPr>
        <w:tabs>
          <w:tab w:val="left" w:pos="450"/>
        </w:tabs>
        <w:suppressAutoHyphens/>
        <w:jc w:val="both"/>
        <w:outlineLvl w:val="0"/>
      </w:pPr>
    </w:p>
    <w:p w:rsidR="008F357D" w:rsidRDefault="008F357D">
      <w:pPr>
        <w:tabs>
          <w:tab w:val="left" w:pos="450"/>
        </w:tabs>
        <w:suppressAutoHyphens/>
        <w:jc w:val="both"/>
        <w:outlineLvl w:val="0"/>
      </w:pPr>
    </w:p>
    <w:p w:rsidR="000F5502" w:rsidRDefault="000F5502">
      <w:pPr>
        <w:tabs>
          <w:tab w:val="left" w:pos="450"/>
        </w:tabs>
        <w:suppressAutoHyphens/>
        <w:jc w:val="both"/>
        <w:outlineLvl w:val="0"/>
      </w:pPr>
    </w:p>
    <w:p w:rsidR="000F5502" w:rsidRDefault="000F5502">
      <w:pPr>
        <w:tabs>
          <w:tab w:val="left" w:pos="450"/>
        </w:tabs>
        <w:suppressAutoHyphens/>
        <w:jc w:val="both"/>
        <w:outlineLvl w:val="0"/>
      </w:pPr>
    </w:p>
    <w:p w:rsidR="000F5502" w:rsidRDefault="000F5502">
      <w:pPr>
        <w:tabs>
          <w:tab w:val="left" w:pos="450"/>
        </w:tabs>
        <w:suppressAutoHyphens/>
        <w:jc w:val="both"/>
        <w:outlineLvl w:val="0"/>
      </w:pPr>
    </w:p>
    <w:p w:rsidR="000F5502" w:rsidRDefault="000F5502">
      <w:pPr>
        <w:tabs>
          <w:tab w:val="left" w:pos="450"/>
        </w:tabs>
        <w:suppressAutoHyphens/>
        <w:jc w:val="both"/>
        <w:outlineLvl w:val="0"/>
      </w:pPr>
    </w:p>
    <w:p w:rsidR="000F5502" w:rsidRDefault="000F5502" w:rsidP="000F5502">
      <w:pPr>
        <w:tabs>
          <w:tab w:val="left" w:pos="450"/>
        </w:tabs>
        <w:suppressAutoHyphens/>
        <w:jc w:val="both"/>
        <w:outlineLvl w:val="0"/>
      </w:pPr>
    </w:p>
    <w:p w:rsidR="000F5502" w:rsidRDefault="000F5502" w:rsidP="000F5502">
      <w:pPr>
        <w:tabs>
          <w:tab w:val="left" w:pos="450"/>
        </w:tabs>
        <w:suppressAutoHyphens/>
        <w:jc w:val="both"/>
        <w:outlineLvl w:val="0"/>
      </w:pPr>
    </w:p>
    <w:p w:rsidR="00455279" w:rsidRDefault="00455279" w:rsidP="000F5502">
      <w:pPr>
        <w:tabs>
          <w:tab w:val="left" w:pos="450"/>
        </w:tabs>
        <w:suppressAutoHyphens/>
        <w:jc w:val="both"/>
        <w:outlineLvl w:val="0"/>
      </w:pPr>
    </w:p>
    <w:p w:rsidR="00455279" w:rsidRDefault="000F5502" w:rsidP="000F5502">
      <w:pPr>
        <w:tabs>
          <w:tab w:val="left" w:pos="450"/>
        </w:tabs>
        <w:suppressAutoHyphens/>
        <w:jc w:val="both"/>
        <w:outlineLvl w:val="0"/>
        <w:rPr>
          <w:i/>
        </w:rPr>
      </w:pPr>
      <w:r w:rsidRPr="001E4B32">
        <w:rPr>
          <w:i/>
        </w:rPr>
        <w:t>Users of this SRM should ensure that the Certificate of Analysis in their possession is current.  This can be accomplished by contacting the SRM Program:  telephone (301) 975-2200; fax (301) 948-3730; e</w:t>
      </w:r>
      <w:r w:rsidRPr="001E4B32">
        <w:rPr>
          <w:i/>
        </w:rPr>
        <w:noBreakHyphen/>
        <w:t>mail </w:t>
      </w:r>
      <w:hyperlink r:id="rId14" w:history="1">
        <w:r w:rsidRPr="001E4B32">
          <w:rPr>
            <w:rStyle w:val="Hyperlink"/>
            <w:i/>
          </w:rPr>
          <w:t>srminfo@nist.gov</w:t>
        </w:r>
      </w:hyperlink>
      <w:r w:rsidRPr="001E4B32">
        <w:rPr>
          <w:i/>
        </w:rPr>
        <w:t xml:space="preserve">; or via the Internet at </w:t>
      </w:r>
      <w:hyperlink r:id="rId15" w:history="1">
        <w:r w:rsidRPr="001E4B32">
          <w:rPr>
            <w:rStyle w:val="Hyperlink"/>
            <w:i/>
          </w:rPr>
          <w:t>http://www.nist.gov/srm</w:t>
        </w:r>
      </w:hyperlink>
      <w:r w:rsidRPr="001E4B32">
        <w:rPr>
          <w:i/>
        </w:rPr>
        <w:t>.</w:t>
      </w:r>
    </w:p>
    <w:p w:rsidR="00455279" w:rsidRDefault="00455279" w:rsidP="000F5502">
      <w:pPr>
        <w:tabs>
          <w:tab w:val="left" w:pos="450"/>
        </w:tabs>
        <w:suppressAutoHyphens/>
        <w:jc w:val="both"/>
        <w:outlineLvl w:val="0"/>
        <w:rPr>
          <w:i/>
        </w:rPr>
        <w:sectPr w:rsidR="00455279" w:rsidSect="000F5502">
          <w:footerReference w:type="even" r:id="rId16"/>
          <w:footerReference w:type="default" r:id="rId17"/>
          <w:endnotePr>
            <w:numFmt w:val="decimal"/>
          </w:endnotePr>
          <w:type w:val="continuous"/>
          <w:pgSz w:w="12240" w:h="15840" w:code="1"/>
          <w:pgMar w:top="720" w:right="1440" w:bottom="720" w:left="1440" w:header="720" w:footer="432" w:gutter="0"/>
          <w:pgNumType w:start="1"/>
          <w:cols w:space="720" w:equalWidth="0">
            <w:col w:w="9360"/>
          </w:cols>
          <w:noEndnote/>
        </w:sectPr>
      </w:pPr>
    </w:p>
    <w:p w:rsidR="000F5502" w:rsidRPr="001E4B32" w:rsidRDefault="000F5502" w:rsidP="000F5502">
      <w:pPr>
        <w:tabs>
          <w:tab w:val="left" w:pos="450"/>
        </w:tabs>
        <w:suppressAutoHyphens/>
        <w:jc w:val="both"/>
        <w:outlineLvl w:val="0"/>
      </w:pPr>
    </w:p>
    <w:sectPr w:rsidR="000F5502" w:rsidRPr="001E4B32" w:rsidSect="000F5502">
      <w:endnotePr>
        <w:numFmt w:val="decimal"/>
      </w:endnotePr>
      <w:type w:val="continuous"/>
      <w:pgSz w:w="12240" w:h="15840" w:code="1"/>
      <w:pgMar w:top="720" w:right="1440" w:bottom="720" w:left="1440" w:header="720" w:footer="432" w:gutter="0"/>
      <w:pgNumType w:start="1"/>
      <w:cols w:space="720" w:equalWidth="0">
        <w:col w:w="93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268" w:rsidRDefault="00E06268">
      <w:pPr>
        <w:spacing w:line="20" w:lineRule="exact"/>
        <w:rPr>
          <w:sz w:val="24"/>
        </w:rPr>
      </w:pPr>
    </w:p>
  </w:endnote>
  <w:endnote w:type="continuationSeparator" w:id="0">
    <w:p w:rsidR="00E06268" w:rsidRDefault="00E06268">
      <w:r>
        <w:rPr>
          <w:sz w:val="24"/>
        </w:rPr>
        <w:t xml:space="preserve"> </w:t>
      </w:r>
    </w:p>
  </w:endnote>
  <w:endnote w:type="continuationNotice" w:id="1">
    <w:p w:rsidR="00E06268" w:rsidRDefault="00E06268">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ncoln">
    <w:panose1 w:val="00000000000000000000"/>
    <w:charset w:val="00"/>
    <w:family w:val="swiss"/>
    <w:notTrueType/>
    <w:pitch w:val="default"/>
    <w:sig w:usb0="00000003" w:usb1="00000000" w:usb2="00000000" w:usb3="00000000" w:csb0="00000001"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268" w:rsidRDefault="00E062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6BC5">
      <w:rPr>
        <w:rStyle w:val="PageNumber"/>
        <w:noProof/>
      </w:rPr>
      <w:t>2</w:t>
    </w:r>
    <w:r>
      <w:rPr>
        <w:rStyle w:val="PageNumber"/>
      </w:rPr>
      <w:fldChar w:fldCharType="end"/>
    </w:r>
  </w:p>
  <w:p w:rsidR="00E06268" w:rsidRDefault="00E0626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268" w:rsidRDefault="00E06268">
    <w:pPr>
      <w:pStyle w:val="Footer"/>
      <w:tabs>
        <w:tab w:val="clear" w:pos="4320"/>
        <w:tab w:val="clear" w:pos="8640"/>
        <w:tab w:val="right" w:pos="9360"/>
      </w:tabs>
    </w:pPr>
    <w:r>
      <w:t>S</w:t>
    </w:r>
    <w:r w:rsidR="006D09A9">
      <w:t>RM</w:t>
    </w:r>
    <w:r w:rsidR="000F5502">
      <w:t> </w:t>
    </w:r>
    <w:r w:rsidR="006D09A9">
      <w:t>1361</w:t>
    </w:r>
    <w:r>
      <w:t>b</w:t>
    </w:r>
    <w:r>
      <w:tab/>
      <w:t xml:space="preserve">Page </w:t>
    </w:r>
    <w:r>
      <w:rPr>
        <w:rStyle w:val="PageNumber"/>
      </w:rPr>
      <w:fldChar w:fldCharType="begin"/>
    </w:r>
    <w:r>
      <w:rPr>
        <w:rStyle w:val="PageNumber"/>
      </w:rPr>
      <w:instrText xml:space="preserve">PAGE  </w:instrText>
    </w:r>
    <w:r>
      <w:rPr>
        <w:rStyle w:val="PageNumber"/>
      </w:rPr>
      <w:fldChar w:fldCharType="separate"/>
    </w:r>
    <w:r w:rsidR="00245650">
      <w:rPr>
        <w:rStyle w:val="PageNumber"/>
        <w:noProof/>
      </w:rPr>
      <w:t>3</w:t>
    </w:r>
    <w:r>
      <w:rPr>
        <w:rStyle w:val="PageNumber"/>
      </w:rPr>
      <w:fldChar w:fldCharType="end"/>
    </w:r>
    <w:r>
      <w:t xml:space="preserve"> of </w:t>
    </w:r>
    <w:r w:rsidR="00455279">
      <w:rPr>
        <w:rStyle w:val="PageNumber"/>
      </w:rPr>
      <w:fldChar w:fldCharType="begin"/>
    </w:r>
    <w:r w:rsidR="00455279">
      <w:rPr>
        <w:rStyle w:val="PageNumber"/>
      </w:rPr>
      <w:instrText xml:space="preserve"> SECTIONPAGES  </w:instrText>
    </w:r>
    <w:r w:rsidR="00455279">
      <w:rPr>
        <w:rStyle w:val="PageNumber"/>
      </w:rPr>
      <w:fldChar w:fldCharType="separate"/>
    </w:r>
    <w:r w:rsidR="00245650">
      <w:rPr>
        <w:rStyle w:val="PageNumber"/>
        <w:noProof/>
      </w:rPr>
      <w:t>3</w:t>
    </w:r>
    <w:r w:rsidR="00455279">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268" w:rsidRDefault="00E06268">
      <w:r>
        <w:rPr>
          <w:sz w:val="24"/>
        </w:rPr>
        <w:separator/>
      </w:r>
    </w:p>
  </w:footnote>
  <w:footnote w:type="continuationSeparator" w:id="0">
    <w:p w:rsidR="00E06268" w:rsidRDefault="00E062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41"/>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36F"/>
    <w:rsid w:val="00011FB8"/>
    <w:rsid w:val="00022BD1"/>
    <w:rsid w:val="00075EAE"/>
    <w:rsid w:val="000853E9"/>
    <w:rsid w:val="000C285B"/>
    <w:rsid w:val="000C7201"/>
    <w:rsid w:val="000E7BFD"/>
    <w:rsid w:val="000F5502"/>
    <w:rsid w:val="000F5A68"/>
    <w:rsid w:val="0010596A"/>
    <w:rsid w:val="00107065"/>
    <w:rsid w:val="00124C5F"/>
    <w:rsid w:val="00130F89"/>
    <w:rsid w:val="00137353"/>
    <w:rsid w:val="001561B1"/>
    <w:rsid w:val="001651B4"/>
    <w:rsid w:val="001672EE"/>
    <w:rsid w:val="00190073"/>
    <w:rsid w:val="00194E56"/>
    <w:rsid w:val="001B3568"/>
    <w:rsid w:val="001C2016"/>
    <w:rsid w:val="002305B2"/>
    <w:rsid w:val="002368DB"/>
    <w:rsid w:val="002378D8"/>
    <w:rsid w:val="00245650"/>
    <w:rsid w:val="00250529"/>
    <w:rsid w:val="00261214"/>
    <w:rsid w:val="002906FE"/>
    <w:rsid w:val="002B17D2"/>
    <w:rsid w:val="002B305A"/>
    <w:rsid w:val="002C180C"/>
    <w:rsid w:val="002D4711"/>
    <w:rsid w:val="002F16ED"/>
    <w:rsid w:val="002F22CF"/>
    <w:rsid w:val="00310F8B"/>
    <w:rsid w:val="00342276"/>
    <w:rsid w:val="00350AE1"/>
    <w:rsid w:val="00364F64"/>
    <w:rsid w:val="00377AC8"/>
    <w:rsid w:val="003906D6"/>
    <w:rsid w:val="003F5754"/>
    <w:rsid w:val="00410E6A"/>
    <w:rsid w:val="00453DC9"/>
    <w:rsid w:val="00455279"/>
    <w:rsid w:val="0045636F"/>
    <w:rsid w:val="004633D1"/>
    <w:rsid w:val="004637FD"/>
    <w:rsid w:val="00463BA6"/>
    <w:rsid w:val="004A7CA3"/>
    <w:rsid w:val="004C39FE"/>
    <w:rsid w:val="004C50C1"/>
    <w:rsid w:val="004E207A"/>
    <w:rsid w:val="004E7E62"/>
    <w:rsid w:val="0053024B"/>
    <w:rsid w:val="00560C34"/>
    <w:rsid w:val="00567916"/>
    <w:rsid w:val="0057677D"/>
    <w:rsid w:val="005851AF"/>
    <w:rsid w:val="005855F0"/>
    <w:rsid w:val="00590BFE"/>
    <w:rsid w:val="005A61E7"/>
    <w:rsid w:val="005B20ED"/>
    <w:rsid w:val="005E0B59"/>
    <w:rsid w:val="0060505B"/>
    <w:rsid w:val="00614611"/>
    <w:rsid w:val="0061724F"/>
    <w:rsid w:val="00621ABA"/>
    <w:rsid w:val="00653FF9"/>
    <w:rsid w:val="00664388"/>
    <w:rsid w:val="006B7E0F"/>
    <w:rsid w:val="006D09A9"/>
    <w:rsid w:val="006D67C0"/>
    <w:rsid w:val="007648F9"/>
    <w:rsid w:val="00784452"/>
    <w:rsid w:val="007A4ABB"/>
    <w:rsid w:val="007A6F9A"/>
    <w:rsid w:val="007B3611"/>
    <w:rsid w:val="007C098F"/>
    <w:rsid w:val="007F4985"/>
    <w:rsid w:val="008126DA"/>
    <w:rsid w:val="00840DA1"/>
    <w:rsid w:val="00841946"/>
    <w:rsid w:val="00857302"/>
    <w:rsid w:val="00880B06"/>
    <w:rsid w:val="008C104C"/>
    <w:rsid w:val="008F357D"/>
    <w:rsid w:val="008F5BBF"/>
    <w:rsid w:val="009166A0"/>
    <w:rsid w:val="00954DC0"/>
    <w:rsid w:val="009640E1"/>
    <w:rsid w:val="00991359"/>
    <w:rsid w:val="009939A7"/>
    <w:rsid w:val="009945E7"/>
    <w:rsid w:val="009A1AFE"/>
    <w:rsid w:val="009A37A8"/>
    <w:rsid w:val="009A5E63"/>
    <w:rsid w:val="009B3E6F"/>
    <w:rsid w:val="009E6994"/>
    <w:rsid w:val="00A24611"/>
    <w:rsid w:val="00A36580"/>
    <w:rsid w:val="00A65509"/>
    <w:rsid w:val="00A7708E"/>
    <w:rsid w:val="00A900B9"/>
    <w:rsid w:val="00A959C2"/>
    <w:rsid w:val="00B02D0F"/>
    <w:rsid w:val="00B078E5"/>
    <w:rsid w:val="00B1317B"/>
    <w:rsid w:val="00B608E5"/>
    <w:rsid w:val="00B653FF"/>
    <w:rsid w:val="00B978C2"/>
    <w:rsid w:val="00BF454F"/>
    <w:rsid w:val="00C52FE6"/>
    <w:rsid w:val="00C544DF"/>
    <w:rsid w:val="00C64145"/>
    <w:rsid w:val="00C707D8"/>
    <w:rsid w:val="00C72FF1"/>
    <w:rsid w:val="00C85603"/>
    <w:rsid w:val="00CA3764"/>
    <w:rsid w:val="00CB057E"/>
    <w:rsid w:val="00CC7D6C"/>
    <w:rsid w:val="00CD17F7"/>
    <w:rsid w:val="00CD4A02"/>
    <w:rsid w:val="00D10E6C"/>
    <w:rsid w:val="00D1204E"/>
    <w:rsid w:val="00D27EC4"/>
    <w:rsid w:val="00D337A1"/>
    <w:rsid w:val="00D42054"/>
    <w:rsid w:val="00D4412F"/>
    <w:rsid w:val="00D71EE3"/>
    <w:rsid w:val="00D72FA8"/>
    <w:rsid w:val="00DA7130"/>
    <w:rsid w:val="00DD79F6"/>
    <w:rsid w:val="00E06268"/>
    <w:rsid w:val="00E07673"/>
    <w:rsid w:val="00E2302F"/>
    <w:rsid w:val="00E25E2D"/>
    <w:rsid w:val="00E35FCB"/>
    <w:rsid w:val="00E36BC5"/>
    <w:rsid w:val="00E47629"/>
    <w:rsid w:val="00E81F4C"/>
    <w:rsid w:val="00E83FC3"/>
    <w:rsid w:val="00E877EF"/>
    <w:rsid w:val="00E87D07"/>
    <w:rsid w:val="00EA18BA"/>
    <w:rsid w:val="00EC2410"/>
    <w:rsid w:val="00ED3F6C"/>
    <w:rsid w:val="00EF1975"/>
    <w:rsid w:val="00EF45C3"/>
    <w:rsid w:val="00FA126C"/>
    <w:rsid w:val="00FA1A2F"/>
    <w:rsid w:val="00FA31A1"/>
    <w:rsid w:val="00FA7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7E0F"/>
    <w:pPr>
      <w:widowControl w:val="0"/>
    </w:pPr>
    <w:rPr>
      <w:rFonts w:ascii="Times New Roman" w:eastAsia="Times New Roman" w:hAnsi="Times New Roman"/>
      <w:spacing w:val="-2"/>
    </w:rPr>
  </w:style>
  <w:style w:type="paragraph" w:styleId="Heading1">
    <w:name w:val="heading 1"/>
    <w:basedOn w:val="Normal"/>
    <w:next w:val="Normal"/>
    <w:qFormat/>
    <w:rsid w:val="006B7E0F"/>
    <w:pPr>
      <w:keepNext/>
      <w:suppressAutoHyphens/>
      <w:jc w:val="center"/>
      <w:outlineLvl w:val="0"/>
    </w:pPr>
    <w:rPr>
      <w:sz w:val="32"/>
      <w:szCs w:val="32"/>
    </w:rPr>
  </w:style>
  <w:style w:type="paragraph" w:styleId="Heading2">
    <w:name w:val="heading 2"/>
    <w:basedOn w:val="Normal"/>
    <w:next w:val="Normal"/>
    <w:qFormat/>
    <w:rsid w:val="006B7E0F"/>
    <w:pPr>
      <w:keepNext/>
      <w:suppressAutoHyphens/>
      <w:ind w:left="3510"/>
      <w:outlineLvl w:val="1"/>
    </w:pPr>
    <w:rPr>
      <w:rFonts w:ascii="Arial Black" w:hAnsi="Arial Black"/>
      <w:sz w:val="28"/>
      <w:szCs w:val="28"/>
    </w:rPr>
  </w:style>
  <w:style w:type="paragraph" w:styleId="Heading3">
    <w:name w:val="heading 3"/>
    <w:basedOn w:val="Normal"/>
    <w:next w:val="Normal"/>
    <w:qFormat/>
    <w:rsid w:val="006B7E0F"/>
    <w:pPr>
      <w:keepNext/>
      <w:suppressAutoHyphens/>
      <w:jc w:val="center"/>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B7E0F"/>
    <w:rPr>
      <w:sz w:val="24"/>
      <w:szCs w:val="24"/>
    </w:rPr>
  </w:style>
  <w:style w:type="character" w:styleId="EndnoteReference">
    <w:name w:val="endnote reference"/>
    <w:basedOn w:val="DefaultParagraphFont"/>
    <w:semiHidden/>
    <w:rsid w:val="006B7E0F"/>
    <w:rPr>
      <w:vertAlign w:val="superscript"/>
    </w:rPr>
  </w:style>
  <w:style w:type="paragraph" w:styleId="FootnoteText">
    <w:name w:val="footnote text"/>
    <w:basedOn w:val="Normal"/>
    <w:semiHidden/>
    <w:rsid w:val="006B7E0F"/>
    <w:rPr>
      <w:sz w:val="24"/>
      <w:szCs w:val="24"/>
    </w:rPr>
  </w:style>
  <w:style w:type="character" w:styleId="FootnoteReference">
    <w:name w:val="footnote reference"/>
    <w:basedOn w:val="DefaultParagraphFont"/>
    <w:semiHidden/>
    <w:rsid w:val="006B7E0F"/>
    <w:rPr>
      <w:vertAlign w:val="superscript"/>
    </w:rPr>
  </w:style>
  <w:style w:type="paragraph" w:styleId="TOC1">
    <w:name w:val="toc 1"/>
    <w:basedOn w:val="Normal"/>
    <w:next w:val="Normal"/>
    <w:autoRedefine/>
    <w:semiHidden/>
    <w:rsid w:val="006B7E0F"/>
    <w:pPr>
      <w:tabs>
        <w:tab w:val="right" w:leader="dot" w:pos="9360"/>
      </w:tabs>
      <w:suppressAutoHyphens/>
      <w:spacing w:before="480"/>
      <w:ind w:left="720" w:right="720" w:hanging="720"/>
    </w:pPr>
  </w:style>
  <w:style w:type="paragraph" w:styleId="TOC2">
    <w:name w:val="toc 2"/>
    <w:basedOn w:val="Normal"/>
    <w:next w:val="Normal"/>
    <w:autoRedefine/>
    <w:semiHidden/>
    <w:rsid w:val="006B7E0F"/>
    <w:pPr>
      <w:tabs>
        <w:tab w:val="right" w:leader="dot" w:pos="9360"/>
      </w:tabs>
      <w:suppressAutoHyphens/>
      <w:ind w:left="1440" w:right="720" w:hanging="720"/>
    </w:pPr>
  </w:style>
  <w:style w:type="paragraph" w:styleId="TOC3">
    <w:name w:val="toc 3"/>
    <w:basedOn w:val="Normal"/>
    <w:next w:val="Normal"/>
    <w:autoRedefine/>
    <w:semiHidden/>
    <w:rsid w:val="006B7E0F"/>
    <w:pPr>
      <w:tabs>
        <w:tab w:val="right" w:leader="dot" w:pos="9360"/>
      </w:tabs>
      <w:suppressAutoHyphens/>
      <w:ind w:left="2160" w:right="720" w:hanging="720"/>
    </w:pPr>
  </w:style>
  <w:style w:type="paragraph" w:styleId="TOC4">
    <w:name w:val="toc 4"/>
    <w:basedOn w:val="Normal"/>
    <w:next w:val="Normal"/>
    <w:autoRedefine/>
    <w:semiHidden/>
    <w:rsid w:val="006B7E0F"/>
    <w:pPr>
      <w:tabs>
        <w:tab w:val="right" w:leader="dot" w:pos="9360"/>
      </w:tabs>
      <w:suppressAutoHyphens/>
      <w:ind w:left="2880" w:right="720" w:hanging="720"/>
    </w:pPr>
  </w:style>
  <w:style w:type="paragraph" w:styleId="TOC5">
    <w:name w:val="toc 5"/>
    <w:basedOn w:val="Normal"/>
    <w:next w:val="Normal"/>
    <w:autoRedefine/>
    <w:semiHidden/>
    <w:rsid w:val="006B7E0F"/>
    <w:pPr>
      <w:tabs>
        <w:tab w:val="right" w:leader="dot" w:pos="9360"/>
      </w:tabs>
      <w:suppressAutoHyphens/>
      <w:ind w:left="3600" w:right="720" w:hanging="720"/>
    </w:pPr>
  </w:style>
  <w:style w:type="paragraph" w:styleId="TOC6">
    <w:name w:val="toc 6"/>
    <w:basedOn w:val="Normal"/>
    <w:next w:val="Normal"/>
    <w:autoRedefine/>
    <w:semiHidden/>
    <w:rsid w:val="006B7E0F"/>
    <w:pPr>
      <w:tabs>
        <w:tab w:val="right" w:pos="9360"/>
      </w:tabs>
      <w:suppressAutoHyphens/>
      <w:ind w:left="720" w:hanging="720"/>
    </w:pPr>
  </w:style>
  <w:style w:type="paragraph" w:styleId="TOC7">
    <w:name w:val="toc 7"/>
    <w:basedOn w:val="Normal"/>
    <w:next w:val="Normal"/>
    <w:autoRedefine/>
    <w:semiHidden/>
    <w:rsid w:val="006B7E0F"/>
    <w:pPr>
      <w:suppressAutoHyphens/>
      <w:ind w:left="720" w:hanging="720"/>
    </w:pPr>
  </w:style>
  <w:style w:type="paragraph" w:styleId="TOC8">
    <w:name w:val="toc 8"/>
    <w:basedOn w:val="Normal"/>
    <w:next w:val="Normal"/>
    <w:autoRedefine/>
    <w:semiHidden/>
    <w:rsid w:val="006B7E0F"/>
    <w:pPr>
      <w:tabs>
        <w:tab w:val="right" w:pos="9360"/>
      </w:tabs>
      <w:suppressAutoHyphens/>
      <w:ind w:left="720" w:hanging="720"/>
    </w:pPr>
  </w:style>
  <w:style w:type="paragraph" w:styleId="TOC9">
    <w:name w:val="toc 9"/>
    <w:basedOn w:val="Normal"/>
    <w:next w:val="Normal"/>
    <w:autoRedefine/>
    <w:semiHidden/>
    <w:rsid w:val="006B7E0F"/>
    <w:pPr>
      <w:tabs>
        <w:tab w:val="right" w:leader="dot" w:pos="9360"/>
      </w:tabs>
      <w:suppressAutoHyphens/>
      <w:ind w:left="720" w:hanging="720"/>
    </w:pPr>
  </w:style>
  <w:style w:type="paragraph" w:styleId="Index1">
    <w:name w:val="index 1"/>
    <w:basedOn w:val="Normal"/>
    <w:next w:val="Normal"/>
    <w:autoRedefine/>
    <w:semiHidden/>
    <w:rsid w:val="006B7E0F"/>
    <w:pPr>
      <w:tabs>
        <w:tab w:val="right" w:leader="dot" w:pos="9360"/>
      </w:tabs>
      <w:suppressAutoHyphens/>
      <w:ind w:left="1440" w:right="720" w:hanging="1440"/>
    </w:pPr>
  </w:style>
  <w:style w:type="paragraph" w:styleId="Index2">
    <w:name w:val="index 2"/>
    <w:basedOn w:val="Normal"/>
    <w:next w:val="Normal"/>
    <w:autoRedefine/>
    <w:semiHidden/>
    <w:rsid w:val="006B7E0F"/>
    <w:pPr>
      <w:tabs>
        <w:tab w:val="right" w:leader="dot" w:pos="9360"/>
      </w:tabs>
      <w:suppressAutoHyphens/>
      <w:ind w:left="1440" w:right="720" w:hanging="720"/>
    </w:pPr>
  </w:style>
  <w:style w:type="paragraph" w:styleId="TOAHeading">
    <w:name w:val="toa heading"/>
    <w:basedOn w:val="Normal"/>
    <w:next w:val="Normal"/>
    <w:semiHidden/>
    <w:rsid w:val="006B7E0F"/>
    <w:pPr>
      <w:tabs>
        <w:tab w:val="right" w:pos="9360"/>
      </w:tabs>
      <w:suppressAutoHyphens/>
    </w:pPr>
  </w:style>
  <w:style w:type="paragraph" w:styleId="Caption">
    <w:name w:val="caption"/>
    <w:basedOn w:val="Normal"/>
    <w:next w:val="Normal"/>
    <w:qFormat/>
    <w:rsid w:val="006B7E0F"/>
    <w:rPr>
      <w:sz w:val="24"/>
      <w:szCs w:val="24"/>
    </w:rPr>
  </w:style>
  <w:style w:type="character" w:customStyle="1" w:styleId="EquationCaption">
    <w:name w:val="_Equation Caption"/>
    <w:rsid w:val="006B7E0F"/>
  </w:style>
  <w:style w:type="paragraph" w:styleId="Header">
    <w:name w:val="header"/>
    <w:basedOn w:val="Normal"/>
    <w:link w:val="HeaderChar"/>
    <w:rsid w:val="006B7E0F"/>
    <w:pPr>
      <w:tabs>
        <w:tab w:val="center" w:pos="4320"/>
        <w:tab w:val="right" w:pos="8640"/>
      </w:tabs>
    </w:pPr>
  </w:style>
  <w:style w:type="paragraph" w:styleId="Footer">
    <w:name w:val="footer"/>
    <w:basedOn w:val="Normal"/>
    <w:rsid w:val="006B7E0F"/>
    <w:pPr>
      <w:tabs>
        <w:tab w:val="center" w:pos="4320"/>
        <w:tab w:val="right" w:pos="8640"/>
      </w:tabs>
    </w:pPr>
  </w:style>
  <w:style w:type="character" w:styleId="PageNumber">
    <w:name w:val="page number"/>
    <w:basedOn w:val="DefaultParagraphFont"/>
    <w:rsid w:val="006B7E0F"/>
  </w:style>
  <w:style w:type="character" w:styleId="LineNumber">
    <w:name w:val="line number"/>
    <w:basedOn w:val="DefaultParagraphFont"/>
    <w:rsid w:val="006B7E0F"/>
  </w:style>
  <w:style w:type="paragraph" w:styleId="DocumentMap">
    <w:name w:val="Document Map"/>
    <w:basedOn w:val="Normal"/>
    <w:semiHidden/>
    <w:rsid w:val="006B7E0F"/>
    <w:pPr>
      <w:shd w:val="clear" w:color="auto" w:fill="000080"/>
    </w:pPr>
    <w:rPr>
      <w:rFonts w:ascii="Tahoma" w:hAnsi="Tahoma" w:cs="Tahoma"/>
    </w:rPr>
  </w:style>
  <w:style w:type="paragraph" w:styleId="BodyText">
    <w:name w:val="Body Text"/>
    <w:basedOn w:val="Normal"/>
    <w:rsid w:val="006B7E0F"/>
    <w:pPr>
      <w:suppressAutoHyphens/>
      <w:spacing w:before="100"/>
    </w:pPr>
    <w:rPr>
      <w:sz w:val="24"/>
      <w:szCs w:val="24"/>
    </w:rPr>
  </w:style>
  <w:style w:type="paragraph" w:styleId="BodyText2">
    <w:name w:val="Body Text 2"/>
    <w:basedOn w:val="Normal"/>
    <w:link w:val="BodyText2Char"/>
    <w:rsid w:val="006B7E0F"/>
    <w:pPr>
      <w:suppressAutoHyphens/>
      <w:spacing w:before="100"/>
      <w:jc w:val="both"/>
    </w:pPr>
  </w:style>
  <w:style w:type="paragraph" w:styleId="Title">
    <w:name w:val="Title"/>
    <w:basedOn w:val="Normal"/>
    <w:qFormat/>
    <w:rsid w:val="006B7E0F"/>
    <w:pPr>
      <w:widowControl/>
      <w:tabs>
        <w:tab w:val="center" w:pos="4680"/>
      </w:tabs>
      <w:jc w:val="center"/>
    </w:pPr>
    <w:rPr>
      <w:rFonts w:ascii="Lincoln" w:hAnsi="Lincoln"/>
      <w:sz w:val="44"/>
      <w:szCs w:val="44"/>
    </w:rPr>
  </w:style>
  <w:style w:type="character" w:styleId="Hyperlink">
    <w:name w:val="Hyperlink"/>
    <w:basedOn w:val="DefaultParagraphFont"/>
    <w:rsid w:val="0010596A"/>
    <w:rPr>
      <w:color w:val="auto"/>
      <w:u w:val="none"/>
    </w:rPr>
  </w:style>
  <w:style w:type="paragraph" w:styleId="BodyTextIndent">
    <w:name w:val="Body Text Indent"/>
    <w:basedOn w:val="Normal"/>
    <w:link w:val="BodyTextIndentChar"/>
    <w:rsid w:val="006B7E0F"/>
    <w:pPr>
      <w:tabs>
        <w:tab w:val="left" w:pos="450"/>
      </w:tabs>
      <w:suppressAutoHyphens/>
      <w:spacing w:before="100"/>
      <w:ind w:left="450" w:hanging="450"/>
      <w:jc w:val="both"/>
      <w:outlineLvl w:val="0"/>
    </w:pPr>
  </w:style>
  <w:style w:type="character" w:styleId="FollowedHyperlink">
    <w:name w:val="FollowedHyperlink"/>
    <w:basedOn w:val="DefaultParagraphFont"/>
    <w:rsid w:val="006B7E0F"/>
    <w:rPr>
      <w:color w:val="800080"/>
      <w:u w:val="single"/>
    </w:rPr>
  </w:style>
  <w:style w:type="paragraph" w:styleId="Subtitle">
    <w:name w:val="Subtitle"/>
    <w:basedOn w:val="Normal"/>
    <w:qFormat/>
    <w:rsid w:val="006B7E0F"/>
    <w:pPr>
      <w:widowControl/>
      <w:jc w:val="center"/>
    </w:pPr>
    <w:rPr>
      <w:rFonts w:ascii="Lincoln" w:hAnsi="Lincoln"/>
      <w:sz w:val="60"/>
      <w:szCs w:val="60"/>
    </w:rPr>
  </w:style>
  <w:style w:type="paragraph" w:styleId="BalloonText">
    <w:name w:val="Balloon Text"/>
    <w:basedOn w:val="Normal"/>
    <w:link w:val="BalloonTextChar"/>
    <w:rsid w:val="002378D8"/>
    <w:rPr>
      <w:rFonts w:ascii="Tahoma" w:hAnsi="Tahoma" w:cs="Tahoma"/>
      <w:sz w:val="16"/>
      <w:szCs w:val="16"/>
    </w:rPr>
  </w:style>
  <w:style w:type="character" w:customStyle="1" w:styleId="BalloonTextChar">
    <w:name w:val="Balloon Text Char"/>
    <w:basedOn w:val="DefaultParagraphFont"/>
    <w:link w:val="BalloonText"/>
    <w:rsid w:val="002378D8"/>
    <w:rPr>
      <w:rFonts w:ascii="Tahoma" w:eastAsia="Times New Roman" w:hAnsi="Tahoma" w:cs="Tahoma"/>
      <w:spacing w:val="-2"/>
      <w:sz w:val="16"/>
      <w:szCs w:val="16"/>
    </w:rPr>
  </w:style>
  <w:style w:type="character" w:styleId="CommentReference">
    <w:name w:val="annotation reference"/>
    <w:basedOn w:val="DefaultParagraphFont"/>
    <w:rsid w:val="00CD17F7"/>
    <w:rPr>
      <w:sz w:val="16"/>
      <w:szCs w:val="16"/>
    </w:rPr>
  </w:style>
  <w:style w:type="paragraph" w:styleId="CommentText">
    <w:name w:val="annotation text"/>
    <w:basedOn w:val="Normal"/>
    <w:link w:val="CommentTextChar"/>
    <w:rsid w:val="00CD17F7"/>
  </w:style>
  <w:style w:type="character" w:customStyle="1" w:styleId="CommentTextChar">
    <w:name w:val="Comment Text Char"/>
    <w:basedOn w:val="DefaultParagraphFont"/>
    <w:link w:val="CommentText"/>
    <w:rsid w:val="00CD17F7"/>
    <w:rPr>
      <w:rFonts w:ascii="Times New Roman" w:eastAsia="Times New Roman" w:hAnsi="Times New Roman"/>
      <w:spacing w:val="-2"/>
    </w:rPr>
  </w:style>
  <w:style w:type="paragraph" w:styleId="CommentSubject">
    <w:name w:val="annotation subject"/>
    <w:basedOn w:val="CommentText"/>
    <w:next w:val="CommentText"/>
    <w:link w:val="CommentSubjectChar"/>
    <w:rsid w:val="00CD17F7"/>
    <w:rPr>
      <w:b/>
      <w:bCs/>
    </w:rPr>
  </w:style>
  <w:style w:type="character" w:customStyle="1" w:styleId="CommentSubjectChar">
    <w:name w:val="Comment Subject Char"/>
    <w:basedOn w:val="CommentTextChar"/>
    <w:link w:val="CommentSubject"/>
    <w:rsid w:val="00CD17F7"/>
    <w:rPr>
      <w:rFonts w:ascii="Times New Roman" w:eastAsia="Times New Roman" w:hAnsi="Times New Roman"/>
      <w:b/>
      <w:bCs/>
      <w:spacing w:val="-2"/>
    </w:rPr>
  </w:style>
  <w:style w:type="character" w:customStyle="1" w:styleId="HeaderChar">
    <w:name w:val="Header Char"/>
    <w:basedOn w:val="DefaultParagraphFont"/>
    <w:link w:val="Header"/>
    <w:rsid w:val="000F5502"/>
    <w:rPr>
      <w:rFonts w:ascii="Times New Roman" w:eastAsia="Times New Roman" w:hAnsi="Times New Roman"/>
      <w:spacing w:val="-2"/>
    </w:rPr>
  </w:style>
  <w:style w:type="character" w:customStyle="1" w:styleId="BodyText2Char">
    <w:name w:val="Body Text 2 Char"/>
    <w:basedOn w:val="DefaultParagraphFont"/>
    <w:link w:val="BodyText2"/>
    <w:rsid w:val="000F5502"/>
    <w:rPr>
      <w:rFonts w:ascii="Times New Roman" w:eastAsia="Times New Roman" w:hAnsi="Times New Roman"/>
      <w:spacing w:val="-2"/>
    </w:rPr>
  </w:style>
  <w:style w:type="character" w:customStyle="1" w:styleId="BodyTextIndentChar">
    <w:name w:val="Body Text Indent Char"/>
    <w:basedOn w:val="DefaultParagraphFont"/>
    <w:link w:val="BodyTextIndent"/>
    <w:rsid w:val="000F5502"/>
    <w:rPr>
      <w:rFonts w:ascii="Times New Roman" w:eastAsia="Times New Roman" w:hAnsi="Times New Roman"/>
      <w:spacing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7E0F"/>
    <w:pPr>
      <w:widowControl w:val="0"/>
    </w:pPr>
    <w:rPr>
      <w:rFonts w:ascii="Times New Roman" w:eastAsia="Times New Roman" w:hAnsi="Times New Roman"/>
      <w:spacing w:val="-2"/>
    </w:rPr>
  </w:style>
  <w:style w:type="paragraph" w:styleId="Heading1">
    <w:name w:val="heading 1"/>
    <w:basedOn w:val="Normal"/>
    <w:next w:val="Normal"/>
    <w:qFormat/>
    <w:rsid w:val="006B7E0F"/>
    <w:pPr>
      <w:keepNext/>
      <w:suppressAutoHyphens/>
      <w:jc w:val="center"/>
      <w:outlineLvl w:val="0"/>
    </w:pPr>
    <w:rPr>
      <w:sz w:val="32"/>
      <w:szCs w:val="32"/>
    </w:rPr>
  </w:style>
  <w:style w:type="paragraph" w:styleId="Heading2">
    <w:name w:val="heading 2"/>
    <w:basedOn w:val="Normal"/>
    <w:next w:val="Normal"/>
    <w:qFormat/>
    <w:rsid w:val="006B7E0F"/>
    <w:pPr>
      <w:keepNext/>
      <w:suppressAutoHyphens/>
      <w:ind w:left="3510"/>
      <w:outlineLvl w:val="1"/>
    </w:pPr>
    <w:rPr>
      <w:rFonts w:ascii="Arial Black" w:hAnsi="Arial Black"/>
      <w:sz w:val="28"/>
      <w:szCs w:val="28"/>
    </w:rPr>
  </w:style>
  <w:style w:type="paragraph" w:styleId="Heading3">
    <w:name w:val="heading 3"/>
    <w:basedOn w:val="Normal"/>
    <w:next w:val="Normal"/>
    <w:qFormat/>
    <w:rsid w:val="006B7E0F"/>
    <w:pPr>
      <w:keepNext/>
      <w:suppressAutoHyphens/>
      <w:jc w:val="center"/>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B7E0F"/>
    <w:rPr>
      <w:sz w:val="24"/>
      <w:szCs w:val="24"/>
    </w:rPr>
  </w:style>
  <w:style w:type="character" w:styleId="EndnoteReference">
    <w:name w:val="endnote reference"/>
    <w:basedOn w:val="DefaultParagraphFont"/>
    <w:semiHidden/>
    <w:rsid w:val="006B7E0F"/>
    <w:rPr>
      <w:vertAlign w:val="superscript"/>
    </w:rPr>
  </w:style>
  <w:style w:type="paragraph" w:styleId="FootnoteText">
    <w:name w:val="footnote text"/>
    <w:basedOn w:val="Normal"/>
    <w:semiHidden/>
    <w:rsid w:val="006B7E0F"/>
    <w:rPr>
      <w:sz w:val="24"/>
      <w:szCs w:val="24"/>
    </w:rPr>
  </w:style>
  <w:style w:type="character" w:styleId="FootnoteReference">
    <w:name w:val="footnote reference"/>
    <w:basedOn w:val="DefaultParagraphFont"/>
    <w:semiHidden/>
    <w:rsid w:val="006B7E0F"/>
    <w:rPr>
      <w:vertAlign w:val="superscript"/>
    </w:rPr>
  </w:style>
  <w:style w:type="paragraph" w:styleId="TOC1">
    <w:name w:val="toc 1"/>
    <w:basedOn w:val="Normal"/>
    <w:next w:val="Normal"/>
    <w:autoRedefine/>
    <w:semiHidden/>
    <w:rsid w:val="006B7E0F"/>
    <w:pPr>
      <w:tabs>
        <w:tab w:val="right" w:leader="dot" w:pos="9360"/>
      </w:tabs>
      <w:suppressAutoHyphens/>
      <w:spacing w:before="480"/>
      <w:ind w:left="720" w:right="720" w:hanging="720"/>
    </w:pPr>
  </w:style>
  <w:style w:type="paragraph" w:styleId="TOC2">
    <w:name w:val="toc 2"/>
    <w:basedOn w:val="Normal"/>
    <w:next w:val="Normal"/>
    <w:autoRedefine/>
    <w:semiHidden/>
    <w:rsid w:val="006B7E0F"/>
    <w:pPr>
      <w:tabs>
        <w:tab w:val="right" w:leader="dot" w:pos="9360"/>
      </w:tabs>
      <w:suppressAutoHyphens/>
      <w:ind w:left="1440" w:right="720" w:hanging="720"/>
    </w:pPr>
  </w:style>
  <w:style w:type="paragraph" w:styleId="TOC3">
    <w:name w:val="toc 3"/>
    <w:basedOn w:val="Normal"/>
    <w:next w:val="Normal"/>
    <w:autoRedefine/>
    <w:semiHidden/>
    <w:rsid w:val="006B7E0F"/>
    <w:pPr>
      <w:tabs>
        <w:tab w:val="right" w:leader="dot" w:pos="9360"/>
      </w:tabs>
      <w:suppressAutoHyphens/>
      <w:ind w:left="2160" w:right="720" w:hanging="720"/>
    </w:pPr>
  </w:style>
  <w:style w:type="paragraph" w:styleId="TOC4">
    <w:name w:val="toc 4"/>
    <w:basedOn w:val="Normal"/>
    <w:next w:val="Normal"/>
    <w:autoRedefine/>
    <w:semiHidden/>
    <w:rsid w:val="006B7E0F"/>
    <w:pPr>
      <w:tabs>
        <w:tab w:val="right" w:leader="dot" w:pos="9360"/>
      </w:tabs>
      <w:suppressAutoHyphens/>
      <w:ind w:left="2880" w:right="720" w:hanging="720"/>
    </w:pPr>
  </w:style>
  <w:style w:type="paragraph" w:styleId="TOC5">
    <w:name w:val="toc 5"/>
    <w:basedOn w:val="Normal"/>
    <w:next w:val="Normal"/>
    <w:autoRedefine/>
    <w:semiHidden/>
    <w:rsid w:val="006B7E0F"/>
    <w:pPr>
      <w:tabs>
        <w:tab w:val="right" w:leader="dot" w:pos="9360"/>
      </w:tabs>
      <w:suppressAutoHyphens/>
      <w:ind w:left="3600" w:right="720" w:hanging="720"/>
    </w:pPr>
  </w:style>
  <w:style w:type="paragraph" w:styleId="TOC6">
    <w:name w:val="toc 6"/>
    <w:basedOn w:val="Normal"/>
    <w:next w:val="Normal"/>
    <w:autoRedefine/>
    <w:semiHidden/>
    <w:rsid w:val="006B7E0F"/>
    <w:pPr>
      <w:tabs>
        <w:tab w:val="right" w:pos="9360"/>
      </w:tabs>
      <w:suppressAutoHyphens/>
      <w:ind w:left="720" w:hanging="720"/>
    </w:pPr>
  </w:style>
  <w:style w:type="paragraph" w:styleId="TOC7">
    <w:name w:val="toc 7"/>
    <w:basedOn w:val="Normal"/>
    <w:next w:val="Normal"/>
    <w:autoRedefine/>
    <w:semiHidden/>
    <w:rsid w:val="006B7E0F"/>
    <w:pPr>
      <w:suppressAutoHyphens/>
      <w:ind w:left="720" w:hanging="720"/>
    </w:pPr>
  </w:style>
  <w:style w:type="paragraph" w:styleId="TOC8">
    <w:name w:val="toc 8"/>
    <w:basedOn w:val="Normal"/>
    <w:next w:val="Normal"/>
    <w:autoRedefine/>
    <w:semiHidden/>
    <w:rsid w:val="006B7E0F"/>
    <w:pPr>
      <w:tabs>
        <w:tab w:val="right" w:pos="9360"/>
      </w:tabs>
      <w:suppressAutoHyphens/>
      <w:ind w:left="720" w:hanging="720"/>
    </w:pPr>
  </w:style>
  <w:style w:type="paragraph" w:styleId="TOC9">
    <w:name w:val="toc 9"/>
    <w:basedOn w:val="Normal"/>
    <w:next w:val="Normal"/>
    <w:autoRedefine/>
    <w:semiHidden/>
    <w:rsid w:val="006B7E0F"/>
    <w:pPr>
      <w:tabs>
        <w:tab w:val="right" w:leader="dot" w:pos="9360"/>
      </w:tabs>
      <w:suppressAutoHyphens/>
      <w:ind w:left="720" w:hanging="720"/>
    </w:pPr>
  </w:style>
  <w:style w:type="paragraph" w:styleId="Index1">
    <w:name w:val="index 1"/>
    <w:basedOn w:val="Normal"/>
    <w:next w:val="Normal"/>
    <w:autoRedefine/>
    <w:semiHidden/>
    <w:rsid w:val="006B7E0F"/>
    <w:pPr>
      <w:tabs>
        <w:tab w:val="right" w:leader="dot" w:pos="9360"/>
      </w:tabs>
      <w:suppressAutoHyphens/>
      <w:ind w:left="1440" w:right="720" w:hanging="1440"/>
    </w:pPr>
  </w:style>
  <w:style w:type="paragraph" w:styleId="Index2">
    <w:name w:val="index 2"/>
    <w:basedOn w:val="Normal"/>
    <w:next w:val="Normal"/>
    <w:autoRedefine/>
    <w:semiHidden/>
    <w:rsid w:val="006B7E0F"/>
    <w:pPr>
      <w:tabs>
        <w:tab w:val="right" w:leader="dot" w:pos="9360"/>
      </w:tabs>
      <w:suppressAutoHyphens/>
      <w:ind w:left="1440" w:right="720" w:hanging="720"/>
    </w:pPr>
  </w:style>
  <w:style w:type="paragraph" w:styleId="TOAHeading">
    <w:name w:val="toa heading"/>
    <w:basedOn w:val="Normal"/>
    <w:next w:val="Normal"/>
    <w:semiHidden/>
    <w:rsid w:val="006B7E0F"/>
    <w:pPr>
      <w:tabs>
        <w:tab w:val="right" w:pos="9360"/>
      </w:tabs>
      <w:suppressAutoHyphens/>
    </w:pPr>
  </w:style>
  <w:style w:type="paragraph" w:styleId="Caption">
    <w:name w:val="caption"/>
    <w:basedOn w:val="Normal"/>
    <w:next w:val="Normal"/>
    <w:qFormat/>
    <w:rsid w:val="006B7E0F"/>
    <w:rPr>
      <w:sz w:val="24"/>
      <w:szCs w:val="24"/>
    </w:rPr>
  </w:style>
  <w:style w:type="character" w:customStyle="1" w:styleId="EquationCaption">
    <w:name w:val="_Equation Caption"/>
    <w:rsid w:val="006B7E0F"/>
  </w:style>
  <w:style w:type="paragraph" w:styleId="Header">
    <w:name w:val="header"/>
    <w:basedOn w:val="Normal"/>
    <w:link w:val="HeaderChar"/>
    <w:rsid w:val="006B7E0F"/>
    <w:pPr>
      <w:tabs>
        <w:tab w:val="center" w:pos="4320"/>
        <w:tab w:val="right" w:pos="8640"/>
      </w:tabs>
    </w:pPr>
  </w:style>
  <w:style w:type="paragraph" w:styleId="Footer">
    <w:name w:val="footer"/>
    <w:basedOn w:val="Normal"/>
    <w:rsid w:val="006B7E0F"/>
    <w:pPr>
      <w:tabs>
        <w:tab w:val="center" w:pos="4320"/>
        <w:tab w:val="right" w:pos="8640"/>
      </w:tabs>
    </w:pPr>
  </w:style>
  <w:style w:type="character" w:styleId="PageNumber">
    <w:name w:val="page number"/>
    <w:basedOn w:val="DefaultParagraphFont"/>
    <w:rsid w:val="006B7E0F"/>
  </w:style>
  <w:style w:type="character" w:styleId="LineNumber">
    <w:name w:val="line number"/>
    <w:basedOn w:val="DefaultParagraphFont"/>
    <w:rsid w:val="006B7E0F"/>
  </w:style>
  <w:style w:type="paragraph" w:styleId="DocumentMap">
    <w:name w:val="Document Map"/>
    <w:basedOn w:val="Normal"/>
    <w:semiHidden/>
    <w:rsid w:val="006B7E0F"/>
    <w:pPr>
      <w:shd w:val="clear" w:color="auto" w:fill="000080"/>
    </w:pPr>
    <w:rPr>
      <w:rFonts w:ascii="Tahoma" w:hAnsi="Tahoma" w:cs="Tahoma"/>
    </w:rPr>
  </w:style>
  <w:style w:type="paragraph" w:styleId="BodyText">
    <w:name w:val="Body Text"/>
    <w:basedOn w:val="Normal"/>
    <w:rsid w:val="006B7E0F"/>
    <w:pPr>
      <w:suppressAutoHyphens/>
      <w:spacing w:before="100"/>
    </w:pPr>
    <w:rPr>
      <w:sz w:val="24"/>
      <w:szCs w:val="24"/>
    </w:rPr>
  </w:style>
  <w:style w:type="paragraph" w:styleId="BodyText2">
    <w:name w:val="Body Text 2"/>
    <w:basedOn w:val="Normal"/>
    <w:link w:val="BodyText2Char"/>
    <w:rsid w:val="006B7E0F"/>
    <w:pPr>
      <w:suppressAutoHyphens/>
      <w:spacing w:before="100"/>
      <w:jc w:val="both"/>
    </w:pPr>
  </w:style>
  <w:style w:type="paragraph" w:styleId="Title">
    <w:name w:val="Title"/>
    <w:basedOn w:val="Normal"/>
    <w:qFormat/>
    <w:rsid w:val="006B7E0F"/>
    <w:pPr>
      <w:widowControl/>
      <w:tabs>
        <w:tab w:val="center" w:pos="4680"/>
      </w:tabs>
      <w:jc w:val="center"/>
    </w:pPr>
    <w:rPr>
      <w:rFonts w:ascii="Lincoln" w:hAnsi="Lincoln"/>
      <w:sz w:val="44"/>
      <w:szCs w:val="44"/>
    </w:rPr>
  </w:style>
  <w:style w:type="character" w:styleId="Hyperlink">
    <w:name w:val="Hyperlink"/>
    <w:basedOn w:val="DefaultParagraphFont"/>
    <w:rsid w:val="0010596A"/>
    <w:rPr>
      <w:color w:val="auto"/>
      <w:u w:val="none"/>
    </w:rPr>
  </w:style>
  <w:style w:type="paragraph" w:styleId="BodyTextIndent">
    <w:name w:val="Body Text Indent"/>
    <w:basedOn w:val="Normal"/>
    <w:link w:val="BodyTextIndentChar"/>
    <w:rsid w:val="006B7E0F"/>
    <w:pPr>
      <w:tabs>
        <w:tab w:val="left" w:pos="450"/>
      </w:tabs>
      <w:suppressAutoHyphens/>
      <w:spacing w:before="100"/>
      <w:ind w:left="450" w:hanging="450"/>
      <w:jc w:val="both"/>
      <w:outlineLvl w:val="0"/>
    </w:pPr>
  </w:style>
  <w:style w:type="character" w:styleId="FollowedHyperlink">
    <w:name w:val="FollowedHyperlink"/>
    <w:basedOn w:val="DefaultParagraphFont"/>
    <w:rsid w:val="006B7E0F"/>
    <w:rPr>
      <w:color w:val="800080"/>
      <w:u w:val="single"/>
    </w:rPr>
  </w:style>
  <w:style w:type="paragraph" w:styleId="Subtitle">
    <w:name w:val="Subtitle"/>
    <w:basedOn w:val="Normal"/>
    <w:qFormat/>
    <w:rsid w:val="006B7E0F"/>
    <w:pPr>
      <w:widowControl/>
      <w:jc w:val="center"/>
    </w:pPr>
    <w:rPr>
      <w:rFonts w:ascii="Lincoln" w:hAnsi="Lincoln"/>
      <w:sz w:val="60"/>
      <w:szCs w:val="60"/>
    </w:rPr>
  </w:style>
  <w:style w:type="paragraph" w:styleId="BalloonText">
    <w:name w:val="Balloon Text"/>
    <w:basedOn w:val="Normal"/>
    <w:link w:val="BalloonTextChar"/>
    <w:rsid w:val="002378D8"/>
    <w:rPr>
      <w:rFonts w:ascii="Tahoma" w:hAnsi="Tahoma" w:cs="Tahoma"/>
      <w:sz w:val="16"/>
      <w:szCs w:val="16"/>
    </w:rPr>
  </w:style>
  <w:style w:type="character" w:customStyle="1" w:styleId="BalloonTextChar">
    <w:name w:val="Balloon Text Char"/>
    <w:basedOn w:val="DefaultParagraphFont"/>
    <w:link w:val="BalloonText"/>
    <w:rsid w:val="002378D8"/>
    <w:rPr>
      <w:rFonts w:ascii="Tahoma" w:eastAsia="Times New Roman" w:hAnsi="Tahoma" w:cs="Tahoma"/>
      <w:spacing w:val="-2"/>
      <w:sz w:val="16"/>
      <w:szCs w:val="16"/>
    </w:rPr>
  </w:style>
  <w:style w:type="character" w:styleId="CommentReference">
    <w:name w:val="annotation reference"/>
    <w:basedOn w:val="DefaultParagraphFont"/>
    <w:rsid w:val="00CD17F7"/>
    <w:rPr>
      <w:sz w:val="16"/>
      <w:szCs w:val="16"/>
    </w:rPr>
  </w:style>
  <w:style w:type="paragraph" w:styleId="CommentText">
    <w:name w:val="annotation text"/>
    <w:basedOn w:val="Normal"/>
    <w:link w:val="CommentTextChar"/>
    <w:rsid w:val="00CD17F7"/>
  </w:style>
  <w:style w:type="character" w:customStyle="1" w:styleId="CommentTextChar">
    <w:name w:val="Comment Text Char"/>
    <w:basedOn w:val="DefaultParagraphFont"/>
    <w:link w:val="CommentText"/>
    <w:rsid w:val="00CD17F7"/>
    <w:rPr>
      <w:rFonts w:ascii="Times New Roman" w:eastAsia="Times New Roman" w:hAnsi="Times New Roman"/>
      <w:spacing w:val="-2"/>
    </w:rPr>
  </w:style>
  <w:style w:type="paragraph" w:styleId="CommentSubject">
    <w:name w:val="annotation subject"/>
    <w:basedOn w:val="CommentText"/>
    <w:next w:val="CommentText"/>
    <w:link w:val="CommentSubjectChar"/>
    <w:rsid w:val="00CD17F7"/>
    <w:rPr>
      <w:b/>
      <w:bCs/>
    </w:rPr>
  </w:style>
  <w:style w:type="character" w:customStyle="1" w:styleId="CommentSubjectChar">
    <w:name w:val="Comment Subject Char"/>
    <w:basedOn w:val="CommentTextChar"/>
    <w:link w:val="CommentSubject"/>
    <w:rsid w:val="00CD17F7"/>
    <w:rPr>
      <w:rFonts w:ascii="Times New Roman" w:eastAsia="Times New Roman" w:hAnsi="Times New Roman"/>
      <w:b/>
      <w:bCs/>
      <w:spacing w:val="-2"/>
    </w:rPr>
  </w:style>
  <w:style w:type="character" w:customStyle="1" w:styleId="HeaderChar">
    <w:name w:val="Header Char"/>
    <w:basedOn w:val="DefaultParagraphFont"/>
    <w:link w:val="Header"/>
    <w:rsid w:val="000F5502"/>
    <w:rPr>
      <w:rFonts w:ascii="Times New Roman" w:eastAsia="Times New Roman" w:hAnsi="Times New Roman"/>
      <w:spacing w:val="-2"/>
    </w:rPr>
  </w:style>
  <w:style w:type="character" w:customStyle="1" w:styleId="BodyText2Char">
    <w:name w:val="Body Text 2 Char"/>
    <w:basedOn w:val="DefaultParagraphFont"/>
    <w:link w:val="BodyText2"/>
    <w:rsid w:val="000F5502"/>
    <w:rPr>
      <w:rFonts w:ascii="Times New Roman" w:eastAsia="Times New Roman" w:hAnsi="Times New Roman"/>
      <w:spacing w:val="-2"/>
    </w:rPr>
  </w:style>
  <w:style w:type="character" w:customStyle="1" w:styleId="BodyTextIndentChar">
    <w:name w:val="Body Text Indent Char"/>
    <w:basedOn w:val="DefaultParagraphFont"/>
    <w:link w:val="BodyTextIndent"/>
    <w:rsid w:val="000F5502"/>
    <w:rPr>
      <w:rFonts w:ascii="Times New Roman" w:eastAsia="Times New Roman" w:hAnsi="Times New Roman"/>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63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1.doc"/><Relationship Id="rId13" Type="http://schemas.openxmlformats.org/officeDocument/2006/relationships/hyperlink" Target="http://www.ansi.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www.nist.gov/pml/pubs/index.cfm" TargetMode="External"/><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bipm.org/utils/common/documents/jcgm/JCGM_100_2008_E.pdf" TargetMode="External"/><Relationship Id="rId5" Type="http://schemas.openxmlformats.org/officeDocument/2006/relationships/footnotes" Target="footnotes.xml"/><Relationship Id="rId15" Type="http://schemas.openxmlformats.org/officeDocument/2006/relationships/hyperlink" Target="http://www.nist.gov/srm" TargetMode="External"/><Relationship Id="rId10" Type="http://schemas.openxmlformats.org/officeDocument/2006/relationships/hyperlink" Target="http://www.nist.gov/srm/publications.cf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oating.Thickness@nist.gov" TargetMode="External"/><Relationship Id="rId14" Type="http://schemas.openxmlformats.org/officeDocument/2006/relationships/hyperlink" Target="mailto:srminfo@nis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National Institute of Standards &amp; Technology</vt:lpstr>
    </vt:vector>
  </TitlesOfParts>
  <Company>NIST</Company>
  <LinksUpToDate>false</LinksUpToDate>
  <CharactersWithSpaces>12390</CharactersWithSpaces>
  <SharedDoc>false</SharedDoc>
  <HLinks>
    <vt:vector size="30" baseType="variant">
      <vt:variant>
        <vt:i4>2752559</vt:i4>
      </vt:variant>
      <vt:variant>
        <vt:i4>15</vt:i4>
      </vt:variant>
      <vt:variant>
        <vt:i4>0</vt:i4>
      </vt:variant>
      <vt:variant>
        <vt:i4>5</vt:i4>
      </vt:variant>
      <vt:variant>
        <vt:lpwstr>http://www.nist.gov/srm</vt:lpwstr>
      </vt:variant>
      <vt:variant>
        <vt:lpwstr/>
      </vt:variant>
      <vt:variant>
        <vt:i4>4849759</vt:i4>
      </vt:variant>
      <vt:variant>
        <vt:i4>12</vt:i4>
      </vt:variant>
      <vt:variant>
        <vt:i4>0</vt:i4>
      </vt:variant>
      <vt:variant>
        <vt:i4>5</vt:i4>
      </vt:variant>
      <vt:variant>
        <vt:lpwstr>http://www.ansi.org/</vt:lpwstr>
      </vt:variant>
      <vt:variant>
        <vt:lpwstr/>
      </vt:variant>
      <vt:variant>
        <vt:i4>5046337</vt:i4>
      </vt:variant>
      <vt:variant>
        <vt:i4>9</vt:i4>
      </vt:variant>
      <vt:variant>
        <vt:i4>0</vt:i4>
      </vt:variant>
      <vt:variant>
        <vt:i4>5</vt:i4>
      </vt:variant>
      <vt:variant>
        <vt:lpwstr>http://physics.nist.gov/Pubs/</vt:lpwstr>
      </vt:variant>
      <vt:variant>
        <vt:lpwstr/>
      </vt:variant>
      <vt:variant>
        <vt:i4>6029431</vt:i4>
      </vt:variant>
      <vt:variant>
        <vt:i4>6</vt:i4>
      </vt:variant>
      <vt:variant>
        <vt:i4>0</vt:i4>
      </vt:variant>
      <vt:variant>
        <vt:i4>5</vt:i4>
      </vt:variant>
      <vt:variant>
        <vt:lpwstr>http://www.bipm.org/utils/common/documents/jcgm/JCGM_100_2008_E.pdf</vt:lpwstr>
      </vt:variant>
      <vt:variant>
        <vt:lpwstr/>
      </vt:variant>
      <vt:variant>
        <vt:i4>7995508</vt:i4>
      </vt:variant>
      <vt:variant>
        <vt:i4>3</vt:i4>
      </vt:variant>
      <vt:variant>
        <vt:i4>0</vt:i4>
      </vt:variant>
      <vt:variant>
        <vt:i4>5</vt:i4>
      </vt:variant>
      <vt:variant>
        <vt:lpwstr>http://www.cstl.nist.gov/nist839/NIST_special_publications.htm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Standards &amp; Technology</dc:title>
  <dc:creator>electrochem</dc:creator>
  <cp:lastModifiedBy>cab4</cp:lastModifiedBy>
  <cp:revision>3</cp:revision>
  <cp:lastPrinted>2012-10-23T13:21:00Z</cp:lastPrinted>
  <dcterms:created xsi:type="dcterms:W3CDTF">2013-08-08T15:22:00Z</dcterms:created>
  <dcterms:modified xsi:type="dcterms:W3CDTF">2013-08-08T15:24:00Z</dcterms:modified>
</cp:coreProperties>
</file>