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0D534" w14:textId="77777777" w:rsidR="00492515" w:rsidRPr="00325977" w:rsidRDefault="0021666B" w:rsidP="00325977">
      <w:pPr>
        <w:pStyle w:val="Title"/>
        <w:rPr>
          <w:sz w:val="36"/>
        </w:rPr>
      </w:pPr>
      <w:r>
        <w:rPr>
          <w:noProof/>
          <w:sz w:val="36"/>
        </w:rPr>
        <w:object w:dxaOrig="1440" w:dyaOrig="1440" w14:anchorId="7E8B6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18pt;width:113.9pt;height:63.5pt;z-index:-251658752" fillcolor="window">
            <v:imagedata r:id="rId8" o:title=""/>
          </v:shape>
          <o:OLEObject Type="Embed" ProgID="Word.Document.8" ShapeID="_x0000_s1026" DrawAspect="Content" ObjectID="_1466402965" r:id="rId9">
            <o:FieldCodes>\s</o:FieldCodes>
          </o:OLEObject>
        </w:object>
      </w:r>
      <w:r w:rsidR="00492515" w:rsidRPr="00325977">
        <w:rPr>
          <w:rFonts w:ascii="Linotext" w:hAnsi="Linotext"/>
          <w:sz w:val="44"/>
          <w:szCs w:val="44"/>
        </w:rPr>
        <w:t>National Institute of Standards &amp; Technology</w:t>
      </w:r>
    </w:p>
    <w:p w14:paraId="575FF060" w14:textId="77777777" w:rsidR="00492515" w:rsidRPr="002E6828" w:rsidRDefault="00492515">
      <w:pPr>
        <w:jc w:val="center"/>
        <w:rPr>
          <w:rFonts w:ascii="Linotext" w:hAnsi="Linotext"/>
          <w:szCs w:val="20"/>
        </w:rPr>
      </w:pPr>
    </w:p>
    <w:p w14:paraId="16956D77" w14:textId="77777777" w:rsidR="00492515" w:rsidRPr="00325977" w:rsidRDefault="00492515">
      <w:pPr>
        <w:pStyle w:val="Subtitle"/>
        <w:rPr>
          <w:rFonts w:ascii="Linotext" w:hAnsi="Linotext"/>
          <w:sz w:val="60"/>
          <w:szCs w:val="60"/>
        </w:rPr>
      </w:pPr>
      <w:r w:rsidRPr="00325977">
        <w:rPr>
          <w:rFonts w:ascii="Linotext" w:hAnsi="Linotext"/>
          <w:sz w:val="60"/>
          <w:szCs w:val="60"/>
        </w:rPr>
        <w:t>Certificate of Analysis</w:t>
      </w:r>
    </w:p>
    <w:p w14:paraId="7D9538DB" w14:textId="77777777" w:rsidR="00492515" w:rsidRPr="002E6828" w:rsidRDefault="00492515">
      <w:pPr>
        <w:jc w:val="center"/>
        <w:rPr>
          <w:rFonts w:ascii="Linotext" w:hAnsi="Linotext"/>
          <w:szCs w:val="20"/>
        </w:rPr>
      </w:pPr>
    </w:p>
    <w:p w14:paraId="60B32676" w14:textId="77777777" w:rsidR="00492515" w:rsidRDefault="00492515">
      <w:pPr>
        <w:jc w:val="center"/>
        <w:rPr>
          <w:sz w:val="36"/>
        </w:rPr>
      </w:pPr>
      <w:r>
        <w:rPr>
          <w:sz w:val="36"/>
        </w:rPr>
        <w:t>Standard Reference Material</w:t>
      </w:r>
      <w:r>
        <w:rPr>
          <w:sz w:val="36"/>
          <w:vertAlign w:val="superscript"/>
        </w:rPr>
        <w:t>®</w:t>
      </w:r>
      <w:r>
        <w:rPr>
          <w:sz w:val="36"/>
        </w:rPr>
        <w:t xml:space="preserve"> 2394</w:t>
      </w:r>
    </w:p>
    <w:p w14:paraId="53D77547" w14:textId="77777777" w:rsidR="00492515" w:rsidRPr="00325977" w:rsidRDefault="00492515">
      <w:pPr>
        <w:jc w:val="center"/>
        <w:rPr>
          <w:szCs w:val="20"/>
        </w:rPr>
      </w:pPr>
    </w:p>
    <w:p w14:paraId="0BBAFAAA" w14:textId="77777777" w:rsidR="00492515" w:rsidRDefault="00492515">
      <w:pPr>
        <w:pStyle w:val="Heading1"/>
      </w:pPr>
      <w:proofErr w:type="spellStart"/>
      <w:r>
        <w:t>Heteroplasmic</w:t>
      </w:r>
      <w:proofErr w:type="spellEnd"/>
      <w:r>
        <w:t xml:space="preserve"> Mitochondrial DNA Mutation Detection</w:t>
      </w:r>
      <w:r w:rsidR="00FB13F2">
        <w:t xml:space="preserve"> Standard</w:t>
      </w:r>
    </w:p>
    <w:p w14:paraId="1F2F0561" w14:textId="77777777" w:rsidR="00492515" w:rsidRPr="00325977" w:rsidRDefault="00492515">
      <w:pPr>
        <w:pStyle w:val="BodyText"/>
        <w:rPr>
          <w:sz w:val="20"/>
          <w:szCs w:val="20"/>
        </w:rPr>
      </w:pPr>
    </w:p>
    <w:p w14:paraId="69EE27DD" w14:textId="616CF518" w:rsidR="00492515" w:rsidRDefault="00820F7B" w:rsidP="00D1598F">
      <w:pPr>
        <w:rPr>
          <w:szCs w:val="20"/>
        </w:rPr>
      </w:pPr>
      <w:r>
        <w:rPr>
          <w:szCs w:val="20"/>
        </w:rPr>
        <w:t xml:space="preserve">This Standard Reference </w:t>
      </w:r>
      <w:r w:rsidR="00880708">
        <w:rPr>
          <w:szCs w:val="20"/>
        </w:rPr>
        <w:t>Material </w:t>
      </w:r>
      <w:r>
        <w:rPr>
          <w:szCs w:val="20"/>
        </w:rPr>
        <w:t xml:space="preserve">(SRM) is composed of human mitochondrial DNA mixtures which simulate different levels of </w:t>
      </w:r>
      <w:proofErr w:type="spellStart"/>
      <w:r>
        <w:rPr>
          <w:szCs w:val="20"/>
        </w:rPr>
        <w:t>heteroplasmy</w:t>
      </w:r>
      <w:proofErr w:type="spellEnd"/>
      <w:r>
        <w:rPr>
          <w:szCs w:val="20"/>
        </w:rPr>
        <w:t xml:space="preserve">.  </w:t>
      </w:r>
      <w:r w:rsidR="00492515" w:rsidRPr="00325977">
        <w:rPr>
          <w:szCs w:val="20"/>
        </w:rPr>
        <w:t>SRM</w:t>
      </w:r>
      <w:r>
        <w:rPr>
          <w:szCs w:val="20"/>
        </w:rPr>
        <w:t xml:space="preserve"> 2394</w:t>
      </w:r>
      <w:r w:rsidR="00492515" w:rsidRPr="00325977">
        <w:rPr>
          <w:szCs w:val="20"/>
        </w:rPr>
        <w:t xml:space="preserve"> is intended to provide quality control </w:t>
      </w:r>
      <w:r w:rsidR="00D6057E">
        <w:rPr>
          <w:szCs w:val="20"/>
        </w:rPr>
        <w:t>benchmarks for</w:t>
      </w:r>
      <w:r w:rsidR="00492515" w:rsidRPr="00325977">
        <w:rPr>
          <w:szCs w:val="20"/>
        </w:rPr>
        <w:t xml:space="preserve"> forensic, medical, and </w:t>
      </w:r>
      <w:r w:rsidR="00FB13F2">
        <w:rPr>
          <w:szCs w:val="20"/>
        </w:rPr>
        <w:t>DNA</w:t>
      </w:r>
      <w:r w:rsidR="00492515" w:rsidRPr="00325977">
        <w:rPr>
          <w:szCs w:val="20"/>
        </w:rPr>
        <w:t xml:space="preserve"> scientists </w:t>
      </w:r>
      <w:r w:rsidR="00D6057E">
        <w:rPr>
          <w:szCs w:val="20"/>
        </w:rPr>
        <w:t>to assess the detecti</w:t>
      </w:r>
      <w:r w:rsidR="00573FA5">
        <w:rPr>
          <w:szCs w:val="20"/>
        </w:rPr>
        <w:t>on</w:t>
      </w:r>
      <w:r w:rsidR="00D6057E">
        <w:rPr>
          <w:szCs w:val="20"/>
        </w:rPr>
        <w:t xml:space="preserve"> sensitivity of </w:t>
      </w:r>
      <w:r w:rsidR="00492515" w:rsidRPr="00325977">
        <w:rPr>
          <w:szCs w:val="20"/>
        </w:rPr>
        <w:t>low-frequency mutations, single nucleotide polymorphisms (SNPs)</w:t>
      </w:r>
      <w:r w:rsidR="00FB13F2">
        <w:rPr>
          <w:szCs w:val="20"/>
        </w:rPr>
        <w:t xml:space="preserve"> in either mitochondrial DNA (</w:t>
      </w:r>
      <w:proofErr w:type="spellStart"/>
      <w:r w:rsidR="00FB13F2">
        <w:rPr>
          <w:szCs w:val="20"/>
        </w:rPr>
        <w:t>mtDNA</w:t>
      </w:r>
      <w:proofErr w:type="spellEnd"/>
      <w:r w:rsidR="00FB13F2">
        <w:rPr>
          <w:szCs w:val="20"/>
        </w:rPr>
        <w:t>)</w:t>
      </w:r>
      <w:r w:rsidR="00492515" w:rsidRPr="00325977">
        <w:rPr>
          <w:szCs w:val="20"/>
        </w:rPr>
        <w:t xml:space="preserve"> or </w:t>
      </w:r>
      <w:r w:rsidR="00FB13F2">
        <w:rPr>
          <w:szCs w:val="20"/>
        </w:rPr>
        <w:t xml:space="preserve">in pooled nuclear DNA samples, or </w:t>
      </w:r>
      <w:proofErr w:type="spellStart"/>
      <w:r w:rsidR="00492515" w:rsidRPr="00325977">
        <w:rPr>
          <w:szCs w:val="20"/>
        </w:rPr>
        <w:t>heteroplasmic</w:t>
      </w:r>
      <w:proofErr w:type="spellEnd"/>
      <w:r w:rsidR="00492515" w:rsidRPr="00325977">
        <w:rPr>
          <w:szCs w:val="20"/>
        </w:rPr>
        <w:t xml:space="preserve"> sites in </w:t>
      </w:r>
      <w:proofErr w:type="spellStart"/>
      <w:r w:rsidR="00492515" w:rsidRPr="00325977">
        <w:rPr>
          <w:szCs w:val="20"/>
        </w:rPr>
        <w:t>mtDNA</w:t>
      </w:r>
      <w:proofErr w:type="spellEnd"/>
      <w:r w:rsidR="00492515" w:rsidRPr="00325977">
        <w:rPr>
          <w:szCs w:val="20"/>
        </w:rPr>
        <w:t>.</w:t>
      </w:r>
      <w:r w:rsidR="00880708">
        <w:rPr>
          <w:szCs w:val="20"/>
        </w:rPr>
        <w:t xml:space="preserve">  A</w:t>
      </w:r>
      <w:r w:rsidR="00C17DE5">
        <w:rPr>
          <w:szCs w:val="20"/>
        </w:rPr>
        <w:t xml:space="preserve"> </w:t>
      </w:r>
      <w:r w:rsidR="00880708">
        <w:rPr>
          <w:szCs w:val="20"/>
        </w:rPr>
        <w:t>unit of SRM </w:t>
      </w:r>
      <w:r w:rsidR="00BD6BC9">
        <w:rPr>
          <w:szCs w:val="20"/>
        </w:rPr>
        <w:t xml:space="preserve">2394 </w:t>
      </w:r>
      <w:r w:rsidR="00880708">
        <w:rPr>
          <w:szCs w:val="20"/>
        </w:rPr>
        <w:t>consists of a</w:t>
      </w:r>
      <w:r w:rsidR="00D61A5C">
        <w:rPr>
          <w:szCs w:val="20"/>
        </w:rPr>
        <w:t xml:space="preserve"> single protective plastic box containing ten</w:t>
      </w:r>
      <w:r w:rsidR="00D1598F">
        <w:rPr>
          <w:szCs w:val="20"/>
        </w:rPr>
        <w:t> </w:t>
      </w:r>
      <w:r w:rsidR="00492515" w:rsidRPr="00325977">
        <w:rPr>
          <w:szCs w:val="20"/>
        </w:rPr>
        <w:t>tubes</w:t>
      </w:r>
      <w:r w:rsidR="00BD6BC9">
        <w:rPr>
          <w:szCs w:val="20"/>
        </w:rPr>
        <w:t>: one tube containing the 100</w:t>
      </w:r>
      <w:r w:rsidR="00C23960">
        <w:rPr>
          <w:szCs w:val="20"/>
        </w:rPr>
        <w:t> </w:t>
      </w:r>
      <w:r w:rsidR="00796111">
        <w:rPr>
          <w:szCs w:val="20"/>
        </w:rPr>
        <w:t xml:space="preserve">% (by mass) </w:t>
      </w:r>
      <w:r w:rsidR="00BD6BC9">
        <w:rPr>
          <w:szCs w:val="20"/>
        </w:rPr>
        <w:t>polymorphic DNA, one tube containing the 100</w:t>
      </w:r>
      <w:r w:rsidR="009C2AF9">
        <w:rPr>
          <w:szCs w:val="20"/>
        </w:rPr>
        <w:t> </w:t>
      </w:r>
      <w:r w:rsidR="00796111">
        <w:rPr>
          <w:szCs w:val="20"/>
        </w:rPr>
        <w:t xml:space="preserve">% (by </w:t>
      </w:r>
      <w:r w:rsidR="00BD6BC9">
        <w:rPr>
          <w:szCs w:val="20"/>
        </w:rPr>
        <w:t>mass</w:t>
      </w:r>
      <w:r w:rsidR="00796111">
        <w:rPr>
          <w:szCs w:val="20"/>
        </w:rPr>
        <w:t xml:space="preserve">) </w:t>
      </w:r>
      <w:r w:rsidR="00BD6BC9">
        <w:rPr>
          <w:szCs w:val="20"/>
        </w:rPr>
        <w:t>CRS</w:t>
      </w:r>
      <w:r w:rsidR="00880708" w:rsidRPr="00863A72">
        <w:rPr>
          <w:szCs w:val="20"/>
          <w:vertAlign w:val="superscript"/>
        </w:rPr>
        <w:t>(</w:t>
      </w:r>
      <w:r w:rsidR="00BD6BC9">
        <w:rPr>
          <w:rStyle w:val="FootnoteReference"/>
          <w:szCs w:val="20"/>
        </w:rPr>
        <w:footnoteReference w:id="1"/>
      </w:r>
      <w:r w:rsidR="00880708">
        <w:rPr>
          <w:szCs w:val="20"/>
          <w:vertAlign w:val="superscript"/>
        </w:rPr>
        <w:t>)</w:t>
      </w:r>
      <w:r w:rsidR="00492515" w:rsidRPr="00325977">
        <w:rPr>
          <w:szCs w:val="20"/>
        </w:rPr>
        <w:t xml:space="preserve"> </w:t>
      </w:r>
      <w:r w:rsidR="00BD6BC9">
        <w:rPr>
          <w:szCs w:val="20"/>
        </w:rPr>
        <w:t>DNA</w:t>
      </w:r>
      <w:r w:rsidR="00D6057E">
        <w:rPr>
          <w:szCs w:val="20"/>
        </w:rPr>
        <w:t>,</w:t>
      </w:r>
      <w:r w:rsidR="00BD6BC9">
        <w:rPr>
          <w:szCs w:val="20"/>
        </w:rPr>
        <w:t xml:space="preserve"> and </w:t>
      </w:r>
      <w:r w:rsidR="00D61A5C">
        <w:rPr>
          <w:szCs w:val="20"/>
        </w:rPr>
        <w:t>eight</w:t>
      </w:r>
      <w:r w:rsidR="009C2AF9">
        <w:rPr>
          <w:szCs w:val="20"/>
        </w:rPr>
        <w:t xml:space="preserve"> </w:t>
      </w:r>
      <w:r w:rsidR="00BD6BC9">
        <w:rPr>
          <w:szCs w:val="20"/>
        </w:rPr>
        <w:t xml:space="preserve">tubes containing different </w:t>
      </w:r>
      <w:r w:rsidR="00796111">
        <w:rPr>
          <w:szCs w:val="20"/>
        </w:rPr>
        <w:t xml:space="preserve">mass </w:t>
      </w:r>
      <w:r w:rsidR="00BD6BC9">
        <w:rPr>
          <w:szCs w:val="20"/>
        </w:rPr>
        <w:t>percentages of th</w:t>
      </w:r>
      <w:r w:rsidR="00426DEA">
        <w:rPr>
          <w:szCs w:val="20"/>
        </w:rPr>
        <w:t xml:space="preserve">e polymorphic/CRS </w:t>
      </w:r>
      <w:proofErr w:type="spellStart"/>
      <w:r w:rsidR="00426DEA">
        <w:rPr>
          <w:szCs w:val="20"/>
        </w:rPr>
        <w:t>mtDNA</w:t>
      </w:r>
      <w:proofErr w:type="spellEnd"/>
      <w:r w:rsidR="00426DEA">
        <w:rPr>
          <w:szCs w:val="20"/>
        </w:rPr>
        <w:t xml:space="preserve"> mixtures</w:t>
      </w:r>
      <w:bookmarkStart w:id="0" w:name="_GoBack"/>
      <w:bookmarkEnd w:id="0"/>
      <w:r w:rsidR="00492515" w:rsidRPr="00325977">
        <w:rPr>
          <w:szCs w:val="20"/>
        </w:rPr>
        <w:t xml:space="preserve">. </w:t>
      </w:r>
      <w:r w:rsidR="00D1598F">
        <w:rPr>
          <w:szCs w:val="20"/>
        </w:rPr>
        <w:t xml:space="preserve"> </w:t>
      </w:r>
      <w:r w:rsidR="00492515" w:rsidRPr="00325977">
        <w:rPr>
          <w:szCs w:val="20"/>
        </w:rPr>
        <w:t xml:space="preserve">Each </w:t>
      </w:r>
      <w:r w:rsidR="00F1543D">
        <w:rPr>
          <w:szCs w:val="20"/>
        </w:rPr>
        <w:t xml:space="preserve">tube </w:t>
      </w:r>
      <w:r w:rsidR="00492515" w:rsidRPr="00325977">
        <w:rPr>
          <w:szCs w:val="20"/>
        </w:rPr>
        <w:t>contains 25</w:t>
      </w:r>
      <w:r w:rsidR="00C23960">
        <w:rPr>
          <w:szCs w:val="20"/>
        </w:rPr>
        <w:t> </w:t>
      </w:r>
      <w:r w:rsidR="00492515" w:rsidRPr="00325977">
        <w:rPr>
          <w:szCs w:val="20"/>
        </w:rPr>
        <w:t>μL of DNA at a concentration of</w:t>
      </w:r>
      <w:r w:rsidR="009C2AF9">
        <w:rPr>
          <w:szCs w:val="20"/>
        </w:rPr>
        <w:t xml:space="preserve"> </w:t>
      </w:r>
      <w:r w:rsidR="00492515" w:rsidRPr="00325977">
        <w:rPr>
          <w:szCs w:val="20"/>
        </w:rPr>
        <w:t>8</w:t>
      </w:r>
      <w:r w:rsidR="00D1598F">
        <w:rPr>
          <w:szCs w:val="20"/>
        </w:rPr>
        <w:t> </w:t>
      </w:r>
      <w:r w:rsidR="00492515" w:rsidRPr="00325977">
        <w:rPr>
          <w:szCs w:val="20"/>
        </w:rPr>
        <w:t>ng/μL</w:t>
      </w:r>
      <w:r w:rsidR="00880708">
        <w:rPr>
          <w:szCs w:val="20"/>
        </w:rPr>
        <w:t xml:space="preserve"> </w:t>
      </w:r>
      <w:r w:rsidR="00F53C15">
        <w:rPr>
          <w:szCs w:val="20"/>
        </w:rPr>
        <w:t>in 10</w:t>
      </w:r>
      <w:r w:rsidR="009C2AF9">
        <w:rPr>
          <w:szCs w:val="20"/>
        </w:rPr>
        <w:t> </w:t>
      </w:r>
      <w:proofErr w:type="spellStart"/>
      <w:r w:rsidR="00F53C15">
        <w:rPr>
          <w:szCs w:val="20"/>
        </w:rPr>
        <w:t>mM</w:t>
      </w:r>
      <w:proofErr w:type="spellEnd"/>
      <w:r w:rsidR="00F53C15">
        <w:rPr>
          <w:szCs w:val="20"/>
        </w:rPr>
        <w:t xml:space="preserve"> </w:t>
      </w:r>
      <w:proofErr w:type="spellStart"/>
      <w:r w:rsidR="00F53C15">
        <w:rPr>
          <w:szCs w:val="20"/>
        </w:rPr>
        <w:t>Tris</w:t>
      </w:r>
      <w:proofErr w:type="spellEnd"/>
      <w:r w:rsidR="00F53C15">
        <w:rPr>
          <w:szCs w:val="20"/>
        </w:rPr>
        <w:t>-HCl, pH 8.5.</w:t>
      </w:r>
    </w:p>
    <w:p w14:paraId="707C2A04" w14:textId="77777777" w:rsidR="009C2AF9" w:rsidRDefault="009C2AF9" w:rsidP="00D1598F">
      <w:pPr>
        <w:rPr>
          <w:szCs w:val="20"/>
        </w:rPr>
      </w:pPr>
    </w:p>
    <w:p w14:paraId="6664C866" w14:textId="77777777" w:rsidR="009C2AF9" w:rsidRPr="00325977" w:rsidRDefault="002E6828" w:rsidP="00D1598F">
      <w:pPr>
        <w:rPr>
          <w:szCs w:val="20"/>
        </w:rPr>
      </w:pPr>
      <w:r>
        <w:rPr>
          <w:szCs w:val="20"/>
        </w:rPr>
        <w:t>The DNA mixtures are</w:t>
      </w:r>
      <w:r w:rsidRPr="00325977">
        <w:rPr>
          <w:szCs w:val="20"/>
        </w:rPr>
        <w:t xml:space="preserve"> constructed from the polymerase chain </w:t>
      </w:r>
      <w:r w:rsidR="00880708" w:rsidRPr="00325977">
        <w:rPr>
          <w:szCs w:val="20"/>
        </w:rPr>
        <w:t>reaction</w:t>
      </w:r>
      <w:r w:rsidR="00880708">
        <w:rPr>
          <w:szCs w:val="20"/>
        </w:rPr>
        <w:t> </w:t>
      </w:r>
      <w:r w:rsidRPr="00325977">
        <w:rPr>
          <w:szCs w:val="20"/>
        </w:rPr>
        <w:t xml:space="preserve">(PCR) products from two different cell culture lines </w:t>
      </w:r>
      <w:r>
        <w:rPr>
          <w:szCs w:val="20"/>
        </w:rPr>
        <w:t xml:space="preserve">(CHR and GM09947A) that </w:t>
      </w:r>
      <w:r w:rsidR="009C2AF9" w:rsidRPr="00325977">
        <w:rPr>
          <w:szCs w:val="20"/>
        </w:rPr>
        <w:t xml:space="preserve">differ by one base </w:t>
      </w:r>
      <w:r w:rsidR="00880708" w:rsidRPr="00325977">
        <w:rPr>
          <w:szCs w:val="20"/>
        </w:rPr>
        <w:t>pair</w:t>
      </w:r>
      <w:r w:rsidR="00880708">
        <w:rPr>
          <w:szCs w:val="20"/>
        </w:rPr>
        <w:t> </w:t>
      </w:r>
      <w:r w:rsidR="009C2AF9">
        <w:rPr>
          <w:szCs w:val="20"/>
        </w:rPr>
        <w:t>(</w:t>
      </w:r>
      <w:proofErr w:type="spellStart"/>
      <w:r w:rsidR="009C2AF9">
        <w:rPr>
          <w:szCs w:val="20"/>
        </w:rPr>
        <w:t>bp</w:t>
      </w:r>
      <w:proofErr w:type="spellEnd"/>
      <w:r w:rsidR="009C2AF9">
        <w:rPr>
          <w:szCs w:val="20"/>
        </w:rPr>
        <w:t xml:space="preserve">) at nucleotide </w:t>
      </w:r>
      <w:r w:rsidR="00880708">
        <w:rPr>
          <w:szCs w:val="20"/>
        </w:rPr>
        <w:t>position </w:t>
      </w:r>
      <w:r w:rsidR="009C2AF9">
        <w:rPr>
          <w:szCs w:val="20"/>
        </w:rPr>
        <w:t xml:space="preserve">(np) 6371 </w:t>
      </w:r>
      <w:r w:rsidR="009C2AF9" w:rsidRPr="00325977">
        <w:rPr>
          <w:szCs w:val="20"/>
        </w:rPr>
        <w:t xml:space="preserve">in </w:t>
      </w:r>
      <w:r w:rsidR="009C2AF9">
        <w:rPr>
          <w:szCs w:val="20"/>
        </w:rPr>
        <w:t>the</w:t>
      </w:r>
      <w:r w:rsidR="009C2AF9" w:rsidRPr="00325977">
        <w:rPr>
          <w:szCs w:val="20"/>
        </w:rPr>
        <w:t xml:space="preserve"> 285</w:t>
      </w:r>
      <w:r w:rsidR="009C2AF9">
        <w:rPr>
          <w:szCs w:val="20"/>
        </w:rPr>
        <w:t> </w:t>
      </w:r>
      <w:proofErr w:type="spellStart"/>
      <w:r w:rsidR="009C2AF9">
        <w:rPr>
          <w:szCs w:val="20"/>
        </w:rPr>
        <w:t>bp</w:t>
      </w:r>
      <w:proofErr w:type="spellEnd"/>
      <w:r w:rsidR="009C2AF9">
        <w:rPr>
          <w:szCs w:val="20"/>
        </w:rPr>
        <w:t xml:space="preserve"> amplified region.  The cell </w:t>
      </w:r>
      <w:r w:rsidR="00880708">
        <w:rPr>
          <w:szCs w:val="20"/>
        </w:rPr>
        <w:t>line </w:t>
      </w:r>
      <w:r w:rsidR="009C2AF9">
        <w:rPr>
          <w:szCs w:val="20"/>
        </w:rPr>
        <w:t xml:space="preserve">(CHR) designated polymorphic has a T at </w:t>
      </w:r>
      <w:r w:rsidR="00880708">
        <w:rPr>
          <w:szCs w:val="20"/>
        </w:rPr>
        <w:t>np </w:t>
      </w:r>
      <w:r w:rsidR="009C2AF9">
        <w:rPr>
          <w:szCs w:val="20"/>
        </w:rPr>
        <w:t>6371 and the cell line (GM09947A) containing the CRS sequence has a C at that site.</w:t>
      </w:r>
    </w:p>
    <w:p w14:paraId="4368CF17" w14:textId="77777777" w:rsidR="00492515" w:rsidRPr="00325977" w:rsidRDefault="00492515">
      <w:pPr>
        <w:rPr>
          <w:szCs w:val="20"/>
        </w:rPr>
      </w:pPr>
    </w:p>
    <w:p w14:paraId="271CD044" w14:textId="441799F1" w:rsidR="003129B3" w:rsidRDefault="00492515" w:rsidP="00D1598F">
      <w:pPr>
        <w:rPr>
          <w:szCs w:val="20"/>
        </w:rPr>
      </w:pPr>
      <w:r w:rsidRPr="00325977">
        <w:rPr>
          <w:b/>
          <w:bCs/>
          <w:szCs w:val="20"/>
        </w:rPr>
        <w:t>Certified Values:</w:t>
      </w:r>
      <w:r w:rsidR="00D1598F">
        <w:rPr>
          <w:szCs w:val="20"/>
        </w:rPr>
        <w:t xml:space="preserve"> </w:t>
      </w:r>
      <w:r w:rsidRPr="00D1598F">
        <w:rPr>
          <w:szCs w:val="20"/>
        </w:rPr>
        <w:t xml:space="preserve"> </w:t>
      </w:r>
      <w:r w:rsidRPr="00325977">
        <w:rPr>
          <w:szCs w:val="20"/>
        </w:rPr>
        <w:t>Table</w:t>
      </w:r>
      <w:r w:rsidR="00D1598F">
        <w:rPr>
          <w:szCs w:val="20"/>
        </w:rPr>
        <w:t> </w:t>
      </w:r>
      <w:r w:rsidR="00F34B0B">
        <w:rPr>
          <w:szCs w:val="20"/>
        </w:rPr>
        <w:t>1</w:t>
      </w:r>
      <w:r w:rsidRPr="00325977">
        <w:rPr>
          <w:szCs w:val="20"/>
        </w:rPr>
        <w:t xml:space="preserve"> contains the certified </w:t>
      </w:r>
      <w:r w:rsidR="003129B3" w:rsidRPr="00CE7AE5">
        <w:rPr>
          <w:bCs/>
          <w:szCs w:val="20"/>
        </w:rPr>
        <w:t xml:space="preserve">mass fraction </w:t>
      </w:r>
      <w:r w:rsidRPr="00325977">
        <w:rPr>
          <w:szCs w:val="20"/>
        </w:rPr>
        <w:t>values of polymorphic/</w:t>
      </w:r>
      <w:r w:rsidR="002945F0">
        <w:rPr>
          <w:szCs w:val="20"/>
        </w:rPr>
        <w:t>CRS</w:t>
      </w:r>
      <w:r w:rsidRPr="00325977">
        <w:rPr>
          <w:szCs w:val="20"/>
        </w:rPr>
        <w:t xml:space="preserve"> </w:t>
      </w:r>
      <w:proofErr w:type="spellStart"/>
      <w:r w:rsidRPr="00325977">
        <w:rPr>
          <w:szCs w:val="20"/>
        </w:rPr>
        <w:t>mtDNA</w:t>
      </w:r>
      <w:proofErr w:type="spellEnd"/>
      <w:r w:rsidRPr="00325977">
        <w:rPr>
          <w:szCs w:val="20"/>
        </w:rPr>
        <w:t xml:space="preserve"> mixtures</w:t>
      </w:r>
      <w:r w:rsidR="00C17DE5">
        <w:rPr>
          <w:szCs w:val="20"/>
        </w:rPr>
        <w:t xml:space="preserve"> (mass % polymorphic levels are </w:t>
      </w:r>
      <w:r w:rsidR="00C17DE5" w:rsidRPr="00325977">
        <w:rPr>
          <w:szCs w:val="20"/>
        </w:rPr>
        <w:t>1</w:t>
      </w:r>
      <w:r w:rsidR="00C17DE5">
        <w:rPr>
          <w:szCs w:val="20"/>
        </w:rPr>
        <w:t> </w:t>
      </w:r>
      <w:r w:rsidR="00C17DE5" w:rsidRPr="00325977">
        <w:rPr>
          <w:szCs w:val="20"/>
        </w:rPr>
        <w:t>%, 2.5</w:t>
      </w:r>
      <w:r w:rsidR="00C17DE5">
        <w:rPr>
          <w:szCs w:val="20"/>
        </w:rPr>
        <w:t> </w:t>
      </w:r>
      <w:r w:rsidR="00C17DE5" w:rsidRPr="00325977">
        <w:rPr>
          <w:szCs w:val="20"/>
        </w:rPr>
        <w:t>%, 5</w:t>
      </w:r>
      <w:r w:rsidR="00C17DE5">
        <w:rPr>
          <w:szCs w:val="20"/>
        </w:rPr>
        <w:t> </w:t>
      </w:r>
      <w:r w:rsidR="00C17DE5" w:rsidRPr="00325977">
        <w:rPr>
          <w:szCs w:val="20"/>
        </w:rPr>
        <w:t>%, 10</w:t>
      </w:r>
      <w:r w:rsidR="00C17DE5">
        <w:rPr>
          <w:szCs w:val="20"/>
        </w:rPr>
        <w:t> </w:t>
      </w:r>
      <w:r w:rsidR="00C17DE5" w:rsidRPr="00325977">
        <w:rPr>
          <w:szCs w:val="20"/>
        </w:rPr>
        <w:t>%, 20</w:t>
      </w:r>
      <w:r w:rsidR="00C17DE5">
        <w:rPr>
          <w:szCs w:val="20"/>
        </w:rPr>
        <w:t> </w:t>
      </w:r>
      <w:r w:rsidR="00C17DE5" w:rsidRPr="00325977">
        <w:rPr>
          <w:szCs w:val="20"/>
        </w:rPr>
        <w:t>%, 30</w:t>
      </w:r>
      <w:r w:rsidR="00C17DE5">
        <w:rPr>
          <w:szCs w:val="20"/>
        </w:rPr>
        <w:t> </w:t>
      </w:r>
      <w:r w:rsidR="00C17DE5" w:rsidRPr="00325977">
        <w:rPr>
          <w:szCs w:val="20"/>
        </w:rPr>
        <w:t>%, 40</w:t>
      </w:r>
      <w:r w:rsidR="00C17DE5">
        <w:rPr>
          <w:szCs w:val="20"/>
        </w:rPr>
        <w:t> </w:t>
      </w:r>
      <w:r w:rsidR="00C17DE5" w:rsidRPr="00325977">
        <w:rPr>
          <w:szCs w:val="20"/>
        </w:rPr>
        <w:t>%</w:t>
      </w:r>
      <w:r w:rsidR="003129B3">
        <w:rPr>
          <w:szCs w:val="20"/>
        </w:rPr>
        <w:t>,</w:t>
      </w:r>
      <w:r w:rsidR="00C17DE5" w:rsidRPr="00325977">
        <w:rPr>
          <w:szCs w:val="20"/>
        </w:rPr>
        <w:t xml:space="preserve"> and 50</w:t>
      </w:r>
      <w:r w:rsidR="00C17DE5">
        <w:rPr>
          <w:szCs w:val="20"/>
        </w:rPr>
        <w:t> </w:t>
      </w:r>
      <w:r w:rsidR="00C17DE5" w:rsidRPr="00325977">
        <w:rPr>
          <w:szCs w:val="20"/>
        </w:rPr>
        <w:t>%)</w:t>
      </w:r>
      <w:r w:rsidR="0055659F">
        <w:rPr>
          <w:szCs w:val="20"/>
        </w:rPr>
        <w:t>.  The</w:t>
      </w:r>
      <w:r w:rsidR="00625B9F">
        <w:rPr>
          <w:szCs w:val="20"/>
        </w:rPr>
        <w:t xml:space="preserve"> </w:t>
      </w:r>
      <w:r w:rsidR="002945F0">
        <w:rPr>
          <w:szCs w:val="20"/>
        </w:rPr>
        <w:t xml:space="preserve">uncertainty </w:t>
      </w:r>
      <w:r w:rsidR="00625B9F">
        <w:rPr>
          <w:szCs w:val="20"/>
        </w:rPr>
        <w:t xml:space="preserve">values </w:t>
      </w:r>
      <w:r w:rsidR="002945F0">
        <w:rPr>
          <w:szCs w:val="20"/>
        </w:rPr>
        <w:t>calculated on the 50/50 mixture</w:t>
      </w:r>
      <w:r w:rsidR="00625B9F">
        <w:rPr>
          <w:szCs w:val="20"/>
        </w:rPr>
        <w:t xml:space="preserve"> are </w:t>
      </w:r>
      <w:r w:rsidR="0055659F">
        <w:rPr>
          <w:szCs w:val="20"/>
        </w:rPr>
        <w:t>reported</w:t>
      </w:r>
      <w:r w:rsidR="00625B9F">
        <w:rPr>
          <w:szCs w:val="20"/>
        </w:rPr>
        <w:t xml:space="preserve"> in section, “Uncertainty Analysis”</w:t>
      </w:r>
      <w:r w:rsidR="002945F0">
        <w:rPr>
          <w:szCs w:val="20"/>
        </w:rPr>
        <w:t xml:space="preserve">.  </w:t>
      </w:r>
      <w:r w:rsidRPr="00325977">
        <w:rPr>
          <w:szCs w:val="20"/>
        </w:rPr>
        <w:t>Table</w:t>
      </w:r>
      <w:r w:rsidR="00D1598F">
        <w:rPr>
          <w:szCs w:val="20"/>
        </w:rPr>
        <w:t> </w:t>
      </w:r>
      <w:r w:rsidR="00625B9F">
        <w:rPr>
          <w:szCs w:val="20"/>
        </w:rPr>
        <w:t>2</w:t>
      </w:r>
      <w:r w:rsidRPr="00325977">
        <w:rPr>
          <w:szCs w:val="20"/>
        </w:rPr>
        <w:t xml:space="preserve"> contains the certified sequence information of the 285</w:t>
      </w:r>
      <w:r w:rsidR="00D1598F">
        <w:rPr>
          <w:szCs w:val="20"/>
        </w:rPr>
        <w:t> </w:t>
      </w:r>
      <w:proofErr w:type="spellStart"/>
      <w:r w:rsidRPr="00325977">
        <w:rPr>
          <w:szCs w:val="20"/>
        </w:rPr>
        <w:t>bp</w:t>
      </w:r>
      <w:proofErr w:type="spellEnd"/>
      <w:r w:rsidRPr="00325977">
        <w:rPr>
          <w:szCs w:val="20"/>
        </w:rPr>
        <w:t xml:space="preserve"> </w:t>
      </w:r>
      <w:proofErr w:type="spellStart"/>
      <w:r w:rsidRPr="00325977">
        <w:rPr>
          <w:szCs w:val="20"/>
        </w:rPr>
        <w:t>amplicon</w:t>
      </w:r>
      <w:proofErr w:type="spellEnd"/>
      <w:r w:rsidRPr="00325977">
        <w:rPr>
          <w:szCs w:val="20"/>
        </w:rPr>
        <w:t xml:space="preserve"> from the two cell lines (CHR and GM09947A) and shows the one </w:t>
      </w:r>
      <w:proofErr w:type="spellStart"/>
      <w:r w:rsidRPr="00325977">
        <w:rPr>
          <w:szCs w:val="20"/>
        </w:rPr>
        <w:t>bp</w:t>
      </w:r>
      <w:proofErr w:type="spellEnd"/>
      <w:r w:rsidRPr="00325977">
        <w:rPr>
          <w:szCs w:val="20"/>
        </w:rPr>
        <w:t xml:space="preserve"> difference at np 6371. </w:t>
      </w:r>
      <w:r w:rsidR="00D1598F">
        <w:rPr>
          <w:szCs w:val="20"/>
        </w:rPr>
        <w:t xml:space="preserve"> </w:t>
      </w:r>
      <w:r w:rsidRPr="00325977">
        <w:rPr>
          <w:szCs w:val="20"/>
        </w:rPr>
        <w:t>The entire 16,569</w:t>
      </w:r>
      <w:r w:rsidR="00D1598F">
        <w:rPr>
          <w:szCs w:val="20"/>
        </w:rPr>
        <w:t> </w:t>
      </w:r>
      <w:proofErr w:type="spellStart"/>
      <w:r w:rsidRPr="00325977">
        <w:rPr>
          <w:szCs w:val="20"/>
        </w:rPr>
        <w:t>bp</w:t>
      </w:r>
      <w:proofErr w:type="spellEnd"/>
      <w:r w:rsidRPr="00325977">
        <w:rPr>
          <w:szCs w:val="20"/>
        </w:rPr>
        <w:t xml:space="preserve"> of </w:t>
      </w:r>
      <w:proofErr w:type="spellStart"/>
      <w:r w:rsidRPr="00325977">
        <w:rPr>
          <w:szCs w:val="20"/>
        </w:rPr>
        <w:t>mtDNA</w:t>
      </w:r>
      <w:proofErr w:type="spellEnd"/>
      <w:r w:rsidRPr="00325977">
        <w:rPr>
          <w:szCs w:val="20"/>
        </w:rPr>
        <w:t xml:space="preserve"> from both CHR and GM09947A was sequenced for SRM</w:t>
      </w:r>
      <w:r w:rsidR="00D1598F">
        <w:rPr>
          <w:szCs w:val="20"/>
        </w:rPr>
        <w:t> </w:t>
      </w:r>
      <w:r w:rsidRPr="00325977">
        <w:rPr>
          <w:szCs w:val="20"/>
        </w:rPr>
        <w:t>2392</w:t>
      </w:r>
      <w:r w:rsidR="00D1598F">
        <w:rPr>
          <w:szCs w:val="20"/>
        </w:rPr>
        <w:t>,</w:t>
      </w:r>
      <w:r w:rsidRPr="00325977">
        <w:rPr>
          <w:szCs w:val="20"/>
        </w:rPr>
        <w:t xml:space="preserve"> and that </w:t>
      </w:r>
      <w:proofErr w:type="gramStart"/>
      <w:r w:rsidRPr="00325977">
        <w:rPr>
          <w:szCs w:val="20"/>
        </w:rPr>
        <w:t>sequen</w:t>
      </w:r>
      <w:r w:rsidRPr="00E73E83">
        <w:rPr>
          <w:szCs w:val="20"/>
        </w:rPr>
        <w:t>ce</w:t>
      </w:r>
      <w:proofErr w:type="gramEnd"/>
      <w:r w:rsidRPr="00E73E83">
        <w:rPr>
          <w:szCs w:val="20"/>
        </w:rPr>
        <w:t xml:space="preserve"> </w:t>
      </w:r>
      <w:r w:rsidR="00C17DE5">
        <w:rPr>
          <w:szCs w:val="20"/>
        </w:rPr>
        <w:t xml:space="preserve">is given in </w:t>
      </w:r>
      <w:r w:rsidRPr="00E73E83">
        <w:rPr>
          <w:szCs w:val="20"/>
        </w:rPr>
        <w:t>reference</w:t>
      </w:r>
      <w:r w:rsidR="002945F0" w:rsidRPr="00E73E83">
        <w:rPr>
          <w:szCs w:val="20"/>
        </w:rPr>
        <w:t> </w:t>
      </w:r>
      <w:r w:rsidRPr="00E73E83">
        <w:rPr>
          <w:szCs w:val="20"/>
        </w:rPr>
        <w:t>1</w:t>
      </w:r>
      <w:r w:rsidR="002945F0" w:rsidRPr="00E73E83">
        <w:rPr>
          <w:szCs w:val="20"/>
        </w:rPr>
        <w:t>,</w:t>
      </w:r>
      <w:r w:rsidRPr="00E73E83">
        <w:rPr>
          <w:szCs w:val="20"/>
        </w:rPr>
        <w:t xml:space="preserve"> the Certificate of Analysis for SRM</w:t>
      </w:r>
      <w:r w:rsidR="00D1598F" w:rsidRPr="00E73E83">
        <w:rPr>
          <w:szCs w:val="20"/>
        </w:rPr>
        <w:t> </w:t>
      </w:r>
      <w:r w:rsidRPr="00E73E83">
        <w:rPr>
          <w:szCs w:val="20"/>
        </w:rPr>
        <w:t>2392 [2]</w:t>
      </w:r>
      <w:r w:rsidR="002945F0" w:rsidRPr="00E73E83">
        <w:rPr>
          <w:szCs w:val="20"/>
        </w:rPr>
        <w:t>,</w:t>
      </w:r>
      <w:r w:rsidRPr="00E73E83">
        <w:rPr>
          <w:szCs w:val="20"/>
        </w:rPr>
        <w:t xml:space="preserve"> a</w:t>
      </w:r>
      <w:r w:rsidR="002E6828" w:rsidRPr="00E73E83">
        <w:rPr>
          <w:szCs w:val="20"/>
        </w:rPr>
        <w:t xml:space="preserve">nd </w:t>
      </w:r>
      <w:r w:rsidRPr="00E73E83">
        <w:rPr>
          <w:szCs w:val="20"/>
        </w:rPr>
        <w:t>in NIST</w:t>
      </w:r>
      <w:r w:rsidR="00D1598F" w:rsidRPr="00E73E83">
        <w:rPr>
          <w:szCs w:val="20"/>
        </w:rPr>
        <w:t> </w:t>
      </w:r>
      <w:r w:rsidRPr="00E73E83">
        <w:rPr>
          <w:szCs w:val="20"/>
        </w:rPr>
        <w:t>SP260-155</w:t>
      </w:r>
      <w:r w:rsidR="00D1598F" w:rsidRPr="00E73E83">
        <w:rPr>
          <w:szCs w:val="20"/>
        </w:rPr>
        <w:t> </w:t>
      </w:r>
      <w:r w:rsidRPr="00E73E83">
        <w:rPr>
          <w:szCs w:val="20"/>
        </w:rPr>
        <w:t xml:space="preserve">[3].  </w:t>
      </w:r>
    </w:p>
    <w:p w14:paraId="1DABE270" w14:textId="77777777" w:rsidR="003129B3" w:rsidRDefault="003129B3" w:rsidP="00D1598F">
      <w:pPr>
        <w:rPr>
          <w:szCs w:val="20"/>
        </w:rPr>
      </w:pPr>
    </w:p>
    <w:p w14:paraId="26DD7D9F" w14:textId="6F7D9B2E" w:rsidR="00492515" w:rsidRPr="00325977" w:rsidRDefault="003129B3" w:rsidP="00D1598F">
      <w:pPr>
        <w:rPr>
          <w:szCs w:val="20"/>
        </w:rPr>
      </w:pPr>
      <w:r w:rsidRPr="00CE7AE5">
        <w:rPr>
          <w:b/>
          <w:szCs w:val="20"/>
        </w:rPr>
        <w:t>Reference Values:</w:t>
      </w:r>
      <w:r>
        <w:rPr>
          <w:szCs w:val="20"/>
        </w:rPr>
        <w:t xml:space="preserve">  </w:t>
      </w:r>
      <w:r w:rsidR="00492515" w:rsidRPr="00E73E83">
        <w:rPr>
          <w:szCs w:val="20"/>
        </w:rPr>
        <w:t>Table</w:t>
      </w:r>
      <w:r w:rsidR="00D1598F" w:rsidRPr="00E73E83">
        <w:rPr>
          <w:szCs w:val="20"/>
        </w:rPr>
        <w:t> </w:t>
      </w:r>
      <w:r w:rsidR="00625B9F" w:rsidRPr="00E73E83">
        <w:rPr>
          <w:szCs w:val="20"/>
        </w:rPr>
        <w:t>3</w:t>
      </w:r>
      <w:r w:rsidR="00492515" w:rsidRPr="00E73E83">
        <w:rPr>
          <w:szCs w:val="20"/>
        </w:rPr>
        <w:t xml:space="preserve"> contains the reference sequences of the forward and reverse primers </w:t>
      </w:r>
      <w:r w:rsidR="00507FA2" w:rsidRPr="00E73E83">
        <w:rPr>
          <w:szCs w:val="20"/>
        </w:rPr>
        <w:t>used</w:t>
      </w:r>
      <w:r w:rsidR="00492515" w:rsidRPr="00E73E83">
        <w:rPr>
          <w:szCs w:val="20"/>
        </w:rPr>
        <w:t xml:space="preserve"> </w:t>
      </w:r>
      <w:r w:rsidR="00507FA2" w:rsidRPr="00E73E83">
        <w:rPr>
          <w:szCs w:val="20"/>
        </w:rPr>
        <w:t>in the PCR amplificati</w:t>
      </w:r>
      <w:r w:rsidR="00507FA2">
        <w:rPr>
          <w:szCs w:val="20"/>
        </w:rPr>
        <w:t xml:space="preserve">ons of the </w:t>
      </w:r>
      <w:r w:rsidR="00492515" w:rsidRPr="00325977">
        <w:rPr>
          <w:szCs w:val="20"/>
        </w:rPr>
        <w:t>285</w:t>
      </w:r>
      <w:r w:rsidR="00D1598F">
        <w:rPr>
          <w:szCs w:val="20"/>
        </w:rPr>
        <w:t> </w:t>
      </w:r>
      <w:proofErr w:type="spellStart"/>
      <w:r w:rsidR="00492515" w:rsidRPr="00325977">
        <w:rPr>
          <w:szCs w:val="20"/>
        </w:rPr>
        <w:t>bp</w:t>
      </w:r>
      <w:proofErr w:type="spellEnd"/>
      <w:r w:rsidR="00492515" w:rsidRPr="00325977">
        <w:rPr>
          <w:szCs w:val="20"/>
        </w:rPr>
        <w:t xml:space="preserve"> </w:t>
      </w:r>
      <w:r w:rsidR="00507FA2">
        <w:rPr>
          <w:szCs w:val="20"/>
        </w:rPr>
        <w:t xml:space="preserve">DNAs that were blended to </w:t>
      </w:r>
      <w:r w:rsidR="00D1598F">
        <w:rPr>
          <w:szCs w:val="20"/>
        </w:rPr>
        <w:t>construct these mixtures.</w:t>
      </w:r>
    </w:p>
    <w:p w14:paraId="1A29158E" w14:textId="77777777" w:rsidR="00492515" w:rsidRPr="00325977" w:rsidRDefault="00492515">
      <w:pPr>
        <w:rPr>
          <w:szCs w:val="20"/>
        </w:rPr>
      </w:pPr>
    </w:p>
    <w:p w14:paraId="352CA56E" w14:textId="6019F0F3" w:rsidR="00492515" w:rsidRPr="00325977" w:rsidRDefault="00492515" w:rsidP="00D1598F">
      <w:pPr>
        <w:rPr>
          <w:szCs w:val="20"/>
        </w:rPr>
      </w:pPr>
      <w:r w:rsidRPr="00325977">
        <w:rPr>
          <w:b/>
          <w:bCs/>
          <w:szCs w:val="20"/>
        </w:rPr>
        <w:t>Expiration of Certification:</w:t>
      </w:r>
      <w:r w:rsidR="00D1598F">
        <w:rPr>
          <w:b/>
          <w:bCs/>
          <w:szCs w:val="20"/>
        </w:rPr>
        <w:t xml:space="preserve"> </w:t>
      </w:r>
      <w:r w:rsidRPr="00325977">
        <w:rPr>
          <w:b/>
          <w:bCs/>
          <w:szCs w:val="20"/>
        </w:rPr>
        <w:t xml:space="preserve"> </w:t>
      </w:r>
      <w:r w:rsidRPr="00325977">
        <w:rPr>
          <w:szCs w:val="20"/>
        </w:rPr>
        <w:t xml:space="preserve">The certification of </w:t>
      </w:r>
      <w:r w:rsidR="00CE7AE5" w:rsidRPr="0063567E">
        <w:rPr>
          <w:b/>
          <w:szCs w:val="20"/>
        </w:rPr>
        <w:t>SRM</w:t>
      </w:r>
      <w:r w:rsidR="00CE7AE5">
        <w:rPr>
          <w:b/>
          <w:szCs w:val="20"/>
        </w:rPr>
        <w:t> </w:t>
      </w:r>
      <w:r w:rsidR="0063567E" w:rsidRPr="0063567E">
        <w:rPr>
          <w:b/>
          <w:szCs w:val="20"/>
        </w:rPr>
        <w:t>2394</w:t>
      </w:r>
      <w:r w:rsidR="0063567E">
        <w:rPr>
          <w:szCs w:val="20"/>
        </w:rPr>
        <w:t xml:space="preserve"> </w:t>
      </w:r>
      <w:r w:rsidRPr="00325977">
        <w:rPr>
          <w:szCs w:val="20"/>
        </w:rPr>
        <w:t>is valid</w:t>
      </w:r>
      <w:r w:rsidR="00D1598F">
        <w:rPr>
          <w:bCs/>
          <w:szCs w:val="20"/>
        </w:rPr>
        <w:t>, within the measurement uncertainties specified,</w:t>
      </w:r>
      <w:r w:rsidRPr="00863A72">
        <w:rPr>
          <w:bCs/>
          <w:szCs w:val="20"/>
        </w:rPr>
        <w:t xml:space="preserve"> </w:t>
      </w:r>
      <w:r w:rsidR="00880708" w:rsidRPr="00325977">
        <w:rPr>
          <w:szCs w:val="20"/>
        </w:rPr>
        <w:t xml:space="preserve">until </w:t>
      </w:r>
      <w:r w:rsidR="00880708" w:rsidRPr="0063567E">
        <w:rPr>
          <w:b/>
          <w:szCs w:val="20"/>
        </w:rPr>
        <w:t>31</w:t>
      </w:r>
      <w:r w:rsidR="00880708">
        <w:rPr>
          <w:b/>
          <w:bCs/>
          <w:szCs w:val="20"/>
        </w:rPr>
        <w:t> </w:t>
      </w:r>
      <w:r w:rsidR="00880708" w:rsidRPr="00325977">
        <w:rPr>
          <w:b/>
          <w:bCs/>
          <w:szCs w:val="20"/>
        </w:rPr>
        <w:t>July</w:t>
      </w:r>
      <w:r w:rsidR="00880708">
        <w:rPr>
          <w:b/>
          <w:bCs/>
          <w:szCs w:val="20"/>
        </w:rPr>
        <w:t> </w:t>
      </w:r>
      <w:r w:rsidR="00880708" w:rsidRPr="00325977">
        <w:rPr>
          <w:b/>
          <w:bCs/>
          <w:szCs w:val="20"/>
        </w:rPr>
        <w:t>20</w:t>
      </w:r>
      <w:r w:rsidR="00880708">
        <w:rPr>
          <w:b/>
          <w:bCs/>
          <w:szCs w:val="20"/>
        </w:rPr>
        <w:t xml:space="preserve">19 </w:t>
      </w:r>
      <w:r w:rsidRPr="00325977">
        <w:rPr>
          <w:szCs w:val="20"/>
        </w:rPr>
        <w:t>provided the SRM is handled and stored in accordance with the instructions given in this certificate</w:t>
      </w:r>
      <w:r w:rsidR="00D1598F">
        <w:rPr>
          <w:szCs w:val="20"/>
        </w:rPr>
        <w:t xml:space="preserve"> (see “Instructions for Use”)</w:t>
      </w:r>
      <w:r w:rsidRPr="00325977">
        <w:rPr>
          <w:szCs w:val="20"/>
        </w:rPr>
        <w:t>.</w:t>
      </w:r>
      <w:r w:rsidR="00D1598F">
        <w:rPr>
          <w:szCs w:val="20"/>
        </w:rPr>
        <w:t xml:space="preserve"> </w:t>
      </w:r>
      <w:r w:rsidRPr="00325977">
        <w:rPr>
          <w:szCs w:val="20"/>
        </w:rPr>
        <w:t xml:space="preserve"> This certification is nullified if the SRM is damaged, contaminated, or modified.</w:t>
      </w:r>
    </w:p>
    <w:p w14:paraId="0CD33352" w14:textId="77777777" w:rsidR="00492515" w:rsidRPr="00325977" w:rsidRDefault="00492515">
      <w:pPr>
        <w:rPr>
          <w:szCs w:val="20"/>
        </w:rPr>
      </w:pPr>
    </w:p>
    <w:p w14:paraId="1D6499C6" w14:textId="77777777" w:rsidR="00492515" w:rsidRPr="00325977" w:rsidRDefault="00492515" w:rsidP="00EC7402">
      <w:pPr>
        <w:rPr>
          <w:szCs w:val="20"/>
        </w:rPr>
      </w:pPr>
      <w:r w:rsidRPr="00325977">
        <w:rPr>
          <w:b/>
          <w:bCs/>
          <w:szCs w:val="20"/>
        </w:rPr>
        <w:t>Maintenance of SRM Certification:</w:t>
      </w:r>
      <w:r w:rsidRPr="00EC7402">
        <w:rPr>
          <w:bCs/>
          <w:szCs w:val="20"/>
        </w:rPr>
        <w:t xml:space="preserve"> </w:t>
      </w:r>
      <w:r w:rsidR="00EC7402">
        <w:rPr>
          <w:szCs w:val="20"/>
        </w:rPr>
        <w:t xml:space="preserve"> </w:t>
      </w:r>
      <w:r w:rsidRPr="00325977">
        <w:rPr>
          <w:szCs w:val="20"/>
        </w:rPr>
        <w:t xml:space="preserve">NIST will monitor this SRM over the period of its certification. </w:t>
      </w:r>
      <w:r w:rsidR="00EC7402">
        <w:rPr>
          <w:szCs w:val="20"/>
        </w:rPr>
        <w:t xml:space="preserve"> </w:t>
      </w:r>
      <w:r w:rsidRPr="00325977">
        <w:rPr>
          <w:szCs w:val="20"/>
        </w:rPr>
        <w:t xml:space="preserve">If substantive technical changes occur that affect the certification before the expiration of this certificate, NIST will notify the purchaser. </w:t>
      </w:r>
      <w:r w:rsidR="00EC7402">
        <w:rPr>
          <w:szCs w:val="20"/>
        </w:rPr>
        <w:t xml:space="preserve"> </w:t>
      </w:r>
      <w:r w:rsidRPr="00325977">
        <w:rPr>
          <w:szCs w:val="20"/>
        </w:rPr>
        <w:t xml:space="preserve">Registration </w:t>
      </w:r>
      <w:r w:rsidR="00EC7402">
        <w:rPr>
          <w:szCs w:val="20"/>
        </w:rPr>
        <w:t xml:space="preserve">(see attached sheet) </w:t>
      </w:r>
      <w:r w:rsidRPr="00325977">
        <w:rPr>
          <w:szCs w:val="20"/>
        </w:rPr>
        <w:t>will facilitate notification.</w:t>
      </w:r>
    </w:p>
    <w:p w14:paraId="376BF142" w14:textId="77777777" w:rsidR="00492515" w:rsidRPr="00325977" w:rsidRDefault="00492515" w:rsidP="00EC7402">
      <w:pPr>
        <w:rPr>
          <w:szCs w:val="20"/>
        </w:rPr>
      </w:pPr>
    </w:p>
    <w:p w14:paraId="431350E3" w14:textId="72D5E7FA" w:rsidR="00492515" w:rsidRDefault="00880708" w:rsidP="00EC7402">
      <w:pPr>
        <w:rPr>
          <w:szCs w:val="20"/>
        </w:rPr>
      </w:pPr>
      <w:r>
        <w:rPr>
          <w:szCs w:val="20"/>
        </w:rPr>
        <w:t>O</w:t>
      </w:r>
      <w:r w:rsidR="00492515" w:rsidRPr="00325977">
        <w:rPr>
          <w:szCs w:val="20"/>
        </w:rPr>
        <w:t>verall direction and coordination of the technical measurements leading to the certification were performed by D.K.</w:t>
      </w:r>
      <w:r w:rsidR="00EC7402">
        <w:rPr>
          <w:szCs w:val="20"/>
        </w:rPr>
        <w:t> </w:t>
      </w:r>
      <w:r w:rsidR="00492515" w:rsidRPr="00325977">
        <w:rPr>
          <w:szCs w:val="20"/>
        </w:rPr>
        <w:t>Hancock and B.C.</w:t>
      </w:r>
      <w:r w:rsidR="00EC7402">
        <w:rPr>
          <w:szCs w:val="20"/>
        </w:rPr>
        <w:t> </w:t>
      </w:r>
      <w:r w:rsidR="00492515" w:rsidRPr="00325977">
        <w:rPr>
          <w:szCs w:val="20"/>
        </w:rPr>
        <w:t xml:space="preserve">Levin </w:t>
      </w:r>
      <w:r w:rsidR="0067241C">
        <w:rPr>
          <w:szCs w:val="20"/>
        </w:rPr>
        <w:t>forme</w:t>
      </w:r>
      <w:r w:rsidR="0080053E">
        <w:rPr>
          <w:szCs w:val="20"/>
        </w:rPr>
        <w:t>r</w:t>
      </w:r>
      <w:r w:rsidR="0067241C">
        <w:rPr>
          <w:szCs w:val="20"/>
        </w:rPr>
        <w:t xml:space="preserve">ly </w:t>
      </w:r>
      <w:r w:rsidR="00492515" w:rsidRPr="00325977">
        <w:rPr>
          <w:szCs w:val="20"/>
        </w:rPr>
        <w:t>of the</w:t>
      </w:r>
      <w:r w:rsidR="0067241C">
        <w:rPr>
          <w:szCs w:val="20"/>
        </w:rPr>
        <w:t xml:space="preserve"> </w:t>
      </w:r>
      <w:r w:rsidR="00492515" w:rsidRPr="00325977">
        <w:rPr>
          <w:szCs w:val="20"/>
        </w:rPr>
        <w:t xml:space="preserve">NIST </w:t>
      </w:r>
      <w:r w:rsidR="0080053E" w:rsidRPr="00325977">
        <w:rPr>
          <w:szCs w:val="20"/>
        </w:rPr>
        <w:t>Biotechnology Division</w:t>
      </w:r>
      <w:r w:rsidR="00492515" w:rsidRPr="00325977">
        <w:rPr>
          <w:szCs w:val="20"/>
        </w:rPr>
        <w:t>.</w:t>
      </w:r>
    </w:p>
    <w:p w14:paraId="5712DB1F" w14:textId="77777777" w:rsidR="002E6828" w:rsidRDefault="002E6828" w:rsidP="00EC7402">
      <w:pPr>
        <w:rPr>
          <w:szCs w:val="20"/>
        </w:rPr>
      </w:pPr>
    </w:p>
    <w:p w14:paraId="096D191E" w14:textId="670EE2FF" w:rsidR="002E6828" w:rsidRPr="00325977" w:rsidRDefault="002E6828" w:rsidP="00EC7402">
      <w:pPr>
        <w:rPr>
          <w:szCs w:val="20"/>
        </w:rPr>
      </w:pPr>
      <w:r w:rsidRPr="00325977">
        <w:rPr>
          <w:szCs w:val="20"/>
        </w:rPr>
        <w:t>The analytical determination, technical measurements</w:t>
      </w:r>
      <w:r>
        <w:rPr>
          <w:szCs w:val="20"/>
        </w:rPr>
        <w:t>,</w:t>
      </w:r>
      <w:r w:rsidRPr="00325977">
        <w:rPr>
          <w:szCs w:val="20"/>
        </w:rPr>
        <w:t xml:space="preserve"> and analysis of data for the certification of this SRM were performed by D.K.</w:t>
      </w:r>
      <w:r>
        <w:rPr>
          <w:szCs w:val="20"/>
        </w:rPr>
        <w:t> </w:t>
      </w:r>
      <w:r w:rsidRPr="00325977">
        <w:rPr>
          <w:szCs w:val="20"/>
        </w:rPr>
        <w:t>Hancock, L.A.</w:t>
      </w:r>
      <w:r>
        <w:rPr>
          <w:szCs w:val="20"/>
        </w:rPr>
        <w:t> </w:t>
      </w:r>
      <w:r w:rsidRPr="00325977">
        <w:rPr>
          <w:szCs w:val="20"/>
        </w:rPr>
        <w:t>Tully</w:t>
      </w:r>
      <w:r>
        <w:rPr>
          <w:szCs w:val="20"/>
        </w:rPr>
        <w:t>,</w:t>
      </w:r>
      <w:r w:rsidRPr="00325977">
        <w:rPr>
          <w:szCs w:val="20"/>
        </w:rPr>
        <w:t xml:space="preserve"> and B.C.</w:t>
      </w:r>
      <w:r>
        <w:rPr>
          <w:szCs w:val="20"/>
        </w:rPr>
        <w:t> </w:t>
      </w:r>
      <w:r w:rsidRPr="00325977">
        <w:rPr>
          <w:szCs w:val="20"/>
        </w:rPr>
        <w:t xml:space="preserve">Levin </w:t>
      </w:r>
      <w:r w:rsidR="0080053E">
        <w:rPr>
          <w:szCs w:val="20"/>
        </w:rPr>
        <w:t xml:space="preserve">formerly </w:t>
      </w:r>
      <w:r w:rsidR="0080053E" w:rsidRPr="00325977">
        <w:rPr>
          <w:szCs w:val="20"/>
        </w:rPr>
        <w:t>of the</w:t>
      </w:r>
      <w:r w:rsidR="0080053E">
        <w:rPr>
          <w:szCs w:val="20"/>
        </w:rPr>
        <w:t xml:space="preserve"> </w:t>
      </w:r>
      <w:r w:rsidR="0080053E" w:rsidRPr="00325977">
        <w:rPr>
          <w:szCs w:val="20"/>
        </w:rPr>
        <w:t>NIST Biotechnology Division</w:t>
      </w:r>
      <w:r>
        <w:rPr>
          <w:szCs w:val="20"/>
        </w:rPr>
        <w:t>.</w:t>
      </w:r>
      <w:r w:rsidR="00D50F68">
        <w:rPr>
          <w:szCs w:val="20"/>
        </w:rPr>
        <w:t xml:space="preserve">  Complete details can be found in </w:t>
      </w:r>
      <w:r w:rsidR="00880708">
        <w:rPr>
          <w:szCs w:val="20"/>
        </w:rPr>
        <w:t>reference </w:t>
      </w:r>
      <w:r w:rsidR="00D50F68">
        <w:rPr>
          <w:szCs w:val="20"/>
        </w:rPr>
        <w:t>4.</w:t>
      </w:r>
    </w:p>
    <w:p w14:paraId="39695A1B" w14:textId="77777777" w:rsidR="00492515" w:rsidRDefault="00492515" w:rsidP="0002715B">
      <w:pPr>
        <w:pStyle w:val="BodyText"/>
        <w:rPr>
          <w:sz w:val="20"/>
          <w:szCs w:val="20"/>
        </w:rPr>
      </w:pPr>
    </w:p>
    <w:p w14:paraId="19B29F38" w14:textId="60C7C48C" w:rsidR="000F1ABD" w:rsidRPr="00325977" w:rsidRDefault="00F92817" w:rsidP="000F1ABD">
      <w:pPr>
        <w:pStyle w:val="BodyText"/>
        <w:rPr>
          <w:sz w:val="20"/>
          <w:szCs w:val="20"/>
        </w:rPr>
      </w:pPr>
      <w:r>
        <w:rPr>
          <w:sz w:val="20"/>
          <w:szCs w:val="20"/>
        </w:rPr>
        <w:t>S</w:t>
      </w:r>
      <w:r w:rsidR="000F1ABD">
        <w:rPr>
          <w:sz w:val="20"/>
          <w:szCs w:val="20"/>
        </w:rPr>
        <w:t xml:space="preserve">tatistical </w:t>
      </w:r>
      <w:r>
        <w:rPr>
          <w:sz w:val="20"/>
          <w:szCs w:val="20"/>
        </w:rPr>
        <w:t>consultation</w:t>
      </w:r>
      <w:r w:rsidR="000F1ABD">
        <w:rPr>
          <w:sz w:val="20"/>
          <w:szCs w:val="20"/>
        </w:rPr>
        <w:t xml:space="preserve"> was provided by S.D. Leigh </w:t>
      </w:r>
      <w:r w:rsidR="00C17DE5">
        <w:rPr>
          <w:sz w:val="20"/>
          <w:szCs w:val="20"/>
        </w:rPr>
        <w:t xml:space="preserve">formerly </w:t>
      </w:r>
      <w:r w:rsidR="000F1ABD">
        <w:rPr>
          <w:sz w:val="20"/>
          <w:szCs w:val="20"/>
        </w:rPr>
        <w:t>of the NIST Statistical Engineering Division.</w:t>
      </w:r>
    </w:p>
    <w:p w14:paraId="41A4F32B" w14:textId="77777777" w:rsidR="000F1ABD" w:rsidRDefault="000F1ABD" w:rsidP="0002715B">
      <w:pPr>
        <w:pStyle w:val="BodyText"/>
        <w:rPr>
          <w:sz w:val="20"/>
          <w:szCs w:val="20"/>
        </w:rPr>
      </w:pPr>
    </w:p>
    <w:p w14:paraId="50F618C3" w14:textId="77777777" w:rsidR="0080053E" w:rsidRDefault="0080053E" w:rsidP="0002715B">
      <w:pPr>
        <w:pStyle w:val="BodyText"/>
        <w:rPr>
          <w:sz w:val="20"/>
          <w:szCs w:val="20"/>
        </w:rPr>
      </w:pPr>
    </w:p>
    <w:p w14:paraId="70118678" w14:textId="77777777" w:rsidR="0002715B" w:rsidRDefault="0002715B" w:rsidP="0002715B">
      <w:pPr>
        <w:pStyle w:val="Header"/>
        <w:tabs>
          <w:tab w:val="clear" w:pos="4320"/>
          <w:tab w:val="clear" w:pos="8640"/>
          <w:tab w:val="right" w:pos="9360"/>
        </w:tabs>
        <w:rPr>
          <w:color w:val="000000"/>
        </w:rPr>
      </w:pPr>
      <w:r>
        <w:rPr>
          <w:color w:val="000000"/>
        </w:rPr>
        <w:tab/>
      </w:r>
      <w:r w:rsidR="00880708">
        <w:rPr>
          <w:color w:val="000000"/>
        </w:rPr>
        <w:t>Michael J. Tarlov</w:t>
      </w:r>
      <w:r>
        <w:rPr>
          <w:color w:val="000000"/>
        </w:rPr>
        <w:t>, Chief</w:t>
      </w:r>
    </w:p>
    <w:p w14:paraId="6B609F3B" w14:textId="77777777" w:rsidR="0002715B" w:rsidRDefault="0002715B" w:rsidP="0002715B">
      <w:pPr>
        <w:pStyle w:val="Header"/>
        <w:tabs>
          <w:tab w:val="clear" w:pos="4320"/>
          <w:tab w:val="clear" w:pos="8640"/>
          <w:tab w:val="right" w:pos="9360"/>
        </w:tabs>
        <w:rPr>
          <w:color w:val="000000"/>
        </w:rPr>
      </w:pPr>
      <w:r>
        <w:rPr>
          <w:color w:val="000000"/>
        </w:rPr>
        <w:tab/>
      </w:r>
      <w:r w:rsidR="00880708">
        <w:rPr>
          <w:color w:val="000000"/>
        </w:rPr>
        <w:t xml:space="preserve">Biomolecular Measurement </w:t>
      </w:r>
      <w:r>
        <w:rPr>
          <w:color w:val="000000"/>
        </w:rPr>
        <w:t>Division</w:t>
      </w:r>
    </w:p>
    <w:p w14:paraId="74C97B2A" w14:textId="77777777" w:rsidR="0002715B" w:rsidRPr="0030362B" w:rsidRDefault="0002715B" w:rsidP="0002715B">
      <w:pPr>
        <w:tabs>
          <w:tab w:val="right" w:pos="9360"/>
        </w:tabs>
        <w:spacing w:before="240"/>
        <w:rPr>
          <w:color w:val="000000"/>
        </w:rPr>
      </w:pPr>
      <w:smartTag w:uri="urn:schemas-microsoft-com:office:smarttags" w:element="place">
        <w:smartTag w:uri="urn:schemas-microsoft-com:office:smarttags" w:element="City">
          <w:r w:rsidRPr="0030362B">
            <w:rPr>
              <w:color w:val="000000"/>
            </w:rPr>
            <w:t>Gaithersburg</w:t>
          </w:r>
        </w:smartTag>
        <w:r w:rsidRPr="0030362B">
          <w:rPr>
            <w:color w:val="000000"/>
          </w:rPr>
          <w:t xml:space="preserve">, </w:t>
        </w:r>
        <w:smartTag w:uri="urn:schemas-microsoft-com:office:smarttags" w:element="State">
          <w:r w:rsidRPr="0030362B">
            <w:rPr>
              <w:color w:val="000000"/>
            </w:rPr>
            <w:t>MD</w:t>
          </w:r>
        </w:smartTag>
        <w:r w:rsidRPr="0030362B">
          <w:rPr>
            <w:color w:val="000000"/>
          </w:rPr>
          <w:t xml:space="preserve">  </w:t>
        </w:r>
        <w:smartTag w:uri="urn:schemas-microsoft-com:office:smarttags" w:element="PostalCode">
          <w:r w:rsidRPr="0030362B">
            <w:rPr>
              <w:color w:val="000000"/>
            </w:rPr>
            <w:t>20899</w:t>
          </w:r>
        </w:smartTag>
      </w:smartTag>
      <w:r w:rsidRPr="0030362B">
        <w:rPr>
          <w:color w:val="000000"/>
        </w:rPr>
        <w:tab/>
        <w:t>Robert L. Watters, Jr.,</w:t>
      </w:r>
      <w:r w:rsidR="00880708">
        <w:rPr>
          <w:color w:val="000000"/>
        </w:rPr>
        <w:t xml:space="preserve"> Director</w:t>
      </w:r>
    </w:p>
    <w:p w14:paraId="7086E747" w14:textId="1D5CB178" w:rsidR="00870B57" w:rsidRDefault="0002715B" w:rsidP="002E6828">
      <w:pPr>
        <w:tabs>
          <w:tab w:val="right" w:pos="9360"/>
        </w:tabs>
        <w:rPr>
          <w:szCs w:val="20"/>
        </w:rPr>
      </w:pPr>
      <w:r w:rsidRPr="008D1748">
        <w:rPr>
          <w:szCs w:val="20"/>
        </w:rPr>
        <w:t xml:space="preserve">Certificate Issue Date:  </w:t>
      </w:r>
      <w:r w:rsidR="00F108C3">
        <w:rPr>
          <w:szCs w:val="20"/>
        </w:rPr>
        <w:t>09 </w:t>
      </w:r>
      <w:r w:rsidR="00880708">
        <w:rPr>
          <w:szCs w:val="20"/>
        </w:rPr>
        <w:t>July </w:t>
      </w:r>
      <w:r w:rsidR="00880708" w:rsidRPr="008D1748">
        <w:rPr>
          <w:szCs w:val="20"/>
        </w:rPr>
        <w:t>20</w:t>
      </w:r>
      <w:r w:rsidR="00880708">
        <w:rPr>
          <w:szCs w:val="20"/>
        </w:rPr>
        <w:t>14</w:t>
      </w:r>
      <w:r w:rsidR="00880708">
        <w:rPr>
          <w:szCs w:val="20"/>
        </w:rPr>
        <w:tab/>
        <w:t>Office of Reference Materials</w:t>
      </w:r>
    </w:p>
    <w:p w14:paraId="026373BA" w14:textId="77777777" w:rsidR="00880708" w:rsidRDefault="005D292E" w:rsidP="00863A72">
      <w:pPr>
        <w:pStyle w:val="Heading7"/>
      </w:pPr>
      <w:r>
        <w:rPr>
          <w:bCs/>
          <w:iCs/>
          <w:spacing w:val="0"/>
        </w:rPr>
        <w:t>Certificate Revision History on Last Page</w:t>
      </w:r>
      <w:r w:rsidR="00880708">
        <w:rPr>
          <w:sz w:val="20"/>
        </w:rPr>
        <w:br w:type="page"/>
      </w:r>
    </w:p>
    <w:p w14:paraId="3C5B4D75" w14:textId="721F22FD" w:rsidR="009E1761" w:rsidRPr="009E1761" w:rsidRDefault="002A1638" w:rsidP="009E1761">
      <w:pPr>
        <w:pStyle w:val="BodyText"/>
        <w:rPr>
          <w:sz w:val="20"/>
          <w:szCs w:val="20"/>
        </w:rPr>
      </w:pPr>
      <w:r>
        <w:rPr>
          <w:sz w:val="20"/>
          <w:szCs w:val="20"/>
        </w:rPr>
        <w:lastRenderedPageBreak/>
        <w:t>S</w:t>
      </w:r>
      <w:r w:rsidR="009E1761" w:rsidRPr="009E1761">
        <w:rPr>
          <w:sz w:val="20"/>
          <w:szCs w:val="20"/>
        </w:rPr>
        <w:t xml:space="preserve">upport aspects involved in the issuance of this SRM were coordinated through the NIST </w:t>
      </w:r>
      <w:r w:rsidR="000F1ABD">
        <w:rPr>
          <w:sz w:val="20"/>
          <w:szCs w:val="20"/>
        </w:rPr>
        <w:t>Office of Reference Materials.</w:t>
      </w:r>
    </w:p>
    <w:p w14:paraId="15B765C3" w14:textId="77777777" w:rsidR="00BD6BC9" w:rsidRDefault="00BD6BC9" w:rsidP="0002715B">
      <w:pPr>
        <w:pStyle w:val="BodyText"/>
        <w:rPr>
          <w:b/>
          <w:bCs/>
          <w:sz w:val="20"/>
          <w:szCs w:val="20"/>
        </w:rPr>
      </w:pPr>
    </w:p>
    <w:p w14:paraId="37C7B5AB" w14:textId="64CA52F0" w:rsidR="0002715B" w:rsidRPr="00325977" w:rsidRDefault="0002715B" w:rsidP="0002715B">
      <w:pPr>
        <w:pStyle w:val="BodyText"/>
        <w:rPr>
          <w:sz w:val="20"/>
          <w:szCs w:val="20"/>
        </w:rPr>
      </w:pPr>
      <w:r w:rsidRPr="00325977">
        <w:rPr>
          <w:b/>
          <w:bCs/>
          <w:sz w:val="20"/>
          <w:szCs w:val="20"/>
        </w:rPr>
        <w:t>Permissions:</w:t>
      </w:r>
      <w:r w:rsidRPr="00EC7402">
        <w:rPr>
          <w:bCs/>
          <w:sz w:val="20"/>
          <w:szCs w:val="20"/>
        </w:rPr>
        <w:t xml:space="preserve"> </w:t>
      </w:r>
      <w:r>
        <w:rPr>
          <w:bCs/>
          <w:sz w:val="20"/>
          <w:szCs w:val="20"/>
        </w:rPr>
        <w:t xml:space="preserve"> </w:t>
      </w:r>
      <w:r w:rsidRPr="00325977">
        <w:rPr>
          <w:sz w:val="20"/>
          <w:szCs w:val="20"/>
        </w:rPr>
        <w:t xml:space="preserve">The research </w:t>
      </w:r>
      <w:r w:rsidR="00660DF6">
        <w:rPr>
          <w:sz w:val="20"/>
          <w:szCs w:val="20"/>
        </w:rPr>
        <w:t>using</w:t>
      </w:r>
      <w:r w:rsidRPr="00325977">
        <w:rPr>
          <w:sz w:val="20"/>
          <w:szCs w:val="20"/>
        </w:rPr>
        <w:t xml:space="preserve"> CHR and GM09947A DNA was deemed exempt by the NIST Institutional Review Board and the Director of the Chemical Science and Technology Laboratory. </w:t>
      </w:r>
      <w:r>
        <w:rPr>
          <w:sz w:val="20"/>
          <w:szCs w:val="20"/>
        </w:rPr>
        <w:t xml:space="preserve"> </w:t>
      </w:r>
      <w:r w:rsidRPr="00325977">
        <w:rPr>
          <w:sz w:val="20"/>
          <w:szCs w:val="20"/>
        </w:rPr>
        <w:t>This work fit</w:t>
      </w:r>
      <w:r w:rsidR="00C23960">
        <w:rPr>
          <w:sz w:val="20"/>
          <w:szCs w:val="20"/>
        </w:rPr>
        <w:t>s</w:t>
      </w:r>
      <w:r w:rsidRPr="00325977">
        <w:rPr>
          <w:sz w:val="20"/>
          <w:szCs w:val="20"/>
        </w:rPr>
        <w:t xml:space="preserve"> into the exemption category described in 15</w:t>
      </w:r>
      <w:r>
        <w:rPr>
          <w:sz w:val="20"/>
          <w:szCs w:val="20"/>
        </w:rPr>
        <w:t> </w:t>
      </w:r>
      <w:r w:rsidRPr="00325977">
        <w:rPr>
          <w:sz w:val="20"/>
          <w:szCs w:val="20"/>
        </w:rPr>
        <w:t>CFR</w:t>
      </w:r>
      <w:r>
        <w:rPr>
          <w:sz w:val="20"/>
          <w:szCs w:val="20"/>
        </w:rPr>
        <w:t> </w:t>
      </w:r>
      <w:r w:rsidRPr="00325977">
        <w:rPr>
          <w:sz w:val="20"/>
          <w:szCs w:val="20"/>
        </w:rPr>
        <w:t xml:space="preserve">27.101(b)(4) which </w:t>
      </w:r>
      <w:r w:rsidR="00660DF6">
        <w:rPr>
          <w:sz w:val="20"/>
          <w:szCs w:val="20"/>
        </w:rPr>
        <w:t>exemp</w:t>
      </w:r>
      <w:r w:rsidR="00507FA2">
        <w:rPr>
          <w:sz w:val="20"/>
          <w:szCs w:val="20"/>
        </w:rPr>
        <w:t>t</w:t>
      </w:r>
      <w:r w:rsidR="00660DF6">
        <w:rPr>
          <w:sz w:val="20"/>
          <w:szCs w:val="20"/>
        </w:rPr>
        <w:t>s</w:t>
      </w:r>
      <w:r w:rsidRPr="00325977">
        <w:rPr>
          <w:sz w:val="20"/>
          <w:szCs w:val="20"/>
        </w:rPr>
        <w:t>:</w:t>
      </w:r>
      <w:r>
        <w:rPr>
          <w:sz w:val="20"/>
          <w:szCs w:val="20"/>
        </w:rPr>
        <w:t xml:space="preserve"> </w:t>
      </w:r>
      <w:r w:rsidRPr="00325977">
        <w:rPr>
          <w:sz w:val="20"/>
          <w:szCs w:val="20"/>
        </w:rPr>
        <w:t xml:space="preserve"> “Research, involving the collection or study of existing data, documents, pathological specimens, or diagnostic specimens, if, these sources are publicly available or if the information is recorded by the investigator in such a manner that subjects cannot be identified, directly or through ident</w:t>
      </w:r>
      <w:r>
        <w:rPr>
          <w:sz w:val="20"/>
          <w:szCs w:val="20"/>
        </w:rPr>
        <w:t>ifiers linked to the subjects.”</w:t>
      </w:r>
    </w:p>
    <w:p w14:paraId="03913412" w14:textId="77777777" w:rsidR="0002715B" w:rsidRPr="00325977" w:rsidRDefault="0002715B" w:rsidP="0002715B">
      <w:pPr>
        <w:pStyle w:val="BodyText"/>
        <w:rPr>
          <w:sz w:val="20"/>
          <w:szCs w:val="20"/>
        </w:rPr>
      </w:pPr>
    </w:p>
    <w:p w14:paraId="74874CEF" w14:textId="77777777" w:rsidR="00492515" w:rsidRPr="00325977" w:rsidRDefault="00492515" w:rsidP="0045785B">
      <w:pPr>
        <w:rPr>
          <w:b/>
          <w:bCs/>
          <w:szCs w:val="20"/>
        </w:rPr>
      </w:pPr>
      <w:r w:rsidRPr="00325977">
        <w:rPr>
          <w:b/>
          <w:bCs/>
          <w:szCs w:val="20"/>
        </w:rPr>
        <w:t xml:space="preserve">INSTRUCTIONS FOR </w:t>
      </w:r>
      <w:r w:rsidR="000F1ABD">
        <w:rPr>
          <w:b/>
          <w:bCs/>
          <w:szCs w:val="20"/>
        </w:rPr>
        <w:t xml:space="preserve">STORAGE AND </w:t>
      </w:r>
      <w:r w:rsidRPr="00325977">
        <w:rPr>
          <w:b/>
          <w:bCs/>
          <w:szCs w:val="20"/>
        </w:rPr>
        <w:t>USE</w:t>
      </w:r>
    </w:p>
    <w:p w14:paraId="059F6816" w14:textId="77777777" w:rsidR="000F1ABD" w:rsidRDefault="000F1ABD" w:rsidP="000F1ABD">
      <w:pPr>
        <w:rPr>
          <w:b/>
          <w:bCs/>
          <w:szCs w:val="20"/>
        </w:rPr>
      </w:pPr>
    </w:p>
    <w:p w14:paraId="4F68BFD3" w14:textId="77777777" w:rsidR="000F1ABD" w:rsidRPr="00325977" w:rsidRDefault="000F1ABD" w:rsidP="000F1ABD">
      <w:pPr>
        <w:rPr>
          <w:szCs w:val="20"/>
        </w:rPr>
      </w:pPr>
      <w:r w:rsidRPr="00325977">
        <w:rPr>
          <w:b/>
          <w:bCs/>
          <w:szCs w:val="20"/>
        </w:rPr>
        <w:t>Storage:</w:t>
      </w:r>
      <w:r w:rsidRPr="00325977">
        <w:rPr>
          <w:szCs w:val="20"/>
        </w:rPr>
        <w:t xml:space="preserve"> </w:t>
      </w:r>
      <w:r>
        <w:rPr>
          <w:szCs w:val="20"/>
        </w:rPr>
        <w:t xml:space="preserve"> </w:t>
      </w:r>
      <w:r w:rsidRPr="00325977">
        <w:rPr>
          <w:szCs w:val="20"/>
        </w:rPr>
        <w:t>Store frozen at a temperature of –20</w:t>
      </w:r>
      <w:r>
        <w:rPr>
          <w:szCs w:val="20"/>
        </w:rPr>
        <w:t> </w:t>
      </w:r>
      <w:r w:rsidRPr="00863A72">
        <w:rPr>
          <w:szCs w:val="20"/>
        </w:rPr>
        <w:t>°</w:t>
      </w:r>
      <w:r w:rsidRPr="00325977">
        <w:rPr>
          <w:szCs w:val="20"/>
        </w:rPr>
        <w:t xml:space="preserve">C.  Do not store in a self-defrosting freezer because </w:t>
      </w:r>
      <w:r>
        <w:rPr>
          <w:szCs w:val="20"/>
        </w:rPr>
        <w:t xml:space="preserve">the </w:t>
      </w:r>
      <w:r w:rsidRPr="00325977">
        <w:rPr>
          <w:szCs w:val="20"/>
        </w:rPr>
        <w:t>periodic cycling of temperatures may shorten the shelf</w:t>
      </w:r>
      <w:r>
        <w:rPr>
          <w:szCs w:val="20"/>
        </w:rPr>
        <w:noBreakHyphen/>
      </w:r>
      <w:r w:rsidRPr="00325977">
        <w:rPr>
          <w:szCs w:val="20"/>
        </w:rPr>
        <w:t>life of this SRM.</w:t>
      </w:r>
    </w:p>
    <w:p w14:paraId="0093E576" w14:textId="77777777" w:rsidR="000F1ABD" w:rsidRPr="00325977" w:rsidRDefault="000F1ABD" w:rsidP="000F1ABD">
      <w:pPr>
        <w:rPr>
          <w:szCs w:val="20"/>
        </w:rPr>
      </w:pPr>
    </w:p>
    <w:p w14:paraId="44D6913F" w14:textId="6D088C9F" w:rsidR="00492515" w:rsidRPr="00325977" w:rsidRDefault="000F1ABD" w:rsidP="0045785B">
      <w:pPr>
        <w:rPr>
          <w:szCs w:val="20"/>
        </w:rPr>
      </w:pPr>
      <w:r w:rsidRPr="00863A72">
        <w:rPr>
          <w:b/>
          <w:szCs w:val="20"/>
        </w:rPr>
        <w:t>U</w:t>
      </w:r>
      <w:r>
        <w:rPr>
          <w:b/>
          <w:szCs w:val="20"/>
        </w:rPr>
        <w:t>se</w:t>
      </w:r>
      <w:r w:rsidRPr="00863A72">
        <w:rPr>
          <w:b/>
          <w:szCs w:val="20"/>
        </w:rPr>
        <w:t>:</w:t>
      </w:r>
      <w:r>
        <w:rPr>
          <w:szCs w:val="20"/>
        </w:rPr>
        <w:t xml:space="preserve">  </w:t>
      </w:r>
      <w:r w:rsidR="000F4268" w:rsidRPr="00325977">
        <w:rPr>
          <w:szCs w:val="20"/>
        </w:rPr>
        <w:t>M</w:t>
      </w:r>
      <w:r w:rsidR="00492515" w:rsidRPr="00325977">
        <w:rPr>
          <w:szCs w:val="20"/>
        </w:rPr>
        <w:t>inimize repeated freezing and thawing of these materials as this might shorten the shelf</w:t>
      </w:r>
      <w:r w:rsidR="00CA2F58">
        <w:rPr>
          <w:szCs w:val="20"/>
        </w:rPr>
        <w:t>-</w:t>
      </w:r>
      <w:r w:rsidR="00492515" w:rsidRPr="00325977">
        <w:rPr>
          <w:szCs w:val="20"/>
        </w:rPr>
        <w:t xml:space="preserve">life of the SRM. </w:t>
      </w:r>
      <w:r w:rsidR="0045785B">
        <w:rPr>
          <w:szCs w:val="20"/>
        </w:rPr>
        <w:t xml:space="preserve"> </w:t>
      </w:r>
      <w:r w:rsidR="00492515" w:rsidRPr="00325977">
        <w:rPr>
          <w:szCs w:val="20"/>
        </w:rPr>
        <w:t xml:space="preserve">If it is necessary to perform </w:t>
      </w:r>
      <w:r w:rsidR="00FB465A" w:rsidRPr="00325977">
        <w:rPr>
          <w:szCs w:val="20"/>
        </w:rPr>
        <w:t xml:space="preserve">many </w:t>
      </w:r>
      <w:r w:rsidR="00492515" w:rsidRPr="00325977">
        <w:rPr>
          <w:szCs w:val="20"/>
        </w:rPr>
        <w:t xml:space="preserve">repeated analyses, the SRM </w:t>
      </w:r>
      <w:r w:rsidR="00FB465A" w:rsidRPr="00325977">
        <w:rPr>
          <w:szCs w:val="20"/>
        </w:rPr>
        <w:t>may be thawed and</w:t>
      </w:r>
      <w:r w:rsidR="00492515" w:rsidRPr="00325977">
        <w:rPr>
          <w:szCs w:val="20"/>
        </w:rPr>
        <w:t xml:space="preserve"> the tube contents </w:t>
      </w:r>
      <w:proofErr w:type="spellStart"/>
      <w:r w:rsidR="00FB465A" w:rsidRPr="00325977">
        <w:rPr>
          <w:szCs w:val="20"/>
        </w:rPr>
        <w:t>aliquot</w:t>
      </w:r>
      <w:r w:rsidR="008C19DE">
        <w:rPr>
          <w:szCs w:val="20"/>
        </w:rPr>
        <w:t>ed</w:t>
      </w:r>
      <w:proofErr w:type="spellEnd"/>
      <w:r w:rsidR="008C19DE">
        <w:rPr>
          <w:szCs w:val="20"/>
        </w:rPr>
        <w:t xml:space="preserve"> into sterile tubes that can be kept frozen until use.</w:t>
      </w:r>
      <w:r w:rsidR="00492515" w:rsidRPr="00325977">
        <w:rPr>
          <w:szCs w:val="20"/>
        </w:rPr>
        <w:t xml:space="preserve"> </w:t>
      </w:r>
      <w:r w:rsidR="0045785B">
        <w:rPr>
          <w:szCs w:val="20"/>
        </w:rPr>
        <w:t xml:space="preserve"> </w:t>
      </w:r>
      <w:r w:rsidR="00492515" w:rsidRPr="00325977">
        <w:rPr>
          <w:szCs w:val="20"/>
        </w:rPr>
        <w:t>Thawing can be conducted at refrigerator temperatures, room temperature, or at 37</w:t>
      </w:r>
      <w:r w:rsidR="0045785B">
        <w:rPr>
          <w:szCs w:val="20"/>
        </w:rPr>
        <w:t> </w:t>
      </w:r>
      <w:r w:rsidR="00F92817" w:rsidRPr="00863A72">
        <w:rPr>
          <w:szCs w:val="20"/>
        </w:rPr>
        <w:t>°</w:t>
      </w:r>
      <w:r w:rsidR="00492515" w:rsidRPr="00325977">
        <w:rPr>
          <w:szCs w:val="20"/>
        </w:rPr>
        <w:t>C.</w:t>
      </w:r>
      <w:r w:rsidR="0045785B">
        <w:rPr>
          <w:szCs w:val="20"/>
        </w:rPr>
        <w:t xml:space="preserve"> </w:t>
      </w:r>
      <w:r w:rsidR="00492515" w:rsidRPr="00325977">
        <w:rPr>
          <w:szCs w:val="20"/>
        </w:rPr>
        <w:t xml:space="preserve"> After thawing</w:t>
      </w:r>
      <w:r w:rsidR="0045785B">
        <w:rPr>
          <w:szCs w:val="20"/>
        </w:rPr>
        <w:t>,</w:t>
      </w:r>
      <w:r w:rsidR="00492515" w:rsidRPr="00325977">
        <w:rPr>
          <w:szCs w:val="20"/>
        </w:rPr>
        <w:t xml:space="preserve"> briefly centrifuge the sample tube to spin down any condensate present in the tube cap</w:t>
      </w:r>
      <w:r w:rsidR="0045785B">
        <w:rPr>
          <w:szCs w:val="20"/>
        </w:rPr>
        <w:t>,</w:t>
      </w:r>
      <w:r w:rsidR="00492515" w:rsidRPr="00325977">
        <w:rPr>
          <w:szCs w:val="20"/>
        </w:rPr>
        <w:t xml:space="preserve"> and gently mix to obtain a homogeneous solution.</w:t>
      </w:r>
      <w:r w:rsidR="0045785B">
        <w:rPr>
          <w:szCs w:val="20"/>
        </w:rPr>
        <w:t xml:space="preserve"> </w:t>
      </w:r>
      <w:r w:rsidR="00492515" w:rsidRPr="00325977">
        <w:rPr>
          <w:szCs w:val="20"/>
        </w:rPr>
        <w:t xml:space="preserve"> </w:t>
      </w:r>
      <w:r w:rsidR="000F4268" w:rsidRPr="00325977">
        <w:rPr>
          <w:szCs w:val="20"/>
        </w:rPr>
        <w:t xml:space="preserve">The tube manufacturer </w:t>
      </w:r>
      <w:r w:rsidR="00DD0DDC">
        <w:rPr>
          <w:szCs w:val="20"/>
        </w:rPr>
        <w:t xml:space="preserve">cautions </w:t>
      </w:r>
      <w:r w:rsidR="000F4268" w:rsidRPr="00325977">
        <w:rPr>
          <w:szCs w:val="20"/>
        </w:rPr>
        <w:t>that the sample tube caps should be tightened snugly, but not over-tightened.</w:t>
      </w:r>
      <w:r w:rsidR="0045785B">
        <w:rPr>
          <w:szCs w:val="20"/>
        </w:rPr>
        <w:t xml:space="preserve"> </w:t>
      </w:r>
      <w:r w:rsidR="000F4268" w:rsidRPr="00325977">
        <w:rPr>
          <w:szCs w:val="20"/>
        </w:rPr>
        <w:t xml:space="preserve"> </w:t>
      </w:r>
      <w:r w:rsidR="00492515" w:rsidRPr="00325977">
        <w:rPr>
          <w:szCs w:val="20"/>
        </w:rPr>
        <w:t>DNA concentrations given are nominal values and are NOT intended for use as concentration standards</w:t>
      </w:r>
      <w:r w:rsidR="00DD0DDC">
        <w:rPr>
          <w:szCs w:val="20"/>
        </w:rPr>
        <w:t>; only the mass concentration ratios are certified</w:t>
      </w:r>
      <w:r w:rsidR="00492515" w:rsidRPr="00325977">
        <w:rPr>
          <w:szCs w:val="20"/>
        </w:rPr>
        <w:t>.</w:t>
      </w:r>
    </w:p>
    <w:p w14:paraId="768EEC43" w14:textId="77777777" w:rsidR="00492515" w:rsidRPr="00325977" w:rsidRDefault="00492515">
      <w:pPr>
        <w:rPr>
          <w:szCs w:val="20"/>
        </w:rPr>
      </w:pPr>
    </w:p>
    <w:p w14:paraId="640AAB7E" w14:textId="22B634D6" w:rsidR="00492515" w:rsidRPr="00325977" w:rsidRDefault="00492515" w:rsidP="00DD0DDC">
      <w:pPr>
        <w:pStyle w:val="Heading2"/>
        <w:rPr>
          <w:sz w:val="20"/>
          <w:szCs w:val="20"/>
        </w:rPr>
      </w:pPr>
      <w:r w:rsidRPr="00325977">
        <w:rPr>
          <w:sz w:val="20"/>
          <w:szCs w:val="20"/>
        </w:rPr>
        <w:t>SOURCE AND ANALYSIS</w:t>
      </w:r>
      <w:r w:rsidR="00126EDC">
        <w:rPr>
          <w:sz w:val="20"/>
          <w:szCs w:val="20"/>
          <w:vertAlign w:val="superscript"/>
        </w:rPr>
        <w:t>(</w:t>
      </w:r>
      <w:r w:rsidRPr="00325977">
        <w:rPr>
          <w:rStyle w:val="FootnoteReference"/>
          <w:sz w:val="20"/>
          <w:szCs w:val="20"/>
        </w:rPr>
        <w:footnoteReference w:id="2"/>
      </w:r>
      <w:r w:rsidR="00126EDC">
        <w:rPr>
          <w:sz w:val="20"/>
          <w:szCs w:val="20"/>
          <w:vertAlign w:val="superscript"/>
        </w:rPr>
        <w:t>)</w:t>
      </w:r>
    </w:p>
    <w:p w14:paraId="0861E302" w14:textId="77777777" w:rsidR="00492515" w:rsidRPr="00325977" w:rsidRDefault="00492515" w:rsidP="00DD0DDC">
      <w:pPr>
        <w:rPr>
          <w:szCs w:val="20"/>
        </w:rPr>
      </w:pPr>
    </w:p>
    <w:p w14:paraId="2E4E7C39" w14:textId="16A445D4" w:rsidR="00492515" w:rsidRPr="00325977" w:rsidRDefault="00492515" w:rsidP="0045785B">
      <w:pPr>
        <w:autoSpaceDE w:val="0"/>
        <w:autoSpaceDN w:val="0"/>
        <w:adjustRightInd w:val="0"/>
        <w:rPr>
          <w:szCs w:val="20"/>
        </w:rPr>
      </w:pPr>
      <w:r w:rsidRPr="00325977">
        <w:rPr>
          <w:b/>
          <w:bCs/>
          <w:szCs w:val="20"/>
        </w:rPr>
        <w:t>Source of Material:</w:t>
      </w:r>
      <w:r w:rsidR="0045785B">
        <w:rPr>
          <w:bCs/>
          <w:szCs w:val="20"/>
        </w:rPr>
        <w:t xml:space="preserve">  </w:t>
      </w:r>
      <w:r w:rsidRPr="00325977">
        <w:rPr>
          <w:szCs w:val="20"/>
        </w:rPr>
        <w:t>CHR</w:t>
      </w:r>
      <w:r w:rsidR="0045785B">
        <w:rPr>
          <w:szCs w:val="20"/>
        </w:rPr>
        <w:t> </w:t>
      </w:r>
      <w:r w:rsidRPr="00325977">
        <w:rPr>
          <w:szCs w:val="20"/>
        </w:rPr>
        <w:t xml:space="preserve">DNA was prepared in the NIST </w:t>
      </w:r>
      <w:bookmarkStart w:id="1" w:name="OLE_LINK2"/>
      <w:r w:rsidRPr="00325977">
        <w:rPr>
          <w:szCs w:val="20"/>
        </w:rPr>
        <w:t xml:space="preserve">DNA Technologies Group, </w:t>
      </w:r>
      <w:bookmarkEnd w:id="1"/>
      <w:r w:rsidRPr="00325977">
        <w:rPr>
          <w:szCs w:val="20"/>
        </w:rPr>
        <w:t>Biotechnology Division.</w:t>
      </w:r>
      <w:r w:rsidR="0045785B">
        <w:rPr>
          <w:szCs w:val="20"/>
        </w:rPr>
        <w:t xml:space="preserve"> </w:t>
      </w:r>
      <w:r w:rsidRPr="00325977">
        <w:rPr>
          <w:szCs w:val="20"/>
        </w:rPr>
        <w:t xml:space="preserve"> GM09947A</w:t>
      </w:r>
      <w:r w:rsidR="0045785B">
        <w:rPr>
          <w:szCs w:val="20"/>
        </w:rPr>
        <w:t> </w:t>
      </w:r>
      <w:r w:rsidRPr="00325977">
        <w:rPr>
          <w:szCs w:val="20"/>
        </w:rPr>
        <w:t>DNA was prepared by Life Technologies, Inc.</w:t>
      </w:r>
      <w:r w:rsidR="00F34B0B">
        <w:rPr>
          <w:szCs w:val="20"/>
        </w:rPr>
        <w:t xml:space="preserve"> (</w:t>
      </w:r>
      <w:smartTag w:uri="urn:schemas-microsoft-com:office:smarttags" w:element="place">
        <w:smartTag w:uri="urn:schemas-microsoft-com:office:smarttags" w:element="City">
          <w:r w:rsidRPr="00325977">
            <w:rPr>
              <w:szCs w:val="20"/>
            </w:rPr>
            <w:t>Gaithersburg</w:t>
          </w:r>
        </w:smartTag>
        <w:r w:rsidRPr="00325977">
          <w:rPr>
            <w:szCs w:val="20"/>
          </w:rPr>
          <w:t xml:space="preserve">, </w:t>
        </w:r>
        <w:smartTag w:uri="urn:schemas-microsoft-com:office:smarttags" w:element="State">
          <w:r w:rsidRPr="00325977">
            <w:rPr>
              <w:szCs w:val="20"/>
            </w:rPr>
            <w:t>MD</w:t>
          </w:r>
        </w:smartTag>
      </w:smartTag>
      <w:r w:rsidR="00F34B0B">
        <w:rPr>
          <w:szCs w:val="20"/>
        </w:rPr>
        <w:t>)</w:t>
      </w:r>
      <w:r w:rsidRPr="00325977">
        <w:rPr>
          <w:szCs w:val="20"/>
        </w:rPr>
        <w:t>.</w:t>
      </w:r>
      <w:r w:rsidR="0045785B">
        <w:rPr>
          <w:szCs w:val="20"/>
        </w:rPr>
        <w:t xml:space="preserve"> </w:t>
      </w:r>
      <w:r w:rsidRPr="00325977">
        <w:rPr>
          <w:szCs w:val="20"/>
        </w:rPr>
        <w:t xml:space="preserve"> </w:t>
      </w:r>
      <w:r w:rsidR="00DD0DDC">
        <w:rPr>
          <w:szCs w:val="20"/>
        </w:rPr>
        <w:t xml:space="preserve">(Note:  The current vendor of GM09947A is </w:t>
      </w:r>
      <w:proofErr w:type="spellStart"/>
      <w:r w:rsidR="00DD0DDC">
        <w:rPr>
          <w:szCs w:val="20"/>
        </w:rPr>
        <w:t>Marligen</w:t>
      </w:r>
      <w:proofErr w:type="spellEnd"/>
      <w:r w:rsidR="00DD0DDC">
        <w:rPr>
          <w:szCs w:val="20"/>
        </w:rPr>
        <w:t xml:space="preserve"> Biosciences Inc., </w:t>
      </w:r>
      <w:smartTag w:uri="urn:schemas-microsoft-com:office:smarttags" w:element="place">
        <w:smartTag w:uri="urn:schemas-microsoft-com:office:smarttags" w:element="City">
          <w:r w:rsidR="00DD0DDC">
            <w:rPr>
              <w:szCs w:val="20"/>
            </w:rPr>
            <w:t>Ijamsville</w:t>
          </w:r>
        </w:smartTag>
        <w:r w:rsidR="00DD0DDC">
          <w:rPr>
            <w:szCs w:val="20"/>
          </w:rPr>
          <w:t xml:space="preserve">, </w:t>
        </w:r>
        <w:smartTag w:uri="urn:schemas-microsoft-com:office:smarttags" w:element="State">
          <w:r w:rsidR="00DD0DDC">
            <w:rPr>
              <w:szCs w:val="20"/>
            </w:rPr>
            <w:t>MD.</w:t>
          </w:r>
        </w:smartTag>
      </w:smartTag>
      <w:r w:rsidR="00DD0DDC">
        <w:rPr>
          <w:szCs w:val="20"/>
        </w:rPr>
        <w:t xml:space="preserve">)  </w:t>
      </w:r>
      <w:r w:rsidRPr="00325977">
        <w:rPr>
          <w:szCs w:val="20"/>
        </w:rPr>
        <w:t>The 285</w:t>
      </w:r>
      <w:r w:rsidR="0045785B">
        <w:rPr>
          <w:szCs w:val="20"/>
        </w:rPr>
        <w:t> </w:t>
      </w:r>
      <w:proofErr w:type="spellStart"/>
      <w:r w:rsidRPr="00325977">
        <w:rPr>
          <w:szCs w:val="20"/>
        </w:rPr>
        <w:t>bp</w:t>
      </w:r>
      <w:proofErr w:type="spellEnd"/>
      <w:r w:rsidRPr="00325977">
        <w:rPr>
          <w:szCs w:val="20"/>
        </w:rPr>
        <w:t xml:space="preserve"> </w:t>
      </w:r>
      <w:proofErr w:type="spellStart"/>
      <w:r w:rsidRPr="00325977">
        <w:rPr>
          <w:szCs w:val="20"/>
        </w:rPr>
        <w:t>amplicons</w:t>
      </w:r>
      <w:proofErr w:type="spellEnd"/>
      <w:r w:rsidRPr="00325977">
        <w:rPr>
          <w:szCs w:val="20"/>
        </w:rPr>
        <w:t xml:space="preserve"> from CHR and GM09947A and their mixtures were prepared by the</w:t>
      </w:r>
      <w:r w:rsidR="0080053E">
        <w:rPr>
          <w:szCs w:val="20"/>
        </w:rPr>
        <w:t xml:space="preserve"> </w:t>
      </w:r>
      <w:r w:rsidR="00926096" w:rsidRPr="00325977">
        <w:rPr>
          <w:szCs w:val="20"/>
        </w:rPr>
        <w:t xml:space="preserve">DNA Technologies Group, </w:t>
      </w:r>
      <w:r w:rsidR="0080053E">
        <w:rPr>
          <w:szCs w:val="20"/>
        </w:rPr>
        <w:t xml:space="preserve">formerly of the </w:t>
      </w:r>
      <w:r w:rsidR="00F108C3" w:rsidRPr="00325977">
        <w:rPr>
          <w:szCs w:val="20"/>
        </w:rPr>
        <w:t xml:space="preserve">NIST </w:t>
      </w:r>
      <w:r w:rsidRPr="00325977">
        <w:rPr>
          <w:szCs w:val="20"/>
        </w:rPr>
        <w:t>Biotechnology Division.</w:t>
      </w:r>
    </w:p>
    <w:p w14:paraId="14006EE7" w14:textId="77777777" w:rsidR="00492515" w:rsidRPr="00325977" w:rsidRDefault="00492515" w:rsidP="0045785B">
      <w:pPr>
        <w:rPr>
          <w:szCs w:val="20"/>
        </w:rPr>
      </w:pPr>
    </w:p>
    <w:p w14:paraId="6FAB3F60" w14:textId="77777777" w:rsidR="00492515" w:rsidRPr="00325977" w:rsidRDefault="00492515" w:rsidP="0045785B">
      <w:pPr>
        <w:rPr>
          <w:szCs w:val="20"/>
        </w:rPr>
      </w:pPr>
      <w:r w:rsidRPr="00325977">
        <w:rPr>
          <w:b/>
          <w:bCs/>
          <w:szCs w:val="20"/>
        </w:rPr>
        <w:t>NIST Analysis:</w:t>
      </w:r>
      <w:r w:rsidRPr="00325977">
        <w:rPr>
          <w:szCs w:val="20"/>
        </w:rPr>
        <w:t xml:space="preserve"> </w:t>
      </w:r>
      <w:r w:rsidR="0045785B">
        <w:rPr>
          <w:szCs w:val="20"/>
        </w:rPr>
        <w:t xml:space="preserve"> </w:t>
      </w:r>
      <w:r w:rsidRPr="00325977">
        <w:rPr>
          <w:szCs w:val="20"/>
        </w:rPr>
        <w:t>PCR was used to amplify the 285</w:t>
      </w:r>
      <w:r w:rsidR="0045785B">
        <w:rPr>
          <w:szCs w:val="20"/>
        </w:rPr>
        <w:t> </w:t>
      </w:r>
      <w:proofErr w:type="spellStart"/>
      <w:r w:rsidRPr="00325977">
        <w:rPr>
          <w:szCs w:val="20"/>
        </w:rPr>
        <w:t>bp</w:t>
      </w:r>
      <w:proofErr w:type="spellEnd"/>
      <w:r w:rsidRPr="00325977">
        <w:rPr>
          <w:szCs w:val="20"/>
        </w:rPr>
        <w:t xml:space="preserve"> area of the </w:t>
      </w:r>
      <w:proofErr w:type="spellStart"/>
      <w:r w:rsidRPr="00325977">
        <w:rPr>
          <w:szCs w:val="20"/>
        </w:rPr>
        <w:t>mtDNA</w:t>
      </w:r>
      <w:proofErr w:type="spellEnd"/>
      <w:r w:rsidRPr="00325977">
        <w:rPr>
          <w:szCs w:val="20"/>
        </w:rPr>
        <w:t xml:space="preserve"> from cell lines CHR and GM09947A using the primer set shown in Table</w:t>
      </w:r>
      <w:r w:rsidR="0045785B">
        <w:rPr>
          <w:szCs w:val="20"/>
        </w:rPr>
        <w:t> </w:t>
      </w:r>
      <w:r w:rsidR="00DD0DDC">
        <w:rPr>
          <w:szCs w:val="20"/>
        </w:rPr>
        <w:t>3</w:t>
      </w:r>
      <w:r w:rsidRPr="00325977">
        <w:rPr>
          <w:szCs w:val="20"/>
        </w:rPr>
        <w:t xml:space="preserve">.  The PCR products were sequenced with an </w:t>
      </w:r>
      <w:r w:rsidR="00DD0DDC">
        <w:rPr>
          <w:szCs w:val="20"/>
        </w:rPr>
        <w:t>ABI PRISM</w:t>
      </w:r>
      <w:r w:rsidR="00DD0DDC" w:rsidRPr="00DD0DDC">
        <w:rPr>
          <w:szCs w:val="20"/>
          <w:vertAlign w:val="superscript"/>
        </w:rPr>
        <w:t>®</w:t>
      </w:r>
      <w:r w:rsidR="00DD0DDC">
        <w:rPr>
          <w:szCs w:val="20"/>
        </w:rPr>
        <w:t xml:space="preserve"> 310 Genetic Analyzer (</w:t>
      </w:r>
      <w:r w:rsidRPr="00325977">
        <w:rPr>
          <w:szCs w:val="20"/>
        </w:rPr>
        <w:t xml:space="preserve">Applied </w:t>
      </w:r>
      <w:proofErr w:type="spellStart"/>
      <w:r w:rsidRPr="00325977">
        <w:rPr>
          <w:szCs w:val="20"/>
        </w:rPr>
        <w:t>Biosystems</w:t>
      </w:r>
      <w:proofErr w:type="spellEnd"/>
      <w:r w:rsidRPr="00325977">
        <w:rPr>
          <w:szCs w:val="20"/>
        </w:rPr>
        <w:t>, Inc.</w:t>
      </w:r>
      <w:r w:rsidR="00DD0DDC">
        <w:rPr>
          <w:szCs w:val="20"/>
        </w:rPr>
        <w:t xml:space="preserve">, </w:t>
      </w:r>
      <w:smartTag w:uri="urn:schemas-microsoft-com:office:smarttags" w:element="place">
        <w:smartTag w:uri="urn:schemas-microsoft-com:office:smarttags" w:element="City">
          <w:r w:rsidR="00DD0DDC">
            <w:rPr>
              <w:szCs w:val="20"/>
            </w:rPr>
            <w:t>Foster City</w:t>
          </w:r>
        </w:smartTag>
        <w:r w:rsidR="00DD0DDC">
          <w:rPr>
            <w:szCs w:val="20"/>
          </w:rPr>
          <w:t xml:space="preserve">, </w:t>
        </w:r>
        <w:smartTag w:uri="urn:schemas-microsoft-com:office:smarttags" w:element="State">
          <w:r w:rsidR="00DD0DDC">
            <w:rPr>
              <w:szCs w:val="20"/>
            </w:rPr>
            <w:t>CA</w:t>
          </w:r>
        </w:smartTag>
      </w:smartTag>
      <w:r w:rsidR="00DD0DDC">
        <w:rPr>
          <w:szCs w:val="20"/>
        </w:rPr>
        <w:t>)</w:t>
      </w:r>
      <w:r w:rsidRPr="00325977">
        <w:rPr>
          <w:szCs w:val="20"/>
        </w:rPr>
        <w:t>.</w:t>
      </w:r>
      <w:r w:rsidR="0045785B">
        <w:rPr>
          <w:szCs w:val="20"/>
        </w:rPr>
        <w:t xml:space="preserve"> </w:t>
      </w:r>
      <w:r w:rsidRPr="00325977">
        <w:rPr>
          <w:szCs w:val="20"/>
        </w:rPr>
        <w:t xml:space="preserve"> Multiple techniques were examined to identify </w:t>
      </w:r>
      <w:r w:rsidR="00DD0DDC">
        <w:rPr>
          <w:szCs w:val="20"/>
        </w:rPr>
        <w:t xml:space="preserve">an optimal </w:t>
      </w:r>
      <w:r w:rsidRPr="00325977">
        <w:rPr>
          <w:szCs w:val="20"/>
        </w:rPr>
        <w:t xml:space="preserve">way to determine the relative </w:t>
      </w:r>
      <w:r w:rsidR="00DD0DDC">
        <w:rPr>
          <w:szCs w:val="20"/>
        </w:rPr>
        <w:t xml:space="preserve">mass </w:t>
      </w:r>
      <w:r w:rsidRPr="00325977">
        <w:rPr>
          <w:szCs w:val="20"/>
        </w:rPr>
        <w:t xml:space="preserve">concentration of each </w:t>
      </w:r>
      <w:proofErr w:type="spellStart"/>
      <w:r w:rsidRPr="00325977">
        <w:rPr>
          <w:szCs w:val="20"/>
        </w:rPr>
        <w:t>amplicon</w:t>
      </w:r>
      <w:proofErr w:type="spellEnd"/>
      <w:r w:rsidRPr="00325977">
        <w:rPr>
          <w:szCs w:val="20"/>
        </w:rPr>
        <w:t xml:space="preserve">. </w:t>
      </w:r>
      <w:r w:rsidR="00DD0DDC">
        <w:rPr>
          <w:szCs w:val="20"/>
        </w:rPr>
        <w:t xml:space="preserve">The techniques examined included </w:t>
      </w:r>
      <w:r w:rsidR="00D6057E">
        <w:rPr>
          <w:szCs w:val="20"/>
        </w:rPr>
        <w:t>ultraviolet</w:t>
      </w:r>
      <w:r w:rsidR="00C23960">
        <w:rPr>
          <w:szCs w:val="20"/>
        </w:rPr>
        <w:t> </w:t>
      </w:r>
      <w:r w:rsidR="00D6057E">
        <w:rPr>
          <w:szCs w:val="20"/>
        </w:rPr>
        <w:t>(</w:t>
      </w:r>
      <w:r w:rsidR="00DD0DDC">
        <w:rPr>
          <w:szCs w:val="20"/>
        </w:rPr>
        <w:t>UV</w:t>
      </w:r>
      <w:r w:rsidR="00D6057E">
        <w:rPr>
          <w:szCs w:val="20"/>
        </w:rPr>
        <w:t xml:space="preserve">) </w:t>
      </w:r>
      <w:r w:rsidR="00DD0DDC">
        <w:rPr>
          <w:szCs w:val="20"/>
        </w:rPr>
        <w:t>absorbance at 254 nm, fluorescence analysis using a number of DNA dyes on different platforms, peptide nucleic acid (PNA), Denaturing Gradient Gel Electrophoresis (DGGE), Denaturing High Performa</w:t>
      </w:r>
      <w:r w:rsidR="00935223">
        <w:rPr>
          <w:szCs w:val="20"/>
        </w:rPr>
        <w:t>n</w:t>
      </w:r>
      <w:r w:rsidR="00DD0DDC">
        <w:rPr>
          <w:szCs w:val="20"/>
        </w:rPr>
        <w:t xml:space="preserve">ce Liquid Chromatography and oligonucleotide hybridization analysis using the </w:t>
      </w:r>
      <w:proofErr w:type="spellStart"/>
      <w:r w:rsidR="00DD0DDC">
        <w:rPr>
          <w:szCs w:val="20"/>
        </w:rPr>
        <w:t>Luminex</w:t>
      </w:r>
      <w:proofErr w:type="spellEnd"/>
      <w:r w:rsidR="00DD0DDC">
        <w:rPr>
          <w:szCs w:val="20"/>
        </w:rPr>
        <w:t xml:space="preserve"> 100 system.  </w:t>
      </w:r>
      <w:r w:rsidR="00A67DF3">
        <w:rPr>
          <w:szCs w:val="20"/>
        </w:rPr>
        <w:t xml:space="preserve">Once the relative mass concentrations </w:t>
      </w:r>
      <w:r w:rsidR="00507FA2">
        <w:rPr>
          <w:szCs w:val="20"/>
        </w:rPr>
        <w:t xml:space="preserve">of the PCR products </w:t>
      </w:r>
      <w:r w:rsidR="00A67DF3">
        <w:rPr>
          <w:szCs w:val="20"/>
        </w:rPr>
        <w:t>were determined, the mixtures were prepared.</w:t>
      </w:r>
    </w:p>
    <w:p w14:paraId="17AB2D34" w14:textId="77777777" w:rsidR="00A67DF3" w:rsidRPr="00D4658C" w:rsidRDefault="00A67DF3" w:rsidP="0045785B">
      <w:pPr>
        <w:jc w:val="center"/>
        <w:rPr>
          <w:bCs/>
          <w:szCs w:val="20"/>
        </w:rPr>
      </w:pPr>
    </w:p>
    <w:p w14:paraId="1CF1E9F3" w14:textId="77777777" w:rsidR="00A67DF3" w:rsidRPr="00D4658C" w:rsidRDefault="00A67DF3" w:rsidP="0045785B">
      <w:pPr>
        <w:jc w:val="center"/>
        <w:rPr>
          <w:bCs/>
          <w:szCs w:val="20"/>
        </w:rPr>
      </w:pPr>
    </w:p>
    <w:p w14:paraId="07A8E2C0" w14:textId="109E4984" w:rsidR="00492515" w:rsidRPr="00F34B0B" w:rsidRDefault="00492515" w:rsidP="00935223">
      <w:pPr>
        <w:jc w:val="center"/>
        <w:rPr>
          <w:bCs/>
          <w:szCs w:val="20"/>
        </w:rPr>
      </w:pPr>
      <w:r w:rsidRPr="00325977">
        <w:rPr>
          <w:b/>
          <w:bCs/>
          <w:szCs w:val="20"/>
        </w:rPr>
        <w:br w:type="page"/>
      </w:r>
      <w:r w:rsidRPr="00E95CF3">
        <w:rPr>
          <w:bCs/>
          <w:szCs w:val="20"/>
        </w:rPr>
        <w:lastRenderedPageBreak/>
        <w:t xml:space="preserve">Table 1. </w:t>
      </w:r>
      <w:r w:rsidR="00B16691">
        <w:rPr>
          <w:bCs/>
          <w:szCs w:val="20"/>
        </w:rPr>
        <w:t xml:space="preserve"> </w:t>
      </w:r>
      <w:r w:rsidR="00F34B0B" w:rsidRPr="00E95CF3">
        <w:rPr>
          <w:bCs/>
          <w:szCs w:val="20"/>
        </w:rPr>
        <w:t xml:space="preserve">Certified </w:t>
      </w:r>
      <w:r w:rsidR="005E13C3">
        <w:rPr>
          <w:bCs/>
          <w:szCs w:val="20"/>
        </w:rPr>
        <w:t xml:space="preserve">Mass Fraction </w:t>
      </w:r>
      <w:r w:rsidR="00F34B0B" w:rsidRPr="00E95CF3">
        <w:rPr>
          <w:bCs/>
          <w:szCs w:val="20"/>
        </w:rPr>
        <w:t>Values of Polymorphic/</w:t>
      </w:r>
      <w:r w:rsidR="00012D16">
        <w:rPr>
          <w:bCs/>
          <w:szCs w:val="20"/>
        </w:rPr>
        <w:t>CRS</w:t>
      </w:r>
      <w:r w:rsidR="00F34B0B" w:rsidRPr="00E95CF3">
        <w:rPr>
          <w:bCs/>
          <w:szCs w:val="20"/>
        </w:rPr>
        <w:t xml:space="preserve"> </w:t>
      </w:r>
      <w:proofErr w:type="spellStart"/>
      <w:r w:rsidR="00F34B0B" w:rsidRPr="00E95CF3">
        <w:rPr>
          <w:bCs/>
          <w:szCs w:val="20"/>
        </w:rPr>
        <w:t>mtDNA</w:t>
      </w:r>
      <w:proofErr w:type="spellEnd"/>
      <w:r w:rsidR="00F34B0B" w:rsidRPr="00E95CF3">
        <w:rPr>
          <w:bCs/>
          <w:szCs w:val="20"/>
        </w:rPr>
        <w:t xml:space="preserve"> Mixtures</w:t>
      </w:r>
      <w:r w:rsidR="00585906">
        <w:rPr>
          <w:szCs w:val="20"/>
          <w:vertAlign w:val="superscript"/>
        </w:rPr>
        <w:t>(a)</w:t>
      </w:r>
    </w:p>
    <w:p w14:paraId="750FA08F" w14:textId="77777777" w:rsidR="00623443" w:rsidRDefault="00623443" w:rsidP="00863A72">
      <w:pPr>
        <w:tabs>
          <w:tab w:val="left" w:pos="3240"/>
          <w:tab w:val="left" w:pos="5220"/>
          <w:tab w:val="left" w:pos="7560"/>
        </w:tabs>
        <w:rPr>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530"/>
        <w:gridCol w:w="2160"/>
        <w:gridCol w:w="2689"/>
      </w:tblGrid>
      <w:tr w:rsidR="00034CE2" w:rsidRPr="00BB3D92" w14:paraId="612D3AD8" w14:textId="77777777" w:rsidTr="00CE7AE5">
        <w:trPr>
          <w:trHeight w:val="576"/>
          <w:jc w:val="center"/>
        </w:trPr>
        <w:tc>
          <w:tcPr>
            <w:tcW w:w="1260" w:type="dxa"/>
          </w:tcPr>
          <w:p w14:paraId="738F92B8" w14:textId="77777777" w:rsidR="00034CE2" w:rsidRPr="00BB3D92" w:rsidRDefault="00034CE2">
            <w:pPr>
              <w:tabs>
                <w:tab w:val="decimal" w:pos="612"/>
              </w:tabs>
              <w:rPr>
                <w:szCs w:val="20"/>
              </w:rPr>
            </w:pPr>
            <w:r w:rsidRPr="00325977">
              <w:rPr>
                <w:szCs w:val="20"/>
              </w:rPr>
              <w:t xml:space="preserve">Component </w:t>
            </w:r>
            <w:r>
              <w:rPr>
                <w:szCs w:val="20"/>
              </w:rPr>
              <w:t>No.</w:t>
            </w:r>
          </w:p>
        </w:tc>
        <w:tc>
          <w:tcPr>
            <w:tcW w:w="1530" w:type="dxa"/>
          </w:tcPr>
          <w:p w14:paraId="65FC97F3" w14:textId="77777777" w:rsidR="00034CE2" w:rsidRPr="00BB3D92" w:rsidRDefault="00034CE2" w:rsidP="00BB3D92">
            <w:pPr>
              <w:rPr>
                <w:szCs w:val="20"/>
              </w:rPr>
            </w:pPr>
            <w:r w:rsidRPr="00325977">
              <w:rPr>
                <w:szCs w:val="20"/>
              </w:rPr>
              <w:t>Color Code</w:t>
            </w:r>
          </w:p>
        </w:tc>
        <w:tc>
          <w:tcPr>
            <w:tcW w:w="2160" w:type="dxa"/>
          </w:tcPr>
          <w:p w14:paraId="265E2FE7" w14:textId="4574B016" w:rsidR="00034CE2" w:rsidRDefault="005E13C3" w:rsidP="00CE7AE5">
            <w:pPr>
              <w:jc w:val="center"/>
              <w:rPr>
                <w:szCs w:val="20"/>
              </w:rPr>
            </w:pPr>
            <w:r>
              <w:rPr>
                <w:szCs w:val="20"/>
              </w:rPr>
              <w:t xml:space="preserve">Mass Fraction </w:t>
            </w:r>
            <w:r w:rsidR="00034CE2" w:rsidRPr="00325977">
              <w:rPr>
                <w:szCs w:val="20"/>
              </w:rPr>
              <w:t>A (CHR)</w:t>
            </w:r>
          </w:p>
          <w:p w14:paraId="0660769B" w14:textId="6B63F0DB" w:rsidR="00034CE2" w:rsidRPr="00BB3D92" w:rsidRDefault="00034CE2" w:rsidP="00CE7AE5">
            <w:pPr>
              <w:jc w:val="center"/>
              <w:rPr>
                <w:szCs w:val="20"/>
              </w:rPr>
            </w:pPr>
            <w:r w:rsidRPr="00325977">
              <w:rPr>
                <w:szCs w:val="20"/>
              </w:rPr>
              <w:t>(%)</w:t>
            </w:r>
          </w:p>
        </w:tc>
        <w:tc>
          <w:tcPr>
            <w:tcW w:w="0" w:type="auto"/>
          </w:tcPr>
          <w:p w14:paraId="3DB2C8F0" w14:textId="2713F2BA" w:rsidR="00034CE2" w:rsidRDefault="005E13C3" w:rsidP="00CE7AE5">
            <w:pPr>
              <w:jc w:val="center"/>
              <w:rPr>
                <w:szCs w:val="20"/>
              </w:rPr>
            </w:pPr>
            <w:r>
              <w:rPr>
                <w:szCs w:val="20"/>
              </w:rPr>
              <w:t xml:space="preserve">Mass Fraction </w:t>
            </w:r>
            <w:r w:rsidR="00034CE2" w:rsidRPr="00325977">
              <w:rPr>
                <w:szCs w:val="20"/>
              </w:rPr>
              <w:t>B (GM09947A)</w:t>
            </w:r>
          </w:p>
          <w:p w14:paraId="0ED3749C" w14:textId="741BF28D" w:rsidR="00034CE2" w:rsidRPr="00BB3D92" w:rsidRDefault="00034CE2" w:rsidP="00CE7AE5">
            <w:pPr>
              <w:jc w:val="center"/>
              <w:rPr>
                <w:szCs w:val="20"/>
              </w:rPr>
            </w:pPr>
            <w:r w:rsidRPr="00325977">
              <w:rPr>
                <w:szCs w:val="20"/>
              </w:rPr>
              <w:t>(%)</w:t>
            </w:r>
          </w:p>
        </w:tc>
      </w:tr>
      <w:tr w:rsidR="00034CE2" w:rsidRPr="00BB3D92" w14:paraId="07AA40D2" w14:textId="77777777" w:rsidTr="00CE7AE5">
        <w:trPr>
          <w:trHeight w:val="216"/>
          <w:jc w:val="center"/>
        </w:trPr>
        <w:tc>
          <w:tcPr>
            <w:tcW w:w="1260" w:type="dxa"/>
          </w:tcPr>
          <w:p w14:paraId="1F3756D3" w14:textId="4CDA0876" w:rsidR="00034CE2" w:rsidRPr="00BB3D92" w:rsidRDefault="00034CE2">
            <w:pPr>
              <w:tabs>
                <w:tab w:val="decimal" w:pos="612"/>
              </w:tabs>
              <w:rPr>
                <w:szCs w:val="20"/>
              </w:rPr>
            </w:pPr>
            <w:r w:rsidRPr="00BB3D92">
              <w:rPr>
                <w:szCs w:val="20"/>
              </w:rPr>
              <w:t>1</w:t>
            </w:r>
          </w:p>
        </w:tc>
        <w:tc>
          <w:tcPr>
            <w:tcW w:w="1530" w:type="dxa"/>
          </w:tcPr>
          <w:p w14:paraId="290A94C6" w14:textId="77777777" w:rsidR="00034CE2" w:rsidRPr="00BB3D92" w:rsidRDefault="00034CE2" w:rsidP="00BB3D92">
            <w:pPr>
              <w:rPr>
                <w:szCs w:val="20"/>
              </w:rPr>
            </w:pPr>
            <w:r w:rsidRPr="00BB3D92">
              <w:rPr>
                <w:szCs w:val="20"/>
              </w:rPr>
              <w:t>Red</w:t>
            </w:r>
          </w:p>
        </w:tc>
        <w:tc>
          <w:tcPr>
            <w:tcW w:w="2160" w:type="dxa"/>
          </w:tcPr>
          <w:p w14:paraId="15FA4BA5" w14:textId="77777777" w:rsidR="00034CE2" w:rsidRPr="00BB3D92" w:rsidRDefault="00034CE2" w:rsidP="00CE7AE5">
            <w:pPr>
              <w:tabs>
                <w:tab w:val="decimal" w:pos="972"/>
              </w:tabs>
              <w:rPr>
                <w:szCs w:val="20"/>
              </w:rPr>
            </w:pPr>
            <w:r w:rsidRPr="00BB3D92">
              <w:rPr>
                <w:szCs w:val="20"/>
              </w:rPr>
              <w:t>100.0</w:t>
            </w:r>
          </w:p>
        </w:tc>
        <w:tc>
          <w:tcPr>
            <w:tcW w:w="0" w:type="auto"/>
          </w:tcPr>
          <w:p w14:paraId="3E34B901" w14:textId="77777777" w:rsidR="00034CE2" w:rsidRPr="00BB3D92" w:rsidRDefault="00034CE2" w:rsidP="00CE7AE5">
            <w:pPr>
              <w:tabs>
                <w:tab w:val="decimal" w:pos="1242"/>
              </w:tabs>
              <w:rPr>
                <w:szCs w:val="20"/>
              </w:rPr>
            </w:pPr>
            <w:r w:rsidRPr="00BB3D92">
              <w:rPr>
                <w:szCs w:val="20"/>
              </w:rPr>
              <w:t>0.0</w:t>
            </w:r>
          </w:p>
        </w:tc>
      </w:tr>
      <w:tr w:rsidR="00034CE2" w:rsidRPr="00BB3D92" w14:paraId="2846C884" w14:textId="77777777" w:rsidTr="00CE7AE5">
        <w:trPr>
          <w:trHeight w:val="216"/>
          <w:jc w:val="center"/>
        </w:trPr>
        <w:tc>
          <w:tcPr>
            <w:tcW w:w="1260" w:type="dxa"/>
          </w:tcPr>
          <w:p w14:paraId="29856985" w14:textId="77777777" w:rsidR="00034CE2" w:rsidRPr="00BB3D92" w:rsidRDefault="00034CE2">
            <w:pPr>
              <w:tabs>
                <w:tab w:val="decimal" w:pos="612"/>
              </w:tabs>
              <w:rPr>
                <w:szCs w:val="20"/>
              </w:rPr>
            </w:pPr>
            <w:r w:rsidRPr="00BB3D92">
              <w:rPr>
                <w:szCs w:val="20"/>
              </w:rPr>
              <w:t>2</w:t>
            </w:r>
          </w:p>
        </w:tc>
        <w:tc>
          <w:tcPr>
            <w:tcW w:w="1530" w:type="dxa"/>
          </w:tcPr>
          <w:p w14:paraId="7E2DD3C0" w14:textId="77777777" w:rsidR="00034CE2" w:rsidRPr="00BB3D92" w:rsidRDefault="00034CE2" w:rsidP="00BB3D92">
            <w:pPr>
              <w:rPr>
                <w:szCs w:val="20"/>
              </w:rPr>
            </w:pPr>
            <w:r w:rsidRPr="00BB3D92">
              <w:rPr>
                <w:szCs w:val="20"/>
              </w:rPr>
              <w:t>White</w:t>
            </w:r>
          </w:p>
        </w:tc>
        <w:tc>
          <w:tcPr>
            <w:tcW w:w="2160" w:type="dxa"/>
          </w:tcPr>
          <w:p w14:paraId="3F21750C" w14:textId="77777777" w:rsidR="00034CE2" w:rsidRPr="00BB3D92" w:rsidRDefault="00034CE2" w:rsidP="00CE7AE5">
            <w:pPr>
              <w:tabs>
                <w:tab w:val="decimal" w:pos="972"/>
              </w:tabs>
              <w:rPr>
                <w:szCs w:val="20"/>
              </w:rPr>
            </w:pPr>
            <w:r w:rsidRPr="00BB3D92">
              <w:rPr>
                <w:szCs w:val="20"/>
              </w:rPr>
              <w:t>0.0</w:t>
            </w:r>
          </w:p>
        </w:tc>
        <w:tc>
          <w:tcPr>
            <w:tcW w:w="0" w:type="auto"/>
          </w:tcPr>
          <w:p w14:paraId="0194106D" w14:textId="77777777" w:rsidR="00034CE2" w:rsidRPr="00BB3D92" w:rsidRDefault="00034CE2" w:rsidP="00CE7AE5">
            <w:pPr>
              <w:tabs>
                <w:tab w:val="decimal" w:pos="1242"/>
              </w:tabs>
              <w:rPr>
                <w:szCs w:val="20"/>
              </w:rPr>
            </w:pPr>
            <w:r w:rsidRPr="00BB3D92">
              <w:rPr>
                <w:szCs w:val="20"/>
              </w:rPr>
              <w:t>100.0</w:t>
            </w:r>
          </w:p>
        </w:tc>
      </w:tr>
      <w:tr w:rsidR="00034CE2" w:rsidRPr="00BB3D92" w14:paraId="0F1DFF87" w14:textId="77777777" w:rsidTr="00CE7AE5">
        <w:trPr>
          <w:trHeight w:val="216"/>
          <w:jc w:val="center"/>
        </w:trPr>
        <w:tc>
          <w:tcPr>
            <w:tcW w:w="1260" w:type="dxa"/>
          </w:tcPr>
          <w:p w14:paraId="3E873C28" w14:textId="77777777" w:rsidR="00034CE2" w:rsidRPr="00BB3D92" w:rsidRDefault="00034CE2">
            <w:pPr>
              <w:tabs>
                <w:tab w:val="decimal" w:pos="612"/>
              </w:tabs>
              <w:rPr>
                <w:szCs w:val="20"/>
              </w:rPr>
            </w:pPr>
            <w:r w:rsidRPr="00BB3D92">
              <w:rPr>
                <w:szCs w:val="20"/>
              </w:rPr>
              <w:t>3</w:t>
            </w:r>
          </w:p>
        </w:tc>
        <w:tc>
          <w:tcPr>
            <w:tcW w:w="1530" w:type="dxa"/>
          </w:tcPr>
          <w:p w14:paraId="651BA574" w14:textId="77777777" w:rsidR="00034CE2" w:rsidRPr="00BB3D92" w:rsidRDefault="00034CE2" w:rsidP="00BB3D92">
            <w:pPr>
              <w:rPr>
                <w:szCs w:val="20"/>
              </w:rPr>
            </w:pPr>
            <w:r w:rsidRPr="00BB3D92">
              <w:rPr>
                <w:szCs w:val="20"/>
              </w:rPr>
              <w:t>Pink</w:t>
            </w:r>
          </w:p>
        </w:tc>
        <w:tc>
          <w:tcPr>
            <w:tcW w:w="2160" w:type="dxa"/>
          </w:tcPr>
          <w:p w14:paraId="70A75045" w14:textId="77777777" w:rsidR="00034CE2" w:rsidRPr="00BB3D92" w:rsidRDefault="00034CE2" w:rsidP="00CE7AE5">
            <w:pPr>
              <w:tabs>
                <w:tab w:val="decimal" w:pos="972"/>
              </w:tabs>
              <w:rPr>
                <w:szCs w:val="20"/>
              </w:rPr>
            </w:pPr>
            <w:r w:rsidRPr="00BB3D92">
              <w:rPr>
                <w:szCs w:val="20"/>
              </w:rPr>
              <w:t>50.0</w:t>
            </w:r>
          </w:p>
        </w:tc>
        <w:tc>
          <w:tcPr>
            <w:tcW w:w="0" w:type="auto"/>
          </w:tcPr>
          <w:p w14:paraId="5DBF4DF1" w14:textId="77777777" w:rsidR="00034CE2" w:rsidRPr="00BB3D92" w:rsidRDefault="00034CE2" w:rsidP="00CE7AE5">
            <w:pPr>
              <w:tabs>
                <w:tab w:val="decimal" w:pos="1242"/>
              </w:tabs>
              <w:rPr>
                <w:szCs w:val="20"/>
              </w:rPr>
            </w:pPr>
            <w:r w:rsidRPr="00BB3D92">
              <w:rPr>
                <w:szCs w:val="20"/>
              </w:rPr>
              <w:t>50.0</w:t>
            </w:r>
          </w:p>
        </w:tc>
      </w:tr>
      <w:tr w:rsidR="00034CE2" w:rsidRPr="00BB3D92" w14:paraId="4145BCC2" w14:textId="77777777" w:rsidTr="00CE7AE5">
        <w:trPr>
          <w:trHeight w:val="216"/>
          <w:jc w:val="center"/>
        </w:trPr>
        <w:tc>
          <w:tcPr>
            <w:tcW w:w="1260" w:type="dxa"/>
          </w:tcPr>
          <w:p w14:paraId="0CE0A3E1" w14:textId="77777777" w:rsidR="00034CE2" w:rsidRPr="00BB3D92" w:rsidRDefault="00034CE2">
            <w:pPr>
              <w:tabs>
                <w:tab w:val="decimal" w:pos="612"/>
              </w:tabs>
              <w:rPr>
                <w:szCs w:val="20"/>
              </w:rPr>
            </w:pPr>
            <w:r w:rsidRPr="00BB3D92">
              <w:rPr>
                <w:szCs w:val="20"/>
              </w:rPr>
              <w:t>4</w:t>
            </w:r>
          </w:p>
        </w:tc>
        <w:tc>
          <w:tcPr>
            <w:tcW w:w="1530" w:type="dxa"/>
          </w:tcPr>
          <w:p w14:paraId="20FBAD4E" w14:textId="77777777" w:rsidR="00034CE2" w:rsidRPr="00BB3D92" w:rsidRDefault="00034CE2" w:rsidP="00BB3D92">
            <w:pPr>
              <w:rPr>
                <w:szCs w:val="20"/>
              </w:rPr>
            </w:pPr>
            <w:r w:rsidRPr="00BB3D92">
              <w:rPr>
                <w:szCs w:val="20"/>
              </w:rPr>
              <w:t>Violet</w:t>
            </w:r>
          </w:p>
        </w:tc>
        <w:tc>
          <w:tcPr>
            <w:tcW w:w="2160" w:type="dxa"/>
          </w:tcPr>
          <w:p w14:paraId="72345682" w14:textId="77777777" w:rsidR="00034CE2" w:rsidRPr="00BB3D92" w:rsidRDefault="00034CE2" w:rsidP="00CE7AE5">
            <w:pPr>
              <w:tabs>
                <w:tab w:val="decimal" w:pos="972"/>
              </w:tabs>
              <w:rPr>
                <w:szCs w:val="20"/>
              </w:rPr>
            </w:pPr>
            <w:r w:rsidRPr="00BB3D92">
              <w:rPr>
                <w:szCs w:val="20"/>
              </w:rPr>
              <w:t>40.0</w:t>
            </w:r>
          </w:p>
        </w:tc>
        <w:tc>
          <w:tcPr>
            <w:tcW w:w="0" w:type="auto"/>
          </w:tcPr>
          <w:p w14:paraId="5CE7BCE0" w14:textId="77777777" w:rsidR="00034CE2" w:rsidRPr="00BB3D92" w:rsidRDefault="00034CE2" w:rsidP="00CE7AE5">
            <w:pPr>
              <w:tabs>
                <w:tab w:val="decimal" w:pos="1242"/>
              </w:tabs>
              <w:rPr>
                <w:szCs w:val="20"/>
              </w:rPr>
            </w:pPr>
            <w:r w:rsidRPr="00BB3D92">
              <w:rPr>
                <w:szCs w:val="20"/>
              </w:rPr>
              <w:t>60.0</w:t>
            </w:r>
          </w:p>
        </w:tc>
      </w:tr>
      <w:tr w:rsidR="00034CE2" w:rsidRPr="00BB3D92" w14:paraId="69644DFF" w14:textId="77777777" w:rsidTr="00CE7AE5">
        <w:trPr>
          <w:trHeight w:val="216"/>
          <w:jc w:val="center"/>
        </w:trPr>
        <w:tc>
          <w:tcPr>
            <w:tcW w:w="1260" w:type="dxa"/>
          </w:tcPr>
          <w:p w14:paraId="2B674115" w14:textId="77777777" w:rsidR="00034CE2" w:rsidRPr="00BB3D92" w:rsidRDefault="00034CE2">
            <w:pPr>
              <w:tabs>
                <w:tab w:val="decimal" w:pos="612"/>
              </w:tabs>
              <w:rPr>
                <w:szCs w:val="20"/>
              </w:rPr>
            </w:pPr>
            <w:r w:rsidRPr="00BB3D92">
              <w:rPr>
                <w:szCs w:val="20"/>
              </w:rPr>
              <w:t>5</w:t>
            </w:r>
          </w:p>
        </w:tc>
        <w:tc>
          <w:tcPr>
            <w:tcW w:w="1530" w:type="dxa"/>
          </w:tcPr>
          <w:p w14:paraId="33389DF8" w14:textId="77777777" w:rsidR="00034CE2" w:rsidRPr="00BB3D92" w:rsidRDefault="00034CE2" w:rsidP="00BB3D92">
            <w:pPr>
              <w:rPr>
                <w:szCs w:val="20"/>
              </w:rPr>
            </w:pPr>
            <w:r w:rsidRPr="00BB3D92">
              <w:rPr>
                <w:szCs w:val="20"/>
              </w:rPr>
              <w:t>Blue</w:t>
            </w:r>
          </w:p>
        </w:tc>
        <w:tc>
          <w:tcPr>
            <w:tcW w:w="2160" w:type="dxa"/>
          </w:tcPr>
          <w:p w14:paraId="1E10F6AE" w14:textId="77777777" w:rsidR="00034CE2" w:rsidRPr="00BB3D92" w:rsidRDefault="00034CE2" w:rsidP="00CE7AE5">
            <w:pPr>
              <w:tabs>
                <w:tab w:val="decimal" w:pos="972"/>
              </w:tabs>
              <w:rPr>
                <w:szCs w:val="20"/>
              </w:rPr>
            </w:pPr>
            <w:r w:rsidRPr="00BB3D92">
              <w:rPr>
                <w:szCs w:val="20"/>
              </w:rPr>
              <w:t>30.0</w:t>
            </w:r>
          </w:p>
        </w:tc>
        <w:tc>
          <w:tcPr>
            <w:tcW w:w="0" w:type="auto"/>
          </w:tcPr>
          <w:p w14:paraId="0BD444E9" w14:textId="77777777" w:rsidR="00034CE2" w:rsidRPr="00BB3D92" w:rsidRDefault="00034CE2" w:rsidP="00CE7AE5">
            <w:pPr>
              <w:tabs>
                <w:tab w:val="decimal" w:pos="1242"/>
              </w:tabs>
              <w:rPr>
                <w:szCs w:val="20"/>
              </w:rPr>
            </w:pPr>
            <w:r w:rsidRPr="00BB3D92">
              <w:rPr>
                <w:szCs w:val="20"/>
              </w:rPr>
              <w:t>70.0</w:t>
            </w:r>
          </w:p>
        </w:tc>
      </w:tr>
      <w:tr w:rsidR="00034CE2" w:rsidRPr="00BB3D92" w14:paraId="3DA45FDA" w14:textId="77777777" w:rsidTr="00CE7AE5">
        <w:trPr>
          <w:trHeight w:val="216"/>
          <w:jc w:val="center"/>
        </w:trPr>
        <w:tc>
          <w:tcPr>
            <w:tcW w:w="1260" w:type="dxa"/>
          </w:tcPr>
          <w:p w14:paraId="4811280C" w14:textId="77777777" w:rsidR="00034CE2" w:rsidRPr="00BB3D92" w:rsidRDefault="00034CE2">
            <w:pPr>
              <w:tabs>
                <w:tab w:val="decimal" w:pos="612"/>
              </w:tabs>
              <w:rPr>
                <w:szCs w:val="20"/>
              </w:rPr>
            </w:pPr>
            <w:r w:rsidRPr="00BB3D92">
              <w:rPr>
                <w:szCs w:val="20"/>
              </w:rPr>
              <w:t>6</w:t>
            </w:r>
          </w:p>
        </w:tc>
        <w:tc>
          <w:tcPr>
            <w:tcW w:w="1530" w:type="dxa"/>
          </w:tcPr>
          <w:p w14:paraId="553A2A3A" w14:textId="77777777" w:rsidR="00034CE2" w:rsidRPr="00BB3D92" w:rsidRDefault="00034CE2" w:rsidP="00BB3D92">
            <w:pPr>
              <w:rPr>
                <w:szCs w:val="20"/>
              </w:rPr>
            </w:pPr>
            <w:r w:rsidRPr="00BB3D92">
              <w:rPr>
                <w:szCs w:val="20"/>
              </w:rPr>
              <w:t>Blue-green</w:t>
            </w:r>
          </w:p>
        </w:tc>
        <w:tc>
          <w:tcPr>
            <w:tcW w:w="2160" w:type="dxa"/>
          </w:tcPr>
          <w:p w14:paraId="3372D30E" w14:textId="77777777" w:rsidR="00034CE2" w:rsidRPr="00BB3D92" w:rsidRDefault="00034CE2" w:rsidP="00CE7AE5">
            <w:pPr>
              <w:tabs>
                <w:tab w:val="decimal" w:pos="972"/>
              </w:tabs>
              <w:rPr>
                <w:szCs w:val="20"/>
              </w:rPr>
            </w:pPr>
            <w:r w:rsidRPr="00BB3D92">
              <w:rPr>
                <w:szCs w:val="20"/>
              </w:rPr>
              <w:t>20.0</w:t>
            </w:r>
          </w:p>
        </w:tc>
        <w:tc>
          <w:tcPr>
            <w:tcW w:w="0" w:type="auto"/>
          </w:tcPr>
          <w:p w14:paraId="57178DB6" w14:textId="77777777" w:rsidR="00034CE2" w:rsidRPr="00BB3D92" w:rsidRDefault="00034CE2" w:rsidP="00CE7AE5">
            <w:pPr>
              <w:tabs>
                <w:tab w:val="decimal" w:pos="1242"/>
              </w:tabs>
              <w:rPr>
                <w:szCs w:val="20"/>
              </w:rPr>
            </w:pPr>
            <w:r w:rsidRPr="00BB3D92">
              <w:rPr>
                <w:szCs w:val="20"/>
              </w:rPr>
              <w:t>80.0</w:t>
            </w:r>
          </w:p>
        </w:tc>
      </w:tr>
      <w:tr w:rsidR="00034CE2" w:rsidRPr="00BB3D92" w14:paraId="501C474A" w14:textId="77777777" w:rsidTr="00CE7AE5">
        <w:trPr>
          <w:trHeight w:val="216"/>
          <w:jc w:val="center"/>
        </w:trPr>
        <w:tc>
          <w:tcPr>
            <w:tcW w:w="1260" w:type="dxa"/>
          </w:tcPr>
          <w:p w14:paraId="65FDF4C7" w14:textId="77777777" w:rsidR="00034CE2" w:rsidRPr="00BB3D92" w:rsidRDefault="00034CE2">
            <w:pPr>
              <w:tabs>
                <w:tab w:val="decimal" w:pos="612"/>
              </w:tabs>
              <w:rPr>
                <w:szCs w:val="20"/>
              </w:rPr>
            </w:pPr>
            <w:r w:rsidRPr="00BB3D92">
              <w:rPr>
                <w:szCs w:val="20"/>
              </w:rPr>
              <w:t>7</w:t>
            </w:r>
          </w:p>
        </w:tc>
        <w:tc>
          <w:tcPr>
            <w:tcW w:w="1530" w:type="dxa"/>
          </w:tcPr>
          <w:p w14:paraId="5AA4542D" w14:textId="77777777" w:rsidR="00034CE2" w:rsidRPr="00BB3D92" w:rsidRDefault="00034CE2" w:rsidP="00BB3D92">
            <w:pPr>
              <w:rPr>
                <w:szCs w:val="20"/>
              </w:rPr>
            </w:pPr>
            <w:r w:rsidRPr="00BB3D92">
              <w:rPr>
                <w:szCs w:val="20"/>
              </w:rPr>
              <w:t>Green</w:t>
            </w:r>
          </w:p>
        </w:tc>
        <w:tc>
          <w:tcPr>
            <w:tcW w:w="2160" w:type="dxa"/>
          </w:tcPr>
          <w:p w14:paraId="6D3E330A" w14:textId="77777777" w:rsidR="00034CE2" w:rsidRPr="00BB3D92" w:rsidRDefault="00034CE2" w:rsidP="00CE7AE5">
            <w:pPr>
              <w:tabs>
                <w:tab w:val="decimal" w:pos="972"/>
              </w:tabs>
              <w:rPr>
                <w:szCs w:val="20"/>
              </w:rPr>
            </w:pPr>
            <w:r w:rsidRPr="00BB3D92">
              <w:rPr>
                <w:szCs w:val="20"/>
              </w:rPr>
              <w:t>10.0</w:t>
            </w:r>
          </w:p>
        </w:tc>
        <w:tc>
          <w:tcPr>
            <w:tcW w:w="0" w:type="auto"/>
          </w:tcPr>
          <w:p w14:paraId="0638E7AB" w14:textId="77777777" w:rsidR="00034CE2" w:rsidRPr="00BB3D92" w:rsidRDefault="00034CE2" w:rsidP="00CE7AE5">
            <w:pPr>
              <w:tabs>
                <w:tab w:val="decimal" w:pos="1242"/>
              </w:tabs>
              <w:rPr>
                <w:szCs w:val="20"/>
              </w:rPr>
            </w:pPr>
            <w:r w:rsidRPr="00BB3D92">
              <w:rPr>
                <w:szCs w:val="20"/>
              </w:rPr>
              <w:t>90.0</w:t>
            </w:r>
          </w:p>
        </w:tc>
      </w:tr>
      <w:tr w:rsidR="00034CE2" w:rsidRPr="00BB3D92" w14:paraId="78CE95CB" w14:textId="77777777" w:rsidTr="00CE7AE5">
        <w:trPr>
          <w:trHeight w:val="216"/>
          <w:jc w:val="center"/>
        </w:trPr>
        <w:tc>
          <w:tcPr>
            <w:tcW w:w="1260" w:type="dxa"/>
          </w:tcPr>
          <w:p w14:paraId="67E7B640" w14:textId="77777777" w:rsidR="00034CE2" w:rsidRPr="00BB3D92" w:rsidRDefault="00034CE2">
            <w:pPr>
              <w:tabs>
                <w:tab w:val="decimal" w:pos="612"/>
              </w:tabs>
              <w:rPr>
                <w:szCs w:val="20"/>
              </w:rPr>
            </w:pPr>
            <w:r w:rsidRPr="00BB3D92">
              <w:rPr>
                <w:szCs w:val="20"/>
              </w:rPr>
              <w:t>8</w:t>
            </w:r>
          </w:p>
        </w:tc>
        <w:tc>
          <w:tcPr>
            <w:tcW w:w="1530" w:type="dxa"/>
          </w:tcPr>
          <w:p w14:paraId="3F47A352" w14:textId="77777777" w:rsidR="00034CE2" w:rsidRPr="00BB3D92" w:rsidRDefault="00034CE2" w:rsidP="00BB3D92">
            <w:pPr>
              <w:rPr>
                <w:szCs w:val="20"/>
              </w:rPr>
            </w:pPr>
            <w:r w:rsidRPr="00BB3D92">
              <w:rPr>
                <w:szCs w:val="20"/>
              </w:rPr>
              <w:t>Yellow-green</w:t>
            </w:r>
          </w:p>
        </w:tc>
        <w:tc>
          <w:tcPr>
            <w:tcW w:w="2160" w:type="dxa"/>
          </w:tcPr>
          <w:p w14:paraId="3A51541C" w14:textId="77777777" w:rsidR="00034CE2" w:rsidRPr="00BB3D92" w:rsidRDefault="00034CE2" w:rsidP="00CE7AE5">
            <w:pPr>
              <w:tabs>
                <w:tab w:val="decimal" w:pos="972"/>
              </w:tabs>
              <w:rPr>
                <w:szCs w:val="20"/>
              </w:rPr>
            </w:pPr>
            <w:r w:rsidRPr="00BB3D92">
              <w:rPr>
                <w:szCs w:val="20"/>
              </w:rPr>
              <w:t>5.0</w:t>
            </w:r>
          </w:p>
        </w:tc>
        <w:tc>
          <w:tcPr>
            <w:tcW w:w="0" w:type="auto"/>
          </w:tcPr>
          <w:p w14:paraId="5D148F69" w14:textId="77777777" w:rsidR="00034CE2" w:rsidRPr="00BB3D92" w:rsidRDefault="00034CE2" w:rsidP="00CE7AE5">
            <w:pPr>
              <w:tabs>
                <w:tab w:val="decimal" w:pos="1242"/>
              </w:tabs>
              <w:rPr>
                <w:szCs w:val="20"/>
              </w:rPr>
            </w:pPr>
            <w:r w:rsidRPr="00BB3D92">
              <w:rPr>
                <w:szCs w:val="20"/>
              </w:rPr>
              <w:t>95.0</w:t>
            </w:r>
          </w:p>
        </w:tc>
      </w:tr>
      <w:tr w:rsidR="00034CE2" w:rsidRPr="00BB3D92" w14:paraId="580CD794" w14:textId="77777777" w:rsidTr="00CE7AE5">
        <w:trPr>
          <w:trHeight w:val="216"/>
          <w:jc w:val="center"/>
        </w:trPr>
        <w:tc>
          <w:tcPr>
            <w:tcW w:w="1260" w:type="dxa"/>
          </w:tcPr>
          <w:p w14:paraId="2855871B" w14:textId="77777777" w:rsidR="00034CE2" w:rsidRPr="00BB3D92" w:rsidRDefault="00034CE2">
            <w:pPr>
              <w:tabs>
                <w:tab w:val="decimal" w:pos="612"/>
              </w:tabs>
              <w:rPr>
                <w:szCs w:val="20"/>
              </w:rPr>
            </w:pPr>
            <w:r w:rsidRPr="00BB3D92">
              <w:rPr>
                <w:szCs w:val="20"/>
              </w:rPr>
              <w:t>9</w:t>
            </w:r>
          </w:p>
        </w:tc>
        <w:tc>
          <w:tcPr>
            <w:tcW w:w="1530" w:type="dxa"/>
          </w:tcPr>
          <w:p w14:paraId="742CE21C" w14:textId="77777777" w:rsidR="00034CE2" w:rsidRPr="00BB3D92" w:rsidRDefault="00034CE2" w:rsidP="00BB3D92">
            <w:pPr>
              <w:rPr>
                <w:szCs w:val="20"/>
              </w:rPr>
            </w:pPr>
            <w:r w:rsidRPr="00BB3D92">
              <w:rPr>
                <w:szCs w:val="20"/>
              </w:rPr>
              <w:t>Yellow</w:t>
            </w:r>
          </w:p>
        </w:tc>
        <w:tc>
          <w:tcPr>
            <w:tcW w:w="2160" w:type="dxa"/>
          </w:tcPr>
          <w:p w14:paraId="78EB3B10" w14:textId="77777777" w:rsidR="00034CE2" w:rsidRPr="00BB3D92" w:rsidRDefault="00034CE2" w:rsidP="00CE7AE5">
            <w:pPr>
              <w:tabs>
                <w:tab w:val="decimal" w:pos="972"/>
              </w:tabs>
              <w:rPr>
                <w:szCs w:val="20"/>
              </w:rPr>
            </w:pPr>
            <w:r w:rsidRPr="00BB3D92">
              <w:rPr>
                <w:szCs w:val="20"/>
              </w:rPr>
              <w:t>2.5</w:t>
            </w:r>
          </w:p>
        </w:tc>
        <w:tc>
          <w:tcPr>
            <w:tcW w:w="0" w:type="auto"/>
          </w:tcPr>
          <w:p w14:paraId="7345CE6B" w14:textId="77777777" w:rsidR="00034CE2" w:rsidRPr="00BB3D92" w:rsidRDefault="00034CE2" w:rsidP="00CE7AE5">
            <w:pPr>
              <w:tabs>
                <w:tab w:val="decimal" w:pos="1242"/>
              </w:tabs>
              <w:rPr>
                <w:szCs w:val="20"/>
              </w:rPr>
            </w:pPr>
            <w:r w:rsidRPr="00BB3D92">
              <w:rPr>
                <w:szCs w:val="20"/>
              </w:rPr>
              <w:t>97.5</w:t>
            </w:r>
          </w:p>
        </w:tc>
      </w:tr>
      <w:tr w:rsidR="00034CE2" w:rsidRPr="00BB3D92" w14:paraId="623DF61A" w14:textId="77777777" w:rsidTr="00CE7AE5">
        <w:trPr>
          <w:trHeight w:val="216"/>
          <w:jc w:val="center"/>
        </w:trPr>
        <w:tc>
          <w:tcPr>
            <w:tcW w:w="1260" w:type="dxa"/>
          </w:tcPr>
          <w:p w14:paraId="7FB73A94" w14:textId="77777777" w:rsidR="00034CE2" w:rsidRPr="00BB3D92" w:rsidRDefault="00034CE2">
            <w:pPr>
              <w:tabs>
                <w:tab w:val="decimal" w:pos="612"/>
              </w:tabs>
              <w:rPr>
                <w:szCs w:val="20"/>
              </w:rPr>
            </w:pPr>
            <w:r w:rsidRPr="00BB3D92">
              <w:rPr>
                <w:szCs w:val="20"/>
              </w:rPr>
              <w:t>10</w:t>
            </w:r>
          </w:p>
        </w:tc>
        <w:tc>
          <w:tcPr>
            <w:tcW w:w="1530" w:type="dxa"/>
          </w:tcPr>
          <w:p w14:paraId="334F3C99" w14:textId="77777777" w:rsidR="00034CE2" w:rsidRPr="00BB3D92" w:rsidRDefault="00034CE2" w:rsidP="00BB3D92">
            <w:pPr>
              <w:rPr>
                <w:szCs w:val="20"/>
              </w:rPr>
            </w:pPr>
            <w:r w:rsidRPr="00BB3D92">
              <w:rPr>
                <w:szCs w:val="20"/>
              </w:rPr>
              <w:t>Orange</w:t>
            </w:r>
          </w:p>
        </w:tc>
        <w:tc>
          <w:tcPr>
            <w:tcW w:w="2160" w:type="dxa"/>
          </w:tcPr>
          <w:p w14:paraId="01D484BD" w14:textId="77777777" w:rsidR="00034CE2" w:rsidRPr="00BB3D92" w:rsidRDefault="00034CE2" w:rsidP="00CE7AE5">
            <w:pPr>
              <w:tabs>
                <w:tab w:val="decimal" w:pos="972"/>
              </w:tabs>
              <w:rPr>
                <w:szCs w:val="20"/>
              </w:rPr>
            </w:pPr>
            <w:r w:rsidRPr="00BB3D92">
              <w:rPr>
                <w:szCs w:val="20"/>
              </w:rPr>
              <w:t>1.0</w:t>
            </w:r>
          </w:p>
        </w:tc>
        <w:tc>
          <w:tcPr>
            <w:tcW w:w="0" w:type="auto"/>
          </w:tcPr>
          <w:p w14:paraId="50F50141" w14:textId="77777777" w:rsidR="00034CE2" w:rsidRPr="00BB3D92" w:rsidRDefault="00034CE2" w:rsidP="00CE7AE5">
            <w:pPr>
              <w:tabs>
                <w:tab w:val="decimal" w:pos="1242"/>
              </w:tabs>
              <w:rPr>
                <w:szCs w:val="20"/>
              </w:rPr>
            </w:pPr>
            <w:r w:rsidRPr="00BB3D92">
              <w:rPr>
                <w:szCs w:val="20"/>
              </w:rPr>
              <w:t>99.0</w:t>
            </w:r>
          </w:p>
        </w:tc>
      </w:tr>
    </w:tbl>
    <w:p w14:paraId="7E172BF8" w14:textId="77777777" w:rsidR="0045785B" w:rsidRDefault="00E95CF3" w:rsidP="00863A72">
      <w:pPr>
        <w:spacing w:before="120"/>
        <w:ind w:left="180" w:hanging="180"/>
        <w:rPr>
          <w:sz w:val="18"/>
          <w:szCs w:val="18"/>
        </w:rPr>
      </w:pPr>
      <w:r w:rsidRPr="00E95CF3">
        <w:rPr>
          <w:sz w:val="18"/>
          <w:szCs w:val="18"/>
          <w:vertAlign w:val="superscript"/>
        </w:rPr>
        <w:t>(</w:t>
      </w:r>
      <w:r w:rsidR="00D86A55">
        <w:rPr>
          <w:sz w:val="18"/>
          <w:szCs w:val="18"/>
          <w:vertAlign w:val="superscript"/>
        </w:rPr>
        <w:t>a</w:t>
      </w:r>
      <w:r w:rsidRPr="00E95CF3">
        <w:rPr>
          <w:sz w:val="18"/>
          <w:szCs w:val="18"/>
          <w:vertAlign w:val="superscript"/>
        </w:rPr>
        <w:t>)</w:t>
      </w:r>
      <w:r w:rsidR="009D2796" w:rsidRPr="009D2796">
        <w:rPr>
          <w:sz w:val="18"/>
          <w:szCs w:val="18"/>
        </w:rPr>
        <w:t xml:space="preserve"> </w:t>
      </w:r>
      <w:r w:rsidR="009D2796">
        <w:rPr>
          <w:sz w:val="18"/>
          <w:szCs w:val="18"/>
        </w:rPr>
        <w:t>T</w:t>
      </w:r>
      <w:r w:rsidR="0045785B" w:rsidRPr="00E95CF3">
        <w:rPr>
          <w:sz w:val="18"/>
          <w:szCs w:val="18"/>
        </w:rPr>
        <w:t>en color-coded components are included in each kit.  These components are labeled with an “A” designating DNA from cell line CHR</w:t>
      </w:r>
      <w:r w:rsidR="009C2AF9">
        <w:rPr>
          <w:sz w:val="18"/>
          <w:szCs w:val="18"/>
        </w:rPr>
        <w:t xml:space="preserve"> (polymorphic)</w:t>
      </w:r>
      <w:r w:rsidR="0045785B" w:rsidRPr="00E95CF3">
        <w:rPr>
          <w:sz w:val="18"/>
          <w:szCs w:val="18"/>
        </w:rPr>
        <w:t xml:space="preserve"> and “B” designating DNA from GM09947A</w:t>
      </w:r>
      <w:r w:rsidR="009C2AF9">
        <w:rPr>
          <w:sz w:val="18"/>
          <w:szCs w:val="18"/>
        </w:rPr>
        <w:t xml:space="preserve"> (CRS)</w:t>
      </w:r>
      <w:r>
        <w:rPr>
          <w:sz w:val="18"/>
          <w:szCs w:val="18"/>
        </w:rPr>
        <w:t>.</w:t>
      </w:r>
      <w:r w:rsidR="00935223">
        <w:rPr>
          <w:sz w:val="18"/>
          <w:szCs w:val="18"/>
        </w:rPr>
        <w:t xml:space="preserve">  Components 1 and 2 contain equal mass concentrations of CHR and GM09947A, respectively.  The mixtures (components 3 through 10) were prepared by blending appropriate masses of components 1 and 2.</w:t>
      </w:r>
    </w:p>
    <w:p w14:paraId="59FEB1D8" w14:textId="77777777" w:rsidR="00935223" w:rsidRDefault="00935223" w:rsidP="00E95CF3">
      <w:pPr>
        <w:ind w:left="180" w:hanging="180"/>
        <w:rPr>
          <w:sz w:val="18"/>
          <w:szCs w:val="18"/>
        </w:rPr>
      </w:pPr>
    </w:p>
    <w:p w14:paraId="1AF982EA" w14:textId="77777777" w:rsidR="00034CE2" w:rsidRPr="00E95CF3" w:rsidRDefault="00034CE2" w:rsidP="00E95CF3">
      <w:pPr>
        <w:ind w:left="180" w:hanging="180"/>
        <w:rPr>
          <w:sz w:val="18"/>
          <w:szCs w:val="18"/>
        </w:rPr>
      </w:pPr>
    </w:p>
    <w:p w14:paraId="711FFD82" w14:textId="1342DC5D" w:rsidR="00E95CF3" w:rsidRDefault="00625B9F" w:rsidP="00CE7AE5">
      <w:pPr>
        <w:pStyle w:val="BodyText"/>
        <w:tabs>
          <w:tab w:val="decimal" w:pos="1800"/>
          <w:tab w:val="decimal" w:pos="3420"/>
          <w:tab w:val="left" w:pos="4500"/>
          <w:tab w:val="left" w:pos="5040"/>
          <w:tab w:val="decimal" w:pos="6660"/>
          <w:tab w:val="left" w:pos="7560"/>
        </w:tabs>
        <w:rPr>
          <w:sz w:val="20"/>
          <w:szCs w:val="20"/>
        </w:rPr>
      </w:pPr>
      <w:r>
        <w:rPr>
          <w:b/>
          <w:sz w:val="20"/>
          <w:szCs w:val="20"/>
        </w:rPr>
        <w:t>Uncertainty Analysis</w:t>
      </w:r>
      <w:r w:rsidR="00E46046" w:rsidRPr="00F34B0B">
        <w:rPr>
          <w:b/>
          <w:sz w:val="20"/>
          <w:szCs w:val="20"/>
        </w:rPr>
        <w:t>:</w:t>
      </w:r>
      <w:r w:rsidR="00E46046">
        <w:rPr>
          <w:sz w:val="20"/>
          <w:szCs w:val="20"/>
        </w:rPr>
        <w:t xml:space="preserve">  The </w:t>
      </w:r>
      <w:r w:rsidR="0055659F">
        <w:rPr>
          <w:sz w:val="20"/>
          <w:szCs w:val="20"/>
        </w:rPr>
        <w:t xml:space="preserve">certified </w:t>
      </w:r>
      <w:r w:rsidR="00E46046">
        <w:rPr>
          <w:sz w:val="20"/>
          <w:szCs w:val="20"/>
        </w:rPr>
        <w:t xml:space="preserve">values </w:t>
      </w:r>
      <w:r>
        <w:rPr>
          <w:sz w:val="20"/>
          <w:szCs w:val="20"/>
        </w:rPr>
        <w:t xml:space="preserve">listed in Table 1 </w:t>
      </w:r>
      <w:r w:rsidR="00E46046">
        <w:rPr>
          <w:sz w:val="20"/>
          <w:szCs w:val="20"/>
        </w:rPr>
        <w:t xml:space="preserve">correspond to means of the mass concentrations ratios.  Each </w:t>
      </w:r>
      <w:r w:rsidR="00F75C97" w:rsidRPr="0022185C">
        <w:rPr>
          <w:color w:val="000000"/>
          <w:sz w:val="20"/>
          <w:szCs w:val="20"/>
        </w:rPr>
        <w:t xml:space="preserve">certified DNA </w:t>
      </w:r>
      <w:r w:rsidR="00E46046">
        <w:rPr>
          <w:sz w:val="20"/>
          <w:szCs w:val="20"/>
        </w:rPr>
        <w:t>ratio is assigned a relative expanded uncertainty about the mean, with coverage factor</w:t>
      </w:r>
      <w:r w:rsidR="00D6057E">
        <w:rPr>
          <w:sz w:val="20"/>
          <w:szCs w:val="20"/>
        </w:rPr>
        <w:t xml:space="preserve"> </w:t>
      </w:r>
      <w:r w:rsidR="00D6057E">
        <w:rPr>
          <w:i/>
          <w:sz w:val="20"/>
          <w:szCs w:val="20"/>
        </w:rPr>
        <w:t>k </w:t>
      </w:r>
      <w:r w:rsidR="00D6057E">
        <w:rPr>
          <w:sz w:val="20"/>
          <w:szCs w:val="20"/>
        </w:rPr>
        <w:t>= </w:t>
      </w:r>
      <w:r w:rsidR="00E46046">
        <w:rPr>
          <w:sz w:val="20"/>
          <w:szCs w:val="20"/>
        </w:rPr>
        <w:t>2 (95</w:t>
      </w:r>
      <w:r w:rsidR="00FF0049">
        <w:rPr>
          <w:sz w:val="20"/>
          <w:szCs w:val="20"/>
        </w:rPr>
        <w:t> </w:t>
      </w:r>
      <w:r w:rsidR="00E46046">
        <w:rPr>
          <w:sz w:val="20"/>
          <w:szCs w:val="20"/>
        </w:rPr>
        <w:t>%</w:t>
      </w:r>
      <w:r w:rsidR="0022185C">
        <w:rPr>
          <w:sz w:val="20"/>
          <w:szCs w:val="20"/>
        </w:rPr>
        <w:t> </w:t>
      </w:r>
      <w:r w:rsidR="00E46046">
        <w:rPr>
          <w:sz w:val="20"/>
          <w:szCs w:val="20"/>
        </w:rPr>
        <w:t>confidence level)</w:t>
      </w:r>
      <w:r w:rsidR="00E8227F">
        <w:rPr>
          <w:sz w:val="20"/>
          <w:szCs w:val="20"/>
        </w:rPr>
        <w:t>,</w:t>
      </w:r>
      <w:r w:rsidR="00E46046">
        <w:rPr>
          <w:sz w:val="20"/>
          <w:szCs w:val="20"/>
        </w:rPr>
        <w:t xml:space="preserve"> of 1.7 %, calculated by combining a between-method variance with a pooled within</w:t>
      </w:r>
      <w:r>
        <w:rPr>
          <w:sz w:val="20"/>
          <w:szCs w:val="20"/>
        </w:rPr>
        <w:t xml:space="preserve">-method </w:t>
      </w:r>
      <w:r w:rsidR="00E46046">
        <w:rPr>
          <w:sz w:val="20"/>
          <w:szCs w:val="20"/>
        </w:rPr>
        <w:t>variance [</w:t>
      </w:r>
      <w:r w:rsidR="005F583B">
        <w:rPr>
          <w:sz w:val="20"/>
          <w:szCs w:val="20"/>
        </w:rPr>
        <w:t>7</w:t>
      </w:r>
      <w:r w:rsidR="00811600">
        <w:rPr>
          <w:sz w:val="20"/>
          <w:szCs w:val="20"/>
        </w:rPr>
        <w:t>,8</w:t>
      </w:r>
      <w:r w:rsidR="00E46046">
        <w:rPr>
          <w:sz w:val="20"/>
          <w:szCs w:val="20"/>
        </w:rPr>
        <w:t>] following the ISO</w:t>
      </w:r>
      <w:r w:rsidR="0073629B">
        <w:rPr>
          <w:sz w:val="20"/>
          <w:szCs w:val="20"/>
        </w:rPr>
        <w:t>/JCGM</w:t>
      </w:r>
      <w:r w:rsidR="00E46046">
        <w:rPr>
          <w:sz w:val="20"/>
          <w:szCs w:val="20"/>
        </w:rPr>
        <w:t xml:space="preserve"> Guide [</w:t>
      </w:r>
      <w:r w:rsidR="00811600">
        <w:rPr>
          <w:sz w:val="20"/>
          <w:szCs w:val="20"/>
        </w:rPr>
        <w:t>9</w:t>
      </w:r>
      <w:r w:rsidR="005F583B">
        <w:rPr>
          <w:sz w:val="20"/>
          <w:szCs w:val="20"/>
        </w:rPr>
        <w:t xml:space="preserve">] and reference </w:t>
      </w:r>
      <w:r w:rsidR="00811600">
        <w:rPr>
          <w:sz w:val="20"/>
          <w:szCs w:val="20"/>
        </w:rPr>
        <w:t>10</w:t>
      </w:r>
      <w:r w:rsidR="00E46046">
        <w:rPr>
          <w:sz w:val="20"/>
          <w:szCs w:val="20"/>
        </w:rPr>
        <w:t xml:space="preserve">.  </w:t>
      </w:r>
      <w:r w:rsidR="0022185C">
        <w:rPr>
          <w:sz w:val="20"/>
          <w:szCs w:val="20"/>
        </w:rPr>
        <w:t>Since all mixtures are prepared from the same stock solutions that were adjusted to have equal (1:1) mass concentrations, and no sequential dilutions were performed, t</w:t>
      </w:r>
      <w:r w:rsidR="00E46046">
        <w:rPr>
          <w:sz w:val="20"/>
          <w:szCs w:val="20"/>
        </w:rPr>
        <w:t xml:space="preserve">he uncertainty reported </w:t>
      </w:r>
      <w:r w:rsidR="00F75C97" w:rsidRPr="0022185C">
        <w:rPr>
          <w:color w:val="000000"/>
          <w:sz w:val="20"/>
          <w:szCs w:val="20"/>
        </w:rPr>
        <w:t>on the certified DNA ratios</w:t>
      </w:r>
      <w:r w:rsidR="00F75C97">
        <w:rPr>
          <w:sz w:val="20"/>
          <w:szCs w:val="20"/>
        </w:rPr>
        <w:t xml:space="preserve"> i</w:t>
      </w:r>
      <w:r w:rsidR="00E46046">
        <w:rPr>
          <w:sz w:val="20"/>
          <w:szCs w:val="20"/>
        </w:rPr>
        <w:t xml:space="preserve">s </w:t>
      </w:r>
      <w:r w:rsidR="0022185C">
        <w:rPr>
          <w:sz w:val="20"/>
          <w:szCs w:val="20"/>
        </w:rPr>
        <w:t>o</w:t>
      </w:r>
      <w:r w:rsidR="00E46046">
        <w:rPr>
          <w:sz w:val="20"/>
          <w:szCs w:val="20"/>
        </w:rPr>
        <w:t xml:space="preserve">n the actual quotients of the 50/50 mixture of CHR and GM09947A DNA.  A consensus mean, across all measured conditions, for such a quotient is 1.002.  The </w:t>
      </w:r>
      <w:r w:rsidR="0055659F">
        <w:rPr>
          <w:sz w:val="20"/>
          <w:szCs w:val="20"/>
        </w:rPr>
        <w:t>1.7</w:t>
      </w:r>
      <w:r w:rsidR="0022185C">
        <w:rPr>
          <w:sz w:val="20"/>
          <w:szCs w:val="20"/>
        </w:rPr>
        <w:t> </w:t>
      </w:r>
      <w:r w:rsidR="0055659F">
        <w:rPr>
          <w:sz w:val="20"/>
          <w:szCs w:val="20"/>
        </w:rPr>
        <w:t xml:space="preserve">% </w:t>
      </w:r>
      <w:r w:rsidR="00E46046">
        <w:rPr>
          <w:sz w:val="20"/>
          <w:szCs w:val="20"/>
        </w:rPr>
        <w:t>relative error (</w:t>
      </w:r>
      <w:r w:rsidR="00E46046" w:rsidRPr="00D6057E">
        <w:rPr>
          <w:i/>
          <w:sz w:val="20"/>
          <w:szCs w:val="20"/>
        </w:rPr>
        <w:t>k</w:t>
      </w:r>
      <w:r w:rsidR="00E46046">
        <w:rPr>
          <w:sz w:val="20"/>
          <w:szCs w:val="20"/>
        </w:rPr>
        <w:t xml:space="preserve"> = 2) associated with the number 1.002</w:t>
      </w:r>
      <w:r w:rsidR="00D6057E">
        <w:rPr>
          <w:sz w:val="20"/>
          <w:szCs w:val="20"/>
        </w:rPr>
        <w:t xml:space="preserve"> </w:t>
      </w:r>
      <w:r w:rsidR="0055659F">
        <w:rPr>
          <w:sz w:val="20"/>
          <w:szCs w:val="20"/>
        </w:rPr>
        <w:t xml:space="preserve">is </w:t>
      </w:r>
      <w:r w:rsidR="00E46046">
        <w:rPr>
          <w:sz w:val="20"/>
          <w:szCs w:val="20"/>
        </w:rPr>
        <w:sym w:font="Symbol" w:char="F0B1"/>
      </w:r>
      <w:r w:rsidR="00D6057E">
        <w:rPr>
          <w:sz w:val="20"/>
          <w:szCs w:val="20"/>
        </w:rPr>
        <w:t> </w:t>
      </w:r>
      <w:r w:rsidR="00E46046">
        <w:rPr>
          <w:sz w:val="20"/>
          <w:szCs w:val="20"/>
        </w:rPr>
        <w:t>0.017.</w:t>
      </w:r>
      <w:r w:rsidR="00CE7AE5">
        <w:rPr>
          <w:sz w:val="20"/>
          <w:szCs w:val="20"/>
        </w:rPr>
        <w:t xml:space="preserve">  </w:t>
      </w:r>
      <w:r w:rsidR="00CE7AE5" w:rsidRPr="00CE7AE5">
        <w:rPr>
          <w:sz w:val="20"/>
          <w:szCs w:val="20"/>
        </w:rPr>
        <w:t>The measurand is the total mass fraction for each analyte listed in Table</w:t>
      </w:r>
      <w:r w:rsidR="00CE7AE5">
        <w:rPr>
          <w:sz w:val="20"/>
          <w:szCs w:val="20"/>
        </w:rPr>
        <w:t> 1</w:t>
      </w:r>
      <w:r w:rsidR="00CE7AE5" w:rsidRPr="00CE7AE5">
        <w:rPr>
          <w:sz w:val="20"/>
          <w:szCs w:val="20"/>
        </w:rPr>
        <w:t xml:space="preserve">. </w:t>
      </w:r>
      <w:r w:rsidR="00CE7AE5">
        <w:rPr>
          <w:sz w:val="20"/>
          <w:szCs w:val="20"/>
        </w:rPr>
        <w:t xml:space="preserve"> </w:t>
      </w:r>
      <w:r w:rsidR="00CE7AE5" w:rsidRPr="00CE7AE5">
        <w:rPr>
          <w:sz w:val="20"/>
          <w:szCs w:val="20"/>
        </w:rPr>
        <w:t>The certified values are metrological traceable to the SI unit of mass</w:t>
      </w:r>
      <w:r w:rsidR="00CE7AE5">
        <w:rPr>
          <w:sz w:val="20"/>
          <w:szCs w:val="20"/>
        </w:rPr>
        <w:t>.</w:t>
      </w:r>
    </w:p>
    <w:p w14:paraId="734D4E66" w14:textId="77777777" w:rsidR="00492515" w:rsidRDefault="00492515">
      <w:pPr>
        <w:pStyle w:val="BodyText"/>
        <w:rPr>
          <w:sz w:val="20"/>
          <w:szCs w:val="20"/>
        </w:rPr>
      </w:pPr>
    </w:p>
    <w:p w14:paraId="77C587BA" w14:textId="77777777" w:rsidR="00492515" w:rsidRDefault="00FB465A" w:rsidP="00935223">
      <w:pPr>
        <w:pStyle w:val="BodyText"/>
        <w:jc w:val="center"/>
        <w:rPr>
          <w:bCs/>
          <w:sz w:val="20"/>
          <w:szCs w:val="20"/>
        </w:rPr>
      </w:pPr>
      <w:r w:rsidRPr="004B2B15">
        <w:rPr>
          <w:bCs/>
          <w:sz w:val="20"/>
          <w:szCs w:val="20"/>
        </w:rPr>
        <w:t xml:space="preserve">Table </w:t>
      </w:r>
      <w:r w:rsidR="00F34B0B">
        <w:rPr>
          <w:bCs/>
          <w:sz w:val="20"/>
          <w:szCs w:val="20"/>
        </w:rPr>
        <w:t>2</w:t>
      </w:r>
      <w:r w:rsidR="00B16691">
        <w:rPr>
          <w:bCs/>
          <w:sz w:val="20"/>
          <w:szCs w:val="20"/>
        </w:rPr>
        <w:t xml:space="preserve">. </w:t>
      </w:r>
      <w:r w:rsidR="00492515" w:rsidRPr="004B2B15">
        <w:rPr>
          <w:bCs/>
          <w:sz w:val="20"/>
          <w:szCs w:val="20"/>
        </w:rPr>
        <w:t xml:space="preserve"> Certified Sequence Information of the Two </w:t>
      </w:r>
      <w:proofErr w:type="spellStart"/>
      <w:r w:rsidR="00492515" w:rsidRPr="004B2B15">
        <w:rPr>
          <w:bCs/>
          <w:sz w:val="20"/>
          <w:szCs w:val="20"/>
        </w:rPr>
        <w:t>Amplicons</w:t>
      </w:r>
      <w:proofErr w:type="spellEnd"/>
      <w:r w:rsidR="00492515" w:rsidRPr="004B2B15">
        <w:rPr>
          <w:bCs/>
          <w:sz w:val="20"/>
          <w:szCs w:val="20"/>
        </w:rPr>
        <w:t xml:space="preserve"> from CHR and GM09947A</w:t>
      </w:r>
      <w:bookmarkStart w:id="2" w:name="OLE_LINK1"/>
      <w:r w:rsidR="00CA2F58">
        <w:rPr>
          <w:sz w:val="20"/>
          <w:szCs w:val="20"/>
          <w:vertAlign w:val="superscript"/>
        </w:rPr>
        <w:t>(a)</w:t>
      </w:r>
      <w:bookmarkEnd w:id="2"/>
    </w:p>
    <w:p w14:paraId="6FF4E154" w14:textId="77777777" w:rsidR="00034CE2" w:rsidRPr="00660624" w:rsidRDefault="00034CE2" w:rsidP="00660624">
      <w:pPr>
        <w:pStyle w:val="BodyText"/>
        <w:tabs>
          <w:tab w:val="left" w:pos="900"/>
          <w:tab w:val="left" w:pos="4680"/>
        </w:tabs>
        <w:rPr>
          <w:sz w:val="20"/>
          <w:szCs w:val="20"/>
        </w:rPr>
      </w:pPr>
    </w:p>
    <w:tbl>
      <w:tblPr>
        <w:tblStyle w:val="TableGrid"/>
        <w:tblW w:w="9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540"/>
        <w:gridCol w:w="8100"/>
      </w:tblGrid>
      <w:tr w:rsidR="00AD681B" w:rsidRPr="008B500D" w14:paraId="754C51AD" w14:textId="77777777" w:rsidTr="00CE7AE5">
        <w:trPr>
          <w:trHeight w:val="432"/>
          <w:jc w:val="center"/>
        </w:trPr>
        <w:tc>
          <w:tcPr>
            <w:tcW w:w="1710" w:type="dxa"/>
            <w:gridSpan w:val="2"/>
          </w:tcPr>
          <w:p w14:paraId="20754FF9" w14:textId="77777777" w:rsidR="00AD681B" w:rsidRPr="00863A72" w:rsidRDefault="00AD681B" w:rsidP="00CE7AE5">
            <w:pPr>
              <w:ind w:left="-72"/>
            </w:pPr>
            <w:r w:rsidRPr="008B500D">
              <w:t>Cell Culture</w:t>
            </w:r>
          </w:p>
        </w:tc>
        <w:tc>
          <w:tcPr>
            <w:tcW w:w="8100" w:type="dxa"/>
          </w:tcPr>
          <w:p w14:paraId="4F89D20E" w14:textId="67A4F0F8" w:rsidR="00AD681B" w:rsidRDefault="00AD681B" w:rsidP="00660624">
            <w:pPr>
              <w:jc w:val="center"/>
              <w:rPr>
                <w:rFonts w:ascii="Courier New" w:hAnsi="Courier New" w:cs="Courier New"/>
                <w:sz w:val="18"/>
                <w:szCs w:val="18"/>
              </w:rPr>
            </w:pPr>
            <w:proofErr w:type="spellStart"/>
            <w:r w:rsidRPr="008B500D">
              <w:t>Amplicon</w:t>
            </w:r>
            <w:proofErr w:type="spellEnd"/>
            <w:r w:rsidRPr="008B500D">
              <w:t xml:space="preserve"> Sequence</w:t>
            </w:r>
          </w:p>
        </w:tc>
      </w:tr>
      <w:tr w:rsidR="00AD681B" w:rsidRPr="008B500D" w14:paraId="7684DA49" w14:textId="77777777" w:rsidTr="00CE7AE5">
        <w:trPr>
          <w:trHeight w:val="288"/>
          <w:jc w:val="center"/>
        </w:trPr>
        <w:tc>
          <w:tcPr>
            <w:tcW w:w="1170" w:type="dxa"/>
            <w:vAlign w:val="bottom"/>
          </w:tcPr>
          <w:p w14:paraId="0BE65DF3"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r w:rsidRPr="00863A72">
              <w:rPr>
                <w:rFonts w:ascii="Times New Roman" w:hAnsi="Times New Roman" w:cs="Times New Roman"/>
              </w:rPr>
              <w:t>CHR</w:t>
            </w:r>
          </w:p>
        </w:tc>
        <w:tc>
          <w:tcPr>
            <w:tcW w:w="540" w:type="dxa"/>
            <w:vAlign w:val="bottom"/>
          </w:tcPr>
          <w:p w14:paraId="1FAEEFBF" w14:textId="1D6A2FBC"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r w:rsidRPr="00863A72">
              <w:rPr>
                <w:rFonts w:ascii="Times New Roman" w:hAnsi="Times New Roman" w:cs="Times New Roman"/>
              </w:rPr>
              <w:t xml:space="preserve">6242 </w:t>
            </w:r>
          </w:p>
        </w:tc>
        <w:tc>
          <w:tcPr>
            <w:tcW w:w="8100" w:type="dxa"/>
            <w:vAlign w:val="bottom"/>
          </w:tcPr>
          <w:p w14:paraId="15303C45" w14:textId="07C111D0" w:rsidR="00AD681B" w:rsidRPr="00CE7AE5"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6" w:right="-210"/>
              <w:jc w:val="left"/>
              <w:rPr>
                <w:rFonts w:ascii="Courier New" w:hAnsi="Courier New" w:cs="Courier New"/>
                <w:caps/>
              </w:rPr>
            </w:pPr>
            <w:r w:rsidRPr="00CE7AE5">
              <w:rPr>
                <w:rFonts w:ascii="Courier New" w:hAnsi="Courier New" w:cs="Courier New"/>
                <w:caps/>
              </w:rPr>
              <w:t>5′</w:t>
            </w:r>
            <w:r w:rsidR="00087830">
              <w:rPr>
                <w:rFonts w:ascii="Courier New" w:hAnsi="Courier New" w:cs="Courier New"/>
                <w:caps/>
              </w:rPr>
              <w:t>-</w:t>
            </w:r>
            <w:r w:rsidRPr="00CE7AE5">
              <w:rPr>
                <w:rFonts w:ascii="Courier New" w:hAnsi="Courier New" w:cs="Courier New"/>
                <w:caps/>
              </w:rPr>
              <w:t>cgcatctgc tatagtggag gccggagcag gaacaggttg aacagtctac cctcccttag</w:t>
            </w:r>
          </w:p>
        </w:tc>
      </w:tr>
      <w:tr w:rsidR="00AD681B" w:rsidRPr="008B500D" w14:paraId="3F6373A1" w14:textId="77777777" w:rsidTr="00CE7AE5">
        <w:trPr>
          <w:trHeight w:val="288"/>
          <w:jc w:val="center"/>
        </w:trPr>
        <w:tc>
          <w:tcPr>
            <w:tcW w:w="1170" w:type="dxa"/>
            <w:vAlign w:val="bottom"/>
          </w:tcPr>
          <w:p w14:paraId="61B71DB3"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p>
        </w:tc>
        <w:tc>
          <w:tcPr>
            <w:tcW w:w="540" w:type="dxa"/>
            <w:vAlign w:val="bottom"/>
          </w:tcPr>
          <w:p w14:paraId="48FB4D8B"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r w:rsidRPr="00863A72">
              <w:rPr>
                <w:rFonts w:ascii="Times New Roman" w:hAnsi="Times New Roman" w:cs="Times New Roman"/>
              </w:rPr>
              <w:t>6301</w:t>
            </w:r>
          </w:p>
        </w:tc>
        <w:tc>
          <w:tcPr>
            <w:tcW w:w="8100" w:type="dxa"/>
            <w:vAlign w:val="bottom"/>
          </w:tcPr>
          <w:p w14:paraId="6BDAAE73" w14:textId="6548077D" w:rsidR="00AD681B" w:rsidRPr="00CE7AE5"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0"/>
              <w:ind w:left="144" w:right="-210"/>
              <w:jc w:val="left"/>
              <w:rPr>
                <w:rFonts w:ascii="Courier New" w:hAnsi="Courier New" w:cs="Courier New"/>
                <w:caps/>
              </w:rPr>
            </w:pPr>
            <w:r w:rsidRPr="00CE7AE5">
              <w:rPr>
                <w:rFonts w:ascii="Courier New" w:hAnsi="Courier New" w:cs="Courier New"/>
                <w:caps/>
              </w:rPr>
              <w:t>cagggaacta ctcccaccct ggagcctccg tagacctaac catcttctcc ttacacctag</w:t>
            </w:r>
          </w:p>
        </w:tc>
      </w:tr>
      <w:tr w:rsidR="00AD681B" w:rsidRPr="008B500D" w14:paraId="3D5F2C03" w14:textId="77777777" w:rsidTr="00CE7AE5">
        <w:trPr>
          <w:trHeight w:val="288"/>
          <w:jc w:val="center"/>
        </w:trPr>
        <w:tc>
          <w:tcPr>
            <w:tcW w:w="1170" w:type="dxa"/>
            <w:vAlign w:val="bottom"/>
          </w:tcPr>
          <w:p w14:paraId="6557B915"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p>
        </w:tc>
        <w:tc>
          <w:tcPr>
            <w:tcW w:w="540" w:type="dxa"/>
            <w:vAlign w:val="bottom"/>
          </w:tcPr>
          <w:p w14:paraId="71645369"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r w:rsidRPr="00863A72">
              <w:rPr>
                <w:rFonts w:ascii="Times New Roman" w:hAnsi="Times New Roman" w:cs="Times New Roman"/>
              </w:rPr>
              <w:t>6361</w:t>
            </w:r>
          </w:p>
        </w:tc>
        <w:tc>
          <w:tcPr>
            <w:tcW w:w="8100" w:type="dxa"/>
            <w:vAlign w:val="bottom"/>
          </w:tcPr>
          <w:p w14:paraId="30E0DBDB" w14:textId="130F75C9" w:rsidR="00AD681B" w:rsidRPr="00CE7AE5"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0"/>
              <w:ind w:left="144" w:right="-210"/>
              <w:jc w:val="left"/>
              <w:rPr>
                <w:rFonts w:ascii="Courier New" w:hAnsi="Courier New" w:cs="Courier New"/>
                <w:caps/>
              </w:rPr>
            </w:pPr>
            <w:r w:rsidRPr="00CE7AE5">
              <w:rPr>
                <w:rFonts w:ascii="Courier New" w:hAnsi="Courier New" w:cs="Courier New"/>
                <w:caps/>
              </w:rPr>
              <w:t xml:space="preserve">caggtgtctc </w:t>
            </w:r>
            <w:r w:rsidRPr="00CE7AE5">
              <w:rPr>
                <w:rFonts w:ascii="Courier New" w:hAnsi="Courier New" w:cs="Courier New"/>
                <w:b/>
                <w:bCs/>
                <w:caps/>
                <w:sz w:val="22"/>
                <w:szCs w:val="22"/>
                <w:u w:val="single"/>
              </w:rPr>
              <w:t>T</w:t>
            </w:r>
            <w:r w:rsidRPr="00CE7AE5">
              <w:rPr>
                <w:rFonts w:ascii="Courier New" w:hAnsi="Courier New" w:cs="Courier New"/>
                <w:caps/>
              </w:rPr>
              <w:t>tctatctta ggggccatca atttcatcac aacaattatc aatataaaac</w:t>
            </w:r>
          </w:p>
        </w:tc>
      </w:tr>
      <w:tr w:rsidR="00AD681B" w:rsidRPr="008B500D" w14:paraId="22B07F20" w14:textId="77777777" w:rsidTr="00CE7AE5">
        <w:trPr>
          <w:trHeight w:val="288"/>
          <w:jc w:val="center"/>
        </w:trPr>
        <w:tc>
          <w:tcPr>
            <w:tcW w:w="1170" w:type="dxa"/>
            <w:vAlign w:val="bottom"/>
          </w:tcPr>
          <w:p w14:paraId="07284590"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p>
        </w:tc>
        <w:tc>
          <w:tcPr>
            <w:tcW w:w="540" w:type="dxa"/>
            <w:vAlign w:val="bottom"/>
          </w:tcPr>
          <w:p w14:paraId="2F0149F4" w14:textId="77777777" w:rsidR="00AD681B" w:rsidRPr="00863A72"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ind w:left="-72" w:right="-144"/>
              <w:jc w:val="left"/>
              <w:rPr>
                <w:rFonts w:ascii="Times New Roman" w:hAnsi="Times New Roman" w:cs="Times New Roman"/>
              </w:rPr>
            </w:pPr>
            <w:r w:rsidRPr="00863A72">
              <w:rPr>
                <w:rFonts w:ascii="Times New Roman" w:hAnsi="Times New Roman" w:cs="Times New Roman"/>
              </w:rPr>
              <w:t>6421</w:t>
            </w:r>
          </w:p>
        </w:tc>
        <w:tc>
          <w:tcPr>
            <w:tcW w:w="8100" w:type="dxa"/>
            <w:vAlign w:val="bottom"/>
          </w:tcPr>
          <w:p w14:paraId="5F7EE8A9" w14:textId="00E23ADD" w:rsidR="00AD681B" w:rsidRPr="00CE7AE5" w:rsidRDefault="00AD681B" w:rsidP="00CE7A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0"/>
              <w:ind w:left="144" w:right="-210"/>
              <w:jc w:val="left"/>
              <w:rPr>
                <w:rFonts w:ascii="Courier New" w:hAnsi="Courier New" w:cs="Courier New"/>
                <w:caps/>
              </w:rPr>
            </w:pPr>
            <w:r w:rsidRPr="00CE7AE5">
              <w:rPr>
                <w:rFonts w:ascii="Courier New" w:hAnsi="Courier New" w:cs="Courier New"/>
                <w:caps/>
              </w:rPr>
              <w:t>cccctgccat aacccaatac caaacgcccc tcttcgtctg atccgtccta atcacagcag</w:t>
            </w:r>
          </w:p>
        </w:tc>
      </w:tr>
      <w:tr w:rsidR="00AD681B" w:rsidRPr="008B500D" w14:paraId="41FE3564" w14:textId="77777777" w:rsidTr="00CE7AE5">
        <w:trPr>
          <w:trHeight w:val="288"/>
          <w:jc w:val="center"/>
        </w:trPr>
        <w:tc>
          <w:tcPr>
            <w:tcW w:w="1170" w:type="dxa"/>
            <w:vAlign w:val="bottom"/>
          </w:tcPr>
          <w:p w14:paraId="6809BF65" w14:textId="77777777" w:rsidR="00AD681B" w:rsidRPr="00863A72" w:rsidRDefault="00AD681B" w:rsidP="00CE7AE5">
            <w:pPr>
              <w:pStyle w:val="BodyText"/>
              <w:spacing w:after="40"/>
              <w:ind w:left="-72" w:right="-144"/>
              <w:jc w:val="left"/>
              <w:rPr>
                <w:sz w:val="20"/>
                <w:szCs w:val="20"/>
              </w:rPr>
            </w:pPr>
          </w:p>
        </w:tc>
        <w:tc>
          <w:tcPr>
            <w:tcW w:w="540" w:type="dxa"/>
            <w:vAlign w:val="bottom"/>
          </w:tcPr>
          <w:p w14:paraId="59007E8D" w14:textId="77777777" w:rsidR="00AD681B" w:rsidRPr="00863A72" w:rsidRDefault="00AD681B" w:rsidP="00CE7AE5">
            <w:pPr>
              <w:pStyle w:val="BodyText"/>
              <w:spacing w:after="40"/>
              <w:ind w:left="-72" w:right="-144"/>
              <w:jc w:val="left"/>
              <w:rPr>
                <w:sz w:val="20"/>
                <w:szCs w:val="20"/>
              </w:rPr>
            </w:pPr>
            <w:r w:rsidRPr="00863A72">
              <w:rPr>
                <w:sz w:val="20"/>
                <w:szCs w:val="20"/>
              </w:rPr>
              <w:t>6481</w:t>
            </w:r>
          </w:p>
        </w:tc>
        <w:tc>
          <w:tcPr>
            <w:tcW w:w="8100" w:type="dxa"/>
            <w:vAlign w:val="bottom"/>
          </w:tcPr>
          <w:p w14:paraId="0303C08B" w14:textId="0CDB167A" w:rsidR="00AD681B" w:rsidRPr="00CE7AE5" w:rsidRDefault="00AD681B" w:rsidP="00CE7AE5">
            <w:pPr>
              <w:pStyle w:val="BodyText"/>
              <w:ind w:left="144" w:right="-210"/>
              <w:jc w:val="left"/>
              <w:rPr>
                <w:rFonts w:ascii="Courier New" w:hAnsi="Courier New" w:cs="Courier New"/>
                <w:caps/>
                <w:sz w:val="20"/>
                <w:szCs w:val="20"/>
              </w:rPr>
            </w:pPr>
            <w:r w:rsidRPr="00CE7AE5">
              <w:rPr>
                <w:rFonts w:ascii="Courier New" w:hAnsi="Courier New" w:cs="Courier New"/>
                <w:caps/>
                <w:sz w:val="20"/>
                <w:szCs w:val="20"/>
              </w:rPr>
              <w:t xml:space="preserve">tcctacttct cctatctctc ccagtcctag ctgctggcat </w:t>
            </w:r>
            <w:r w:rsidR="00087830" w:rsidRPr="00CE7AE5">
              <w:rPr>
                <w:rFonts w:ascii="Courier New" w:hAnsi="Courier New" w:cs="Courier New"/>
                <w:caps/>
                <w:sz w:val="20"/>
                <w:szCs w:val="20"/>
              </w:rPr>
              <w:t>cactat</w:t>
            </w:r>
            <w:r w:rsidR="00087830">
              <w:rPr>
                <w:rFonts w:ascii="Courier New" w:hAnsi="Courier New" w:cs="Courier New"/>
                <w:caps/>
                <w:sz w:val="20"/>
                <w:szCs w:val="20"/>
              </w:rPr>
              <w:t>-</w:t>
            </w:r>
            <w:r w:rsidRPr="00CE7AE5">
              <w:rPr>
                <w:rFonts w:ascii="Courier New" w:hAnsi="Courier New" w:cs="Courier New"/>
                <w:caps/>
                <w:sz w:val="20"/>
                <w:szCs w:val="20"/>
              </w:rPr>
              <w:t>3′</w:t>
            </w:r>
            <w:r w:rsidR="00CE7AE5">
              <w:rPr>
                <w:rFonts w:ascii="Courier New" w:hAnsi="Courier New" w:cs="Courier New"/>
                <w:caps/>
                <w:sz w:val="20"/>
                <w:szCs w:val="20"/>
              </w:rPr>
              <w:t xml:space="preserve"> </w:t>
            </w:r>
            <w:r w:rsidRPr="00CE7AE5">
              <w:rPr>
                <w:rFonts w:ascii="Courier New" w:hAnsi="Courier New" w:cs="Courier New"/>
                <w:caps/>
                <w:sz w:val="20"/>
                <w:szCs w:val="20"/>
              </w:rPr>
              <w:t>6526</w:t>
            </w:r>
          </w:p>
        </w:tc>
      </w:tr>
      <w:tr w:rsidR="00AD681B" w:rsidRPr="008B500D" w14:paraId="166B5B79" w14:textId="77777777" w:rsidTr="00CE7AE5">
        <w:trPr>
          <w:trHeight w:val="288"/>
          <w:jc w:val="center"/>
        </w:trPr>
        <w:tc>
          <w:tcPr>
            <w:tcW w:w="1170" w:type="dxa"/>
            <w:vAlign w:val="bottom"/>
          </w:tcPr>
          <w:p w14:paraId="2850CFFA" w14:textId="77777777" w:rsidR="00AD681B" w:rsidRPr="00863A72" w:rsidRDefault="00AD681B" w:rsidP="00CE7AE5">
            <w:pPr>
              <w:pStyle w:val="BodyText"/>
              <w:spacing w:before="120" w:after="40"/>
              <w:ind w:left="-72" w:right="-144"/>
              <w:jc w:val="left"/>
              <w:rPr>
                <w:sz w:val="20"/>
                <w:szCs w:val="20"/>
              </w:rPr>
            </w:pPr>
            <w:r w:rsidRPr="00863A72">
              <w:rPr>
                <w:sz w:val="20"/>
                <w:szCs w:val="20"/>
              </w:rPr>
              <w:t>GM09947A</w:t>
            </w:r>
          </w:p>
        </w:tc>
        <w:tc>
          <w:tcPr>
            <w:tcW w:w="540" w:type="dxa"/>
            <w:vAlign w:val="bottom"/>
          </w:tcPr>
          <w:p w14:paraId="3F477F9D" w14:textId="17B98CE8" w:rsidR="00AD681B" w:rsidRPr="00863A72" w:rsidRDefault="00AD681B" w:rsidP="00CE7AE5">
            <w:pPr>
              <w:pStyle w:val="BodyText"/>
              <w:spacing w:before="120" w:after="40"/>
              <w:ind w:left="-72" w:right="-144"/>
              <w:jc w:val="left"/>
              <w:rPr>
                <w:sz w:val="20"/>
                <w:szCs w:val="20"/>
              </w:rPr>
            </w:pPr>
            <w:r w:rsidRPr="00863A72">
              <w:rPr>
                <w:sz w:val="20"/>
                <w:szCs w:val="20"/>
              </w:rPr>
              <w:t>6242</w:t>
            </w:r>
            <w:r>
              <w:rPr>
                <w:sz w:val="20"/>
                <w:szCs w:val="20"/>
              </w:rPr>
              <w:t xml:space="preserve"> </w:t>
            </w:r>
          </w:p>
        </w:tc>
        <w:tc>
          <w:tcPr>
            <w:tcW w:w="8100" w:type="dxa"/>
            <w:vAlign w:val="bottom"/>
          </w:tcPr>
          <w:p w14:paraId="34F7830D" w14:textId="7A8B0145" w:rsidR="00AD681B" w:rsidRPr="00CE7AE5" w:rsidRDefault="00AD681B" w:rsidP="00CE7AE5">
            <w:pPr>
              <w:pStyle w:val="BodyText"/>
              <w:spacing w:before="120"/>
              <w:ind w:left="-86" w:right="-210"/>
              <w:jc w:val="left"/>
              <w:rPr>
                <w:rFonts w:ascii="Courier New" w:hAnsi="Courier New" w:cs="Courier New"/>
                <w:caps/>
                <w:sz w:val="20"/>
                <w:szCs w:val="20"/>
              </w:rPr>
            </w:pPr>
            <w:r w:rsidRPr="00CE7AE5">
              <w:rPr>
                <w:rFonts w:ascii="Courier New" w:hAnsi="Courier New" w:cs="Courier New"/>
                <w:caps/>
                <w:sz w:val="20"/>
                <w:szCs w:val="20"/>
              </w:rPr>
              <w:t>5′</w:t>
            </w:r>
            <w:r w:rsidR="00087830">
              <w:rPr>
                <w:rFonts w:ascii="Courier New" w:hAnsi="Courier New" w:cs="Courier New"/>
                <w:caps/>
                <w:sz w:val="20"/>
                <w:szCs w:val="20"/>
              </w:rPr>
              <w:t>-</w:t>
            </w:r>
            <w:r w:rsidRPr="00CE7AE5">
              <w:rPr>
                <w:rFonts w:ascii="Courier New" w:hAnsi="Courier New" w:cs="Courier New"/>
                <w:caps/>
                <w:sz w:val="20"/>
                <w:szCs w:val="20"/>
              </w:rPr>
              <w:t>cgcatctgc tatagtggag gccggagcag gaacaggttg aacagtctac cctcccttag</w:t>
            </w:r>
          </w:p>
        </w:tc>
      </w:tr>
      <w:tr w:rsidR="00AD681B" w:rsidRPr="008B500D" w14:paraId="1134AB69" w14:textId="77777777" w:rsidTr="00CE7AE5">
        <w:trPr>
          <w:trHeight w:val="288"/>
          <w:jc w:val="center"/>
        </w:trPr>
        <w:tc>
          <w:tcPr>
            <w:tcW w:w="1170" w:type="dxa"/>
            <w:vAlign w:val="bottom"/>
          </w:tcPr>
          <w:p w14:paraId="2FA0EAF4" w14:textId="77777777" w:rsidR="00AD681B" w:rsidRPr="00863A72" w:rsidRDefault="00AD681B" w:rsidP="00CE7AE5">
            <w:pPr>
              <w:pStyle w:val="BodyText"/>
              <w:spacing w:after="40"/>
              <w:ind w:left="-72" w:right="-144"/>
              <w:jc w:val="left"/>
              <w:rPr>
                <w:sz w:val="20"/>
                <w:szCs w:val="20"/>
              </w:rPr>
            </w:pPr>
          </w:p>
        </w:tc>
        <w:tc>
          <w:tcPr>
            <w:tcW w:w="540" w:type="dxa"/>
            <w:vAlign w:val="bottom"/>
          </w:tcPr>
          <w:p w14:paraId="4B625CBF" w14:textId="77777777" w:rsidR="00AD681B" w:rsidRPr="00863A72" w:rsidRDefault="00AD681B" w:rsidP="00CE7AE5">
            <w:pPr>
              <w:pStyle w:val="BodyText"/>
              <w:spacing w:after="40"/>
              <w:ind w:left="-72" w:right="-144"/>
              <w:jc w:val="left"/>
              <w:rPr>
                <w:sz w:val="20"/>
                <w:szCs w:val="20"/>
              </w:rPr>
            </w:pPr>
            <w:r w:rsidRPr="00863A72">
              <w:rPr>
                <w:sz w:val="20"/>
                <w:szCs w:val="20"/>
              </w:rPr>
              <w:t>6301</w:t>
            </w:r>
          </w:p>
        </w:tc>
        <w:tc>
          <w:tcPr>
            <w:tcW w:w="8100" w:type="dxa"/>
            <w:vAlign w:val="bottom"/>
          </w:tcPr>
          <w:p w14:paraId="178CD784" w14:textId="73134F4F" w:rsidR="00AD681B" w:rsidRPr="00CE7AE5" w:rsidRDefault="00AD681B" w:rsidP="00CE7AE5">
            <w:pPr>
              <w:pStyle w:val="BodyText"/>
              <w:ind w:left="144" w:right="-210"/>
              <w:jc w:val="left"/>
              <w:rPr>
                <w:rFonts w:ascii="Courier New" w:hAnsi="Courier New" w:cs="Courier New"/>
                <w:caps/>
                <w:sz w:val="20"/>
                <w:szCs w:val="20"/>
              </w:rPr>
            </w:pPr>
            <w:r w:rsidRPr="00CE7AE5">
              <w:rPr>
                <w:rFonts w:ascii="Courier New" w:hAnsi="Courier New" w:cs="Courier New"/>
                <w:caps/>
                <w:sz w:val="20"/>
                <w:szCs w:val="20"/>
              </w:rPr>
              <w:t>cagggaacta ctcccaccct ggagcctccg tagacctaac catcttctcc ttacacctag</w:t>
            </w:r>
          </w:p>
        </w:tc>
      </w:tr>
      <w:tr w:rsidR="00AD681B" w:rsidRPr="008B500D" w14:paraId="6974EFD2" w14:textId="77777777" w:rsidTr="00CE7AE5">
        <w:trPr>
          <w:trHeight w:val="288"/>
          <w:jc w:val="center"/>
        </w:trPr>
        <w:tc>
          <w:tcPr>
            <w:tcW w:w="1170" w:type="dxa"/>
            <w:vAlign w:val="bottom"/>
          </w:tcPr>
          <w:p w14:paraId="2CA0A76C" w14:textId="77777777" w:rsidR="00AD681B" w:rsidRPr="00863A72" w:rsidRDefault="00AD681B" w:rsidP="00CE7AE5">
            <w:pPr>
              <w:pStyle w:val="BodyText"/>
              <w:spacing w:after="40"/>
              <w:ind w:left="-72" w:right="-144"/>
              <w:jc w:val="left"/>
              <w:rPr>
                <w:sz w:val="20"/>
                <w:szCs w:val="20"/>
              </w:rPr>
            </w:pPr>
          </w:p>
        </w:tc>
        <w:tc>
          <w:tcPr>
            <w:tcW w:w="540" w:type="dxa"/>
            <w:vAlign w:val="bottom"/>
          </w:tcPr>
          <w:p w14:paraId="2A43B0A1" w14:textId="77777777" w:rsidR="00AD681B" w:rsidRPr="00863A72" w:rsidRDefault="00AD681B" w:rsidP="00CE7AE5">
            <w:pPr>
              <w:pStyle w:val="BodyText"/>
              <w:spacing w:after="40"/>
              <w:ind w:left="-72" w:right="-144"/>
              <w:jc w:val="left"/>
              <w:rPr>
                <w:sz w:val="20"/>
                <w:szCs w:val="20"/>
              </w:rPr>
            </w:pPr>
            <w:r w:rsidRPr="00863A72">
              <w:rPr>
                <w:sz w:val="20"/>
                <w:szCs w:val="20"/>
              </w:rPr>
              <w:t>6361</w:t>
            </w:r>
          </w:p>
        </w:tc>
        <w:tc>
          <w:tcPr>
            <w:tcW w:w="8100" w:type="dxa"/>
            <w:vAlign w:val="bottom"/>
          </w:tcPr>
          <w:p w14:paraId="01DBD487" w14:textId="2D478DC1" w:rsidR="00AD681B" w:rsidRPr="00CE7AE5" w:rsidRDefault="00AD681B" w:rsidP="00CE7AE5">
            <w:pPr>
              <w:pStyle w:val="BodyText"/>
              <w:ind w:left="144" w:right="-210"/>
              <w:jc w:val="left"/>
              <w:rPr>
                <w:rFonts w:ascii="Courier New" w:hAnsi="Courier New" w:cs="Courier New"/>
                <w:caps/>
                <w:sz w:val="20"/>
                <w:szCs w:val="20"/>
              </w:rPr>
            </w:pPr>
            <w:r w:rsidRPr="00CE7AE5">
              <w:rPr>
                <w:rFonts w:ascii="Courier New" w:hAnsi="Courier New" w:cs="Courier New"/>
                <w:caps/>
                <w:sz w:val="20"/>
                <w:szCs w:val="20"/>
              </w:rPr>
              <w:t xml:space="preserve">caggtgtctc </w:t>
            </w:r>
            <w:r w:rsidRPr="00CE7AE5">
              <w:rPr>
                <w:rFonts w:ascii="Courier New" w:hAnsi="Courier New" w:cs="Courier New"/>
                <w:b/>
                <w:bCs/>
                <w:caps/>
                <w:szCs w:val="22"/>
                <w:u w:val="single"/>
              </w:rPr>
              <w:t>C</w:t>
            </w:r>
            <w:r w:rsidRPr="00CE7AE5">
              <w:rPr>
                <w:rFonts w:ascii="Courier New" w:hAnsi="Courier New" w:cs="Courier New"/>
                <w:caps/>
                <w:sz w:val="20"/>
                <w:szCs w:val="20"/>
              </w:rPr>
              <w:t>tctatctta ggggccatca atttcatcac aacaattatc aatataaaac</w:t>
            </w:r>
          </w:p>
        </w:tc>
      </w:tr>
      <w:tr w:rsidR="00AD681B" w:rsidRPr="008B500D" w14:paraId="2154836F" w14:textId="77777777" w:rsidTr="00CE7AE5">
        <w:trPr>
          <w:trHeight w:val="288"/>
          <w:jc w:val="center"/>
        </w:trPr>
        <w:tc>
          <w:tcPr>
            <w:tcW w:w="1170" w:type="dxa"/>
            <w:vAlign w:val="bottom"/>
          </w:tcPr>
          <w:p w14:paraId="46212EA5" w14:textId="77777777" w:rsidR="00AD681B" w:rsidRPr="00863A72" w:rsidRDefault="00AD681B" w:rsidP="00CE7AE5">
            <w:pPr>
              <w:pStyle w:val="BodyText"/>
              <w:spacing w:after="40"/>
              <w:ind w:left="-72" w:right="-144"/>
              <w:jc w:val="left"/>
              <w:rPr>
                <w:sz w:val="20"/>
                <w:szCs w:val="20"/>
              </w:rPr>
            </w:pPr>
          </w:p>
        </w:tc>
        <w:tc>
          <w:tcPr>
            <w:tcW w:w="540" w:type="dxa"/>
            <w:vAlign w:val="bottom"/>
          </w:tcPr>
          <w:p w14:paraId="02075B3E" w14:textId="77777777" w:rsidR="00AD681B" w:rsidRPr="00863A72" w:rsidRDefault="00AD681B" w:rsidP="00CE7AE5">
            <w:pPr>
              <w:pStyle w:val="BodyText"/>
              <w:spacing w:after="40"/>
              <w:ind w:left="-72" w:right="-144"/>
              <w:jc w:val="left"/>
              <w:rPr>
                <w:sz w:val="20"/>
                <w:szCs w:val="20"/>
              </w:rPr>
            </w:pPr>
            <w:r w:rsidRPr="00863A72">
              <w:rPr>
                <w:sz w:val="20"/>
                <w:szCs w:val="20"/>
              </w:rPr>
              <w:t>6421</w:t>
            </w:r>
          </w:p>
        </w:tc>
        <w:tc>
          <w:tcPr>
            <w:tcW w:w="8100" w:type="dxa"/>
            <w:vAlign w:val="bottom"/>
          </w:tcPr>
          <w:p w14:paraId="6F441131" w14:textId="3FF107AB" w:rsidR="00AD681B" w:rsidRPr="00CE7AE5" w:rsidRDefault="00AD681B" w:rsidP="00CE7AE5">
            <w:pPr>
              <w:pStyle w:val="BodyText"/>
              <w:ind w:left="144" w:right="-210"/>
              <w:jc w:val="left"/>
              <w:rPr>
                <w:rFonts w:ascii="Courier New" w:hAnsi="Courier New" w:cs="Courier New"/>
                <w:caps/>
                <w:sz w:val="20"/>
                <w:szCs w:val="20"/>
              </w:rPr>
            </w:pPr>
            <w:r w:rsidRPr="00CE7AE5">
              <w:rPr>
                <w:rFonts w:ascii="Courier New" w:hAnsi="Courier New" w:cs="Courier New"/>
                <w:caps/>
                <w:sz w:val="20"/>
                <w:szCs w:val="20"/>
              </w:rPr>
              <w:t>cccctgccat aacccaatac caaacgcccc tcttcgtctg atccgtccta atcacagcag</w:t>
            </w:r>
          </w:p>
        </w:tc>
      </w:tr>
      <w:tr w:rsidR="00AD681B" w:rsidRPr="008B500D" w14:paraId="7D171F37" w14:textId="77777777" w:rsidTr="00CE7AE5">
        <w:trPr>
          <w:trHeight w:val="288"/>
          <w:jc w:val="center"/>
        </w:trPr>
        <w:tc>
          <w:tcPr>
            <w:tcW w:w="1170" w:type="dxa"/>
            <w:vAlign w:val="bottom"/>
          </w:tcPr>
          <w:p w14:paraId="424302D4" w14:textId="77777777" w:rsidR="00AD681B" w:rsidRPr="00863A72" w:rsidRDefault="00AD681B" w:rsidP="00CE7AE5">
            <w:pPr>
              <w:pStyle w:val="BodyText"/>
              <w:spacing w:after="40"/>
              <w:ind w:left="-72" w:right="-144"/>
              <w:jc w:val="left"/>
              <w:rPr>
                <w:sz w:val="20"/>
                <w:szCs w:val="20"/>
              </w:rPr>
            </w:pPr>
          </w:p>
        </w:tc>
        <w:tc>
          <w:tcPr>
            <w:tcW w:w="540" w:type="dxa"/>
            <w:vAlign w:val="bottom"/>
          </w:tcPr>
          <w:p w14:paraId="1FD06020" w14:textId="77777777" w:rsidR="00AD681B" w:rsidRPr="00863A72" w:rsidRDefault="00AD681B" w:rsidP="00CE7AE5">
            <w:pPr>
              <w:pStyle w:val="BodyText"/>
              <w:spacing w:after="40"/>
              <w:ind w:left="-72" w:right="-144"/>
              <w:jc w:val="left"/>
              <w:rPr>
                <w:sz w:val="20"/>
                <w:szCs w:val="20"/>
              </w:rPr>
            </w:pPr>
            <w:r w:rsidRPr="00863A72">
              <w:rPr>
                <w:sz w:val="20"/>
                <w:szCs w:val="20"/>
              </w:rPr>
              <w:t>6481</w:t>
            </w:r>
          </w:p>
        </w:tc>
        <w:tc>
          <w:tcPr>
            <w:tcW w:w="8100" w:type="dxa"/>
            <w:vAlign w:val="bottom"/>
          </w:tcPr>
          <w:p w14:paraId="18046EB0" w14:textId="7000AC04" w:rsidR="00AD681B" w:rsidRPr="00CE7AE5" w:rsidRDefault="00AD681B" w:rsidP="00CE7AE5">
            <w:pPr>
              <w:pStyle w:val="BodyText"/>
              <w:ind w:left="144" w:right="-210"/>
              <w:jc w:val="left"/>
              <w:rPr>
                <w:rFonts w:ascii="Courier New" w:hAnsi="Courier New" w:cs="Courier New"/>
                <w:caps/>
                <w:sz w:val="20"/>
                <w:szCs w:val="20"/>
              </w:rPr>
            </w:pPr>
            <w:r w:rsidRPr="00CE7AE5">
              <w:rPr>
                <w:rFonts w:ascii="Courier New" w:hAnsi="Courier New" w:cs="Courier New"/>
                <w:caps/>
                <w:sz w:val="20"/>
                <w:szCs w:val="20"/>
              </w:rPr>
              <w:t xml:space="preserve">tcctacttct cctatctctc ccagtcctag ctgctggcat </w:t>
            </w:r>
            <w:r w:rsidR="00087830" w:rsidRPr="00CE7AE5">
              <w:rPr>
                <w:rFonts w:ascii="Courier New" w:hAnsi="Courier New" w:cs="Courier New"/>
                <w:caps/>
                <w:sz w:val="20"/>
                <w:szCs w:val="20"/>
              </w:rPr>
              <w:t>cactat</w:t>
            </w:r>
            <w:r w:rsidR="00087830">
              <w:rPr>
                <w:rFonts w:ascii="Courier New" w:hAnsi="Courier New" w:cs="Courier New"/>
                <w:caps/>
                <w:sz w:val="20"/>
                <w:szCs w:val="20"/>
              </w:rPr>
              <w:t>-</w:t>
            </w:r>
            <w:r w:rsidRPr="00CE7AE5">
              <w:rPr>
                <w:rFonts w:ascii="Courier New" w:hAnsi="Courier New" w:cs="Courier New"/>
                <w:caps/>
                <w:sz w:val="20"/>
                <w:szCs w:val="20"/>
              </w:rPr>
              <w:t>3′ 6526</w:t>
            </w:r>
          </w:p>
        </w:tc>
      </w:tr>
    </w:tbl>
    <w:p w14:paraId="24765779" w14:textId="64D4132E" w:rsidR="00492515" w:rsidRPr="00BA60B0" w:rsidRDefault="00113E41" w:rsidP="00660624">
      <w:pPr>
        <w:tabs>
          <w:tab w:val="left" w:pos="360"/>
        </w:tabs>
        <w:spacing w:before="120"/>
        <w:ind w:left="180" w:hanging="180"/>
        <w:rPr>
          <w:spacing w:val="-2"/>
          <w:sz w:val="18"/>
          <w:szCs w:val="18"/>
        </w:rPr>
      </w:pPr>
      <w:r>
        <w:rPr>
          <w:spacing w:val="-2"/>
          <w:sz w:val="18"/>
          <w:szCs w:val="18"/>
          <w:vertAlign w:val="superscript"/>
        </w:rPr>
        <w:t>(</w:t>
      </w:r>
      <w:r w:rsidR="00D86A55" w:rsidRPr="00BA60B0">
        <w:rPr>
          <w:spacing w:val="-2"/>
          <w:sz w:val="18"/>
          <w:szCs w:val="18"/>
          <w:vertAlign w:val="superscript"/>
        </w:rPr>
        <w:t>a)</w:t>
      </w:r>
      <w:r>
        <w:rPr>
          <w:spacing w:val="-2"/>
          <w:sz w:val="18"/>
          <w:szCs w:val="18"/>
          <w:vertAlign w:val="superscript"/>
        </w:rPr>
        <w:tab/>
      </w:r>
      <w:r w:rsidR="009D2796" w:rsidRPr="00BA60B0">
        <w:rPr>
          <w:spacing w:val="-2"/>
          <w:sz w:val="18"/>
          <w:szCs w:val="18"/>
        </w:rPr>
        <w:t>T</w:t>
      </w:r>
      <w:r w:rsidR="00492515" w:rsidRPr="00471FB6">
        <w:rPr>
          <w:spacing w:val="-2"/>
          <w:sz w:val="18"/>
          <w:szCs w:val="18"/>
        </w:rPr>
        <w:t xml:space="preserve">he one base pair difference is at nucleotide position 6371 and is shown in bold and underlined. </w:t>
      </w:r>
      <w:r w:rsidR="00D12B00" w:rsidRPr="00471FB6">
        <w:rPr>
          <w:spacing w:val="-2"/>
          <w:sz w:val="18"/>
          <w:szCs w:val="18"/>
        </w:rPr>
        <w:t xml:space="preserve"> </w:t>
      </w:r>
      <w:r w:rsidR="00492515" w:rsidRPr="00471FB6">
        <w:rPr>
          <w:spacing w:val="-2"/>
          <w:sz w:val="18"/>
          <w:szCs w:val="18"/>
        </w:rPr>
        <w:t>This amplified region of GM09947A agrees with the Cambridge Reference Sequence [</w:t>
      </w:r>
      <w:r w:rsidR="00811600" w:rsidRPr="00471FB6">
        <w:rPr>
          <w:spacing w:val="-2"/>
          <w:sz w:val="18"/>
          <w:szCs w:val="18"/>
        </w:rPr>
        <w:t>5</w:t>
      </w:r>
      <w:r w:rsidR="00492515" w:rsidRPr="00471FB6">
        <w:rPr>
          <w:spacing w:val="-2"/>
          <w:sz w:val="18"/>
          <w:szCs w:val="18"/>
        </w:rPr>
        <w:t xml:space="preserve">] </w:t>
      </w:r>
      <w:r w:rsidR="00221059" w:rsidRPr="00471FB6">
        <w:rPr>
          <w:spacing w:val="-2"/>
          <w:sz w:val="18"/>
          <w:szCs w:val="18"/>
        </w:rPr>
        <w:t>and the revised Cambridge Reference Sequence</w:t>
      </w:r>
      <w:r w:rsidR="00D64C9F" w:rsidRPr="00471FB6">
        <w:rPr>
          <w:spacing w:val="-2"/>
          <w:sz w:val="18"/>
          <w:szCs w:val="18"/>
        </w:rPr>
        <w:t> </w:t>
      </w:r>
      <w:r w:rsidR="00221059" w:rsidRPr="00471FB6">
        <w:rPr>
          <w:spacing w:val="-2"/>
          <w:sz w:val="18"/>
          <w:szCs w:val="18"/>
        </w:rPr>
        <w:t>[</w:t>
      </w:r>
      <w:r w:rsidR="00811600" w:rsidRPr="00471FB6">
        <w:rPr>
          <w:spacing w:val="-2"/>
          <w:sz w:val="18"/>
          <w:szCs w:val="18"/>
        </w:rPr>
        <w:t>6</w:t>
      </w:r>
      <w:r w:rsidR="00221059" w:rsidRPr="00471FB6">
        <w:rPr>
          <w:spacing w:val="-2"/>
          <w:sz w:val="18"/>
          <w:szCs w:val="18"/>
        </w:rPr>
        <w:t>]</w:t>
      </w:r>
      <w:r w:rsidR="00492515" w:rsidRPr="00471FB6">
        <w:rPr>
          <w:spacing w:val="-2"/>
          <w:sz w:val="18"/>
          <w:szCs w:val="18"/>
        </w:rPr>
        <w:t>.</w:t>
      </w:r>
      <w:r w:rsidR="00AA1301" w:rsidRPr="00471FB6">
        <w:rPr>
          <w:spacing w:val="-2"/>
          <w:sz w:val="18"/>
          <w:szCs w:val="18"/>
        </w:rPr>
        <w:t xml:space="preserve">  </w:t>
      </w:r>
      <w:proofErr w:type="spellStart"/>
      <w:r w:rsidR="00471FB6" w:rsidRPr="00471FB6">
        <w:rPr>
          <w:spacing w:val="-2"/>
          <w:sz w:val="18"/>
          <w:szCs w:val="18"/>
        </w:rPr>
        <w:t>Amplicon</w:t>
      </w:r>
      <w:proofErr w:type="spellEnd"/>
      <w:r w:rsidR="00471FB6" w:rsidRPr="00471FB6">
        <w:rPr>
          <w:spacing w:val="-2"/>
          <w:sz w:val="18"/>
          <w:szCs w:val="18"/>
        </w:rPr>
        <w:t xml:space="preserve"> sequences are </w:t>
      </w:r>
      <w:r w:rsidR="00FF0049">
        <w:rPr>
          <w:spacing w:val="-2"/>
          <w:sz w:val="18"/>
          <w:szCs w:val="18"/>
        </w:rPr>
        <w:t xml:space="preserve">given in the </w:t>
      </w:r>
      <w:r w:rsidR="00AA1301" w:rsidRPr="00AD681B">
        <w:rPr>
          <w:sz w:val="18"/>
          <w:szCs w:val="18"/>
        </w:rPr>
        <w:t>5</w:t>
      </w:r>
      <w:r w:rsidR="00471FB6">
        <w:t>′</w:t>
      </w:r>
      <w:r w:rsidR="00AA1301" w:rsidRPr="00471FB6">
        <w:rPr>
          <w:spacing w:val="-2"/>
          <w:sz w:val="18"/>
          <w:szCs w:val="18"/>
        </w:rPr>
        <w:t xml:space="preserve"> to</w:t>
      </w:r>
      <w:r w:rsidR="00471FB6" w:rsidRPr="00471FB6">
        <w:rPr>
          <w:spacing w:val="-2"/>
          <w:sz w:val="18"/>
          <w:szCs w:val="18"/>
        </w:rPr>
        <w:t xml:space="preserve"> 3</w:t>
      </w:r>
      <w:r w:rsidR="00471FB6">
        <w:t>′</w:t>
      </w:r>
      <w:r w:rsidR="00471FB6" w:rsidRPr="00471FB6">
        <w:rPr>
          <w:sz w:val="18"/>
          <w:szCs w:val="18"/>
        </w:rPr>
        <w:t xml:space="preserve"> </w:t>
      </w:r>
      <w:r w:rsidR="00FF0049">
        <w:rPr>
          <w:sz w:val="18"/>
          <w:szCs w:val="18"/>
        </w:rPr>
        <w:t>direction</w:t>
      </w:r>
      <w:r w:rsidR="007039C1">
        <w:rPr>
          <w:sz w:val="18"/>
          <w:szCs w:val="18"/>
        </w:rPr>
        <w:t xml:space="preserve"> (6242 to 6526)</w:t>
      </w:r>
      <w:r w:rsidR="00471FB6" w:rsidRPr="00AD681B">
        <w:rPr>
          <w:sz w:val="18"/>
          <w:szCs w:val="18"/>
        </w:rPr>
        <w:t>.</w:t>
      </w:r>
    </w:p>
    <w:p w14:paraId="6B067454" w14:textId="77777777" w:rsidR="00D12B00" w:rsidRPr="00325977" w:rsidRDefault="00D12B00" w:rsidP="00D12B00">
      <w:pPr>
        <w:rPr>
          <w:szCs w:val="20"/>
        </w:rPr>
      </w:pPr>
    </w:p>
    <w:p w14:paraId="71A99D45" w14:textId="77777777" w:rsidR="00D12B00" w:rsidRDefault="00D12B00" w:rsidP="00D12B00">
      <w:pPr>
        <w:rPr>
          <w:szCs w:val="20"/>
        </w:rPr>
      </w:pPr>
    </w:p>
    <w:p w14:paraId="1303497E" w14:textId="77777777" w:rsidR="00492515" w:rsidRPr="00B16691" w:rsidRDefault="00FB465A" w:rsidP="00B16691">
      <w:pPr>
        <w:jc w:val="center"/>
        <w:rPr>
          <w:szCs w:val="20"/>
        </w:rPr>
      </w:pPr>
      <w:r w:rsidRPr="00B16691">
        <w:rPr>
          <w:szCs w:val="20"/>
        </w:rPr>
        <w:t xml:space="preserve">Table </w:t>
      </w:r>
      <w:r w:rsidR="00F34B0B">
        <w:rPr>
          <w:szCs w:val="20"/>
        </w:rPr>
        <w:t>3</w:t>
      </w:r>
      <w:r w:rsidR="00B16691">
        <w:rPr>
          <w:szCs w:val="20"/>
        </w:rPr>
        <w:t xml:space="preserve">. </w:t>
      </w:r>
      <w:r w:rsidR="00492515" w:rsidRPr="00B16691">
        <w:rPr>
          <w:szCs w:val="20"/>
        </w:rPr>
        <w:t xml:space="preserve"> Primers Used to Amplify the 285 </w:t>
      </w:r>
      <w:proofErr w:type="spellStart"/>
      <w:r w:rsidR="00492515" w:rsidRPr="00B16691">
        <w:rPr>
          <w:szCs w:val="20"/>
        </w:rPr>
        <w:t>bp</w:t>
      </w:r>
      <w:proofErr w:type="spellEnd"/>
      <w:r w:rsidR="00492515" w:rsidRPr="00B16691">
        <w:rPr>
          <w:szCs w:val="20"/>
        </w:rPr>
        <w:t xml:space="preserve"> </w:t>
      </w:r>
      <w:proofErr w:type="spellStart"/>
      <w:r w:rsidR="00492515" w:rsidRPr="00B16691">
        <w:rPr>
          <w:szCs w:val="20"/>
        </w:rPr>
        <w:t>Amplicon</w:t>
      </w:r>
      <w:proofErr w:type="spellEnd"/>
      <w:r w:rsidR="00492515" w:rsidRPr="00B16691">
        <w:rPr>
          <w:szCs w:val="20"/>
        </w:rPr>
        <w:t xml:space="preserve"> Region of Interest</w:t>
      </w:r>
    </w:p>
    <w:p w14:paraId="00273022" w14:textId="77777777" w:rsidR="00492515" w:rsidRPr="00325977" w:rsidRDefault="00492515" w:rsidP="00D6057E">
      <w:pPr>
        <w:tabs>
          <w:tab w:val="left" w:pos="1800"/>
        </w:tabs>
        <w:rPr>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1356"/>
        <w:gridCol w:w="4177"/>
      </w:tblGrid>
      <w:tr w:rsidR="00D12B00" w:rsidRPr="006A570D" w14:paraId="493E4885" w14:textId="77777777" w:rsidTr="00D12B00">
        <w:trPr>
          <w:trHeight w:val="432"/>
          <w:jc w:val="center"/>
        </w:trPr>
        <w:tc>
          <w:tcPr>
            <w:tcW w:w="2250" w:type="dxa"/>
            <w:gridSpan w:val="2"/>
          </w:tcPr>
          <w:p w14:paraId="7A6E3528" w14:textId="77777777" w:rsidR="00D12B00" w:rsidRPr="006A570D" w:rsidRDefault="00D12B00" w:rsidP="00FF0049">
            <w:pPr>
              <w:pStyle w:val="Footer"/>
              <w:tabs>
                <w:tab w:val="clear" w:pos="4320"/>
                <w:tab w:val="clear" w:pos="8640"/>
                <w:tab w:val="decimal" w:pos="1242"/>
              </w:tabs>
              <w:spacing w:after="30"/>
              <w:jc w:val="center"/>
              <w:rPr>
                <w:szCs w:val="20"/>
              </w:rPr>
            </w:pPr>
            <w:r>
              <w:rPr>
                <w:rFonts w:ascii="Times New Roman" w:hAnsi="Times New Roman"/>
                <w:szCs w:val="20"/>
              </w:rPr>
              <w:t>Primer</w:t>
            </w:r>
          </w:p>
        </w:tc>
        <w:tc>
          <w:tcPr>
            <w:tcW w:w="0" w:type="auto"/>
          </w:tcPr>
          <w:p w14:paraId="70FA3132" w14:textId="77777777" w:rsidR="00D12B00" w:rsidRPr="006A570D" w:rsidRDefault="00D12B00" w:rsidP="00D12B00">
            <w:pPr>
              <w:pStyle w:val="Footer"/>
              <w:tabs>
                <w:tab w:val="clear" w:pos="4320"/>
                <w:tab w:val="clear" w:pos="8640"/>
              </w:tabs>
              <w:spacing w:after="30"/>
              <w:jc w:val="center"/>
              <w:rPr>
                <w:szCs w:val="20"/>
              </w:rPr>
            </w:pPr>
            <w:r>
              <w:rPr>
                <w:rFonts w:ascii="Times New Roman" w:hAnsi="Times New Roman"/>
                <w:szCs w:val="20"/>
              </w:rPr>
              <w:t>Primer Sequence</w:t>
            </w:r>
          </w:p>
        </w:tc>
      </w:tr>
      <w:tr w:rsidR="00113E41" w:rsidRPr="006A570D" w14:paraId="6EAF009E" w14:textId="77777777" w:rsidTr="00CE7AE5">
        <w:trPr>
          <w:trHeight w:val="288"/>
          <w:jc w:val="center"/>
        </w:trPr>
        <w:tc>
          <w:tcPr>
            <w:tcW w:w="0" w:type="auto"/>
            <w:vAlign w:val="bottom"/>
          </w:tcPr>
          <w:p w14:paraId="7570EBCF" w14:textId="77777777" w:rsidR="00113E41" w:rsidRPr="00D12B00" w:rsidRDefault="00113E41" w:rsidP="00CE7AE5">
            <w:pPr>
              <w:pStyle w:val="Footer"/>
              <w:tabs>
                <w:tab w:val="clear" w:pos="4320"/>
                <w:tab w:val="clear" w:pos="8640"/>
              </w:tabs>
              <w:spacing w:after="20"/>
              <w:jc w:val="left"/>
              <w:rPr>
                <w:rFonts w:ascii="Times New Roman" w:hAnsi="Times New Roman"/>
                <w:szCs w:val="20"/>
              </w:rPr>
            </w:pPr>
            <w:r w:rsidRPr="00D12B00">
              <w:rPr>
                <w:rFonts w:ascii="Times New Roman" w:hAnsi="Times New Roman"/>
                <w:szCs w:val="20"/>
              </w:rPr>
              <w:t>Forward</w:t>
            </w:r>
          </w:p>
        </w:tc>
        <w:tc>
          <w:tcPr>
            <w:tcW w:w="1356" w:type="dxa"/>
            <w:vAlign w:val="bottom"/>
          </w:tcPr>
          <w:p w14:paraId="081347B5" w14:textId="77777777" w:rsidR="00113E41" w:rsidRPr="00D12B00" w:rsidRDefault="00113E41" w:rsidP="00CE7AE5">
            <w:pPr>
              <w:pStyle w:val="Footer"/>
              <w:tabs>
                <w:tab w:val="clear" w:pos="4320"/>
                <w:tab w:val="clear" w:pos="8640"/>
                <w:tab w:val="decimal" w:pos="612"/>
              </w:tabs>
              <w:spacing w:after="20"/>
              <w:jc w:val="left"/>
              <w:rPr>
                <w:rFonts w:ascii="Times New Roman" w:hAnsi="Times New Roman"/>
                <w:szCs w:val="20"/>
              </w:rPr>
            </w:pPr>
            <w:r w:rsidRPr="00D12B00">
              <w:rPr>
                <w:rFonts w:ascii="Times New Roman" w:hAnsi="Times New Roman"/>
                <w:szCs w:val="20"/>
              </w:rPr>
              <w:t>6242</w:t>
            </w:r>
          </w:p>
        </w:tc>
        <w:tc>
          <w:tcPr>
            <w:tcW w:w="0" w:type="auto"/>
            <w:vAlign w:val="bottom"/>
          </w:tcPr>
          <w:p w14:paraId="66B2A69F" w14:textId="5D4A6725" w:rsidR="00113E41" w:rsidRPr="00CE7AE5" w:rsidRDefault="00113E41" w:rsidP="00D12B00">
            <w:pPr>
              <w:pStyle w:val="Footer"/>
              <w:tabs>
                <w:tab w:val="clear" w:pos="4320"/>
                <w:tab w:val="clear" w:pos="8640"/>
              </w:tabs>
              <w:spacing w:after="30"/>
              <w:jc w:val="left"/>
              <w:rPr>
                <w:rFonts w:ascii="Courier New" w:hAnsi="Courier New" w:cs="Courier New"/>
                <w:szCs w:val="20"/>
              </w:rPr>
            </w:pPr>
            <w:r w:rsidRPr="00CE7AE5">
              <w:rPr>
                <w:rFonts w:ascii="Courier New" w:hAnsi="Courier New" w:cs="Courier New"/>
                <w:szCs w:val="20"/>
              </w:rPr>
              <w:t>5</w:t>
            </w:r>
            <w:r w:rsidR="00471FB6" w:rsidRPr="00CE7AE5">
              <w:rPr>
                <w:rFonts w:ascii="Courier New" w:hAnsi="Courier New" w:cs="Courier New"/>
                <w:szCs w:val="20"/>
              </w:rPr>
              <w:t>′</w:t>
            </w:r>
            <w:r w:rsidRPr="00CE7AE5">
              <w:rPr>
                <w:rFonts w:ascii="Courier New" w:hAnsi="Courier New" w:cs="Courier New"/>
                <w:szCs w:val="20"/>
              </w:rPr>
              <w:t xml:space="preserve"> </w:t>
            </w:r>
            <w:r w:rsidRPr="006419AD">
              <w:rPr>
                <w:rFonts w:ascii="Courier New" w:hAnsi="Courier New" w:cs="Courier New"/>
                <w:szCs w:val="20"/>
              </w:rPr>
              <w:t>CGC ATC TGC TAT AGT GGA GG</w:t>
            </w:r>
            <w:r w:rsidRPr="00CE7AE5">
              <w:rPr>
                <w:rFonts w:ascii="Courier New" w:hAnsi="Courier New" w:cs="Courier New"/>
                <w:szCs w:val="20"/>
              </w:rPr>
              <w:t xml:space="preserve"> 3</w:t>
            </w:r>
            <w:r w:rsidR="00471FB6" w:rsidRPr="00CE7AE5">
              <w:rPr>
                <w:rFonts w:ascii="Courier New" w:hAnsi="Courier New" w:cs="Courier New"/>
                <w:szCs w:val="20"/>
              </w:rPr>
              <w:t>′</w:t>
            </w:r>
          </w:p>
        </w:tc>
      </w:tr>
      <w:tr w:rsidR="00113E41" w:rsidRPr="006A570D" w14:paraId="3F09750A" w14:textId="77777777" w:rsidTr="00CE7AE5">
        <w:trPr>
          <w:trHeight w:val="288"/>
          <w:jc w:val="center"/>
        </w:trPr>
        <w:tc>
          <w:tcPr>
            <w:tcW w:w="0" w:type="auto"/>
            <w:vAlign w:val="bottom"/>
          </w:tcPr>
          <w:p w14:paraId="4AB7ABF4" w14:textId="77777777" w:rsidR="00113E41" w:rsidRPr="00D12B00" w:rsidRDefault="00113E41" w:rsidP="00CE7AE5">
            <w:pPr>
              <w:pStyle w:val="Footer"/>
              <w:tabs>
                <w:tab w:val="clear" w:pos="4320"/>
                <w:tab w:val="clear" w:pos="8640"/>
              </w:tabs>
              <w:spacing w:after="20"/>
              <w:jc w:val="left"/>
              <w:rPr>
                <w:rFonts w:ascii="Times New Roman" w:hAnsi="Times New Roman"/>
                <w:szCs w:val="20"/>
              </w:rPr>
            </w:pPr>
            <w:r w:rsidRPr="00D12B00">
              <w:rPr>
                <w:rFonts w:ascii="Times New Roman" w:hAnsi="Times New Roman"/>
                <w:szCs w:val="20"/>
              </w:rPr>
              <w:t>Reverse</w:t>
            </w:r>
          </w:p>
        </w:tc>
        <w:tc>
          <w:tcPr>
            <w:tcW w:w="1356" w:type="dxa"/>
            <w:vAlign w:val="bottom"/>
          </w:tcPr>
          <w:p w14:paraId="034C818B" w14:textId="77777777" w:rsidR="00113E41" w:rsidRPr="00D12B00" w:rsidRDefault="00113E41" w:rsidP="00CE7AE5">
            <w:pPr>
              <w:pStyle w:val="Footer"/>
              <w:tabs>
                <w:tab w:val="clear" w:pos="4320"/>
                <w:tab w:val="clear" w:pos="8640"/>
                <w:tab w:val="decimal" w:pos="612"/>
              </w:tabs>
              <w:spacing w:after="20"/>
              <w:jc w:val="left"/>
              <w:rPr>
                <w:rFonts w:ascii="Times New Roman" w:hAnsi="Times New Roman"/>
                <w:szCs w:val="20"/>
              </w:rPr>
            </w:pPr>
            <w:r w:rsidRPr="00D12B00">
              <w:rPr>
                <w:rFonts w:ascii="Times New Roman" w:hAnsi="Times New Roman"/>
                <w:szCs w:val="20"/>
              </w:rPr>
              <w:t>6526</w:t>
            </w:r>
          </w:p>
        </w:tc>
        <w:tc>
          <w:tcPr>
            <w:tcW w:w="0" w:type="auto"/>
            <w:vAlign w:val="bottom"/>
          </w:tcPr>
          <w:p w14:paraId="29125311" w14:textId="33457FCD" w:rsidR="00113E41" w:rsidRPr="00CE7AE5" w:rsidRDefault="00113E41" w:rsidP="00D12B00">
            <w:pPr>
              <w:pStyle w:val="Footer"/>
              <w:tabs>
                <w:tab w:val="clear" w:pos="4320"/>
                <w:tab w:val="clear" w:pos="8640"/>
              </w:tabs>
              <w:jc w:val="left"/>
              <w:rPr>
                <w:rFonts w:ascii="Courier New" w:hAnsi="Courier New" w:cs="Courier New"/>
                <w:szCs w:val="20"/>
              </w:rPr>
            </w:pPr>
            <w:r w:rsidRPr="00CE7AE5">
              <w:rPr>
                <w:rFonts w:ascii="Courier New" w:hAnsi="Courier New" w:cs="Courier New"/>
                <w:szCs w:val="20"/>
              </w:rPr>
              <w:t>5</w:t>
            </w:r>
            <w:r w:rsidR="00471FB6" w:rsidRPr="00CE7AE5">
              <w:rPr>
                <w:rFonts w:ascii="Courier New" w:hAnsi="Courier New" w:cs="Courier New"/>
                <w:szCs w:val="20"/>
              </w:rPr>
              <w:t>′</w:t>
            </w:r>
            <w:r w:rsidRPr="00CE7AE5">
              <w:rPr>
                <w:rFonts w:ascii="Courier New" w:hAnsi="Courier New" w:cs="Courier New"/>
                <w:szCs w:val="20"/>
              </w:rPr>
              <w:t xml:space="preserve"> </w:t>
            </w:r>
            <w:r w:rsidRPr="006419AD">
              <w:rPr>
                <w:rFonts w:ascii="Courier New" w:hAnsi="Courier New" w:cs="Courier New"/>
                <w:szCs w:val="20"/>
              </w:rPr>
              <w:t>ATA GTG ATG CCA GCA GCT AGG</w:t>
            </w:r>
            <w:r w:rsidRPr="00CE7AE5">
              <w:rPr>
                <w:rFonts w:ascii="Courier New" w:hAnsi="Courier New" w:cs="Courier New"/>
                <w:szCs w:val="20"/>
              </w:rPr>
              <w:t xml:space="preserve"> 3</w:t>
            </w:r>
            <w:r w:rsidR="00471FB6" w:rsidRPr="00CE7AE5">
              <w:rPr>
                <w:rFonts w:ascii="Courier New" w:hAnsi="Courier New" w:cs="Courier New"/>
                <w:szCs w:val="20"/>
              </w:rPr>
              <w:t>′</w:t>
            </w:r>
          </w:p>
        </w:tc>
      </w:tr>
    </w:tbl>
    <w:p w14:paraId="68DBE483" w14:textId="2E59E05D" w:rsidR="00B16691" w:rsidRPr="00D12B00" w:rsidRDefault="00221059" w:rsidP="00AD681B">
      <w:pPr>
        <w:pStyle w:val="Footer"/>
        <w:tabs>
          <w:tab w:val="clear" w:pos="4320"/>
          <w:tab w:val="clear" w:pos="8640"/>
          <w:tab w:val="left" w:pos="1620"/>
        </w:tabs>
        <w:spacing w:before="120"/>
        <w:jc w:val="center"/>
        <w:rPr>
          <w:rFonts w:ascii="Times New Roman" w:hAnsi="Times New Roman"/>
          <w:szCs w:val="20"/>
        </w:rPr>
      </w:pPr>
      <w:r w:rsidRPr="00D12B00">
        <w:rPr>
          <w:rFonts w:ascii="Times New Roman" w:hAnsi="Times New Roman"/>
          <w:b/>
          <w:szCs w:val="20"/>
        </w:rPr>
        <w:t>Note:</w:t>
      </w:r>
      <w:r w:rsidRPr="00D12B00">
        <w:rPr>
          <w:rFonts w:ascii="Times New Roman" w:hAnsi="Times New Roman"/>
          <w:szCs w:val="20"/>
        </w:rPr>
        <w:t xml:space="preserve">  This </w:t>
      </w:r>
      <w:proofErr w:type="spellStart"/>
      <w:r w:rsidRPr="00D12B00">
        <w:rPr>
          <w:rFonts w:ascii="Times New Roman" w:hAnsi="Times New Roman"/>
          <w:szCs w:val="20"/>
        </w:rPr>
        <w:t>amplicon</w:t>
      </w:r>
      <w:proofErr w:type="spellEnd"/>
      <w:r w:rsidRPr="00D12B00">
        <w:rPr>
          <w:rFonts w:ascii="Times New Roman" w:hAnsi="Times New Roman"/>
          <w:szCs w:val="20"/>
        </w:rPr>
        <w:t xml:space="preserve"> is in the Cytochrome C Oxidase I gene.</w:t>
      </w:r>
    </w:p>
    <w:p w14:paraId="56DA544C" w14:textId="77777777" w:rsidR="00492515" w:rsidRPr="00D12B00" w:rsidRDefault="00492515">
      <w:pPr>
        <w:rPr>
          <w:szCs w:val="20"/>
        </w:rPr>
      </w:pPr>
    </w:p>
    <w:p w14:paraId="10E0D83B" w14:textId="77777777" w:rsidR="00492515" w:rsidRPr="00325977" w:rsidRDefault="00492515" w:rsidP="00D4658C">
      <w:pPr>
        <w:keepNext/>
        <w:jc w:val="center"/>
        <w:rPr>
          <w:szCs w:val="20"/>
        </w:rPr>
      </w:pPr>
      <w:r w:rsidRPr="00325977">
        <w:rPr>
          <w:szCs w:val="20"/>
        </w:rPr>
        <w:lastRenderedPageBreak/>
        <w:t>REFERENCES</w:t>
      </w:r>
    </w:p>
    <w:p w14:paraId="1CD40323" w14:textId="77777777" w:rsidR="00492515" w:rsidRPr="00325977" w:rsidRDefault="00492515" w:rsidP="00D4658C">
      <w:pPr>
        <w:keepNext/>
        <w:jc w:val="center"/>
        <w:rPr>
          <w:szCs w:val="20"/>
        </w:rPr>
      </w:pPr>
    </w:p>
    <w:p w14:paraId="0C8915EF" w14:textId="77777777" w:rsidR="00492515" w:rsidRPr="00325977" w:rsidRDefault="00492515" w:rsidP="00D4658C">
      <w:pPr>
        <w:pStyle w:val="BodyTextIndent"/>
        <w:tabs>
          <w:tab w:val="left" w:pos="540"/>
        </w:tabs>
        <w:ind w:left="540" w:hanging="540"/>
        <w:rPr>
          <w:sz w:val="20"/>
          <w:szCs w:val="20"/>
        </w:rPr>
      </w:pPr>
      <w:r w:rsidRPr="00325977">
        <w:rPr>
          <w:sz w:val="20"/>
          <w:szCs w:val="20"/>
        </w:rPr>
        <w:t>[1]</w:t>
      </w:r>
      <w:r w:rsidR="00B96A9F">
        <w:rPr>
          <w:sz w:val="20"/>
          <w:szCs w:val="20"/>
        </w:rPr>
        <w:tab/>
      </w:r>
      <w:r w:rsidRPr="00325977">
        <w:rPr>
          <w:sz w:val="20"/>
          <w:szCs w:val="20"/>
        </w:rPr>
        <w:t>Levin</w:t>
      </w:r>
      <w:r w:rsidR="00D12B00" w:rsidRPr="00325977">
        <w:rPr>
          <w:sz w:val="20"/>
          <w:szCs w:val="20"/>
        </w:rPr>
        <w:t>,</w:t>
      </w:r>
      <w:r w:rsidR="00D12B00">
        <w:rPr>
          <w:sz w:val="20"/>
          <w:szCs w:val="20"/>
        </w:rPr>
        <w:t> </w:t>
      </w:r>
      <w:r w:rsidRPr="00325977">
        <w:rPr>
          <w:sz w:val="20"/>
          <w:szCs w:val="20"/>
        </w:rPr>
        <w:t>B.C.</w:t>
      </w:r>
      <w:r w:rsidR="00E449EC">
        <w:rPr>
          <w:sz w:val="20"/>
          <w:szCs w:val="20"/>
        </w:rPr>
        <w:t>;</w:t>
      </w:r>
      <w:r w:rsidRPr="00325977">
        <w:rPr>
          <w:sz w:val="20"/>
          <w:szCs w:val="20"/>
        </w:rPr>
        <w:t xml:space="preserve"> Cheng</w:t>
      </w:r>
      <w:r w:rsidR="00D12B00" w:rsidRPr="00325977">
        <w:rPr>
          <w:sz w:val="20"/>
          <w:szCs w:val="20"/>
        </w:rPr>
        <w:t>,</w:t>
      </w:r>
      <w:r w:rsidR="00D12B00">
        <w:rPr>
          <w:sz w:val="20"/>
          <w:szCs w:val="20"/>
        </w:rPr>
        <w:t> </w:t>
      </w:r>
      <w:r w:rsidRPr="00325977">
        <w:rPr>
          <w:sz w:val="20"/>
          <w:szCs w:val="20"/>
        </w:rPr>
        <w:t>H.</w:t>
      </w:r>
      <w:r w:rsidR="00E449EC">
        <w:rPr>
          <w:sz w:val="20"/>
          <w:szCs w:val="20"/>
        </w:rPr>
        <w:t>;</w:t>
      </w:r>
      <w:r w:rsidRPr="00325977">
        <w:rPr>
          <w:sz w:val="20"/>
          <w:szCs w:val="20"/>
        </w:rPr>
        <w:t xml:space="preserve"> Reeder</w:t>
      </w:r>
      <w:r w:rsidR="00D12B00" w:rsidRPr="00325977">
        <w:rPr>
          <w:sz w:val="20"/>
          <w:szCs w:val="20"/>
        </w:rPr>
        <w:t>,</w:t>
      </w:r>
      <w:r w:rsidR="00D12B00">
        <w:rPr>
          <w:sz w:val="20"/>
          <w:szCs w:val="20"/>
        </w:rPr>
        <w:t> </w:t>
      </w:r>
      <w:r w:rsidRPr="00325977">
        <w:rPr>
          <w:sz w:val="20"/>
          <w:szCs w:val="20"/>
        </w:rPr>
        <w:t>D.J.</w:t>
      </w:r>
      <w:r w:rsidR="00E449EC">
        <w:rPr>
          <w:sz w:val="20"/>
          <w:szCs w:val="20"/>
        </w:rPr>
        <w:t xml:space="preserve">; </w:t>
      </w:r>
      <w:r w:rsidRPr="00E449EC">
        <w:rPr>
          <w:i/>
          <w:sz w:val="20"/>
          <w:szCs w:val="20"/>
        </w:rPr>
        <w:t xml:space="preserve">A </w:t>
      </w:r>
      <w:r w:rsidR="00E449EC" w:rsidRPr="00E449EC">
        <w:rPr>
          <w:i/>
          <w:sz w:val="20"/>
          <w:szCs w:val="20"/>
        </w:rPr>
        <w:t>H</w:t>
      </w:r>
      <w:r w:rsidRPr="00E449EC">
        <w:rPr>
          <w:i/>
          <w:sz w:val="20"/>
          <w:szCs w:val="20"/>
        </w:rPr>
        <w:t xml:space="preserve">uman </w:t>
      </w:r>
      <w:r w:rsidR="00E449EC" w:rsidRPr="00E449EC">
        <w:rPr>
          <w:i/>
          <w:sz w:val="20"/>
          <w:szCs w:val="20"/>
        </w:rPr>
        <w:t>M</w:t>
      </w:r>
      <w:r w:rsidRPr="00E449EC">
        <w:rPr>
          <w:i/>
          <w:sz w:val="20"/>
          <w:szCs w:val="20"/>
        </w:rPr>
        <w:t xml:space="preserve">itochondrial DNA Standard Reference Material for </w:t>
      </w:r>
      <w:r w:rsidR="00E449EC" w:rsidRPr="00E449EC">
        <w:rPr>
          <w:i/>
          <w:sz w:val="20"/>
          <w:szCs w:val="20"/>
        </w:rPr>
        <w:t>Q</w:t>
      </w:r>
      <w:r w:rsidRPr="00E449EC">
        <w:rPr>
          <w:i/>
          <w:sz w:val="20"/>
          <w:szCs w:val="20"/>
        </w:rPr>
        <w:t xml:space="preserve">uality </w:t>
      </w:r>
      <w:r w:rsidR="00E449EC" w:rsidRPr="00E449EC">
        <w:rPr>
          <w:i/>
          <w:sz w:val="20"/>
          <w:szCs w:val="20"/>
        </w:rPr>
        <w:t>C</w:t>
      </w:r>
      <w:r w:rsidRPr="00E449EC">
        <w:rPr>
          <w:i/>
          <w:sz w:val="20"/>
          <w:szCs w:val="20"/>
        </w:rPr>
        <w:t xml:space="preserve">ontrol in </w:t>
      </w:r>
      <w:r w:rsidR="00E449EC" w:rsidRPr="00E449EC">
        <w:rPr>
          <w:i/>
          <w:sz w:val="20"/>
          <w:szCs w:val="20"/>
        </w:rPr>
        <w:t>F</w:t>
      </w:r>
      <w:r w:rsidRPr="00E449EC">
        <w:rPr>
          <w:i/>
          <w:sz w:val="20"/>
          <w:szCs w:val="20"/>
        </w:rPr>
        <w:t xml:space="preserve">orensic </w:t>
      </w:r>
      <w:r w:rsidR="00E449EC" w:rsidRPr="00E449EC">
        <w:rPr>
          <w:i/>
          <w:sz w:val="20"/>
          <w:szCs w:val="20"/>
        </w:rPr>
        <w:t>I</w:t>
      </w:r>
      <w:r w:rsidRPr="00E449EC">
        <w:rPr>
          <w:i/>
          <w:sz w:val="20"/>
          <w:szCs w:val="20"/>
        </w:rPr>
        <w:t xml:space="preserve">dentification, </w:t>
      </w:r>
      <w:r w:rsidR="00E449EC" w:rsidRPr="00E449EC">
        <w:rPr>
          <w:i/>
          <w:sz w:val="20"/>
          <w:szCs w:val="20"/>
        </w:rPr>
        <w:t>M</w:t>
      </w:r>
      <w:r w:rsidRPr="00E449EC">
        <w:rPr>
          <w:i/>
          <w:sz w:val="20"/>
          <w:szCs w:val="20"/>
        </w:rPr>
        <w:t xml:space="preserve">edical </w:t>
      </w:r>
      <w:r w:rsidR="00E449EC" w:rsidRPr="00E449EC">
        <w:rPr>
          <w:i/>
          <w:sz w:val="20"/>
          <w:szCs w:val="20"/>
        </w:rPr>
        <w:t>D</w:t>
      </w:r>
      <w:r w:rsidRPr="00E449EC">
        <w:rPr>
          <w:i/>
          <w:sz w:val="20"/>
          <w:szCs w:val="20"/>
        </w:rPr>
        <w:t xml:space="preserve">iagnosis and </w:t>
      </w:r>
      <w:r w:rsidR="00E449EC" w:rsidRPr="00E449EC">
        <w:rPr>
          <w:i/>
          <w:sz w:val="20"/>
          <w:szCs w:val="20"/>
        </w:rPr>
        <w:t>M</w:t>
      </w:r>
      <w:r w:rsidRPr="00E449EC">
        <w:rPr>
          <w:i/>
          <w:sz w:val="20"/>
          <w:szCs w:val="20"/>
        </w:rPr>
        <w:t xml:space="preserve">utation </w:t>
      </w:r>
      <w:r w:rsidR="00E449EC" w:rsidRPr="00E449EC">
        <w:rPr>
          <w:i/>
          <w:sz w:val="20"/>
          <w:szCs w:val="20"/>
        </w:rPr>
        <w:t>D</w:t>
      </w:r>
      <w:r w:rsidRPr="00E449EC">
        <w:rPr>
          <w:i/>
          <w:sz w:val="20"/>
          <w:szCs w:val="20"/>
        </w:rPr>
        <w:t>etection</w:t>
      </w:r>
      <w:r w:rsidR="00E449EC">
        <w:rPr>
          <w:sz w:val="20"/>
          <w:szCs w:val="20"/>
        </w:rPr>
        <w:t xml:space="preserve">; </w:t>
      </w:r>
      <w:r w:rsidRPr="00325977">
        <w:rPr>
          <w:sz w:val="20"/>
          <w:szCs w:val="20"/>
        </w:rPr>
        <w:t>Genomics</w:t>
      </w:r>
      <w:r w:rsidR="00E449EC">
        <w:rPr>
          <w:sz w:val="20"/>
          <w:szCs w:val="20"/>
        </w:rPr>
        <w:t>,</w:t>
      </w:r>
      <w:r w:rsidRPr="00325977">
        <w:rPr>
          <w:sz w:val="20"/>
          <w:szCs w:val="20"/>
        </w:rPr>
        <w:t xml:space="preserve"> </w:t>
      </w:r>
      <w:r w:rsidR="00E449EC">
        <w:rPr>
          <w:sz w:val="20"/>
          <w:szCs w:val="20"/>
        </w:rPr>
        <w:t>Vol</w:t>
      </w:r>
      <w:r w:rsidR="006C03D8">
        <w:rPr>
          <w:sz w:val="20"/>
          <w:szCs w:val="20"/>
        </w:rPr>
        <w:t>. </w:t>
      </w:r>
      <w:r w:rsidRPr="00325977">
        <w:rPr>
          <w:sz w:val="20"/>
          <w:szCs w:val="20"/>
        </w:rPr>
        <w:t>55</w:t>
      </w:r>
      <w:r w:rsidR="00E449EC">
        <w:rPr>
          <w:sz w:val="20"/>
          <w:szCs w:val="20"/>
        </w:rPr>
        <w:t>, pp.</w:t>
      </w:r>
      <w:r w:rsidR="006C03D8">
        <w:rPr>
          <w:sz w:val="20"/>
          <w:szCs w:val="20"/>
        </w:rPr>
        <w:t> </w:t>
      </w:r>
      <w:r w:rsidRPr="00325977">
        <w:rPr>
          <w:sz w:val="20"/>
          <w:szCs w:val="20"/>
        </w:rPr>
        <w:t>135</w:t>
      </w:r>
      <w:r w:rsidR="00E449EC">
        <w:rPr>
          <w:sz w:val="20"/>
          <w:szCs w:val="20"/>
        </w:rPr>
        <w:t>–</w:t>
      </w:r>
      <w:r w:rsidR="00AF7423">
        <w:rPr>
          <w:sz w:val="20"/>
          <w:szCs w:val="20"/>
        </w:rPr>
        <w:t> </w:t>
      </w:r>
      <w:r w:rsidRPr="00325977">
        <w:rPr>
          <w:sz w:val="20"/>
          <w:szCs w:val="20"/>
        </w:rPr>
        <w:t>46</w:t>
      </w:r>
      <w:r w:rsidR="00E449EC">
        <w:rPr>
          <w:sz w:val="20"/>
          <w:szCs w:val="20"/>
        </w:rPr>
        <w:t xml:space="preserve"> (1999)</w:t>
      </w:r>
      <w:r w:rsidRPr="00325977">
        <w:rPr>
          <w:sz w:val="20"/>
          <w:szCs w:val="20"/>
        </w:rPr>
        <w:t xml:space="preserve">. </w:t>
      </w:r>
    </w:p>
    <w:p w14:paraId="648742C2" w14:textId="131DA9E6" w:rsidR="00492515" w:rsidRPr="00325977" w:rsidRDefault="00492515" w:rsidP="00D4658C">
      <w:pPr>
        <w:pStyle w:val="BodyTextIndent"/>
        <w:tabs>
          <w:tab w:val="left" w:pos="540"/>
        </w:tabs>
        <w:ind w:left="540" w:hanging="540"/>
        <w:rPr>
          <w:sz w:val="20"/>
          <w:szCs w:val="20"/>
        </w:rPr>
      </w:pPr>
      <w:r w:rsidRPr="00325977">
        <w:rPr>
          <w:sz w:val="20"/>
          <w:szCs w:val="20"/>
        </w:rPr>
        <w:t>[2]</w:t>
      </w:r>
      <w:r w:rsidR="006C03D8">
        <w:rPr>
          <w:sz w:val="20"/>
          <w:szCs w:val="20"/>
        </w:rPr>
        <w:tab/>
      </w:r>
      <w:r w:rsidR="00B96A9F">
        <w:rPr>
          <w:sz w:val="20"/>
          <w:szCs w:val="20"/>
        </w:rPr>
        <w:t xml:space="preserve">SRM 2392; Mitochondrial DNA Sequencing (Human); </w:t>
      </w:r>
      <w:r w:rsidR="006049DD">
        <w:rPr>
          <w:sz w:val="20"/>
          <w:szCs w:val="20"/>
        </w:rPr>
        <w:t>NIST</w:t>
      </w:r>
      <w:r w:rsidR="00B96A9F">
        <w:rPr>
          <w:sz w:val="20"/>
          <w:szCs w:val="20"/>
        </w:rPr>
        <w:t xml:space="preserve">; U.S. Department of Commerce: Gaithersburg, MD; available at </w:t>
      </w:r>
      <w:hyperlink r:id="rId10" w:history="1">
        <w:r w:rsidR="00D12B00" w:rsidRPr="00D4658C">
          <w:rPr>
            <w:rStyle w:val="Hyperlink"/>
            <w:sz w:val="20"/>
            <w:szCs w:val="20"/>
          </w:rPr>
          <w:t>https://www-s.nist.gov/srmors/view_detail.cfm?srm=2392</w:t>
        </w:r>
      </w:hyperlink>
      <w:r w:rsidR="006C03D8">
        <w:rPr>
          <w:sz w:val="20"/>
          <w:szCs w:val="20"/>
        </w:rPr>
        <w:t xml:space="preserve"> </w:t>
      </w:r>
      <w:r w:rsidR="00D12B00">
        <w:rPr>
          <w:sz w:val="20"/>
          <w:szCs w:val="20"/>
        </w:rPr>
        <w:t xml:space="preserve">(accessed </w:t>
      </w:r>
      <w:r w:rsidR="00D4658C">
        <w:rPr>
          <w:sz w:val="20"/>
          <w:szCs w:val="20"/>
        </w:rPr>
        <w:t>Jul </w:t>
      </w:r>
      <w:r w:rsidR="006C03D8">
        <w:rPr>
          <w:sz w:val="20"/>
          <w:szCs w:val="20"/>
        </w:rPr>
        <w:t>20</w:t>
      </w:r>
      <w:r w:rsidR="00D12B00">
        <w:rPr>
          <w:sz w:val="20"/>
          <w:szCs w:val="20"/>
        </w:rPr>
        <w:t>1</w:t>
      </w:r>
      <w:r w:rsidR="006C03D8">
        <w:rPr>
          <w:sz w:val="20"/>
          <w:szCs w:val="20"/>
        </w:rPr>
        <w:t>4).</w:t>
      </w:r>
    </w:p>
    <w:p w14:paraId="3418F408" w14:textId="33240C2F" w:rsidR="00492515" w:rsidRDefault="006C03D8" w:rsidP="00D4658C">
      <w:pPr>
        <w:tabs>
          <w:tab w:val="left" w:pos="540"/>
        </w:tabs>
        <w:autoSpaceDE w:val="0"/>
        <w:autoSpaceDN w:val="0"/>
        <w:adjustRightInd w:val="0"/>
        <w:ind w:left="540" w:hanging="540"/>
        <w:rPr>
          <w:szCs w:val="20"/>
        </w:rPr>
      </w:pPr>
      <w:r>
        <w:rPr>
          <w:szCs w:val="20"/>
        </w:rPr>
        <w:t>[3]</w:t>
      </w:r>
      <w:r>
        <w:rPr>
          <w:szCs w:val="20"/>
        </w:rPr>
        <w:tab/>
      </w:r>
      <w:r w:rsidR="00492515" w:rsidRPr="00325977">
        <w:rPr>
          <w:szCs w:val="20"/>
        </w:rPr>
        <w:t>Levin</w:t>
      </w:r>
      <w:r w:rsidR="00D12B00" w:rsidRPr="00325977">
        <w:rPr>
          <w:szCs w:val="20"/>
        </w:rPr>
        <w:t>,</w:t>
      </w:r>
      <w:r w:rsidR="00D12B00">
        <w:rPr>
          <w:szCs w:val="20"/>
        </w:rPr>
        <w:t> </w:t>
      </w:r>
      <w:r w:rsidR="00492515" w:rsidRPr="00325977">
        <w:rPr>
          <w:szCs w:val="20"/>
        </w:rPr>
        <w:t>B.C.</w:t>
      </w:r>
      <w:r>
        <w:rPr>
          <w:szCs w:val="20"/>
        </w:rPr>
        <w:t>;</w:t>
      </w:r>
      <w:r w:rsidR="00492515" w:rsidRPr="00325977">
        <w:rPr>
          <w:szCs w:val="20"/>
        </w:rPr>
        <w:t xml:space="preserve"> Hancock</w:t>
      </w:r>
      <w:r w:rsidR="00D12B00" w:rsidRPr="00325977">
        <w:rPr>
          <w:szCs w:val="20"/>
        </w:rPr>
        <w:t>,</w:t>
      </w:r>
      <w:r w:rsidR="00D12B00">
        <w:rPr>
          <w:szCs w:val="20"/>
        </w:rPr>
        <w:t> </w:t>
      </w:r>
      <w:r w:rsidR="00492515" w:rsidRPr="00325977">
        <w:rPr>
          <w:szCs w:val="20"/>
        </w:rPr>
        <w:t>D.K.</w:t>
      </w:r>
      <w:r>
        <w:rPr>
          <w:szCs w:val="20"/>
        </w:rPr>
        <w:t>;</w:t>
      </w:r>
      <w:r w:rsidR="00492515" w:rsidRPr="00325977">
        <w:rPr>
          <w:szCs w:val="20"/>
        </w:rPr>
        <w:t xml:space="preserve"> Holland</w:t>
      </w:r>
      <w:r w:rsidR="00D12B00" w:rsidRPr="00325977">
        <w:rPr>
          <w:szCs w:val="20"/>
        </w:rPr>
        <w:t>,</w:t>
      </w:r>
      <w:r w:rsidR="00D12B00">
        <w:rPr>
          <w:szCs w:val="20"/>
        </w:rPr>
        <w:t> </w:t>
      </w:r>
      <w:r w:rsidR="00492515" w:rsidRPr="00325977">
        <w:rPr>
          <w:szCs w:val="20"/>
        </w:rPr>
        <w:t>K.A.</w:t>
      </w:r>
      <w:r>
        <w:rPr>
          <w:szCs w:val="20"/>
        </w:rPr>
        <w:t>;</w:t>
      </w:r>
      <w:r w:rsidR="00492515" w:rsidRPr="00325977">
        <w:rPr>
          <w:szCs w:val="20"/>
        </w:rPr>
        <w:t xml:space="preserve"> Cheng</w:t>
      </w:r>
      <w:r w:rsidR="00D12B00" w:rsidRPr="00325977">
        <w:rPr>
          <w:szCs w:val="20"/>
        </w:rPr>
        <w:t>,</w:t>
      </w:r>
      <w:r w:rsidR="00D12B00">
        <w:rPr>
          <w:szCs w:val="20"/>
        </w:rPr>
        <w:t> </w:t>
      </w:r>
      <w:r w:rsidR="00492515" w:rsidRPr="00325977">
        <w:rPr>
          <w:szCs w:val="20"/>
        </w:rPr>
        <w:t>H.</w:t>
      </w:r>
      <w:r>
        <w:rPr>
          <w:szCs w:val="20"/>
        </w:rPr>
        <w:t>;</w:t>
      </w:r>
      <w:r w:rsidR="00492515" w:rsidRPr="00325977">
        <w:rPr>
          <w:szCs w:val="20"/>
        </w:rPr>
        <w:t xml:space="preserve"> Richie</w:t>
      </w:r>
      <w:r w:rsidR="00D12B00" w:rsidRPr="00325977">
        <w:rPr>
          <w:szCs w:val="20"/>
        </w:rPr>
        <w:t>,</w:t>
      </w:r>
      <w:r w:rsidR="00D12B00">
        <w:rPr>
          <w:szCs w:val="20"/>
        </w:rPr>
        <w:t> </w:t>
      </w:r>
      <w:r w:rsidR="00492515" w:rsidRPr="00325977">
        <w:rPr>
          <w:szCs w:val="20"/>
        </w:rPr>
        <w:t>K.L.</w:t>
      </w:r>
      <w:r>
        <w:rPr>
          <w:szCs w:val="20"/>
        </w:rPr>
        <w:t>;</w:t>
      </w:r>
      <w:r w:rsidR="00492515" w:rsidRPr="00325977">
        <w:rPr>
          <w:szCs w:val="20"/>
        </w:rPr>
        <w:t xml:space="preserve"> </w:t>
      </w:r>
      <w:r w:rsidR="00492515" w:rsidRPr="00335218">
        <w:rPr>
          <w:i/>
          <w:szCs w:val="20"/>
        </w:rPr>
        <w:t>Human Mitochondrial DNA</w:t>
      </w:r>
      <w:r w:rsidR="00335218" w:rsidRPr="00335218">
        <w:rPr>
          <w:i/>
          <w:szCs w:val="20"/>
        </w:rPr>
        <w:t xml:space="preserve"> </w:t>
      </w:r>
      <w:r w:rsidR="00492515" w:rsidRPr="00335218">
        <w:rPr>
          <w:i/>
          <w:szCs w:val="20"/>
        </w:rPr>
        <w:t>-Amplification and Sequencing - Standard Reference Materials -</w:t>
      </w:r>
      <w:r w:rsidR="00335218" w:rsidRPr="00335218">
        <w:rPr>
          <w:i/>
          <w:szCs w:val="20"/>
        </w:rPr>
        <w:t xml:space="preserve"> </w:t>
      </w:r>
      <w:r w:rsidR="00492515" w:rsidRPr="00335218">
        <w:rPr>
          <w:i/>
          <w:szCs w:val="20"/>
        </w:rPr>
        <w:t>SRM 2392 and SRM 2392-I</w:t>
      </w:r>
      <w:r w:rsidR="00335218">
        <w:rPr>
          <w:szCs w:val="20"/>
        </w:rPr>
        <w:t>;</w:t>
      </w:r>
      <w:r w:rsidR="00492515" w:rsidRPr="00325977">
        <w:rPr>
          <w:szCs w:val="20"/>
        </w:rPr>
        <w:t xml:space="preserve"> </w:t>
      </w:r>
      <w:r w:rsidR="00335218">
        <w:rPr>
          <w:szCs w:val="20"/>
        </w:rPr>
        <w:t xml:space="preserve">NIST </w:t>
      </w:r>
      <w:r w:rsidR="00492515" w:rsidRPr="00325977">
        <w:rPr>
          <w:szCs w:val="20"/>
        </w:rPr>
        <w:t>Special Publication SP260</w:t>
      </w:r>
      <w:r w:rsidR="00D12B00">
        <w:rPr>
          <w:szCs w:val="20"/>
        </w:rPr>
        <w:noBreakHyphen/>
      </w:r>
      <w:r w:rsidR="00492515" w:rsidRPr="00325977">
        <w:rPr>
          <w:szCs w:val="20"/>
        </w:rPr>
        <w:t>155</w:t>
      </w:r>
      <w:r w:rsidR="00335218">
        <w:rPr>
          <w:szCs w:val="20"/>
        </w:rPr>
        <w:t>;</w:t>
      </w:r>
      <w:r w:rsidR="00492515" w:rsidRPr="00325977">
        <w:rPr>
          <w:szCs w:val="20"/>
        </w:rPr>
        <w:t xml:space="preserve"> </w:t>
      </w:r>
      <w:r w:rsidR="00335218">
        <w:rPr>
          <w:szCs w:val="20"/>
        </w:rPr>
        <w:t>U.S. Government Printing Office: Washington,</w:t>
      </w:r>
      <w:r w:rsidR="006049DD">
        <w:rPr>
          <w:szCs w:val="20"/>
        </w:rPr>
        <w:t> </w:t>
      </w:r>
      <w:r w:rsidR="00335218">
        <w:rPr>
          <w:szCs w:val="20"/>
        </w:rPr>
        <w:t xml:space="preserve">DC (2003); available at </w:t>
      </w:r>
      <w:hyperlink r:id="rId11" w:history="1">
        <w:r w:rsidR="00D12B00" w:rsidRPr="00D4658C">
          <w:rPr>
            <w:rStyle w:val="Hyperlink"/>
            <w:szCs w:val="20"/>
          </w:rPr>
          <w:t>http://www.nist.gov/srm/publications.cfm</w:t>
        </w:r>
      </w:hyperlink>
      <w:r w:rsidR="00492515" w:rsidRPr="00325977">
        <w:rPr>
          <w:szCs w:val="20"/>
        </w:rPr>
        <w:t xml:space="preserve"> (</w:t>
      </w:r>
      <w:r w:rsidR="00D12B00">
        <w:rPr>
          <w:szCs w:val="20"/>
        </w:rPr>
        <w:t xml:space="preserve">accessed </w:t>
      </w:r>
      <w:r w:rsidR="00D4658C">
        <w:rPr>
          <w:szCs w:val="20"/>
        </w:rPr>
        <w:t>Jul </w:t>
      </w:r>
      <w:r w:rsidR="00D12B00">
        <w:rPr>
          <w:szCs w:val="20"/>
        </w:rPr>
        <w:t>2014</w:t>
      </w:r>
      <w:r w:rsidR="00492515" w:rsidRPr="00325977">
        <w:rPr>
          <w:szCs w:val="20"/>
        </w:rPr>
        <w:t>).</w:t>
      </w:r>
    </w:p>
    <w:p w14:paraId="3C56A26F" w14:textId="7098C3BD" w:rsidR="00811600" w:rsidRPr="00811600" w:rsidRDefault="00811600" w:rsidP="00D4658C">
      <w:pPr>
        <w:tabs>
          <w:tab w:val="left" w:pos="540"/>
        </w:tabs>
        <w:autoSpaceDE w:val="0"/>
        <w:autoSpaceDN w:val="0"/>
        <w:adjustRightInd w:val="0"/>
        <w:ind w:left="540" w:hanging="540"/>
        <w:rPr>
          <w:i/>
          <w:szCs w:val="20"/>
        </w:rPr>
      </w:pPr>
      <w:r>
        <w:rPr>
          <w:szCs w:val="20"/>
        </w:rPr>
        <w:t>[4]</w:t>
      </w:r>
      <w:r>
        <w:rPr>
          <w:szCs w:val="20"/>
        </w:rPr>
        <w:tab/>
        <w:t>Hancock</w:t>
      </w:r>
      <w:r w:rsidR="00D12B00">
        <w:rPr>
          <w:szCs w:val="20"/>
        </w:rPr>
        <w:t>, </w:t>
      </w:r>
      <w:r>
        <w:rPr>
          <w:szCs w:val="20"/>
        </w:rPr>
        <w:t>D.K.; Tully</w:t>
      </w:r>
      <w:r w:rsidR="00D12B00">
        <w:rPr>
          <w:szCs w:val="20"/>
        </w:rPr>
        <w:t>, </w:t>
      </w:r>
      <w:r>
        <w:rPr>
          <w:szCs w:val="20"/>
        </w:rPr>
        <w:t>L.A.; Levin</w:t>
      </w:r>
      <w:r w:rsidR="00D12B00">
        <w:rPr>
          <w:szCs w:val="20"/>
        </w:rPr>
        <w:t>, </w:t>
      </w:r>
      <w:r>
        <w:rPr>
          <w:szCs w:val="20"/>
        </w:rPr>
        <w:t xml:space="preserve">B.C.; </w:t>
      </w:r>
      <w:r>
        <w:rPr>
          <w:i/>
          <w:szCs w:val="20"/>
        </w:rPr>
        <w:t xml:space="preserve">A Standard Reference Material to Determine the Sensitivity of Techniques for Detecting Low-Frequency Mutations, SNPs, and </w:t>
      </w:r>
      <w:proofErr w:type="spellStart"/>
      <w:r>
        <w:rPr>
          <w:i/>
          <w:szCs w:val="20"/>
        </w:rPr>
        <w:t>Heteroplasmies</w:t>
      </w:r>
      <w:proofErr w:type="spellEnd"/>
      <w:r>
        <w:rPr>
          <w:i/>
          <w:szCs w:val="20"/>
        </w:rPr>
        <w:t xml:space="preserve"> in Mitochondrial DNA</w:t>
      </w:r>
      <w:r>
        <w:rPr>
          <w:szCs w:val="20"/>
        </w:rPr>
        <w:t>; Genomics; Vol</w:t>
      </w:r>
      <w:r w:rsidR="00D12B00">
        <w:rPr>
          <w:szCs w:val="20"/>
        </w:rPr>
        <w:t>. </w:t>
      </w:r>
      <w:r>
        <w:rPr>
          <w:szCs w:val="20"/>
        </w:rPr>
        <w:t>86, pp.</w:t>
      </w:r>
      <w:r w:rsidR="006049DD">
        <w:rPr>
          <w:szCs w:val="20"/>
        </w:rPr>
        <w:t> </w:t>
      </w:r>
      <w:r>
        <w:rPr>
          <w:szCs w:val="20"/>
        </w:rPr>
        <w:t>446</w:t>
      </w:r>
      <w:r>
        <w:rPr>
          <w:szCs w:val="20"/>
        </w:rPr>
        <w:sym w:font="Symbol" w:char="F02D"/>
      </w:r>
      <w:r>
        <w:rPr>
          <w:szCs w:val="20"/>
        </w:rPr>
        <w:t>461 (2005).</w:t>
      </w:r>
    </w:p>
    <w:p w14:paraId="62A259C2" w14:textId="3B3ACDC1" w:rsidR="00492515" w:rsidRDefault="00492515" w:rsidP="00D4658C">
      <w:pPr>
        <w:pStyle w:val="BodyTextIndent3"/>
        <w:tabs>
          <w:tab w:val="left" w:pos="540"/>
        </w:tabs>
        <w:spacing w:line="240" w:lineRule="auto"/>
        <w:ind w:left="540" w:hanging="540"/>
        <w:rPr>
          <w:szCs w:val="20"/>
        </w:rPr>
      </w:pPr>
      <w:r w:rsidRPr="00325977">
        <w:rPr>
          <w:szCs w:val="20"/>
        </w:rPr>
        <w:t>[</w:t>
      </w:r>
      <w:r w:rsidR="00811600">
        <w:rPr>
          <w:szCs w:val="20"/>
        </w:rPr>
        <w:t>5</w:t>
      </w:r>
      <w:r w:rsidRPr="00325977">
        <w:rPr>
          <w:szCs w:val="20"/>
        </w:rPr>
        <w:t>]</w:t>
      </w:r>
      <w:r w:rsidR="00335218">
        <w:rPr>
          <w:szCs w:val="20"/>
        </w:rPr>
        <w:tab/>
      </w:r>
      <w:r w:rsidRPr="00325977">
        <w:rPr>
          <w:szCs w:val="20"/>
        </w:rPr>
        <w:t>Anderson,</w:t>
      </w:r>
      <w:r w:rsidR="00D64C9F">
        <w:rPr>
          <w:szCs w:val="20"/>
        </w:rPr>
        <w:t> </w:t>
      </w:r>
      <w:r w:rsidRPr="00325977">
        <w:rPr>
          <w:szCs w:val="20"/>
        </w:rPr>
        <w:t>S.</w:t>
      </w:r>
      <w:r w:rsidR="00335218">
        <w:rPr>
          <w:szCs w:val="20"/>
        </w:rPr>
        <w:t>;</w:t>
      </w:r>
      <w:r w:rsidRPr="00325977">
        <w:rPr>
          <w:szCs w:val="20"/>
        </w:rPr>
        <w:t xml:space="preserve"> </w:t>
      </w:r>
      <w:proofErr w:type="spellStart"/>
      <w:r w:rsidRPr="00325977">
        <w:rPr>
          <w:szCs w:val="20"/>
        </w:rPr>
        <w:t>Bankier,A.T</w:t>
      </w:r>
      <w:proofErr w:type="spellEnd"/>
      <w:r w:rsidRPr="00325977">
        <w:rPr>
          <w:szCs w:val="20"/>
        </w:rPr>
        <w:t>.</w:t>
      </w:r>
      <w:r w:rsidR="00335218">
        <w:rPr>
          <w:szCs w:val="20"/>
        </w:rPr>
        <w:t>;</w:t>
      </w:r>
      <w:r w:rsidRPr="00325977">
        <w:rPr>
          <w:szCs w:val="20"/>
        </w:rPr>
        <w:t xml:space="preserve"> </w:t>
      </w:r>
      <w:proofErr w:type="spellStart"/>
      <w:r w:rsidRPr="00325977">
        <w:rPr>
          <w:szCs w:val="20"/>
        </w:rPr>
        <w:t>Barrell</w:t>
      </w:r>
      <w:proofErr w:type="spellEnd"/>
      <w:r w:rsidRPr="00325977">
        <w:rPr>
          <w:szCs w:val="20"/>
        </w:rPr>
        <w:t>,</w:t>
      </w:r>
      <w:r w:rsidR="00D64C9F">
        <w:rPr>
          <w:szCs w:val="20"/>
        </w:rPr>
        <w:t> </w:t>
      </w:r>
      <w:r w:rsidRPr="00325977">
        <w:rPr>
          <w:szCs w:val="20"/>
        </w:rPr>
        <w:t>B.G.</w:t>
      </w:r>
      <w:r w:rsidR="00335218">
        <w:rPr>
          <w:szCs w:val="20"/>
        </w:rPr>
        <w:t>;</w:t>
      </w:r>
      <w:r w:rsidRPr="00325977">
        <w:rPr>
          <w:szCs w:val="20"/>
        </w:rPr>
        <w:t xml:space="preserve"> </w:t>
      </w:r>
      <w:proofErr w:type="spellStart"/>
      <w:r w:rsidRPr="00325977">
        <w:rPr>
          <w:szCs w:val="20"/>
        </w:rPr>
        <w:t>deBrujin</w:t>
      </w:r>
      <w:proofErr w:type="spellEnd"/>
      <w:r w:rsidRPr="00325977">
        <w:rPr>
          <w:szCs w:val="20"/>
        </w:rPr>
        <w:t>,</w:t>
      </w:r>
      <w:r w:rsidR="00D64C9F">
        <w:rPr>
          <w:szCs w:val="20"/>
        </w:rPr>
        <w:t> </w:t>
      </w:r>
      <w:r w:rsidRPr="00325977">
        <w:rPr>
          <w:szCs w:val="20"/>
        </w:rPr>
        <w:t>M.H.L.</w:t>
      </w:r>
      <w:r w:rsidR="00335218">
        <w:rPr>
          <w:szCs w:val="20"/>
        </w:rPr>
        <w:t>;</w:t>
      </w:r>
      <w:r w:rsidRPr="00325977">
        <w:rPr>
          <w:szCs w:val="20"/>
        </w:rPr>
        <w:t xml:space="preserve"> Coulson,</w:t>
      </w:r>
      <w:r w:rsidR="00D64C9F">
        <w:rPr>
          <w:szCs w:val="20"/>
        </w:rPr>
        <w:t> </w:t>
      </w:r>
      <w:r w:rsidRPr="00325977">
        <w:rPr>
          <w:szCs w:val="20"/>
        </w:rPr>
        <w:t>A.R.</w:t>
      </w:r>
      <w:r w:rsidR="00335218">
        <w:rPr>
          <w:szCs w:val="20"/>
        </w:rPr>
        <w:t>;</w:t>
      </w:r>
      <w:r w:rsidRPr="00325977">
        <w:rPr>
          <w:szCs w:val="20"/>
        </w:rPr>
        <w:t xml:space="preserve"> </w:t>
      </w:r>
      <w:proofErr w:type="spellStart"/>
      <w:r w:rsidRPr="00325977">
        <w:rPr>
          <w:szCs w:val="20"/>
        </w:rPr>
        <w:t>Drouin</w:t>
      </w:r>
      <w:proofErr w:type="spellEnd"/>
      <w:r w:rsidRPr="00325977">
        <w:rPr>
          <w:szCs w:val="20"/>
        </w:rPr>
        <w:t>,</w:t>
      </w:r>
      <w:r w:rsidR="00D64C9F">
        <w:rPr>
          <w:szCs w:val="20"/>
        </w:rPr>
        <w:t> </w:t>
      </w:r>
      <w:r w:rsidRPr="00325977">
        <w:rPr>
          <w:szCs w:val="20"/>
        </w:rPr>
        <w:t>J.</w:t>
      </w:r>
      <w:r w:rsidR="00335218">
        <w:rPr>
          <w:szCs w:val="20"/>
        </w:rPr>
        <w:t>;</w:t>
      </w:r>
      <w:r w:rsidRPr="00325977">
        <w:rPr>
          <w:szCs w:val="20"/>
        </w:rPr>
        <w:t xml:space="preserve"> </w:t>
      </w:r>
      <w:proofErr w:type="spellStart"/>
      <w:r w:rsidRPr="00325977">
        <w:rPr>
          <w:szCs w:val="20"/>
        </w:rPr>
        <w:t>Eperon</w:t>
      </w:r>
      <w:proofErr w:type="spellEnd"/>
      <w:r w:rsidRPr="00325977">
        <w:rPr>
          <w:szCs w:val="20"/>
        </w:rPr>
        <w:t>,</w:t>
      </w:r>
      <w:r w:rsidR="00D64C9F">
        <w:rPr>
          <w:szCs w:val="20"/>
        </w:rPr>
        <w:t> </w:t>
      </w:r>
      <w:r w:rsidRPr="00325977">
        <w:rPr>
          <w:szCs w:val="20"/>
        </w:rPr>
        <w:t>I.C.</w:t>
      </w:r>
      <w:r w:rsidR="00335218">
        <w:rPr>
          <w:szCs w:val="20"/>
        </w:rPr>
        <w:t>;</w:t>
      </w:r>
      <w:r w:rsidRPr="00325977">
        <w:rPr>
          <w:szCs w:val="20"/>
        </w:rPr>
        <w:t xml:space="preserve"> </w:t>
      </w:r>
      <w:proofErr w:type="spellStart"/>
      <w:r w:rsidRPr="00325977">
        <w:rPr>
          <w:szCs w:val="20"/>
        </w:rPr>
        <w:t>Nierlich</w:t>
      </w:r>
      <w:proofErr w:type="spellEnd"/>
      <w:r w:rsidRPr="00325977">
        <w:rPr>
          <w:szCs w:val="20"/>
        </w:rPr>
        <w:t>,</w:t>
      </w:r>
      <w:r w:rsidR="005F770B">
        <w:rPr>
          <w:szCs w:val="20"/>
        </w:rPr>
        <w:t> </w:t>
      </w:r>
      <w:r w:rsidRPr="00325977">
        <w:rPr>
          <w:szCs w:val="20"/>
        </w:rPr>
        <w:t>D.P.</w:t>
      </w:r>
      <w:r w:rsidR="00335218">
        <w:rPr>
          <w:szCs w:val="20"/>
        </w:rPr>
        <w:t>;</w:t>
      </w:r>
      <w:r w:rsidRPr="00325977">
        <w:rPr>
          <w:szCs w:val="20"/>
        </w:rPr>
        <w:t xml:space="preserve"> Roe</w:t>
      </w:r>
      <w:r w:rsidR="00D4658C" w:rsidRPr="00325977">
        <w:rPr>
          <w:szCs w:val="20"/>
        </w:rPr>
        <w:t>,</w:t>
      </w:r>
      <w:r w:rsidR="00D4658C">
        <w:rPr>
          <w:szCs w:val="20"/>
        </w:rPr>
        <w:t> </w:t>
      </w:r>
      <w:r w:rsidRPr="00325977">
        <w:rPr>
          <w:szCs w:val="20"/>
        </w:rPr>
        <w:t>B.A.</w:t>
      </w:r>
      <w:r w:rsidR="00335218">
        <w:rPr>
          <w:szCs w:val="20"/>
        </w:rPr>
        <w:t>;</w:t>
      </w:r>
      <w:r w:rsidRPr="00325977">
        <w:rPr>
          <w:szCs w:val="20"/>
        </w:rPr>
        <w:t xml:space="preserve"> Sanger</w:t>
      </w:r>
      <w:r w:rsidR="00D4658C" w:rsidRPr="00325977">
        <w:rPr>
          <w:szCs w:val="20"/>
        </w:rPr>
        <w:t>,</w:t>
      </w:r>
      <w:r w:rsidR="00D4658C">
        <w:rPr>
          <w:szCs w:val="20"/>
        </w:rPr>
        <w:t> </w:t>
      </w:r>
      <w:r w:rsidRPr="00325977">
        <w:rPr>
          <w:szCs w:val="20"/>
        </w:rPr>
        <w:t>F.</w:t>
      </w:r>
      <w:r w:rsidR="00335218">
        <w:rPr>
          <w:szCs w:val="20"/>
        </w:rPr>
        <w:t>;</w:t>
      </w:r>
      <w:r w:rsidRPr="00325977">
        <w:rPr>
          <w:szCs w:val="20"/>
        </w:rPr>
        <w:t xml:space="preserve"> </w:t>
      </w:r>
      <w:proofErr w:type="spellStart"/>
      <w:r w:rsidRPr="00325977">
        <w:rPr>
          <w:szCs w:val="20"/>
        </w:rPr>
        <w:t>Schreier</w:t>
      </w:r>
      <w:proofErr w:type="spellEnd"/>
      <w:r w:rsidR="00D4658C" w:rsidRPr="00325977">
        <w:rPr>
          <w:szCs w:val="20"/>
        </w:rPr>
        <w:t>,</w:t>
      </w:r>
      <w:r w:rsidR="00D4658C">
        <w:rPr>
          <w:szCs w:val="20"/>
        </w:rPr>
        <w:t> </w:t>
      </w:r>
      <w:r w:rsidRPr="00325977">
        <w:rPr>
          <w:szCs w:val="20"/>
        </w:rPr>
        <w:t>P.H.</w:t>
      </w:r>
      <w:r w:rsidR="00335218">
        <w:rPr>
          <w:szCs w:val="20"/>
        </w:rPr>
        <w:t>;</w:t>
      </w:r>
      <w:r w:rsidRPr="00325977">
        <w:rPr>
          <w:szCs w:val="20"/>
        </w:rPr>
        <w:t xml:space="preserve"> Smith</w:t>
      </w:r>
      <w:r w:rsidR="00D4658C" w:rsidRPr="00325977">
        <w:rPr>
          <w:szCs w:val="20"/>
        </w:rPr>
        <w:t>,</w:t>
      </w:r>
      <w:r w:rsidR="00D4658C">
        <w:rPr>
          <w:szCs w:val="20"/>
        </w:rPr>
        <w:t> </w:t>
      </w:r>
      <w:r w:rsidRPr="00325977">
        <w:rPr>
          <w:szCs w:val="20"/>
        </w:rPr>
        <w:t>A.J.H.</w:t>
      </w:r>
      <w:r w:rsidR="00335218">
        <w:rPr>
          <w:szCs w:val="20"/>
        </w:rPr>
        <w:t>;</w:t>
      </w:r>
      <w:r w:rsidRPr="00325977">
        <w:rPr>
          <w:szCs w:val="20"/>
        </w:rPr>
        <w:t xml:space="preserve"> </w:t>
      </w:r>
      <w:proofErr w:type="spellStart"/>
      <w:r w:rsidRPr="00325977">
        <w:rPr>
          <w:szCs w:val="20"/>
        </w:rPr>
        <w:t>Staden</w:t>
      </w:r>
      <w:proofErr w:type="spellEnd"/>
      <w:r w:rsidR="00D4658C" w:rsidRPr="00325977">
        <w:rPr>
          <w:szCs w:val="20"/>
        </w:rPr>
        <w:t>,</w:t>
      </w:r>
      <w:r w:rsidR="00D4658C">
        <w:rPr>
          <w:szCs w:val="20"/>
        </w:rPr>
        <w:t> </w:t>
      </w:r>
      <w:r w:rsidRPr="00325977">
        <w:rPr>
          <w:szCs w:val="20"/>
        </w:rPr>
        <w:t>R.</w:t>
      </w:r>
      <w:r w:rsidR="00335218">
        <w:rPr>
          <w:szCs w:val="20"/>
        </w:rPr>
        <w:t>;</w:t>
      </w:r>
      <w:r w:rsidRPr="00325977">
        <w:rPr>
          <w:szCs w:val="20"/>
        </w:rPr>
        <w:t xml:space="preserve"> Young</w:t>
      </w:r>
      <w:r w:rsidR="00D4658C" w:rsidRPr="00325977">
        <w:rPr>
          <w:szCs w:val="20"/>
        </w:rPr>
        <w:t>,</w:t>
      </w:r>
      <w:r w:rsidR="00D4658C">
        <w:rPr>
          <w:szCs w:val="20"/>
        </w:rPr>
        <w:t> </w:t>
      </w:r>
      <w:r w:rsidRPr="00325977">
        <w:rPr>
          <w:szCs w:val="20"/>
        </w:rPr>
        <w:t>I.G.</w:t>
      </w:r>
      <w:r w:rsidR="00335218">
        <w:rPr>
          <w:szCs w:val="20"/>
        </w:rPr>
        <w:t>;</w:t>
      </w:r>
      <w:r w:rsidRPr="00325977">
        <w:rPr>
          <w:szCs w:val="20"/>
        </w:rPr>
        <w:t xml:space="preserve"> </w:t>
      </w:r>
      <w:r w:rsidRPr="00677448">
        <w:rPr>
          <w:i/>
          <w:szCs w:val="20"/>
        </w:rPr>
        <w:t xml:space="preserve">Sequence and </w:t>
      </w:r>
      <w:r w:rsidR="00335218" w:rsidRPr="00677448">
        <w:rPr>
          <w:i/>
          <w:szCs w:val="20"/>
        </w:rPr>
        <w:t>O</w:t>
      </w:r>
      <w:r w:rsidRPr="00677448">
        <w:rPr>
          <w:i/>
          <w:szCs w:val="20"/>
        </w:rPr>
        <w:t xml:space="preserve">rganization of the </w:t>
      </w:r>
      <w:r w:rsidR="00335218" w:rsidRPr="00677448">
        <w:rPr>
          <w:i/>
          <w:szCs w:val="20"/>
        </w:rPr>
        <w:t>H</w:t>
      </w:r>
      <w:r w:rsidRPr="00677448">
        <w:rPr>
          <w:i/>
          <w:szCs w:val="20"/>
        </w:rPr>
        <w:t xml:space="preserve">uman </w:t>
      </w:r>
      <w:r w:rsidR="00335218" w:rsidRPr="00677448">
        <w:rPr>
          <w:i/>
          <w:szCs w:val="20"/>
        </w:rPr>
        <w:t>M</w:t>
      </w:r>
      <w:r w:rsidRPr="00677448">
        <w:rPr>
          <w:i/>
          <w:szCs w:val="20"/>
        </w:rPr>
        <w:t xml:space="preserve">itochondrial </w:t>
      </w:r>
      <w:r w:rsidR="00335218" w:rsidRPr="00677448">
        <w:rPr>
          <w:i/>
          <w:szCs w:val="20"/>
        </w:rPr>
        <w:t>G</w:t>
      </w:r>
      <w:r w:rsidRPr="00677448">
        <w:rPr>
          <w:i/>
          <w:szCs w:val="20"/>
        </w:rPr>
        <w:t>enome</w:t>
      </w:r>
      <w:r w:rsidR="00335218">
        <w:rPr>
          <w:szCs w:val="20"/>
        </w:rPr>
        <w:t>;</w:t>
      </w:r>
      <w:r w:rsidRPr="00325977">
        <w:rPr>
          <w:szCs w:val="20"/>
        </w:rPr>
        <w:t xml:space="preserve"> Nature</w:t>
      </w:r>
      <w:r w:rsidR="00335218">
        <w:rPr>
          <w:szCs w:val="20"/>
        </w:rPr>
        <w:t>, Vol.</w:t>
      </w:r>
      <w:r w:rsidR="006049DD">
        <w:rPr>
          <w:szCs w:val="20"/>
        </w:rPr>
        <w:t> </w:t>
      </w:r>
      <w:r w:rsidRPr="00325977">
        <w:rPr>
          <w:szCs w:val="20"/>
        </w:rPr>
        <w:t xml:space="preserve">290, </w:t>
      </w:r>
      <w:r w:rsidR="00335218">
        <w:rPr>
          <w:szCs w:val="20"/>
        </w:rPr>
        <w:t xml:space="preserve">pp. </w:t>
      </w:r>
      <w:r w:rsidRPr="00325977">
        <w:rPr>
          <w:szCs w:val="20"/>
        </w:rPr>
        <w:t>457</w:t>
      </w:r>
      <w:r w:rsidR="00335218">
        <w:rPr>
          <w:szCs w:val="20"/>
        </w:rPr>
        <w:t>–</w:t>
      </w:r>
      <w:r w:rsidRPr="00325977">
        <w:rPr>
          <w:szCs w:val="20"/>
        </w:rPr>
        <w:t>465</w:t>
      </w:r>
      <w:r w:rsidR="00335218">
        <w:rPr>
          <w:szCs w:val="20"/>
        </w:rPr>
        <w:t xml:space="preserve"> (1981)</w:t>
      </w:r>
      <w:r w:rsidRPr="00325977">
        <w:rPr>
          <w:szCs w:val="20"/>
        </w:rPr>
        <w:t>.</w:t>
      </w:r>
    </w:p>
    <w:p w14:paraId="095A54BA" w14:textId="77777777" w:rsidR="00597792" w:rsidRPr="00597792" w:rsidRDefault="00597792" w:rsidP="00D4658C">
      <w:pPr>
        <w:tabs>
          <w:tab w:val="left" w:pos="540"/>
        </w:tabs>
        <w:ind w:left="540" w:hanging="540"/>
        <w:rPr>
          <w:szCs w:val="20"/>
        </w:rPr>
      </w:pPr>
      <w:r>
        <w:rPr>
          <w:szCs w:val="20"/>
        </w:rPr>
        <w:t>[</w:t>
      </w:r>
      <w:r w:rsidR="00811600">
        <w:rPr>
          <w:szCs w:val="20"/>
        </w:rPr>
        <w:t>6</w:t>
      </w:r>
      <w:r>
        <w:rPr>
          <w:szCs w:val="20"/>
        </w:rPr>
        <w:t>]</w:t>
      </w:r>
      <w:r>
        <w:rPr>
          <w:szCs w:val="20"/>
        </w:rPr>
        <w:tab/>
        <w:t>Andrews</w:t>
      </w:r>
      <w:r w:rsidR="00D4658C">
        <w:rPr>
          <w:szCs w:val="20"/>
        </w:rPr>
        <w:t>, </w:t>
      </w:r>
      <w:r>
        <w:rPr>
          <w:szCs w:val="20"/>
        </w:rPr>
        <w:t xml:space="preserve">R.M.; </w:t>
      </w:r>
      <w:proofErr w:type="spellStart"/>
      <w:r>
        <w:rPr>
          <w:szCs w:val="20"/>
        </w:rPr>
        <w:t>Kubacka</w:t>
      </w:r>
      <w:proofErr w:type="spellEnd"/>
      <w:r w:rsidR="00D4658C">
        <w:rPr>
          <w:szCs w:val="20"/>
        </w:rPr>
        <w:t>, </w:t>
      </w:r>
      <w:r>
        <w:rPr>
          <w:szCs w:val="20"/>
        </w:rPr>
        <w:t xml:space="preserve">I.; </w:t>
      </w:r>
      <w:proofErr w:type="spellStart"/>
      <w:r>
        <w:rPr>
          <w:szCs w:val="20"/>
        </w:rPr>
        <w:t>Chinnery</w:t>
      </w:r>
      <w:proofErr w:type="spellEnd"/>
      <w:r w:rsidR="00D4658C">
        <w:rPr>
          <w:szCs w:val="20"/>
        </w:rPr>
        <w:t>, </w:t>
      </w:r>
      <w:r>
        <w:rPr>
          <w:szCs w:val="20"/>
        </w:rPr>
        <w:t xml:space="preserve">P.F.; </w:t>
      </w:r>
      <w:proofErr w:type="spellStart"/>
      <w:r>
        <w:rPr>
          <w:szCs w:val="20"/>
        </w:rPr>
        <w:t>Lightowlers</w:t>
      </w:r>
      <w:proofErr w:type="spellEnd"/>
      <w:r w:rsidR="00D4658C">
        <w:rPr>
          <w:szCs w:val="20"/>
        </w:rPr>
        <w:t>, </w:t>
      </w:r>
      <w:r>
        <w:rPr>
          <w:szCs w:val="20"/>
        </w:rPr>
        <w:t>R.N.; Turnbull</w:t>
      </w:r>
      <w:r w:rsidR="00D4658C">
        <w:rPr>
          <w:szCs w:val="20"/>
        </w:rPr>
        <w:t>, </w:t>
      </w:r>
      <w:r>
        <w:rPr>
          <w:szCs w:val="20"/>
        </w:rPr>
        <w:t>D.M.; Howell</w:t>
      </w:r>
      <w:r w:rsidR="00D4658C">
        <w:rPr>
          <w:szCs w:val="20"/>
        </w:rPr>
        <w:t>, </w:t>
      </w:r>
      <w:r>
        <w:rPr>
          <w:szCs w:val="20"/>
        </w:rPr>
        <w:t xml:space="preserve">N.; </w:t>
      </w:r>
      <w:r>
        <w:rPr>
          <w:i/>
          <w:szCs w:val="20"/>
        </w:rPr>
        <w:t>Reanalysis and Revision of the Cambridge Reference Sequence for Human Mitochondrial DNA</w:t>
      </w:r>
      <w:r>
        <w:rPr>
          <w:szCs w:val="20"/>
        </w:rPr>
        <w:t xml:space="preserve">; </w:t>
      </w:r>
      <w:r w:rsidR="00AF7423">
        <w:rPr>
          <w:szCs w:val="20"/>
        </w:rPr>
        <w:t>Nature Genetics, Vol. 23, p. 147 (1999).</w:t>
      </w:r>
    </w:p>
    <w:p w14:paraId="6971109A" w14:textId="77777777" w:rsidR="005F583B" w:rsidRDefault="005F583B" w:rsidP="00D4658C">
      <w:pPr>
        <w:tabs>
          <w:tab w:val="left" w:pos="540"/>
        </w:tabs>
        <w:ind w:left="540" w:hanging="540"/>
      </w:pPr>
      <w:r>
        <w:t>[</w:t>
      </w:r>
      <w:r w:rsidR="00811600">
        <w:t>7</w:t>
      </w:r>
      <w:r>
        <w:t>]</w:t>
      </w:r>
      <w:r>
        <w:tab/>
        <w:t>Ru</w:t>
      </w:r>
      <w:r w:rsidR="00926096">
        <w:t>k</w:t>
      </w:r>
      <w:r>
        <w:t>hin</w:t>
      </w:r>
      <w:r w:rsidR="00D4658C">
        <w:t>, </w:t>
      </w:r>
      <w:r>
        <w:t xml:space="preserve">A.L.; </w:t>
      </w:r>
      <w:proofErr w:type="spellStart"/>
      <w:r>
        <w:t>Vangel</w:t>
      </w:r>
      <w:proofErr w:type="spellEnd"/>
      <w:r w:rsidR="00D4658C">
        <w:t>, </w:t>
      </w:r>
      <w:r>
        <w:t xml:space="preserve">M.G.; </w:t>
      </w:r>
      <w:r>
        <w:rPr>
          <w:i/>
        </w:rPr>
        <w:t>Estimation of a Common Mean and Weighted Means Statistics</w:t>
      </w:r>
      <w:r>
        <w:t>; J. Am. Statist. Assoc., Vol</w:t>
      </w:r>
      <w:r w:rsidR="00D4658C">
        <w:t>. </w:t>
      </w:r>
      <w:r>
        <w:t>93, pp</w:t>
      </w:r>
      <w:r w:rsidR="00D4658C">
        <w:t>. </w:t>
      </w:r>
      <w:r>
        <w:t>303–308 (1998).</w:t>
      </w:r>
    </w:p>
    <w:p w14:paraId="3196C428" w14:textId="77777777" w:rsidR="005F583B" w:rsidRPr="00677448" w:rsidRDefault="005F583B" w:rsidP="00D4658C">
      <w:pPr>
        <w:tabs>
          <w:tab w:val="left" w:pos="540"/>
        </w:tabs>
        <w:ind w:left="540" w:hanging="540"/>
      </w:pPr>
      <w:r>
        <w:t>[</w:t>
      </w:r>
      <w:r w:rsidR="00811600">
        <w:t>8</w:t>
      </w:r>
      <w:r>
        <w:t>]</w:t>
      </w:r>
      <w:r>
        <w:tab/>
      </w:r>
      <w:proofErr w:type="spellStart"/>
      <w:r>
        <w:t>Levenson</w:t>
      </w:r>
      <w:proofErr w:type="spellEnd"/>
      <w:r w:rsidR="00D4658C">
        <w:t>, </w:t>
      </w:r>
      <w:r>
        <w:t>M.S.; Banks</w:t>
      </w:r>
      <w:r w:rsidR="00D4658C">
        <w:t>, </w:t>
      </w:r>
      <w:r>
        <w:t xml:space="preserve">D.L.; </w:t>
      </w:r>
      <w:proofErr w:type="spellStart"/>
      <w:r>
        <w:t>Eberhardt</w:t>
      </w:r>
      <w:proofErr w:type="spellEnd"/>
      <w:r w:rsidR="00D4658C">
        <w:t>, </w:t>
      </w:r>
      <w:r>
        <w:t>K.R.; Gill</w:t>
      </w:r>
      <w:r w:rsidR="00D4658C">
        <w:t>, </w:t>
      </w:r>
      <w:r>
        <w:t>L.M.; Guthrie</w:t>
      </w:r>
      <w:r w:rsidR="00D4658C">
        <w:t>, </w:t>
      </w:r>
      <w:r>
        <w:t xml:space="preserve">W.F.; </w:t>
      </w:r>
      <w:proofErr w:type="spellStart"/>
      <w:r>
        <w:t>Lui</w:t>
      </w:r>
      <w:proofErr w:type="spellEnd"/>
      <w:r w:rsidR="00D4658C">
        <w:t>, </w:t>
      </w:r>
      <w:proofErr w:type="spellStart"/>
      <w:r>
        <w:t>H.k</w:t>
      </w:r>
      <w:proofErr w:type="spellEnd"/>
      <w:r>
        <w:t xml:space="preserve">.; </w:t>
      </w:r>
      <w:proofErr w:type="spellStart"/>
      <w:r>
        <w:t>Vangel</w:t>
      </w:r>
      <w:proofErr w:type="spellEnd"/>
      <w:r w:rsidR="00D4658C">
        <w:t>, </w:t>
      </w:r>
      <w:r>
        <w:t>M.G.; Yen</w:t>
      </w:r>
      <w:r w:rsidR="00D4658C">
        <w:t>, </w:t>
      </w:r>
      <w:r>
        <w:t>J.H.; Zhang</w:t>
      </w:r>
      <w:r w:rsidR="00D4658C">
        <w:t>, </w:t>
      </w:r>
      <w:r>
        <w:t xml:space="preserve">N.F.; </w:t>
      </w:r>
      <w:r>
        <w:rPr>
          <w:i/>
        </w:rPr>
        <w:t>An Approach to Combining Results from Multiple Methods Motivated by the ISO GUM</w:t>
      </w:r>
      <w:r>
        <w:t>; J.</w:t>
      </w:r>
      <w:r w:rsidR="00D64C9F">
        <w:t> </w:t>
      </w:r>
      <w:r>
        <w:t>Res. Natl. Inst. Stand. Technol., Vol</w:t>
      </w:r>
      <w:r w:rsidR="00D4658C">
        <w:t>. </w:t>
      </w:r>
      <w:r>
        <w:t>105, pp</w:t>
      </w:r>
      <w:r w:rsidR="00D4658C">
        <w:t>. </w:t>
      </w:r>
      <w:r>
        <w:t>571–579 (2000).</w:t>
      </w:r>
    </w:p>
    <w:p w14:paraId="7FEFEEB2" w14:textId="77777777" w:rsidR="00677448" w:rsidRDefault="00677448" w:rsidP="00D4658C">
      <w:pPr>
        <w:tabs>
          <w:tab w:val="left" w:pos="540"/>
        </w:tabs>
        <w:ind w:left="540" w:hanging="540"/>
      </w:pPr>
      <w:r>
        <w:rPr>
          <w:szCs w:val="20"/>
        </w:rPr>
        <w:t>[</w:t>
      </w:r>
      <w:r w:rsidR="00811600">
        <w:rPr>
          <w:szCs w:val="20"/>
        </w:rPr>
        <w:t>9</w:t>
      </w:r>
      <w:r>
        <w:rPr>
          <w:szCs w:val="20"/>
        </w:rPr>
        <w:t>]</w:t>
      </w:r>
      <w:r>
        <w:rPr>
          <w:szCs w:val="20"/>
        </w:rPr>
        <w:tab/>
      </w:r>
      <w:r w:rsidR="00D4658C" w:rsidRPr="00070036">
        <w:t xml:space="preserve">JCGM 100:2008; </w:t>
      </w:r>
      <w:r w:rsidR="00D4658C" w:rsidRPr="00070036">
        <w:rPr>
          <w:i/>
        </w:rPr>
        <w:t>Evaluation of Measurement Data —</w:t>
      </w:r>
      <w:r w:rsidR="00D4658C" w:rsidRPr="00070036">
        <w:t xml:space="preserve"> </w:t>
      </w:r>
      <w:r w:rsidR="00D4658C" w:rsidRPr="00070036">
        <w:rPr>
          <w:i/>
        </w:rPr>
        <w:t>Guide to the Expression of Uncertainty in Measurement</w:t>
      </w:r>
      <w:r w:rsidR="00D4658C" w:rsidRPr="00070036">
        <w:t xml:space="preserve"> (GUM 1995 with Minor Corrections); Joint Committee for Guides in Metrology (JCGM) (2</w:t>
      </w:r>
      <w:r w:rsidR="00D4658C">
        <w:t>00</w:t>
      </w:r>
      <w:r w:rsidR="00D4658C" w:rsidRPr="00070036">
        <w:t xml:space="preserve">8); available at </w:t>
      </w:r>
      <w:hyperlink r:id="rId12" w:history="1">
        <w:r w:rsidR="00D4658C" w:rsidRPr="00070036">
          <w:rPr>
            <w:rStyle w:val="Hyperlink"/>
          </w:rPr>
          <w:t>http://www.bipm.org/utils/common/documents/jcgm/JCGM_1_28_E.pdf</w:t>
        </w:r>
      </w:hyperlink>
      <w:r w:rsidR="00D4658C" w:rsidRPr="0071444B">
        <w:t xml:space="preserve"> (accessed </w:t>
      </w:r>
      <w:r w:rsidR="00D4658C">
        <w:rPr>
          <w:kern w:val="2"/>
        </w:rPr>
        <w:t>Jul 2014</w:t>
      </w:r>
      <w:r w:rsidR="00D4658C" w:rsidRPr="00070036">
        <w:t xml:space="preserve">); see also Taylor, B.N.; Kuyatt, C.E.; </w:t>
      </w:r>
      <w:r w:rsidR="00D4658C" w:rsidRPr="00070036">
        <w:rPr>
          <w:i/>
          <w:iCs/>
        </w:rPr>
        <w:t>Guidelines for Evaluating and Expressing the Uncertainty of NIST Measurement Results</w:t>
      </w:r>
      <w:r w:rsidR="00D4658C" w:rsidRPr="00070036">
        <w:t xml:space="preserve">; NIST Technical Note 1297; U.S. Government Printing Office: Washington, DC (1994); available at </w:t>
      </w:r>
      <w:hyperlink r:id="rId13" w:history="1">
        <w:r w:rsidR="00D4658C" w:rsidRPr="00070036">
          <w:rPr>
            <w:rStyle w:val="Hyperlink"/>
          </w:rPr>
          <w:t>http://www.nist.gov/pml/pubs/tn1297/index.cfm</w:t>
        </w:r>
      </w:hyperlink>
      <w:r w:rsidR="00D4658C" w:rsidRPr="0071444B">
        <w:t xml:space="preserve"> (accessed</w:t>
      </w:r>
      <w:r w:rsidR="00D4658C">
        <w:rPr>
          <w:kern w:val="2"/>
        </w:rPr>
        <w:t xml:space="preserve"> Jul 2014</w:t>
      </w:r>
      <w:r w:rsidR="00D4658C" w:rsidRPr="00070036">
        <w:t>).</w:t>
      </w:r>
    </w:p>
    <w:p w14:paraId="32A51D66" w14:textId="56C0F6AF" w:rsidR="00677448" w:rsidRDefault="00677448" w:rsidP="00D4658C">
      <w:pPr>
        <w:tabs>
          <w:tab w:val="left" w:pos="540"/>
        </w:tabs>
        <w:ind w:left="540" w:hanging="540"/>
      </w:pPr>
      <w:r>
        <w:t>[</w:t>
      </w:r>
      <w:r w:rsidR="00811600">
        <w:t>10</w:t>
      </w:r>
      <w:r>
        <w:t>]</w:t>
      </w:r>
      <w:r>
        <w:tab/>
      </w:r>
      <w:r w:rsidR="006049DD">
        <w:t>Ellison, S.L.R.; Williams, A.;</w:t>
      </w:r>
      <w:r w:rsidR="00C908EA">
        <w:t xml:space="preserve"> </w:t>
      </w:r>
      <w:r w:rsidRPr="005F770B">
        <w:rPr>
          <w:i/>
        </w:rPr>
        <w:t>EURACHEM/CITAC</w:t>
      </w:r>
      <w:r>
        <w:t xml:space="preserve"> </w:t>
      </w:r>
      <w:r>
        <w:rPr>
          <w:i/>
        </w:rPr>
        <w:t>Guide</w:t>
      </w:r>
      <w:r w:rsidR="00C908EA">
        <w:rPr>
          <w:i/>
        </w:rPr>
        <w:t xml:space="preserve"> CG 4:</w:t>
      </w:r>
      <w:r>
        <w:rPr>
          <w:i/>
        </w:rPr>
        <w:t xml:space="preserve"> Quantifying Uncertainty in Analytical </w:t>
      </w:r>
      <w:r w:rsidRPr="0009231A">
        <w:rPr>
          <w:i/>
        </w:rPr>
        <w:t>Measuremen</w:t>
      </w:r>
      <w:r w:rsidR="0009231A" w:rsidRPr="0009231A">
        <w:rPr>
          <w:i/>
        </w:rPr>
        <w:t>t</w:t>
      </w:r>
      <w:r w:rsidR="0009231A">
        <w:t>;</w:t>
      </w:r>
      <w:r w:rsidR="00C908EA">
        <w:t xml:space="preserve"> </w:t>
      </w:r>
      <w:r w:rsidR="00BF6D27">
        <w:t>EUR</w:t>
      </w:r>
      <w:r w:rsidR="00F108C3">
        <w:t>A</w:t>
      </w:r>
      <w:r w:rsidR="00BF6D27">
        <w:t xml:space="preserve">CHEM, </w:t>
      </w:r>
      <w:r w:rsidR="0080053E">
        <w:t xml:space="preserve">3rd </w:t>
      </w:r>
      <w:r>
        <w:t xml:space="preserve">ed.; </w:t>
      </w:r>
      <w:proofErr w:type="spellStart"/>
      <w:r>
        <w:t>Eurachem</w:t>
      </w:r>
      <w:proofErr w:type="spellEnd"/>
      <w:r>
        <w:t xml:space="preserve"> Secretariat</w:t>
      </w:r>
      <w:r w:rsidR="0009231A">
        <w:t>: England (UK)</w:t>
      </w:r>
      <w:r>
        <w:t xml:space="preserve"> (</w:t>
      </w:r>
      <w:r w:rsidR="0080053E">
        <w:t>2012</w:t>
      </w:r>
      <w:r>
        <w:t>); available at</w:t>
      </w:r>
      <w:r w:rsidR="00D4658C" w:rsidRPr="00D4658C">
        <w:t xml:space="preserve"> </w:t>
      </w:r>
      <w:hyperlink r:id="rId14" w:history="1">
        <w:r w:rsidR="00D4658C" w:rsidRPr="006049DD">
          <w:rPr>
            <w:rStyle w:val="Hyperlink"/>
          </w:rPr>
          <w:t>http://www.eurachem.org/</w:t>
        </w:r>
      </w:hyperlink>
      <w:r>
        <w:t xml:space="preserve"> (</w:t>
      </w:r>
      <w:r w:rsidR="006049DD">
        <w:t xml:space="preserve">accessed Jul </w:t>
      </w:r>
      <w:r>
        <w:t>20</w:t>
      </w:r>
      <w:r w:rsidR="006049DD">
        <w:t>1</w:t>
      </w:r>
      <w:r>
        <w:t>4).</w:t>
      </w:r>
    </w:p>
    <w:p w14:paraId="036599EA" w14:textId="77777777" w:rsidR="0009231A" w:rsidRDefault="0009231A" w:rsidP="005F770B">
      <w:pPr>
        <w:pStyle w:val="BodyTextIndent3"/>
        <w:tabs>
          <w:tab w:val="left" w:pos="360"/>
        </w:tabs>
        <w:spacing w:line="240" w:lineRule="auto"/>
        <w:ind w:left="360" w:hanging="360"/>
        <w:rPr>
          <w:szCs w:val="20"/>
        </w:rPr>
      </w:pPr>
    </w:p>
    <w:p w14:paraId="6BCE60E6" w14:textId="77777777" w:rsidR="00900682" w:rsidRDefault="00900682" w:rsidP="005F770B">
      <w:pPr>
        <w:pStyle w:val="BodyTextIndent3"/>
        <w:tabs>
          <w:tab w:val="left" w:pos="360"/>
        </w:tabs>
        <w:spacing w:line="240" w:lineRule="auto"/>
        <w:ind w:left="360" w:hanging="360"/>
        <w:rPr>
          <w:szCs w:val="20"/>
        </w:rPr>
      </w:pPr>
    </w:p>
    <w:p w14:paraId="67684EEA" w14:textId="77777777" w:rsidR="00900682" w:rsidRDefault="00900682" w:rsidP="005F770B">
      <w:pPr>
        <w:pStyle w:val="BodyTextIndent3"/>
        <w:tabs>
          <w:tab w:val="left" w:pos="360"/>
        </w:tabs>
        <w:spacing w:line="240" w:lineRule="auto"/>
        <w:ind w:left="360" w:hanging="360"/>
        <w:rPr>
          <w:szCs w:val="20"/>
        </w:rPr>
      </w:pPr>
    </w:p>
    <w:p w14:paraId="27A84E7C" w14:textId="77777777" w:rsidR="00D4658C" w:rsidRDefault="00D4658C" w:rsidP="005F770B">
      <w:pPr>
        <w:pStyle w:val="BodyTextIndent3"/>
        <w:tabs>
          <w:tab w:val="left" w:pos="360"/>
        </w:tabs>
        <w:spacing w:line="240" w:lineRule="auto"/>
        <w:ind w:left="360" w:hanging="360"/>
        <w:rPr>
          <w:szCs w:val="20"/>
        </w:rPr>
      </w:pPr>
    </w:p>
    <w:p w14:paraId="7ED7BEF7" w14:textId="77777777" w:rsidR="00D4658C" w:rsidRDefault="00D4658C" w:rsidP="005F770B">
      <w:pPr>
        <w:pStyle w:val="BodyTextIndent3"/>
        <w:tabs>
          <w:tab w:val="left" w:pos="360"/>
        </w:tabs>
        <w:spacing w:line="240" w:lineRule="auto"/>
        <w:ind w:left="360" w:hanging="360"/>
        <w:rPr>
          <w:szCs w:val="20"/>
        </w:rPr>
      </w:pPr>
    </w:p>
    <w:p w14:paraId="35C5F45B" w14:textId="77777777" w:rsidR="00D4658C" w:rsidRDefault="00D4658C" w:rsidP="005F770B">
      <w:pPr>
        <w:pStyle w:val="BodyTextIndent3"/>
        <w:tabs>
          <w:tab w:val="left" w:pos="360"/>
        </w:tabs>
        <w:spacing w:line="240" w:lineRule="auto"/>
        <w:ind w:left="360" w:hanging="360"/>
        <w:rPr>
          <w:szCs w:val="20"/>
        </w:rPr>
      </w:pPr>
    </w:p>
    <w:p w14:paraId="063C0CD2" w14:textId="77777777" w:rsidR="00D4658C" w:rsidRDefault="00D4658C" w:rsidP="005F770B">
      <w:pPr>
        <w:pStyle w:val="BodyTextIndent3"/>
        <w:tabs>
          <w:tab w:val="left" w:pos="360"/>
        </w:tabs>
        <w:spacing w:line="240" w:lineRule="auto"/>
        <w:ind w:left="360" w:hanging="360"/>
        <w:rPr>
          <w:szCs w:val="20"/>
        </w:rPr>
      </w:pPr>
    </w:p>
    <w:p w14:paraId="48C48BE3" w14:textId="77777777" w:rsidR="00D4658C" w:rsidRDefault="00D4658C" w:rsidP="005F770B">
      <w:pPr>
        <w:pStyle w:val="BodyTextIndent3"/>
        <w:tabs>
          <w:tab w:val="left" w:pos="360"/>
        </w:tabs>
        <w:spacing w:line="240" w:lineRule="auto"/>
        <w:ind w:left="360" w:hanging="360"/>
        <w:rPr>
          <w:szCs w:val="20"/>
        </w:rPr>
      </w:pPr>
    </w:p>
    <w:p w14:paraId="373754C3" w14:textId="77777777" w:rsidR="0009231A" w:rsidRDefault="0009231A" w:rsidP="005F770B">
      <w:pPr>
        <w:pStyle w:val="BodyTextIndent3"/>
        <w:tabs>
          <w:tab w:val="left" w:pos="360"/>
        </w:tabs>
        <w:spacing w:line="240" w:lineRule="auto"/>
        <w:ind w:left="360" w:hanging="360"/>
        <w:rPr>
          <w:szCs w:val="20"/>
        </w:rPr>
      </w:pPr>
    </w:p>
    <w:p w14:paraId="60BB99C0" w14:textId="6620BB2C" w:rsidR="00900682" w:rsidRPr="00595D09" w:rsidRDefault="00900682" w:rsidP="00900682">
      <w:pPr>
        <w:pBdr>
          <w:top w:val="single" w:sz="4" w:space="1" w:color="auto"/>
          <w:left w:val="single" w:sz="4" w:space="4" w:color="auto"/>
          <w:bottom w:val="single" w:sz="4" w:space="1" w:color="auto"/>
          <w:right w:val="single" w:sz="4" w:space="4" w:color="auto"/>
        </w:pBdr>
        <w:tabs>
          <w:tab w:val="left" w:pos="-1080"/>
          <w:tab w:val="left" w:pos="-720"/>
          <w:tab w:val="left" w:pos="540"/>
          <w:tab w:val="decimal" w:pos="3060"/>
          <w:tab w:val="decimal" w:pos="4680"/>
          <w:tab w:val="left" w:pos="4950"/>
        </w:tabs>
        <w:spacing w:line="160" w:lineRule="exact"/>
        <w:rPr>
          <w:kern w:val="2"/>
          <w:sz w:val="16"/>
          <w:szCs w:val="16"/>
        </w:rPr>
      </w:pPr>
      <w:r>
        <w:rPr>
          <w:b/>
          <w:sz w:val="16"/>
        </w:rPr>
        <w:t>Certificate Revision History</w:t>
      </w:r>
      <w:r>
        <w:rPr>
          <w:b/>
          <w:bCs/>
          <w:sz w:val="16"/>
        </w:rPr>
        <w:t>:</w:t>
      </w:r>
      <w:r>
        <w:rPr>
          <w:sz w:val="16"/>
        </w:rPr>
        <w:t xml:space="preserve">  </w:t>
      </w:r>
      <w:r w:rsidR="00F108C3">
        <w:rPr>
          <w:sz w:val="16"/>
        </w:rPr>
        <w:t>09 </w:t>
      </w:r>
      <w:r w:rsidR="000F1ABD">
        <w:rPr>
          <w:sz w:val="16"/>
        </w:rPr>
        <w:t xml:space="preserve">July 2014 (Extension of certification period; editorial changes); </w:t>
      </w:r>
      <w:r w:rsidR="00BD0C3C">
        <w:rPr>
          <w:sz w:val="16"/>
        </w:rPr>
        <w:t>0</w:t>
      </w:r>
      <w:r w:rsidR="002A1638">
        <w:rPr>
          <w:sz w:val="16"/>
        </w:rPr>
        <w:t>9</w:t>
      </w:r>
      <w:r w:rsidR="00BD0C3C">
        <w:rPr>
          <w:sz w:val="16"/>
        </w:rPr>
        <w:t xml:space="preserve"> June 2009 (Extension of </w:t>
      </w:r>
      <w:r w:rsidR="000F1ABD">
        <w:rPr>
          <w:sz w:val="16"/>
        </w:rPr>
        <w:t>certification period;</w:t>
      </w:r>
      <w:r w:rsidR="00C813E2">
        <w:rPr>
          <w:sz w:val="16"/>
        </w:rPr>
        <w:t xml:space="preserve"> editorial changes</w:t>
      </w:r>
      <w:r w:rsidR="00BD0C3C">
        <w:rPr>
          <w:sz w:val="16"/>
        </w:rPr>
        <w:t xml:space="preserve">); </w:t>
      </w:r>
      <w:r w:rsidRPr="00595D09">
        <w:rPr>
          <w:kern w:val="2"/>
          <w:sz w:val="16"/>
          <w:szCs w:val="16"/>
        </w:rPr>
        <w:t>0</w:t>
      </w:r>
      <w:r w:rsidR="008404AB">
        <w:rPr>
          <w:kern w:val="2"/>
          <w:sz w:val="16"/>
          <w:szCs w:val="16"/>
        </w:rPr>
        <w:t>9</w:t>
      </w:r>
      <w:r w:rsidRPr="00595D09">
        <w:rPr>
          <w:kern w:val="2"/>
          <w:sz w:val="16"/>
          <w:szCs w:val="16"/>
        </w:rPr>
        <w:t xml:space="preserve"> November 2006 (</w:t>
      </w:r>
      <w:r>
        <w:rPr>
          <w:kern w:val="2"/>
          <w:sz w:val="16"/>
          <w:szCs w:val="16"/>
        </w:rPr>
        <w:t>E</w:t>
      </w:r>
      <w:r w:rsidRPr="00595D09">
        <w:rPr>
          <w:kern w:val="2"/>
          <w:sz w:val="16"/>
          <w:szCs w:val="16"/>
        </w:rPr>
        <w:t>ditorial changes); 22</w:t>
      </w:r>
      <w:r w:rsidR="00D64C9F">
        <w:rPr>
          <w:kern w:val="2"/>
          <w:sz w:val="16"/>
          <w:szCs w:val="16"/>
        </w:rPr>
        <w:t> </w:t>
      </w:r>
      <w:r w:rsidRPr="00595D09">
        <w:rPr>
          <w:kern w:val="2"/>
          <w:sz w:val="16"/>
          <w:szCs w:val="16"/>
        </w:rPr>
        <w:t>December 2004 (Original certificate date).</w:t>
      </w:r>
    </w:p>
    <w:p w14:paraId="18063D95" w14:textId="77777777" w:rsidR="00595D09" w:rsidRDefault="00595D09" w:rsidP="005F770B">
      <w:pPr>
        <w:pStyle w:val="BodyTextIndent3"/>
        <w:tabs>
          <w:tab w:val="left" w:pos="360"/>
        </w:tabs>
        <w:spacing w:line="240" w:lineRule="auto"/>
        <w:ind w:left="360" w:hanging="360"/>
        <w:rPr>
          <w:szCs w:val="20"/>
        </w:rPr>
      </w:pPr>
    </w:p>
    <w:p w14:paraId="42754702" w14:textId="77777777" w:rsidR="00D4658C" w:rsidRDefault="00D4658C" w:rsidP="005F770B">
      <w:pPr>
        <w:pStyle w:val="BodyTextIndent3"/>
        <w:tabs>
          <w:tab w:val="left" w:pos="360"/>
        </w:tabs>
        <w:spacing w:line="240" w:lineRule="auto"/>
        <w:ind w:left="360" w:hanging="360"/>
        <w:rPr>
          <w:szCs w:val="20"/>
        </w:rPr>
      </w:pPr>
    </w:p>
    <w:p w14:paraId="2831F550" w14:textId="77777777" w:rsidR="00D4658C" w:rsidRDefault="00D4658C" w:rsidP="005F770B">
      <w:pPr>
        <w:pStyle w:val="BodyTextIndent3"/>
        <w:tabs>
          <w:tab w:val="left" w:pos="360"/>
        </w:tabs>
        <w:spacing w:line="240" w:lineRule="auto"/>
        <w:ind w:left="360" w:hanging="360"/>
        <w:rPr>
          <w:szCs w:val="20"/>
        </w:rPr>
      </w:pPr>
    </w:p>
    <w:p w14:paraId="1F9CD2E2" w14:textId="77777777" w:rsidR="00D4658C" w:rsidRDefault="00D4658C" w:rsidP="005F770B">
      <w:pPr>
        <w:pStyle w:val="BodyTextIndent3"/>
        <w:tabs>
          <w:tab w:val="left" w:pos="360"/>
        </w:tabs>
        <w:spacing w:line="240" w:lineRule="auto"/>
        <w:ind w:left="360" w:hanging="360"/>
        <w:rPr>
          <w:szCs w:val="20"/>
        </w:rPr>
      </w:pPr>
    </w:p>
    <w:p w14:paraId="5E52F341" w14:textId="77777777" w:rsidR="00D4658C" w:rsidRDefault="00D4658C" w:rsidP="005F770B">
      <w:pPr>
        <w:pStyle w:val="BodyTextIndent3"/>
        <w:tabs>
          <w:tab w:val="left" w:pos="360"/>
        </w:tabs>
        <w:spacing w:line="240" w:lineRule="auto"/>
        <w:ind w:left="360" w:hanging="360"/>
        <w:rPr>
          <w:szCs w:val="20"/>
        </w:rPr>
      </w:pPr>
    </w:p>
    <w:p w14:paraId="2F4AE592" w14:textId="77777777" w:rsidR="00D4658C" w:rsidRDefault="00D4658C" w:rsidP="005F770B">
      <w:pPr>
        <w:pStyle w:val="BodyTextIndent3"/>
        <w:tabs>
          <w:tab w:val="left" w:pos="360"/>
        </w:tabs>
        <w:spacing w:line="240" w:lineRule="auto"/>
        <w:ind w:left="360" w:hanging="360"/>
        <w:rPr>
          <w:szCs w:val="20"/>
        </w:rPr>
      </w:pPr>
    </w:p>
    <w:p w14:paraId="6755ED86" w14:textId="77777777" w:rsidR="00D4658C" w:rsidRDefault="00D4658C" w:rsidP="005F770B">
      <w:pPr>
        <w:pStyle w:val="BodyTextIndent3"/>
        <w:tabs>
          <w:tab w:val="left" w:pos="360"/>
        </w:tabs>
        <w:spacing w:line="240" w:lineRule="auto"/>
        <w:ind w:left="360" w:hanging="360"/>
        <w:rPr>
          <w:szCs w:val="20"/>
        </w:rPr>
      </w:pPr>
    </w:p>
    <w:p w14:paraId="66862590" w14:textId="77777777" w:rsidR="00900682" w:rsidRDefault="00900682" w:rsidP="005F770B">
      <w:pPr>
        <w:pStyle w:val="BodyTextIndent3"/>
        <w:tabs>
          <w:tab w:val="left" w:pos="360"/>
        </w:tabs>
        <w:spacing w:line="240" w:lineRule="auto"/>
        <w:ind w:left="360" w:hanging="360"/>
        <w:rPr>
          <w:szCs w:val="20"/>
        </w:rPr>
      </w:pPr>
    </w:p>
    <w:p w14:paraId="435BF721" w14:textId="77777777" w:rsidR="00900682" w:rsidRDefault="00900682" w:rsidP="005F770B">
      <w:pPr>
        <w:pStyle w:val="BodyTextIndent3"/>
        <w:tabs>
          <w:tab w:val="left" w:pos="360"/>
        </w:tabs>
        <w:spacing w:line="240" w:lineRule="auto"/>
        <w:ind w:left="360" w:hanging="360"/>
        <w:rPr>
          <w:szCs w:val="20"/>
        </w:rPr>
      </w:pPr>
    </w:p>
    <w:p w14:paraId="3A248375" w14:textId="77777777" w:rsidR="00D4658C" w:rsidRPr="00070036" w:rsidRDefault="00D4658C" w:rsidP="00D4658C">
      <w:pPr>
        <w:pStyle w:val="NoSpacing"/>
        <w:tabs>
          <w:tab w:val="left" w:pos="450"/>
        </w:tabs>
        <w:ind w:left="450" w:hanging="450"/>
        <w:jc w:val="both"/>
        <w:rPr>
          <w:color w:val="000000"/>
        </w:rPr>
      </w:pPr>
    </w:p>
    <w:p w14:paraId="25D3EA82" w14:textId="77777777" w:rsidR="00D4658C" w:rsidRPr="00070036" w:rsidRDefault="00D4658C" w:rsidP="00D4658C">
      <w:pPr>
        <w:rPr>
          <w:i/>
        </w:rPr>
      </w:pPr>
      <w:r w:rsidRPr="00070036">
        <w:rPr>
          <w:i/>
        </w:rPr>
        <w:t>Users of this SRM should ensure that the Certificate of Analysis in their possession is current.  This can be accomplished by contacting the SRM Program:  telephone (301) 975</w:t>
      </w:r>
      <w:r w:rsidRPr="00070036">
        <w:rPr>
          <w:i/>
        </w:rPr>
        <w:noBreakHyphen/>
        <w:t>22</w:t>
      </w:r>
      <w:r>
        <w:rPr>
          <w:i/>
        </w:rPr>
        <w:t>00</w:t>
      </w:r>
      <w:r w:rsidRPr="00070036">
        <w:rPr>
          <w:i/>
        </w:rPr>
        <w:t>; fax (301) 948</w:t>
      </w:r>
      <w:r w:rsidRPr="00070036">
        <w:rPr>
          <w:i/>
        </w:rPr>
        <w:noBreakHyphen/>
        <w:t>3730; e</w:t>
      </w:r>
      <w:r w:rsidRPr="00070036">
        <w:rPr>
          <w:i/>
        </w:rPr>
        <w:noBreakHyphen/>
        <w:t>mail </w:t>
      </w:r>
      <w:hyperlink r:id="rId15" w:history="1">
        <w:r w:rsidRPr="00070036">
          <w:rPr>
            <w:rStyle w:val="Hyperlink"/>
            <w:i/>
          </w:rPr>
          <w:t>srminfo@nist.gov</w:t>
        </w:r>
      </w:hyperlink>
      <w:r w:rsidRPr="0071444B">
        <w:rPr>
          <w:i/>
        </w:rPr>
        <w:t>; o</w:t>
      </w:r>
      <w:r w:rsidRPr="00070036">
        <w:rPr>
          <w:i/>
        </w:rPr>
        <w:t xml:space="preserve">r via the Internet at </w:t>
      </w:r>
      <w:hyperlink r:id="rId16" w:history="1">
        <w:r w:rsidRPr="00070036">
          <w:rPr>
            <w:rStyle w:val="Hyperlink"/>
            <w:i/>
          </w:rPr>
          <w:t>http://www.nist.gov/srm</w:t>
        </w:r>
      </w:hyperlink>
      <w:r w:rsidRPr="0071444B">
        <w:rPr>
          <w:i/>
        </w:rPr>
        <w:t>.</w:t>
      </w:r>
    </w:p>
    <w:p w14:paraId="4DD8503F" w14:textId="77777777" w:rsidR="0009231A" w:rsidRPr="0009231A" w:rsidRDefault="0009231A" w:rsidP="00D4658C">
      <w:pPr>
        <w:pStyle w:val="BodyText2"/>
        <w:rPr>
          <w:i/>
          <w:iCs/>
          <w:sz w:val="20"/>
          <w:szCs w:val="20"/>
        </w:rPr>
      </w:pPr>
    </w:p>
    <w:sectPr w:rsidR="0009231A" w:rsidRPr="0009231A" w:rsidSect="00D4658C">
      <w:footerReference w:type="even" r:id="rId17"/>
      <w:footerReference w:type="default" r:id="rId18"/>
      <w:pgSz w:w="12240" w:h="15840" w:code="1"/>
      <w:pgMar w:top="720" w:right="1440" w:bottom="72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F289B" w14:textId="77777777" w:rsidR="00532CA6" w:rsidRDefault="00532CA6">
      <w:r>
        <w:separator/>
      </w:r>
    </w:p>
  </w:endnote>
  <w:endnote w:type="continuationSeparator" w:id="0">
    <w:p w14:paraId="5BCFD451" w14:textId="77777777" w:rsidR="00532CA6" w:rsidRDefault="0053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2C2EC" w14:textId="77777777" w:rsidR="00506B6B" w:rsidRDefault="00506B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5CBF37" w14:textId="77777777" w:rsidR="00506B6B" w:rsidRDefault="00506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1C865" w14:textId="77777777" w:rsidR="00506B6B" w:rsidRDefault="0002715B" w:rsidP="00820F7B">
    <w:pPr>
      <w:pStyle w:val="Footer"/>
      <w:tabs>
        <w:tab w:val="clear" w:pos="4320"/>
        <w:tab w:val="clear" w:pos="8640"/>
        <w:tab w:val="right" w:pos="9360"/>
      </w:tabs>
    </w:pPr>
    <w:r>
      <w:rPr>
        <w:rFonts w:ascii="Times New Roman" w:hAnsi="Times New Roman"/>
      </w:rPr>
      <w:t>SRM 2394</w:t>
    </w:r>
    <w:r>
      <w:rPr>
        <w:rFonts w:ascii="Times New Roman" w:hAnsi="Times New Roman"/>
      </w:rPr>
      <w:tab/>
    </w:r>
    <w:r w:rsidRPr="00944678">
      <w:rPr>
        <w:rFonts w:ascii="Times New Roman" w:hAnsi="Times New Roman"/>
      </w:rPr>
      <w:t xml:space="preserve">Page </w:t>
    </w:r>
    <w:r w:rsidRPr="00944678">
      <w:rPr>
        <w:rFonts w:ascii="Times New Roman" w:hAnsi="Times New Roman"/>
      </w:rPr>
      <w:fldChar w:fldCharType="begin"/>
    </w:r>
    <w:r w:rsidRPr="00944678">
      <w:rPr>
        <w:rFonts w:ascii="Times New Roman" w:hAnsi="Times New Roman"/>
      </w:rPr>
      <w:instrText xml:space="preserve"> PAGE </w:instrText>
    </w:r>
    <w:r w:rsidRPr="00944678">
      <w:rPr>
        <w:rFonts w:ascii="Times New Roman" w:hAnsi="Times New Roman"/>
      </w:rPr>
      <w:fldChar w:fldCharType="separate"/>
    </w:r>
    <w:r w:rsidR="0021666B">
      <w:rPr>
        <w:rFonts w:ascii="Times New Roman" w:hAnsi="Times New Roman"/>
        <w:noProof/>
      </w:rPr>
      <w:t>4</w:t>
    </w:r>
    <w:r w:rsidRPr="00944678">
      <w:rPr>
        <w:rFonts w:ascii="Times New Roman" w:hAnsi="Times New Roman"/>
      </w:rPr>
      <w:fldChar w:fldCharType="end"/>
    </w:r>
    <w:r w:rsidRPr="00944678">
      <w:rPr>
        <w:rFonts w:ascii="Times New Roman" w:hAnsi="Times New Roman"/>
      </w:rPr>
      <w:t xml:space="preserve"> of </w:t>
    </w:r>
    <w:r w:rsidRPr="00944678">
      <w:rPr>
        <w:rFonts w:ascii="Times New Roman" w:hAnsi="Times New Roman"/>
      </w:rPr>
      <w:fldChar w:fldCharType="begin"/>
    </w:r>
    <w:r w:rsidRPr="00944678">
      <w:rPr>
        <w:rFonts w:ascii="Times New Roman" w:hAnsi="Times New Roman"/>
      </w:rPr>
      <w:instrText xml:space="preserve"> NUMPAGES </w:instrText>
    </w:r>
    <w:r w:rsidRPr="00944678">
      <w:rPr>
        <w:rFonts w:ascii="Times New Roman" w:hAnsi="Times New Roman"/>
      </w:rPr>
      <w:fldChar w:fldCharType="separate"/>
    </w:r>
    <w:r w:rsidR="0021666B">
      <w:rPr>
        <w:rFonts w:ascii="Times New Roman" w:hAnsi="Times New Roman"/>
        <w:noProof/>
      </w:rPr>
      <w:t>4</w:t>
    </w:r>
    <w:r w:rsidRPr="00944678">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29F15" w14:textId="77777777" w:rsidR="00532CA6" w:rsidRDefault="00532CA6">
      <w:r>
        <w:separator/>
      </w:r>
    </w:p>
  </w:footnote>
  <w:footnote w:type="continuationSeparator" w:id="0">
    <w:p w14:paraId="4E12B0F7" w14:textId="77777777" w:rsidR="00532CA6" w:rsidRDefault="00532CA6">
      <w:r>
        <w:continuationSeparator/>
      </w:r>
    </w:p>
  </w:footnote>
  <w:footnote w:id="1">
    <w:p w14:paraId="5BA2DB80" w14:textId="77777777" w:rsidR="002E6828" w:rsidRDefault="00880708" w:rsidP="00880708">
      <w:pPr>
        <w:pStyle w:val="FootnoteText"/>
        <w:tabs>
          <w:tab w:val="left" w:pos="720"/>
        </w:tabs>
        <w:ind w:firstLine="540"/>
      </w:pPr>
      <w:r w:rsidRPr="00863A72">
        <w:rPr>
          <w:sz w:val="18"/>
          <w:szCs w:val="18"/>
          <w:vertAlign w:val="superscript"/>
        </w:rPr>
        <w:t>(</w:t>
      </w:r>
      <w:r w:rsidR="00BD6BC9" w:rsidRPr="006528DA">
        <w:rPr>
          <w:rStyle w:val="FootnoteReference"/>
          <w:sz w:val="18"/>
          <w:szCs w:val="18"/>
        </w:rPr>
        <w:footnoteRef/>
      </w:r>
      <w:r w:rsidRPr="00863A72">
        <w:rPr>
          <w:sz w:val="18"/>
          <w:szCs w:val="18"/>
          <w:vertAlign w:val="superscript"/>
        </w:rPr>
        <w:t>)</w:t>
      </w:r>
      <w:r>
        <w:rPr>
          <w:sz w:val="18"/>
          <w:szCs w:val="18"/>
        </w:rPr>
        <w:tab/>
      </w:r>
      <w:r w:rsidR="00BD6BC9" w:rsidRPr="006528DA">
        <w:rPr>
          <w:sz w:val="18"/>
          <w:szCs w:val="18"/>
        </w:rPr>
        <w:t xml:space="preserve">CRS refers to the Cambridge Reference </w:t>
      </w:r>
      <w:r w:rsidRPr="006528DA">
        <w:rPr>
          <w:sz w:val="18"/>
          <w:szCs w:val="18"/>
        </w:rPr>
        <w:t>Sequence</w:t>
      </w:r>
      <w:r>
        <w:rPr>
          <w:sz w:val="18"/>
          <w:szCs w:val="18"/>
        </w:rPr>
        <w:t> </w:t>
      </w:r>
      <w:r w:rsidR="00BD6BC9" w:rsidRPr="006528DA">
        <w:rPr>
          <w:sz w:val="18"/>
          <w:szCs w:val="18"/>
        </w:rPr>
        <w:t>[</w:t>
      </w:r>
      <w:r w:rsidR="00811600">
        <w:rPr>
          <w:sz w:val="18"/>
          <w:szCs w:val="18"/>
        </w:rPr>
        <w:t>5</w:t>
      </w:r>
      <w:r w:rsidR="00BD6BC9" w:rsidRPr="006528DA">
        <w:rPr>
          <w:sz w:val="18"/>
          <w:szCs w:val="18"/>
        </w:rPr>
        <w:t>] and the revised Cambridge Reference Sequence (</w:t>
      </w:r>
      <w:proofErr w:type="spellStart"/>
      <w:r w:rsidR="00BD6BC9" w:rsidRPr="006528DA">
        <w:rPr>
          <w:sz w:val="18"/>
          <w:szCs w:val="18"/>
        </w:rPr>
        <w:t>rCRS</w:t>
      </w:r>
      <w:proofErr w:type="spellEnd"/>
      <w:r w:rsidRPr="006528DA">
        <w:rPr>
          <w:sz w:val="18"/>
          <w:szCs w:val="18"/>
        </w:rPr>
        <w:t>)</w:t>
      </w:r>
      <w:r>
        <w:rPr>
          <w:sz w:val="18"/>
          <w:szCs w:val="18"/>
        </w:rPr>
        <w:t> </w:t>
      </w:r>
      <w:r w:rsidR="00BD6BC9" w:rsidRPr="006528DA">
        <w:rPr>
          <w:sz w:val="18"/>
          <w:szCs w:val="18"/>
        </w:rPr>
        <w:t>[</w:t>
      </w:r>
      <w:r w:rsidR="00811600">
        <w:rPr>
          <w:sz w:val="18"/>
          <w:szCs w:val="18"/>
        </w:rPr>
        <w:t>6</w:t>
      </w:r>
      <w:r w:rsidR="00BD6BC9" w:rsidRPr="006528DA">
        <w:rPr>
          <w:sz w:val="18"/>
          <w:szCs w:val="18"/>
        </w:rPr>
        <w:t>].</w:t>
      </w:r>
    </w:p>
  </w:footnote>
  <w:footnote w:id="2">
    <w:p w14:paraId="4ADE51C0" w14:textId="0ACA2E77" w:rsidR="00506B6B" w:rsidRDefault="00863A72" w:rsidP="00AD681B">
      <w:pPr>
        <w:tabs>
          <w:tab w:val="left" w:pos="720"/>
        </w:tabs>
        <w:autoSpaceDE w:val="0"/>
        <w:autoSpaceDN w:val="0"/>
        <w:adjustRightInd w:val="0"/>
        <w:ind w:firstLine="540"/>
      </w:pPr>
      <w:r>
        <w:rPr>
          <w:sz w:val="18"/>
          <w:szCs w:val="18"/>
          <w:vertAlign w:val="superscript"/>
        </w:rPr>
        <w:t>(</w:t>
      </w:r>
      <w:r w:rsidR="00506B6B" w:rsidRPr="006528DA">
        <w:rPr>
          <w:rStyle w:val="FootnoteReference"/>
          <w:sz w:val="18"/>
          <w:szCs w:val="18"/>
        </w:rPr>
        <w:footnoteRef/>
      </w:r>
      <w:r w:rsidRPr="00863A72">
        <w:rPr>
          <w:sz w:val="18"/>
          <w:szCs w:val="18"/>
          <w:vertAlign w:val="superscript"/>
        </w:rPr>
        <w:t>)</w:t>
      </w:r>
      <w:r w:rsidR="00AD681B">
        <w:rPr>
          <w:sz w:val="18"/>
          <w:szCs w:val="18"/>
          <w:vertAlign w:val="superscript"/>
        </w:rPr>
        <w:tab/>
      </w:r>
      <w:r w:rsidR="00506B6B" w:rsidRPr="006528DA">
        <w:rPr>
          <w:sz w:val="18"/>
          <w:szCs w:val="18"/>
        </w:rPr>
        <w:t xml:space="preserve">Certain commercial equipment, instruments, materials, or companies are identified in this </w:t>
      </w:r>
      <w:r w:rsidR="006C708C">
        <w:rPr>
          <w:sz w:val="18"/>
          <w:szCs w:val="18"/>
        </w:rPr>
        <w:t>certificate</w:t>
      </w:r>
      <w:r w:rsidR="00506B6B" w:rsidRPr="006528DA">
        <w:rPr>
          <w:sz w:val="18"/>
          <w:szCs w:val="18"/>
        </w:rPr>
        <w:t xml:space="preserve"> to specify the experimental procedure.</w:t>
      </w:r>
      <w:r>
        <w:rPr>
          <w:sz w:val="18"/>
          <w:szCs w:val="18"/>
        </w:rPr>
        <w:t xml:space="preserve"> </w:t>
      </w:r>
      <w:r w:rsidR="00506B6B" w:rsidRPr="006528DA">
        <w:rPr>
          <w:sz w:val="18"/>
          <w:szCs w:val="18"/>
        </w:rPr>
        <w:t xml:space="preserve"> Such identification does not imply recommendation or endorsement by NIST, nor does it imply that the materials or equipment identified are the best available for this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2026C"/>
    <w:multiLevelType w:val="hybridMultilevel"/>
    <w:tmpl w:val="66E8343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A8428EA"/>
    <w:multiLevelType w:val="hybridMultilevel"/>
    <w:tmpl w:val="172A2BF4"/>
    <w:lvl w:ilvl="0" w:tplc="04090001">
      <w:start w:val="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2211F5"/>
    <w:multiLevelType w:val="hybridMultilevel"/>
    <w:tmpl w:val="4B4654E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34673AF"/>
    <w:multiLevelType w:val="hybridMultilevel"/>
    <w:tmpl w:val="9F60A086"/>
    <w:lvl w:ilvl="0" w:tplc="9E2A598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CA0DB8"/>
    <w:multiLevelType w:val="hybridMultilevel"/>
    <w:tmpl w:val="34725580"/>
    <w:lvl w:ilvl="0" w:tplc="FD821D52">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EB02396"/>
    <w:multiLevelType w:val="hybridMultilevel"/>
    <w:tmpl w:val="3FC27D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8F46868"/>
    <w:multiLevelType w:val="hybridMultilevel"/>
    <w:tmpl w:val="21DE998A"/>
    <w:lvl w:ilvl="0" w:tplc="404CEEB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68"/>
    <w:rsid w:val="00012D16"/>
    <w:rsid w:val="0002715B"/>
    <w:rsid w:val="00034CE2"/>
    <w:rsid w:val="000357E7"/>
    <w:rsid w:val="00082546"/>
    <w:rsid w:val="00082C46"/>
    <w:rsid w:val="0008596B"/>
    <w:rsid w:val="00087830"/>
    <w:rsid w:val="0009231A"/>
    <w:rsid w:val="000C776E"/>
    <w:rsid w:val="000F1ABD"/>
    <w:rsid w:val="000F4268"/>
    <w:rsid w:val="00113E41"/>
    <w:rsid w:val="00114405"/>
    <w:rsid w:val="00126EDC"/>
    <w:rsid w:val="001525A8"/>
    <w:rsid w:val="00166CBB"/>
    <w:rsid w:val="00175E53"/>
    <w:rsid w:val="00183ECD"/>
    <w:rsid w:val="001E59A1"/>
    <w:rsid w:val="001F4ABF"/>
    <w:rsid w:val="0021666B"/>
    <w:rsid w:val="00221059"/>
    <w:rsid w:val="0022185C"/>
    <w:rsid w:val="00227D91"/>
    <w:rsid w:val="00255135"/>
    <w:rsid w:val="002945F0"/>
    <w:rsid w:val="002A1638"/>
    <w:rsid w:val="002C1BE2"/>
    <w:rsid w:val="002C5ECE"/>
    <w:rsid w:val="002D5459"/>
    <w:rsid w:val="002E6828"/>
    <w:rsid w:val="003129B3"/>
    <w:rsid w:val="0032064B"/>
    <w:rsid w:val="00320FF5"/>
    <w:rsid w:val="00325977"/>
    <w:rsid w:val="00335218"/>
    <w:rsid w:val="0033640D"/>
    <w:rsid w:val="00337F81"/>
    <w:rsid w:val="0039675E"/>
    <w:rsid w:val="003A075B"/>
    <w:rsid w:val="003A2D78"/>
    <w:rsid w:val="003D3300"/>
    <w:rsid w:val="00426DEA"/>
    <w:rsid w:val="00452D79"/>
    <w:rsid w:val="0045785B"/>
    <w:rsid w:val="00471FB6"/>
    <w:rsid w:val="00475B1F"/>
    <w:rsid w:val="00492515"/>
    <w:rsid w:val="004B2B15"/>
    <w:rsid w:val="004F6388"/>
    <w:rsid w:val="00506B6B"/>
    <w:rsid w:val="00507FA2"/>
    <w:rsid w:val="005223B7"/>
    <w:rsid w:val="00532CA6"/>
    <w:rsid w:val="00543E7A"/>
    <w:rsid w:val="0055659F"/>
    <w:rsid w:val="00562C5E"/>
    <w:rsid w:val="00573FA5"/>
    <w:rsid w:val="00585906"/>
    <w:rsid w:val="00591EA7"/>
    <w:rsid w:val="005955A1"/>
    <w:rsid w:val="00595D09"/>
    <w:rsid w:val="00597792"/>
    <w:rsid w:val="005A3D00"/>
    <w:rsid w:val="005A5365"/>
    <w:rsid w:val="005B1065"/>
    <w:rsid w:val="005C0E6C"/>
    <w:rsid w:val="005C25CC"/>
    <w:rsid w:val="005D292E"/>
    <w:rsid w:val="005E13C3"/>
    <w:rsid w:val="005F583B"/>
    <w:rsid w:val="005F770B"/>
    <w:rsid w:val="006049DD"/>
    <w:rsid w:val="006101F8"/>
    <w:rsid w:val="00623443"/>
    <w:rsid w:val="00625B9F"/>
    <w:rsid w:val="0063567E"/>
    <w:rsid w:val="006419AD"/>
    <w:rsid w:val="006528DA"/>
    <w:rsid w:val="00660624"/>
    <w:rsid w:val="00660DF6"/>
    <w:rsid w:val="0067241C"/>
    <w:rsid w:val="00677448"/>
    <w:rsid w:val="006B150E"/>
    <w:rsid w:val="006C03D8"/>
    <w:rsid w:val="006C708C"/>
    <w:rsid w:val="006F1764"/>
    <w:rsid w:val="00700695"/>
    <w:rsid w:val="00703519"/>
    <w:rsid w:val="007039C1"/>
    <w:rsid w:val="00733702"/>
    <w:rsid w:val="0073629B"/>
    <w:rsid w:val="00760FFC"/>
    <w:rsid w:val="0076195C"/>
    <w:rsid w:val="00766CF5"/>
    <w:rsid w:val="007872B6"/>
    <w:rsid w:val="00796111"/>
    <w:rsid w:val="007A5F02"/>
    <w:rsid w:val="007B23A6"/>
    <w:rsid w:val="007C1F7D"/>
    <w:rsid w:val="007C7371"/>
    <w:rsid w:val="0080053E"/>
    <w:rsid w:val="00800B09"/>
    <w:rsid w:val="00803877"/>
    <w:rsid w:val="00811600"/>
    <w:rsid w:val="00820F7B"/>
    <w:rsid w:val="008404AB"/>
    <w:rsid w:val="00863A72"/>
    <w:rsid w:val="00870B57"/>
    <w:rsid w:val="00873D84"/>
    <w:rsid w:val="0087617E"/>
    <w:rsid w:val="00880708"/>
    <w:rsid w:val="008B500D"/>
    <w:rsid w:val="008B60E8"/>
    <w:rsid w:val="008B69ED"/>
    <w:rsid w:val="008C19DE"/>
    <w:rsid w:val="008C2DD7"/>
    <w:rsid w:val="008D1748"/>
    <w:rsid w:val="008F16AA"/>
    <w:rsid w:val="00900682"/>
    <w:rsid w:val="00912E62"/>
    <w:rsid w:val="00915E18"/>
    <w:rsid w:val="00926096"/>
    <w:rsid w:val="009326BD"/>
    <w:rsid w:val="00935223"/>
    <w:rsid w:val="00944723"/>
    <w:rsid w:val="00982B98"/>
    <w:rsid w:val="009842C6"/>
    <w:rsid w:val="009A58B6"/>
    <w:rsid w:val="009C2AF9"/>
    <w:rsid w:val="009D2796"/>
    <w:rsid w:val="009E1761"/>
    <w:rsid w:val="00A053C5"/>
    <w:rsid w:val="00A3673C"/>
    <w:rsid w:val="00A453B8"/>
    <w:rsid w:val="00A45C30"/>
    <w:rsid w:val="00A67DF3"/>
    <w:rsid w:val="00A8197A"/>
    <w:rsid w:val="00AA1301"/>
    <w:rsid w:val="00AD681B"/>
    <w:rsid w:val="00AE6A2D"/>
    <w:rsid w:val="00AF7423"/>
    <w:rsid w:val="00B16691"/>
    <w:rsid w:val="00B9379F"/>
    <w:rsid w:val="00B96A9F"/>
    <w:rsid w:val="00BA60B0"/>
    <w:rsid w:val="00BB024B"/>
    <w:rsid w:val="00BB15FC"/>
    <w:rsid w:val="00BD0C3C"/>
    <w:rsid w:val="00BD1835"/>
    <w:rsid w:val="00BD6BC9"/>
    <w:rsid w:val="00BF6D27"/>
    <w:rsid w:val="00C03989"/>
    <w:rsid w:val="00C1112A"/>
    <w:rsid w:val="00C17DE5"/>
    <w:rsid w:val="00C23960"/>
    <w:rsid w:val="00C40A40"/>
    <w:rsid w:val="00C813E2"/>
    <w:rsid w:val="00C908EA"/>
    <w:rsid w:val="00CA2F58"/>
    <w:rsid w:val="00CA7652"/>
    <w:rsid w:val="00CD1802"/>
    <w:rsid w:val="00CD6FA0"/>
    <w:rsid w:val="00CE7AE5"/>
    <w:rsid w:val="00D12B00"/>
    <w:rsid w:val="00D1598F"/>
    <w:rsid w:val="00D2084C"/>
    <w:rsid w:val="00D25BBC"/>
    <w:rsid w:val="00D4658C"/>
    <w:rsid w:val="00D50F68"/>
    <w:rsid w:val="00D6057E"/>
    <w:rsid w:val="00D61A5C"/>
    <w:rsid w:val="00D64C9F"/>
    <w:rsid w:val="00D86A55"/>
    <w:rsid w:val="00DA624E"/>
    <w:rsid w:val="00DD0DDC"/>
    <w:rsid w:val="00DD2233"/>
    <w:rsid w:val="00DF2082"/>
    <w:rsid w:val="00E449EC"/>
    <w:rsid w:val="00E46046"/>
    <w:rsid w:val="00E73E83"/>
    <w:rsid w:val="00E810DA"/>
    <w:rsid w:val="00E8227F"/>
    <w:rsid w:val="00E95CF3"/>
    <w:rsid w:val="00EC1285"/>
    <w:rsid w:val="00EC7402"/>
    <w:rsid w:val="00F05733"/>
    <w:rsid w:val="00F108C3"/>
    <w:rsid w:val="00F135B4"/>
    <w:rsid w:val="00F1543D"/>
    <w:rsid w:val="00F2395C"/>
    <w:rsid w:val="00F34B0B"/>
    <w:rsid w:val="00F53C15"/>
    <w:rsid w:val="00F54911"/>
    <w:rsid w:val="00F7111B"/>
    <w:rsid w:val="00F75C97"/>
    <w:rsid w:val="00F92817"/>
    <w:rsid w:val="00F94CEA"/>
    <w:rsid w:val="00FA27F0"/>
    <w:rsid w:val="00FA362F"/>
    <w:rsid w:val="00FB13F2"/>
    <w:rsid w:val="00FB465A"/>
    <w:rsid w:val="00FC355A"/>
    <w:rsid w:val="00FF0049"/>
    <w:rsid w:val="00FF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7"/>
    <o:shapelayout v:ext="edit">
      <o:idmap v:ext="edit" data="1"/>
    </o:shapelayout>
  </w:shapeDefaults>
  <w:decimalSymbol w:val="."/>
  <w:listSeparator w:val=","/>
  <w14:docId w14:val="78C4156E"/>
  <w15:chartTrackingRefBased/>
  <w15:docId w15:val="{7E391E7E-5F66-402B-A28E-B579DFEE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708"/>
    <w:pPr>
      <w:jc w:val="both"/>
    </w:pPr>
    <w:rPr>
      <w:szCs w:val="24"/>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2"/>
      <w:szCs w:val="18"/>
    </w:rPr>
  </w:style>
  <w:style w:type="paragraph" w:styleId="Heading7">
    <w:name w:val="heading 7"/>
    <w:basedOn w:val="Normal"/>
    <w:next w:val="Normal"/>
    <w:qFormat/>
    <w:rsid w:val="005D292E"/>
    <w:pPr>
      <w:keepNext/>
      <w:tabs>
        <w:tab w:val="right" w:pos="9360"/>
      </w:tabs>
      <w:outlineLvl w:val="6"/>
    </w:pPr>
    <w:rPr>
      <w:i/>
      <w:spacing w:val="-4"/>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sz w:val="22"/>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Title">
    <w:name w:val="Title"/>
    <w:basedOn w:val="Normal"/>
    <w:qFormat/>
    <w:pPr>
      <w:jc w:val="center"/>
    </w:pPr>
    <w:rPr>
      <w:rFonts w:ascii="Old English Text MT" w:hAnsi="Old English Text MT"/>
      <w:sz w:val="32"/>
    </w:rPr>
  </w:style>
  <w:style w:type="paragraph" w:styleId="Subtitle">
    <w:name w:val="Subtitle"/>
    <w:basedOn w:val="Normal"/>
    <w:qFormat/>
    <w:pPr>
      <w:jc w:val="center"/>
    </w:pPr>
    <w:rPr>
      <w:rFonts w:ascii="Old English Text MT" w:hAnsi="Old English Text MT"/>
      <w:sz w:val="40"/>
    </w:rPr>
  </w:style>
  <w:style w:type="paragraph" w:styleId="BodyText">
    <w:name w:val="Body Text"/>
    <w:basedOn w:val="Normal"/>
    <w:rPr>
      <w:sz w:val="22"/>
    </w:rPr>
  </w:style>
  <w:style w:type="paragraph" w:styleId="BodyTextIndent">
    <w:name w:val="Body Text Indent"/>
    <w:basedOn w:val="Normal"/>
    <w:pPr>
      <w:ind w:left="639" w:hanging="710"/>
    </w:pPr>
    <w:rPr>
      <w:sz w:val="22"/>
    </w:rPr>
  </w:style>
  <w:style w:type="paragraph" w:styleId="BodyTextIndent3">
    <w:name w:val="Body Text Indent 3"/>
    <w:basedOn w:val="Normal"/>
    <w:pPr>
      <w:spacing w:line="480" w:lineRule="auto"/>
      <w:ind w:left="710"/>
    </w:pPr>
  </w:style>
  <w:style w:type="character" w:styleId="PageNumber">
    <w:name w:val="page number"/>
    <w:basedOn w:val="DefaultParagraphFont"/>
  </w:style>
  <w:style w:type="paragraph" w:styleId="Footer">
    <w:name w:val="footer"/>
    <w:basedOn w:val="Normal"/>
    <w:pPr>
      <w:tabs>
        <w:tab w:val="center" w:pos="4320"/>
        <w:tab w:val="right" w:pos="8640"/>
      </w:tabs>
    </w:pPr>
    <w:rPr>
      <w:rFonts w:ascii="CG Times" w:hAnsi="CG Time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styleId="Hyperlink">
    <w:name w:val="Hyperlink"/>
    <w:basedOn w:val="DefaultParagraphFont"/>
    <w:rsid w:val="00880708"/>
    <w:rPr>
      <w:color w:val="auto"/>
      <w:u w:val="none"/>
    </w:rPr>
  </w:style>
  <w:style w:type="paragraph" w:styleId="BodyTextIndent2">
    <w:name w:val="Body Text Indent 2"/>
    <w:basedOn w:val="Normal"/>
    <w:pPr>
      <w:ind w:left="1080" w:hanging="360"/>
    </w:pPr>
    <w:rPr>
      <w:sz w:val="22"/>
    </w:rPr>
  </w:style>
  <w:style w:type="character" w:styleId="FollowedHyperlink">
    <w:name w:val="FollowedHyperlink"/>
    <w:basedOn w:val="DefaultParagraphFont"/>
    <w:rsid w:val="00E73E83"/>
    <w:rPr>
      <w:color w:val="auto"/>
      <w:u w:val="none"/>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0F42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2715B"/>
    <w:pPr>
      <w:tabs>
        <w:tab w:val="center" w:pos="4320"/>
        <w:tab w:val="right" w:pos="8640"/>
      </w:tabs>
    </w:pPr>
    <w:rPr>
      <w:szCs w:val="20"/>
    </w:rPr>
  </w:style>
  <w:style w:type="paragraph" w:styleId="NoSpacing">
    <w:name w:val="No Spacing"/>
    <w:uiPriority w:val="1"/>
    <w:qFormat/>
    <w:rsid w:val="00D4658C"/>
  </w:style>
  <w:style w:type="character" w:styleId="CommentReference">
    <w:name w:val="annotation reference"/>
    <w:basedOn w:val="DefaultParagraphFont"/>
    <w:rsid w:val="00D4658C"/>
    <w:rPr>
      <w:sz w:val="16"/>
      <w:szCs w:val="16"/>
    </w:rPr>
  </w:style>
  <w:style w:type="paragraph" w:styleId="CommentText">
    <w:name w:val="annotation text"/>
    <w:basedOn w:val="Normal"/>
    <w:link w:val="CommentTextChar"/>
    <w:rsid w:val="00D4658C"/>
    <w:rPr>
      <w:szCs w:val="20"/>
    </w:rPr>
  </w:style>
  <w:style w:type="character" w:customStyle="1" w:styleId="CommentTextChar">
    <w:name w:val="Comment Text Char"/>
    <w:basedOn w:val="DefaultParagraphFont"/>
    <w:link w:val="CommentText"/>
    <w:rsid w:val="00D4658C"/>
  </w:style>
  <w:style w:type="paragraph" w:styleId="CommentSubject">
    <w:name w:val="annotation subject"/>
    <w:basedOn w:val="CommentText"/>
    <w:next w:val="CommentText"/>
    <w:link w:val="CommentSubjectChar"/>
    <w:rsid w:val="00D4658C"/>
    <w:rPr>
      <w:b/>
      <w:bCs/>
    </w:rPr>
  </w:style>
  <w:style w:type="character" w:customStyle="1" w:styleId="CommentSubjectChar">
    <w:name w:val="Comment Subject Char"/>
    <w:basedOn w:val="CommentTextChar"/>
    <w:link w:val="CommentSubject"/>
    <w:rsid w:val="00D4658C"/>
    <w:rPr>
      <w:b/>
      <w:bCs/>
    </w:rPr>
  </w:style>
  <w:style w:type="paragraph" w:styleId="Revision">
    <w:name w:val="Revision"/>
    <w:hidden/>
    <w:uiPriority w:val="99"/>
    <w:semiHidden/>
    <w:rsid w:val="00471FB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ml/pubs/tn1297/index.cf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ist.gov/sr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hyperlink" Target="mailto:srminfo@nist.gov" TargetMode="External"/><Relationship Id="rId10" Type="http://schemas.openxmlformats.org/officeDocument/2006/relationships/hyperlink" Target="https://www-s.nist.gov/srmors/view_detail.cfm?srm=239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http://www.eurache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FEC5-00E7-4845-97E8-70F56266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1931</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subject/>
  <dc:creator>bclevin</dc:creator>
  <cp:keywords/>
  <dc:description/>
  <cp:lastModifiedBy>Benkstein, Jennifer</cp:lastModifiedBy>
  <cp:revision>20</cp:revision>
  <cp:lastPrinted>2014-07-09T13:22:00Z</cp:lastPrinted>
  <dcterms:created xsi:type="dcterms:W3CDTF">2014-07-02T20:02:00Z</dcterms:created>
  <dcterms:modified xsi:type="dcterms:W3CDTF">2014-07-09T13:23:00Z</dcterms:modified>
</cp:coreProperties>
</file>