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96C" w:rsidRDefault="00D249F2" w:rsidP="00D20F4D">
      <w:pPr>
        <w:pStyle w:val="Title"/>
        <w:widowControl/>
        <w:tabs>
          <w:tab w:val="left" w:pos="990"/>
        </w:tabs>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5.9pt;margin-top:-19.5pt;width:96pt;height:63.75pt;z-index:-251659264" o:allowincell="f" fillcolor="window">
            <v:imagedata r:id="rId7" o:title=""/>
          </v:shape>
          <o:OLEObject Type="Embed" ProgID="Word.Document.8" ShapeID="_x0000_s1031" DrawAspect="Content" ObjectID="_1401705887" r:id="rId8">
            <o:FieldCodes>\s</o:FieldCodes>
          </o:OLEObject>
        </w:pict>
      </w:r>
      <w:r w:rsidR="00FB196C">
        <w:rPr>
          <w:rFonts w:ascii="Linotext" w:hAnsi="Linotext"/>
        </w:rPr>
        <w:t>National Institute of Standards &amp; Technology</w:t>
      </w:r>
    </w:p>
    <w:p w:rsidR="00FB196C" w:rsidRDefault="00FB196C" w:rsidP="00D20F4D">
      <w:pPr>
        <w:tabs>
          <w:tab w:val="left" w:pos="990"/>
        </w:tabs>
        <w:jc w:val="center"/>
        <w:rPr>
          <w:rFonts w:ascii="Linotext" w:hAnsi="Linotext"/>
        </w:rPr>
      </w:pPr>
    </w:p>
    <w:p w:rsidR="00FB196C" w:rsidRDefault="00FB196C" w:rsidP="00D20F4D">
      <w:pPr>
        <w:pStyle w:val="Subtitle"/>
        <w:tabs>
          <w:tab w:val="left" w:pos="990"/>
        </w:tabs>
        <w:rPr>
          <w:rFonts w:ascii="Linotext" w:hAnsi="Linotext"/>
        </w:rPr>
      </w:pPr>
      <w:r>
        <w:rPr>
          <w:rFonts w:ascii="Linotext" w:hAnsi="Linotext"/>
        </w:rPr>
        <w:t>Certificate of Analysis</w:t>
      </w:r>
    </w:p>
    <w:p w:rsidR="00FB196C" w:rsidRDefault="00FB196C" w:rsidP="00D20F4D">
      <w:pPr>
        <w:tabs>
          <w:tab w:val="left" w:pos="990"/>
        </w:tabs>
        <w:jc w:val="center"/>
        <w:rPr>
          <w:rFonts w:ascii="Linotext" w:hAnsi="Linotext"/>
        </w:rPr>
      </w:pPr>
    </w:p>
    <w:p w:rsidR="00FB196C" w:rsidRDefault="00FB196C" w:rsidP="00D20F4D">
      <w:pPr>
        <w:jc w:val="center"/>
        <w:rPr>
          <w:sz w:val="36"/>
        </w:rPr>
      </w:pPr>
      <w:r>
        <w:rPr>
          <w:sz w:val="36"/>
        </w:rPr>
        <w:t>Standard Reference Material</w:t>
      </w:r>
      <w:r>
        <w:rPr>
          <w:sz w:val="36"/>
          <w:vertAlign w:val="superscript"/>
        </w:rPr>
        <w:sym w:font="Symbol" w:char="F0D2"/>
      </w:r>
      <w:r w:rsidR="00D20F4D">
        <w:rPr>
          <w:sz w:val="36"/>
        </w:rPr>
        <w:t> </w:t>
      </w:r>
      <w:r>
        <w:rPr>
          <w:sz w:val="36"/>
        </w:rPr>
        <w:t>3086</w:t>
      </w:r>
    </w:p>
    <w:p w:rsidR="00FB196C" w:rsidRDefault="00FB196C" w:rsidP="00D20F4D">
      <w:pPr>
        <w:jc w:val="center"/>
      </w:pPr>
    </w:p>
    <w:p w:rsidR="00FB196C" w:rsidRDefault="00FB196C" w:rsidP="00D20F4D">
      <w:pPr>
        <w:pStyle w:val="Heading1"/>
        <w:keepNext w:val="0"/>
        <w:widowControl/>
        <w:rPr>
          <w:rFonts w:ascii="Times New Roman" w:hAnsi="Times New Roman"/>
          <w:sz w:val="28"/>
        </w:rPr>
      </w:pPr>
      <w:r>
        <w:rPr>
          <w:rFonts w:ascii="Times New Roman" w:hAnsi="Times New Roman"/>
          <w:sz w:val="28"/>
        </w:rPr>
        <w:t>Aroclor</w:t>
      </w:r>
      <w:r w:rsidR="00D20F4D">
        <w:rPr>
          <w:rFonts w:ascii="Times New Roman" w:hAnsi="Times New Roman"/>
          <w:sz w:val="28"/>
        </w:rPr>
        <w:t> </w:t>
      </w:r>
      <w:r>
        <w:rPr>
          <w:rFonts w:ascii="Times New Roman" w:hAnsi="Times New Roman"/>
          <w:sz w:val="28"/>
        </w:rPr>
        <w:t>1260 in Methanol</w:t>
      </w:r>
    </w:p>
    <w:p w:rsidR="00FB196C" w:rsidRPr="00605442" w:rsidRDefault="00FB196C" w:rsidP="00D20F4D"/>
    <w:p w:rsidR="00FB196C" w:rsidRPr="00605442" w:rsidRDefault="00FB196C">
      <w:pPr>
        <w:jc w:val="both"/>
      </w:pPr>
      <w:r w:rsidRPr="00605442">
        <w:t>This Standard Reference Material</w:t>
      </w:r>
      <w:r w:rsidR="00D20F4D">
        <w:t> </w:t>
      </w:r>
      <w:r w:rsidRPr="00605442">
        <w:t>(SRM) is a solution of Aroclor</w:t>
      </w:r>
      <w:r w:rsidR="00D20F4D">
        <w:t> </w:t>
      </w:r>
      <w:r w:rsidRPr="00605442">
        <w:t>1260 (Chemical Abstracts Registry Number</w:t>
      </w:r>
      <w:r w:rsidR="00685A95">
        <w:t> </w:t>
      </w:r>
      <w:r w:rsidRPr="00605442">
        <w:t>11096</w:t>
      </w:r>
      <w:r w:rsidR="00D20F4D">
        <w:noBreakHyphen/>
      </w:r>
      <w:r w:rsidRPr="00605442">
        <w:t>82</w:t>
      </w:r>
      <w:r w:rsidR="00D20F4D">
        <w:noBreakHyphen/>
      </w:r>
      <w:r w:rsidRPr="00605442">
        <w:t>5) in methanol.  This SRM is intended primarily for calibrating chromatographic instrumentation and methods of analysis used for the determination of Aroclor</w:t>
      </w:r>
      <w:r w:rsidR="00D20F4D">
        <w:t> </w:t>
      </w:r>
      <w:r w:rsidRPr="00605442">
        <w:t>1260 and polychlorinated biphenyls</w:t>
      </w:r>
      <w:r w:rsidR="00D20F4D">
        <w:t> </w:t>
      </w:r>
      <w:r w:rsidRPr="00605442">
        <w:t>(PCBs) in water.  A unit of SRM</w:t>
      </w:r>
      <w:r w:rsidR="00D20F4D">
        <w:t> </w:t>
      </w:r>
      <w:r w:rsidRPr="00605442">
        <w:t>3086 consists of five 2</w:t>
      </w:r>
      <w:r w:rsidR="006162EF">
        <w:t> </w:t>
      </w:r>
      <w:proofErr w:type="spellStart"/>
      <w:r w:rsidRPr="00605442">
        <w:t>mL</w:t>
      </w:r>
      <w:proofErr w:type="spellEnd"/>
      <w:r w:rsidRPr="00605442">
        <w:t xml:space="preserve"> ampoules, each containing approximately 1.2</w:t>
      </w:r>
      <w:r w:rsidR="00D20F4D">
        <w:t> </w:t>
      </w:r>
      <w:r w:rsidRPr="00605442">
        <w:t>mL of solution.</w:t>
      </w:r>
    </w:p>
    <w:p w:rsidR="00FB196C" w:rsidRPr="00605442" w:rsidRDefault="00FB196C">
      <w:pPr>
        <w:jc w:val="both"/>
      </w:pPr>
    </w:p>
    <w:p w:rsidR="00FB196C" w:rsidRPr="00605442" w:rsidRDefault="00FB196C">
      <w:pPr>
        <w:jc w:val="both"/>
      </w:pPr>
      <w:r w:rsidRPr="00605442">
        <w:rPr>
          <w:b/>
        </w:rPr>
        <w:t>Certified Concentration of Aroclor</w:t>
      </w:r>
      <w:r w:rsidR="00D20F4D">
        <w:rPr>
          <w:b/>
        </w:rPr>
        <w:t> </w:t>
      </w:r>
      <w:r w:rsidRPr="00605442">
        <w:rPr>
          <w:b/>
        </w:rPr>
        <w:t>1260:</w:t>
      </w:r>
      <w:r w:rsidRPr="00D20F4D">
        <w:t xml:space="preserve">  </w:t>
      </w:r>
      <w:r w:rsidRPr="00605442">
        <w:t>The certified concentration</w:t>
      </w:r>
      <w:r w:rsidR="00D20F4D">
        <w:t> </w:t>
      </w:r>
      <w:r w:rsidRPr="00605442">
        <w:t xml:space="preserve">[1,2], given below, is based on results obtained from the gravimetric preparation of this solution and from the analytical results determined by using gas chromatography.  A NIST certified value is a value for which NIST has the highest confidence in its accuracy in that all known or suspected sources of bias have been investigated or </w:t>
      </w:r>
      <w:r w:rsidR="00D20F4D">
        <w:t xml:space="preserve">taken into </w:t>
      </w:r>
      <w:r w:rsidRPr="00605442">
        <w:t>account.</w:t>
      </w:r>
    </w:p>
    <w:p w:rsidR="00FB196C" w:rsidRPr="00605442" w:rsidRDefault="00FB196C">
      <w:pPr>
        <w:jc w:val="both"/>
      </w:pPr>
    </w:p>
    <w:p w:rsidR="00FB196C" w:rsidRPr="00605442" w:rsidRDefault="00FB196C" w:rsidP="00ED07E0">
      <w:pPr>
        <w:pStyle w:val="Header"/>
        <w:tabs>
          <w:tab w:val="clear" w:pos="4320"/>
          <w:tab w:val="clear" w:pos="8640"/>
          <w:tab w:val="left" w:pos="1080"/>
          <w:tab w:val="left" w:pos="2430"/>
          <w:tab w:val="left" w:pos="2970"/>
        </w:tabs>
      </w:pPr>
      <w:r w:rsidRPr="00605442">
        <w:tab/>
        <w:t>Aroclor</w:t>
      </w:r>
      <w:r w:rsidR="00D20F4D">
        <w:t> </w:t>
      </w:r>
      <w:r w:rsidRPr="00605442">
        <w:t>1260</w:t>
      </w:r>
      <w:r w:rsidR="00ED07E0">
        <w:t>:</w:t>
      </w:r>
      <w:r w:rsidR="00ED07E0">
        <w:tab/>
      </w:r>
      <w:r w:rsidRPr="00605442">
        <w:t>6.18</w:t>
      </w:r>
      <w:r w:rsidR="00D20F4D">
        <w:t> </w:t>
      </w:r>
      <w:r w:rsidRPr="00605442">
        <w:t>mg/kg</w:t>
      </w:r>
      <w:r w:rsidR="00D20F4D">
        <w:t>  </w:t>
      </w:r>
      <w:r w:rsidR="00605442" w:rsidRPr="00605442">
        <w:sym w:font="Symbol" w:char="F0B1"/>
      </w:r>
      <w:r w:rsidR="00D20F4D">
        <w:t>  </w:t>
      </w:r>
      <w:r w:rsidRPr="00605442">
        <w:t>0</w:t>
      </w:r>
      <w:r w:rsidR="00605442" w:rsidRPr="00605442">
        <w:t xml:space="preserve">.17 mg/kg </w:t>
      </w:r>
      <w:r w:rsidR="00605442" w:rsidRPr="00605442">
        <w:tab/>
        <w:t>or</w:t>
      </w:r>
      <w:r w:rsidR="00605442" w:rsidRPr="00605442">
        <w:tab/>
        <w:t>4.94</w:t>
      </w:r>
      <w:r w:rsidR="00D20F4D">
        <w:t> </w:t>
      </w:r>
      <w:r w:rsidR="00605442" w:rsidRPr="00605442">
        <w:t>mg/L</w:t>
      </w:r>
      <w:r w:rsidR="00D20F4D">
        <w:t>  </w:t>
      </w:r>
      <w:r w:rsidR="00605442" w:rsidRPr="00605442">
        <w:sym w:font="Symbol" w:char="F0B1"/>
      </w:r>
      <w:r w:rsidR="00D20F4D">
        <w:t>  </w:t>
      </w:r>
      <w:r w:rsidRPr="00605442">
        <w:t>0.14</w:t>
      </w:r>
      <w:r w:rsidR="00D20F4D">
        <w:t> </w:t>
      </w:r>
      <w:r w:rsidRPr="00605442">
        <w:t>mg/L</w:t>
      </w:r>
    </w:p>
    <w:p w:rsidR="00FB196C" w:rsidRPr="00605442" w:rsidRDefault="00FB196C">
      <w:pPr>
        <w:jc w:val="both"/>
      </w:pPr>
    </w:p>
    <w:p w:rsidR="002B29CF" w:rsidRPr="0087061E" w:rsidRDefault="00FB196C" w:rsidP="002B29CF">
      <w:pPr>
        <w:jc w:val="both"/>
      </w:pPr>
      <w:r w:rsidRPr="00605442">
        <w:t>The result is expressed as the certified value</w:t>
      </w:r>
      <w:r w:rsidR="00524770">
        <w:t> </w:t>
      </w:r>
      <w:r w:rsidR="00605442" w:rsidRPr="00605442">
        <w:sym w:font="Symbol" w:char="F0B1"/>
      </w:r>
      <w:r w:rsidR="00524770">
        <w:t xml:space="preserve"> </w:t>
      </w:r>
      <w:r w:rsidRPr="00605442">
        <w:t>the expanded uncertainty.  The certified value is the unweighted average of the concentrations determined by gravimetric and gas chromatographic measurements.  The expanded uncertainty, at the 95</w:t>
      </w:r>
      <w:r w:rsidR="00D20F4D">
        <w:t> </w:t>
      </w:r>
      <w:r w:rsidRPr="00605442">
        <w:t xml:space="preserve">% level of confidence, is calculated as </w:t>
      </w:r>
      <w:r w:rsidRPr="00605442">
        <w:rPr>
          <w:i/>
        </w:rPr>
        <w:t>U</w:t>
      </w:r>
      <w:r w:rsidR="00D20F4D">
        <w:t> </w:t>
      </w:r>
      <w:r w:rsidRPr="00605442">
        <w:t>=</w:t>
      </w:r>
      <w:r w:rsidR="00D20F4D">
        <w:t> </w:t>
      </w:r>
      <w:r w:rsidRPr="00605442">
        <w:rPr>
          <w:i/>
        </w:rPr>
        <w:t>ku</w:t>
      </w:r>
      <w:r w:rsidRPr="00605442">
        <w:rPr>
          <w:iCs/>
          <w:vertAlign w:val="subscript"/>
        </w:rPr>
        <w:t>c</w:t>
      </w:r>
      <w:r w:rsidRPr="00605442">
        <w:t xml:space="preserve">, where </w:t>
      </w:r>
      <w:r w:rsidRPr="00605442">
        <w:rPr>
          <w:i/>
        </w:rPr>
        <w:t>u</w:t>
      </w:r>
      <w:r w:rsidRPr="00605442">
        <w:rPr>
          <w:iCs/>
          <w:vertAlign w:val="subscript"/>
        </w:rPr>
        <w:t>c</w:t>
      </w:r>
      <w:r w:rsidRPr="00605442">
        <w:rPr>
          <w:vertAlign w:val="subscript"/>
        </w:rPr>
        <w:t xml:space="preserve"> </w:t>
      </w:r>
      <w:r w:rsidRPr="00605442">
        <w:t xml:space="preserve">is a combined standard uncertainty calculated according to the </w:t>
      </w:r>
      <w:r w:rsidR="00072DEC">
        <w:t>ISO Guide</w:t>
      </w:r>
      <w:r w:rsidR="00D20F4D">
        <w:t> </w:t>
      </w:r>
      <w:r w:rsidRPr="00605442">
        <w:t xml:space="preserve">[3] and </w:t>
      </w:r>
      <w:r w:rsidRPr="00605442">
        <w:rPr>
          <w:i/>
        </w:rPr>
        <w:t>k</w:t>
      </w:r>
      <w:r w:rsidR="00D20F4D">
        <w:t> </w:t>
      </w:r>
      <w:r w:rsidRPr="00605442">
        <w:t>=</w:t>
      </w:r>
      <w:r w:rsidR="00D20F4D">
        <w:t> </w:t>
      </w:r>
      <w:r w:rsidRPr="00605442">
        <w:t xml:space="preserve">2 is the coverage factor.  The value of </w:t>
      </w:r>
      <w:r w:rsidRPr="00605442">
        <w:rPr>
          <w:i/>
        </w:rPr>
        <w:t>u</w:t>
      </w:r>
      <w:r w:rsidRPr="00605442">
        <w:rPr>
          <w:iCs/>
          <w:vertAlign w:val="subscript"/>
        </w:rPr>
        <w:t>c</w:t>
      </w:r>
      <w:r w:rsidRPr="00605442">
        <w:rPr>
          <w:vertAlign w:val="subscript"/>
        </w:rPr>
        <w:t xml:space="preserve"> </w:t>
      </w:r>
      <w:r w:rsidRPr="00605442">
        <w:t>includes an allowance for differences between the concentration determined by gas chromatographic measurements for various sources of Aroclors and gravimetric preparation.  The concentration expressed in mg/L was obtained by multiplying the certified value, expressed as a mass fraction, by the measured density</w:t>
      </w:r>
      <w:r w:rsidR="00524770">
        <w:t> </w:t>
      </w:r>
      <w:r w:rsidRPr="00605442">
        <w:t>(22</w:t>
      </w:r>
      <w:r w:rsidR="00D20F4D">
        <w:t> </w:t>
      </w:r>
      <w:r w:rsidRPr="00605442">
        <w:t>°</w:t>
      </w:r>
      <w:r w:rsidR="00605442" w:rsidRPr="00605442">
        <w:t>C) of the SRM solution, 0.7996 g/mL </w:t>
      </w:r>
      <w:r w:rsidR="00605442" w:rsidRPr="00605442">
        <w:sym w:font="Symbol" w:char="F0B1"/>
      </w:r>
      <w:r w:rsidR="00605442" w:rsidRPr="00605442">
        <w:t> </w:t>
      </w:r>
      <w:r w:rsidRPr="00605442">
        <w:t>0.0153</w:t>
      </w:r>
      <w:r w:rsidR="00D20F4D">
        <w:t> </w:t>
      </w:r>
      <w:r w:rsidRPr="00605442">
        <w:t>g/</w:t>
      </w:r>
      <w:proofErr w:type="spellStart"/>
      <w:r w:rsidRPr="00605442">
        <w:t>mL</w:t>
      </w:r>
      <w:proofErr w:type="spellEnd"/>
      <w:r w:rsidRPr="00605442">
        <w:t>, where 0.0153</w:t>
      </w:r>
      <w:r w:rsidR="006162EF">
        <w:t> </w:t>
      </w:r>
      <w:r w:rsidRPr="00605442">
        <w:t>represents one standard deviation</w:t>
      </w:r>
      <w:r w:rsidR="00D20F4D">
        <w:t> </w:t>
      </w:r>
      <w:r w:rsidRPr="00605442">
        <w:t xml:space="preserve">(1s) </w:t>
      </w:r>
      <w:r w:rsidR="002B29CF" w:rsidRPr="0087061E">
        <w:t xml:space="preserve">and is incorporated in the </w:t>
      </w:r>
      <w:r w:rsidR="002B29CF">
        <w:t>uncertainty associated with the concentration expressed in</w:t>
      </w:r>
      <w:r w:rsidR="006162EF">
        <w:t> </w:t>
      </w:r>
      <w:r w:rsidR="00524770">
        <w:t>mg/L.</w:t>
      </w:r>
    </w:p>
    <w:p w:rsidR="00FB196C" w:rsidRPr="00605442" w:rsidRDefault="00FB196C">
      <w:pPr>
        <w:jc w:val="both"/>
      </w:pPr>
    </w:p>
    <w:p w:rsidR="00524770" w:rsidRPr="0087061E" w:rsidRDefault="00D20F4D" w:rsidP="00524770">
      <w:pPr>
        <w:jc w:val="both"/>
      </w:pPr>
      <w:r w:rsidRPr="0087061E">
        <w:rPr>
          <w:b/>
        </w:rPr>
        <w:t>Expiration of Certification:</w:t>
      </w:r>
      <w:r w:rsidRPr="0087061E">
        <w:t xml:space="preserve">  The certification of </w:t>
      </w:r>
      <w:r w:rsidRPr="003F73AE">
        <w:rPr>
          <w:b/>
        </w:rPr>
        <w:t>SRM 30</w:t>
      </w:r>
      <w:r>
        <w:rPr>
          <w:b/>
        </w:rPr>
        <w:t>86</w:t>
      </w:r>
      <w:r w:rsidRPr="0087061E">
        <w:t xml:space="preserve"> is valid</w:t>
      </w:r>
      <w:r>
        <w:t xml:space="preserve">, </w:t>
      </w:r>
      <w:r w:rsidR="00524770" w:rsidRPr="0087061E">
        <w:t>within the measurement uncertaint</w:t>
      </w:r>
      <w:r w:rsidR="00524770">
        <w:t>y</w:t>
      </w:r>
      <w:r w:rsidR="00524770" w:rsidRPr="0087061E">
        <w:t xml:space="preserve"> specified,</w:t>
      </w:r>
      <w:r w:rsidR="00524770">
        <w:t xml:space="preserve"> </w:t>
      </w:r>
      <w:r w:rsidR="00524770" w:rsidRPr="0087061E">
        <w:t xml:space="preserve">until </w:t>
      </w:r>
      <w:r w:rsidR="00524770" w:rsidRPr="0087061E">
        <w:rPr>
          <w:b/>
          <w:bCs/>
        </w:rPr>
        <w:t>31</w:t>
      </w:r>
      <w:r w:rsidR="00524770">
        <w:rPr>
          <w:b/>
          <w:bCs/>
        </w:rPr>
        <w:t> </w:t>
      </w:r>
      <w:r w:rsidR="00524770" w:rsidRPr="0087061E">
        <w:rPr>
          <w:b/>
          <w:bCs/>
        </w:rPr>
        <w:t>July</w:t>
      </w:r>
      <w:r w:rsidR="00524770">
        <w:rPr>
          <w:b/>
          <w:bCs/>
        </w:rPr>
        <w:t> </w:t>
      </w:r>
      <w:r w:rsidR="00524770" w:rsidRPr="0087061E">
        <w:rPr>
          <w:b/>
          <w:bCs/>
        </w:rPr>
        <w:t>20</w:t>
      </w:r>
      <w:r w:rsidR="00524770">
        <w:rPr>
          <w:b/>
          <w:bCs/>
        </w:rPr>
        <w:t>30</w:t>
      </w:r>
      <w:r w:rsidR="00524770" w:rsidRPr="0087061E">
        <w:t>, provided the SRM is handled and stored in accordance with the instructions given in this certificate</w:t>
      </w:r>
      <w:r w:rsidR="00524770">
        <w:t xml:space="preserve"> (see “Instructions for Handling, Storage, and Use”)</w:t>
      </w:r>
      <w:r w:rsidR="00524770" w:rsidRPr="0087061E">
        <w:t>.  However, the certification is nullified if the SRM is damaged, contaminated, or otherwise modified.</w:t>
      </w:r>
    </w:p>
    <w:p w:rsidR="00D20F4D" w:rsidRPr="0087061E" w:rsidRDefault="00D20F4D" w:rsidP="00D20F4D">
      <w:pPr>
        <w:jc w:val="both"/>
      </w:pPr>
    </w:p>
    <w:p w:rsidR="00D20F4D" w:rsidRPr="00524770" w:rsidRDefault="00D20F4D" w:rsidP="00D20F4D">
      <w:pPr>
        <w:widowControl w:val="0"/>
        <w:spacing w:line="228" w:lineRule="auto"/>
        <w:jc w:val="both"/>
      </w:pPr>
      <w:r w:rsidRPr="0087061E">
        <w:rPr>
          <w:b/>
        </w:rPr>
        <w:t>Maintenance of SRM Certification</w:t>
      </w:r>
      <w:r w:rsidRPr="0087061E">
        <w:rPr>
          <w:b/>
          <w:bCs/>
        </w:rPr>
        <w:t>:</w:t>
      </w:r>
      <w:r w:rsidRPr="0087061E">
        <w:t xml:space="preserve">  NIST will monitor this SRM over the period of its certification.  If substantive changes occur that affect the certification before the expiration of this certificate, </w:t>
      </w:r>
      <w:r>
        <w:t xml:space="preserve">NIST will notify the </w:t>
      </w:r>
      <w:r w:rsidRPr="00524770">
        <w:t>purchaser.  Registration (see attached sheet) will facilitate notification.</w:t>
      </w:r>
    </w:p>
    <w:p w:rsidR="00D20F4D" w:rsidRPr="00524770" w:rsidRDefault="00D20F4D" w:rsidP="00D20F4D">
      <w:pPr>
        <w:jc w:val="both"/>
      </w:pPr>
    </w:p>
    <w:p w:rsidR="00D20F4D" w:rsidRPr="00524770" w:rsidRDefault="00D20F4D" w:rsidP="00D20F4D">
      <w:pPr>
        <w:jc w:val="both"/>
      </w:pPr>
      <w:r w:rsidRPr="00524770">
        <w:t>The coordination of the technical measurements leading to the certification was under the direction of D.L. Poster and M.M. Schantz of the NIST Analytical Chemistry Division.  Analytical measurements of the SRM were performed by D.L. Poster.</w:t>
      </w:r>
    </w:p>
    <w:p w:rsidR="00D20F4D" w:rsidRPr="00524770" w:rsidRDefault="00D20F4D" w:rsidP="00D20F4D">
      <w:pPr>
        <w:jc w:val="both"/>
      </w:pPr>
    </w:p>
    <w:p w:rsidR="00D20F4D" w:rsidRPr="00524770" w:rsidRDefault="00D20F4D" w:rsidP="00D20F4D">
      <w:pPr>
        <w:jc w:val="both"/>
      </w:pPr>
      <w:r w:rsidRPr="00524770">
        <w:t>Partial support for the preparation and certification of this SRM was provided by the U.S. Environmental Protection Agency (EPA) Office of Water, Office of Enforcement and Compliance Assurance, and Office of Research and Development.</w:t>
      </w:r>
    </w:p>
    <w:p w:rsidR="00D20F4D" w:rsidRPr="00524770" w:rsidRDefault="00D20F4D" w:rsidP="00D20F4D">
      <w:pPr>
        <w:jc w:val="both"/>
      </w:pPr>
    </w:p>
    <w:p w:rsidR="00D20F4D" w:rsidRPr="00524770" w:rsidRDefault="00D20F4D" w:rsidP="00D20F4D">
      <w:pPr>
        <w:pStyle w:val="Footer"/>
        <w:tabs>
          <w:tab w:val="clear" w:pos="4320"/>
          <w:tab w:val="clear" w:pos="8640"/>
          <w:tab w:val="right" w:pos="9360"/>
          <w:tab w:val="right" w:pos="10260"/>
        </w:tabs>
        <w:jc w:val="both"/>
      </w:pPr>
      <w:r w:rsidRPr="00524770">
        <w:t>Preparation of the SRM was performed by M.P. Cronise of the NIST Measurement Services Division and D.L. Poster.</w:t>
      </w:r>
    </w:p>
    <w:p w:rsidR="00D20F4D" w:rsidRPr="00524770" w:rsidRDefault="00D20F4D" w:rsidP="00D20F4D">
      <w:pPr>
        <w:jc w:val="both"/>
      </w:pPr>
    </w:p>
    <w:p w:rsidR="00D20F4D" w:rsidRPr="0087061E" w:rsidRDefault="00D20F4D" w:rsidP="00D20F4D">
      <w:pPr>
        <w:jc w:val="both"/>
      </w:pPr>
    </w:p>
    <w:p w:rsidR="00524770" w:rsidRDefault="00524770" w:rsidP="00524770">
      <w:pPr>
        <w:tabs>
          <w:tab w:val="right" w:pos="9360"/>
        </w:tabs>
        <w:rPr>
          <w:color w:val="000000"/>
        </w:rPr>
      </w:pPr>
    </w:p>
    <w:p w:rsidR="00D20F4D" w:rsidRDefault="00D20F4D" w:rsidP="00D20F4D">
      <w:pPr>
        <w:tabs>
          <w:tab w:val="right" w:pos="9360"/>
        </w:tabs>
        <w:jc w:val="right"/>
        <w:rPr>
          <w:color w:val="000000"/>
        </w:rPr>
      </w:pPr>
      <w:r>
        <w:rPr>
          <w:color w:val="000000"/>
        </w:rPr>
        <w:t>Stephen A. Wise, Chief</w:t>
      </w:r>
    </w:p>
    <w:p w:rsidR="00D20F4D" w:rsidRDefault="00D20F4D" w:rsidP="00D20F4D">
      <w:pPr>
        <w:tabs>
          <w:tab w:val="right" w:pos="9360"/>
          <w:tab w:val="right" w:pos="9630"/>
        </w:tabs>
        <w:spacing w:line="480" w:lineRule="auto"/>
        <w:jc w:val="both"/>
        <w:rPr>
          <w:color w:val="000000"/>
        </w:rPr>
      </w:pPr>
      <w:r>
        <w:rPr>
          <w:color w:val="000000"/>
        </w:rPr>
        <w:tab/>
        <w:t>Analytical Chemistry Division</w:t>
      </w:r>
    </w:p>
    <w:p w:rsidR="00D20F4D" w:rsidRDefault="00D20F4D" w:rsidP="00D20F4D">
      <w:pPr>
        <w:tabs>
          <w:tab w:val="right" w:pos="9360"/>
        </w:tabs>
        <w:jc w:val="both"/>
      </w:pPr>
      <w:r>
        <w:t>Gaithersburg, MD 20899</w:t>
      </w:r>
      <w:r>
        <w:tab/>
        <w:t>Robert L. Watters, Jr., Chief</w:t>
      </w:r>
    </w:p>
    <w:p w:rsidR="00D20F4D" w:rsidRDefault="00685A95" w:rsidP="00D20F4D">
      <w:pPr>
        <w:tabs>
          <w:tab w:val="right" w:pos="9360"/>
        </w:tabs>
        <w:jc w:val="both"/>
      </w:pPr>
      <w:r>
        <w:t>Certificate Issue Date:  20</w:t>
      </w:r>
      <w:r w:rsidR="00D20F4D">
        <w:t> June 2012</w:t>
      </w:r>
      <w:r w:rsidR="00D20F4D">
        <w:tab/>
        <w:t>Measurement Services Division</w:t>
      </w:r>
    </w:p>
    <w:p w:rsidR="00D20F4D" w:rsidRPr="00A858D7" w:rsidRDefault="00D20F4D" w:rsidP="00D20F4D">
      <w:pPr>
        <w:tabs>
          <w:tab w:val="right" w:pos="9360"/>
          <w:tab w:val="right" w:pos="9900"/>
        </w:tabs>
        <w:jc w:val="both"/>
        <w:rPr>
          <w:i/>
          <w:sz w:val="16"/>
          <w:szCs w:val="16"/>
        </w:rPr>
      </w:pPr>
      <w:r w:rsidRPr="00A858D7">
        <w:rPr>
          <w:i/>
          <w:sz w:val="16"/>
          <w:szCs w:val="16"/>
        </w:rPr>
        <w:t xml:space="preserve">Certificate Revision History </w:t>
      </w:r>
      <w:r>
        <w:rPr>
          <w:i/>
          <w:sz w:val="16"/>
          <w:szCs w:val="16"/>
        </w:rPr>
        <w:t>on Last Page</w:t>
      </w:r>
    </w:p>
    <w:p w:rsidR="00D20F4D" w:rsidRPr="00544B0E" w:rsidRDefault="00D20F4D" w:rsidP="00D20F4D">
      <w:pPr>
        <w:jc w:val="both"/>
      </w:pPr>
      <w:r w:rsidRPr="00544B0E">
        <w:lastRenderedPageBreak/>
        <w:t>Statistical consultation on the statistical design of the experimental work and evaluation of the data were provided by S.D. Leigh of the NIST Statistical Engineering Division.</w:t>
      </w:r>
    </w:p>
    <w:p w:rsidR="00D20F4D" w:rsidRPr="00544B0E" w:rsidRDefault="00D20F4D" w:rsidP="00D20F4D">
      <w:pPr>
        <w:jc w:val="both"/>
      </w:pPr>
    </w:p>
    <w:p w:rsidR="00D20F4D" w:rsidRPr="00544B0E" w:rsidRDefault="00D20F4D" w:rsidP="00D20F4D">
      <w:pPr>
        <w:jc w:val="both"/>
      </w:pPr>
      <w:r w:rsidRPr="00544B0E">
        <w:t>Support aspects involved in the issuance of this SRM were coordinated through the NIST Measurement Services Division.</w:t>
      </w:r>
    </w:p>
    <w:p w:rsidR="00D20F4D" w:rsidRPr="007C3929" w:rsidRDefault="00D20F4D" w:rsidP="00D20F4D">
      <w:pPr>
        <w:jc w:val="both"/>
      </w:pPr>
    </w:p>
    <w:p w:rsidR="00524770" w:rsidRPr="00A97618" w:rsidRDefault="00524770" w:rsidP="00524770">
      <w:pPr>
        <w:jc w:val="both"/>
        <w:rPr>
          <w:b/>
        </w:rPr>
      </w:pPr>
      <w:r w:rsidRPr="00A97618">
        <w:rPr>
          <w:b/>
        </w:rPr>
        <w:t>NOTICE AND WARNING TO USERS</w:t>
      </w:r>
    </w:p>
    <w:p w:rsidR="00524770" w:rsidRPr="00A97618" w:rsidRDefault="00524770" w:rsidP="00524770">
      <w:pPr>
        <w:jc w:val="both"/>
      </w:pPr>
    </w:p>
    <w:p w:rsidR="00524770" w:rsidRPr="00A97618" w:rsidRDefault="00524770" w:rsidP="00524770">
      <w:pPr>
        <w:jc w:val="both"/>
      </w:pPr>
      <w:r w:rsidRPr="00A97618">
        <w:t>This material is a solution of a PCB mixture.  PCB</w:t>
      </w:r>
      <w:r w:rsidRPr="00A97618">
        <w:noBreakHyphen/>
      </w:r>
      <w:proofErr w:type="spellStart"/>
      <w:r w:rsidRPr="00A97618">
        <w:t>containing</w:t>
      </w:r>
      <w:proofErr w:type="spellEnd"/>
      <w:r w:rsidRPr="00A97618">
        <w:t xml:space="preserve"> materials are reported to be toxic.  Consult the Material Safety Data Sheet (MSDS), enclosed with the SRM shipment, for details.  Contact your regional EPA office for information regarding proper disposal.</w:t>
      </w:r>
    </w:p>
    <w:p w:rsidR="00524770" w:rsidRPr="00A97618" w:rsidRDefault="00524770" w:rsidP="00524770">
      <w:pPr>
        <w:jc w:val="both"/>
      </w:pPr>
    </w:p>
    <w:p w:rsidR="00524770" w:rsidRPr="00A97618" w:rsidRDefault="00524770" w:rsidP="00524770">
      <w:pPr>
        <w:jc w:val="both"/>
      </w:pPr>
      <w:r w:rsidRPr="00A97618">
        <w:rPr>
          <w:b/>
        </w:rPr>
        <w:t>INSTRUCTIONS FOR HANDLING, STORAGE AND USE</w:t>
      </w:r>
    </w:p>
    <w:p w:rsidR="00524770" w:rsidRPr="00A97618" w:rsidRDefault="00524770" w:rsidP="00524770">
      <w:pPr>
        <w:jc w:val="both"/>
      </w:pPr>
    </w:p>
    <w:p w:rsidR="00524770" w:rsidRPr="00A97618" w:rsidRDefault="00524770" w:rsidP="00524770">
      <w:pPr>
        <w:jc w:val="both"/>
      </w:pPr>
      <w:r w:rsidRPr="00A97618">
        <w:rPr>
          <w:b/>
        </w:rPr>
        <w:t>Handling and Storage:</w:t>
      </w:r>
      <w:r w:rsidRPr="00A97618">
        <w:t xml:space="preserve">  Extreme caution and care should be exercised during the handling of SRM 30</w:t>
      </w:r>
      <w:r>
        <w:t>86</w:t>
      </w:r>
      <w:r w:rsidRPr="00A97618">
        <w:t>.  Sealed ampoules, as received, should be stored in the dark at temperatures lower than 30 °C.</w:t>
      </w:r>
    </w:p>
    <w:p w:rsidR="00524770" w:rsidRPr="00A97618" w:rsidRDefault="00524770" w:rsidP="00524770">
      <w:pPr>
        <w:jc w:val="both"/>
      </w:pPr>
    </w:p>
    <w:p w:rsidR="00524770" w:rsidRPr="00A97618" w:rsidRDefault="00524770" w:rsidP="00524770">
      <w:pPr>
        <w:jc w:val="both"/>
      </w:pPr>
      <w:r w:rsidRPr="00A97618">
        <w:rPr>
          <w:b/>
        </w:rPr>
        <w:t>Use:</w:t>
      </w:r>
      <w:r w:rsidRPr="00A97618">
        <w:t xml:space="preserve">  Sample aliquots for analysis should be withdrawn at 20 °C to 25 °C </w:t>
      </w:r>
      <w:r w:rsidRPr="00A97618">
        <w:rPr>
          <w:b/>
        </w:rPr>
        <w:t xml:space="preserve">immediately </w:t>
      </w:r>
      <w:r w:rsidRPr="00A97618">
        <w:t>after opening the ampoules and should be processed without delay for the certified value to be valid within the stated uncertainty.  Certified values are not applicable to material stored in ampoules that have been opened for more than 5 minutes, even if they are resealed.</w:t>
      </w:r>
    </w:p>
    <w:p w:rsidR="00524770" w:rsidRPr="00524770" w:rsidRDefault="00524770">
      <w:pPr>
        <w:tabs>
          <w:tab w:val="right" w:pos="9360"/>
        </w:tabs>
        <w:jc w:val="both"/>
      </w:pPr>
    </w:p>
    <w:p w:rsidR="00FB196C" w:rsidRPr="00605442" w:rsidRDefault="00FB196C">
      <w:pPr>
        <w:tabs>
          <w:tab w:val="right" w:pos="9360"/>
        </w:tabs>
        <w:jc w:val="both"/>
      </w:pPr>
      <w:r w:rsidRPr="00605442">
        <w:rPr>
          <w:b/>
        </w:rPr>
        <w:t>PREPARATION AND ANALYSIS</w:t>
      </w:r>
      <w:r w:rsidR="00ED6862" w:rsidRPr="00ED6862">
        <w:rPr>
          <w:b/>
          <w:vertAlign w:val="superscript"/>
        </w:rPr>
        <w:t>(</w:t>
      </w:r>
      <w:r w:rsidRPr="006162EF">
        <w:rPr>
          <w:rStyle w:val="FootnoteReference"/>
          <w:b/>
        </w:rPr>
        <w:footnoteReference w:id="1"/>
      </w:r>
      <w:r w:rsidR="00ED6862" w:rsidRPr="00ED6862">
        <w:rPr>
          <w:b/>
          <w:vertAlign w:val="superscript"/>
        </w:rPr>
        <w:t>)</w:t>
      </w:r>
    </w:p>
    <w:p w:rsidR="00FB196C" w:rsidRPr="00605442" w:rsidRDefault="00FB196C">
      <w:pPr>
        <w:jc w:val="both"/>
      </w:pPr>
    </w:p>
    <w:p w:rsidR="00FB196C" w:rsidRPr="00605442" w:rsidRDefault="00FB196C">
      <w:pPr>
        <w:jc w:val="both"/>
      </w:pPr>
      <w:r w:rsidRPr="00605442">
        <w:t>The Aroclor</w:t>
      </w:r>
      <w:r w:rsidR="00D20F4D">
        <w:t> </w:t>
      </w:r>
      <w:r w:rsidRPr="00605442">
        <w:t>1260 used in the preparation of this SRM was obtained from the U.S.</w:t>
      </w:r>
      <w:r w:rsidR="00D20F4D">
        <w:t> </w:t>
      </w:r>
      <w:r w:rsidRPr="00605442">
        <w:t>EPA.  The SRM was prepared at NIST by weighing and mixing Aroclor</w:t>
      </w:r>
      <w:r w:rsidR="00D20F4D">
        <w:t> </w:t>
      </w:r>
      <w:r w:rsidRPr="00605442">
        <w:t>1260 into methanol.  The Aroclor was added to the methanol and mixed until completely dissolved and homogenized.  The total mass of this solution was measured and aliquots (1.2</w:t>
      </w:r>
      <w:r w:rsidR="00D20F4D">
        <w:t> </w:t>
      </w:r>
      <w:r w:rsidRPr="00605442">
        <w:t>mL) were dispensed into 2</w:t>
      </w:r>
      <w:r w:rsidR="006162EF">
        <w:t> </w:t>
      </w:r>
      <w:proofErr w:type="spellStart"/>
      <w:r w:rsidRPr="00605442">
        <w:t>mL</w:t>
      </w:r>
      <w:proofErr w:type="spellEnd"/>
      <w:r w:rsidRPr="00605442">
        <w:t xml:space="preserve"> amber glass ampoules, which were then flame sealed.</w:t>
      </w:r>
    </w:p>
    <w:p w:rsidR="00FB196C" w:rsidRPr="00605442" w:rsidRDefault="00FB196C">
      <w:pPr>
        <w:jc w:val="both"/>
      </w:pPr>
    </w:p>
    <w:p w:rsidR="00FB196C" w:rsidRPr="00605442" w:rsidRDefault="00FB196C">
      <w:pPr>
        <w:jc w:val="both"/>
      </w:pPr>
      <w:r w:rsidRPr="00605442">
        <w:t>Aliquots from nine ampoules, selected randomly, were analyzed using capillary gas chromatography with electron capture detection and an immobilized non-polar (5</w:t>
      </w:r>
      <w:r w:rsidR="00D20F4D">
        <w:t> </w:t>
      </w:r>
      <w:r w:rsidRPr="00605442">
        <w:t>% phenyl methylpolysiloxane) stationary phase column.  An internal standard solution containing 2,2</w:t>
      </w:r>
      <w:r w:rsidR="006162EF" w:rsidRPr="0032151D">
        <w:t>'</w:t>
      </w:r>
      <w:r w:rsidRPr="00605442">
        <w:t>,4,5</w:t>
      </w:r>
      <w:r w:rsidR="006162EF" w:rsidRPr="0032151D">
        <w:t>'</w:t>
      </w:r>
      <w:r w:rsidRPr="00605442">
        <w:t>,6</w:t>
      </w:r>
      <w:r w:rsidR="00D20F4D">
        <w:noBreakHyphen/>
      </w:r>
      <w:r w:rsidRPr="00605442">
        <w:t xml:space="preserve">pentachlorobiphenyl and </w:t>
      </w:r>
      <w:proofErr w:type="spellStart"/>
      <w:r w:rsidRPr="00605442">
        <w:t>octachloronaphthalene</w:t>
      </w:r>
      <w:proofErr w:type="spellEnd"/>
      <w:r w:rsidRPr="00605442">
        <w:t xml:space="preserve"> was added to each sample for quantification purposes.  Calibration solutions consisting of weighed amounts of Aroclor</w:t>
      </w:r>
      <w:r w:rsidR="00D20F4D">
        <w:t> </w:t>
      </w:r>
      <w:r w:rsidRPr="00605442">
        <w:t>1260 and internal standard compounds in methanol were chromatographically analyzed to determine response factors for Aroclor</w:t>
      </w:r>
      <w:r w:rsidR="00D20F4D">
        <w:t> </w:t>
      </w:r>
      <w:r w:rsidRPr="00605442">
        <w:t>1260 relative to each internal standard.  The results for Aroclor</w:t>
      </w:r>
      <w:r w:rsidR="00D20F4D">
        <w:t> </w:t>
      </w:r>
      <w:r w:rsidRPr="00605442">
        <w:t>1260 are based on the areas of the dominant Aroclor PCB peaks relative to the internal standard peaks (Figure</w:t>
      </w:r>
      <w:r w:rsidR="00D20F4D">
        <w:t> </w:t>
      </w:r>
      <w:r w:rsidRPr="00605442">
        <w:t>1).  This approach is similar to U.S.</w:t>
      </w:r>
      <w:r w:rsidR="00D20F4D">
        <w:t> </w:t>
      </w:r>
      <w:r w:rsidRPr="00605442">
        <w:t>EPA Method</w:t>
      </w:r>
      <w:r w:rsidR="00D20F4D">
        <w:t> </w:t>
      </w:r>
      <w:r w:rsidRPr="00605442">
        <w:t>505 (Analysis of organohalide pesticides and commercial polychlorinated biphenyl products in water by microextraction and gas chromatography, revision</w:t>
      </w:r>
      <w:r w:rsidR="00D20F4D">
        <w:t> </w:t>
      </w:r>
      <w:r w:rsidRPr="00605442">
        <w:t>2.0).</w:t>
      </w:r>
    </w:p>
    <w:p w:rsidR="00960D30" w:rsidRDefault="00960D30" w:rsidP="005E6D81">
      <w:pPr>
        <w:jc w:val="center"/>
        <w:sectPr w:rsidR="00960D30">
          <w:footerReference w:type="default" r:id="rId9"/>
          <w:type w:val="continuous"/>
          <w:pgSz w:w="12240" w:h="15840"/>
          <w:pgMar w:top="720" w:right="1440" w:bottom="720" w:left="1440" w:header="720" w:footer="432" w:gutter="0"/>
          <w:cols w:space="720"/>
          <w:noEndnote/>
        </w:sectPr>
      </w:pPr>
    </w:p>
    <w:p w:rsidR="00960D30" w:rsidRDefault="00D249F2" w:rsidP="005E6D81">
      <w:pPr>
        <w:jc w:val="center"/>
        <w:sectPr w:rsidR="00960D30" w:rsidSect="00960D30">
          <w:footerReference w:type="default" r:id="rId10"/>
          <w:pgSz w:w="15840" w:h="12240" w:orient="landscape"/>
          <w:pgMar w:top="1440" w:right="720" w:bottom="1440" w:left="720" w:header="720" w:footer="432" w:gutter="0"/>
          <w:cols w:space="720"/>
          <w:noEndnote/>
        </w:sectPr>
      </w:pPr>
      <w:r>
        <w:rPr>
          <w:noProof/>
        </w:rPr>
        <w:lastRenderedPageBreak/>
        <w:pict>
          <v:shape id="_x0000_s1042" type="#_x0000_t75" style="position:absolute;left:0;text-align:left;margin-left:21.6pt;margin-top:-11.8pt;width:673.85pt;height:494.2pt;z-index:251658240" o:allowincell="f">
            <v:imagedata r:id="rId11" o:title=""/>
            <w10:wrap type="topAndBottom"/>
          </v:shape>
          <o:OLEObject Type="Embed" ProgID="CorelDraw.Graphic.8" ShapeID="_x0000_s1042" DrawAspect="Content" ObjectID="_1401705888" r:id="rId12"/>
        </w:pict>
      </w:r>
    </w:p>
    <w:p w:rsidR="005E6D81" w:rsidRPr="0087061E" w:rsidRDefault="005E6D81" w:rsidP="005E6D81">
      <w:pPr>
        <w:jc w:val="center"/>
      </w:pPr>
      <w:r w:rsidRPr="0087061E">
        <w:lastRenderedPageBreak/>
        <w:t>REFERENCES</w:t>
      </w:r>
    </w:p>
    <w:p w:rsidR="00D20F4D" w:rsidRPr="0087061E" w:rsidRDefault="00D20F4D" w:rsidP="00D20F4D">
      <w:pPr>
        <w:jc w:val="both"/>
      </w:pPr>
    </w:p>
    <w:p w:rsidR="00524770" w:rsidRPr="00524770" w:rsidRDefault="00D20F4D" w:rsidP="00524770">
      <w:pPr>
        <w:tabs>
          <w:tab w:val="left" w:pos="-1080"/>
          <w:tab w:val="left" w:pos="-720"/>
          <w:tab w:val="left" w:pos="0"/>
          <w:tab w:val="left" w:pos="540"/>
        </w:tabs>
        <w:ind w:left="540" w:hanging="540"/>
        <w:jc w:val="both"/>
        <w:rPr>
          <w:color w:val="000000" w:themeColor="text1"/>
        </w:rPr>
      </w:pPr>
      <w:r>
        <w:t>[1]</w:t>
      </w:r>
      <w:r>
        <w:tab/>
      </w:r>
      <w:r w:rsidR="00524770" w:rsidRPr="00524770">
        <w:rPr>
          <w:color w:val="000000" w:themeColor="text1"/>
        </w:rPr>
        <w:t xml:space="preserve">May, W.; Parris, R.; Beck, C.; </w:t>
      </w:r>
      <w:proofErr w:type="spellStart"/>
      <w:r w:rsidR="00524770" w:rsidRPr="00524770">
        <w:rPr>
          <w:color w:val="000000" w:themeColor="text1"/>
        </w:rPr>
        <w:t>Fassett</w:t>
      </w:r>
      <w:proofErr w:type="spellEnd"/>
      <w:r w:rsidR="00524770" w:rsidRPr="00524770">
        <w:rPr>
          <w:color w:val="000000" w:themeColor="text1"/>
        </w:rPr>
        <w:t xml:space="preserve">, J.; Greenberg, R.; Guenther, F.; Kramer, G.; Wise, S.; Gills, T.; Colbert, J.; </w:t>
      </w:r>
      <w:proofErr w:type="spellStart"/>
      <w:r w:rsidR="00524770" w:rsidRPr="00524770">
        <w:rPr>
          <w:color w:val="000000" w:themeColor="text1"/>
        </w:rPr>
        <w:t>Gettings</w:t>
      </w:r>
      <w:proofErr w:type="spellEnd"/>
      <w:r w:rsidR="00524770" w:rsidRPr="00524770">
        <w:rPr>
          <w:color w:val="000000" w:themeColor="text1"/>
        </w:rPr>
        <w:t xml:space="preserve">, R.; MacDonald, B.; </w:t>
      </w:r>
      <w:r w:rsidR="00524770" w:rsidRPr="00524770">
        <w:rPr>
          <w:i/>
          <w:iCs/>
          <w:color w:val="000000" w:themeColor="text1"/>
        </w:rPr>
        <w:t>Definition of Terms and Modes Used at NIST for Value-Assignment of Reference Materials for Chemical Measurements</w:t>
      </w:r>
      <w:r w:rsidR="00524770" w:rsidRPr="00524770">
        <w:rPr>
          <w:color w:val="000000" w:themeColor="text1"/>
        </w:rPr>
        <w:t>; NIST Special Publication 260</w:t>
      </w:r>
      <w:r w:rsidR="00524770" w:rsidRPr="00524770">
        <w:rPr>
          <w:color w:val="000000" w:themeColor="text1"/>
        </w:rPr>
        <w:noBreakHyphen/>
        <w:t xml:space="preserve">136; U.S. Government Printing Office:  Washington, DC (2000); available at </w:t>
      </w:r>
      <w:hyperlink r:id="rId13" w:history="1">
        <w:r w:rsidR="00524770" w:rsidRPr="00524770">
          <w:rPr>
            <w:rStyle w:val="Hyperlink"/>
            <w:color w:val="000000" w:themeColor="text1"/>
            <w:u w:val="none"/>
          </w:rPr>
          <w:t>http://www.nist.gov/srm/upload/SP260-136.PDF</w:t>
        </w:r>
      </w:hyperlink>
      <w:r w:rsidR="00524770" w:rsidRPr="00524770">
        <w:rPr>
          <w:color w:val="000000" w:themeColor="text1"/>
        </w:rPr>
        <w:t xml:space="preserve"> (accessed June 2012).</w:t>
      </w:r>
    </w:p>
    <w:p w:rsidR="00524770" w:rsidRPr="00524770" w:rsidRDefault="00524770" w:rsidP="00524770">
      <w:pPr>
        <w:tabs>
          <w:tab w:val="left" w:pos="-1080"/>
          <w:tab w:val="left" w:pos="-720"/>
          <w:tab w:val="left" w:pos="0"/>
          <w:tab w:val="left" w:pos="540"/>
        </w:tabs>
        <w:ind w:left="540" w:hanging="540"/>
        <w:jc w:val="both"/>
        <w:rPr>
          <w:color w:val="000000" w:themeColor="text1"/>
        </w:rPr>
      </w:pPr>
      <w:r w:rsidRPr="00524770">
        <w:rPr>
          <w:color w:val="000000" w:themeColor="text1"/>
        </w:rPr>
        <w:t>[2]</w:t>
      </w:r>
      <w:r w:rsidRPr="00524770">
        <w:rPr>
          <w:color w:val="000000" w:themeColor="text1"/>
        </w:rPr>
        <w:tab/>
        <w:t xml:space="preserve">Thompson, A.; Taylor, B.N.; </w:t>
      </w:r>
      <w:r w:rsidRPr="00524770">
        <w:rPr>
          <w:i/>
          <w:iCs/>
          <w:color w:val="000000" w:themeColor="text1"/>
        </w:rPr>
        <w:t>Guide for the Use of the International System of Units (SI)</w:t>
      </w:r>
      <w:r w:rsidRPr="00524770">
        <w:rPr>
          <w:color w:val="000000" w:themeColor="text1"/>
        </w:rPr>
        <w:t xml:space="preserve">; NIST Special Publication 811; U.S. Government Printing Office:  Washington, DC (2008); available at </w:t>
      </w:r>
      <w:hyperlink r:id="rId14" w:history="1">
        <w:r w:rsidRPr="00524770">
          <w:rPr>
            <w:rStyle w:val="Hyperlink"/>
            <w:color w:val="000000" w:themeColor="text1"/>
            <w:u w:val="none"/>
          </w:rPr>
          <w:t>http://www.nist.gov/pml/pubs/sp811/indexfull.cfm</w:t>
        </w:r>
      </w:hyperlink>
      <w:r w:rsidRPr="00524770">
        <w:rPr>
          <w:color w:val="000000" w:themeColor="text1"/>
        </w:rPr>
        <w:t xml:space="preserve"> (accessed June 2012).</w:t>
      </w:r>
    </w:p>
    <w:p w:rsidR="00524770" w:rsidRPr="00524770" w:rsidRDefault="00524770" w:rsidP="00524770">
      <w:pPr>
        <w:autoSpaceDE w:val="0"/>
        <w:autoSpaceDN w:val="0"/>
        <w:adjustRightInd w:val="0"/>
        <w:ind w:left="540" w:hanging="540"/>
        <w:jc w:val="both"/>
        <w:rPr>
          <w:rFonts w:eastAsia="Calibri"/>
          <w:color w:val="000000" w:themeColor="text1"/>
        </w:rPr>
      </w:pPr>
      <w:r w:rsidRPr="00524770">
        <w:rPr>
          <w:color w:val="000000" w:themeColor="text1"/>
        </w:rPr>
        <w:t>[3]</w:t>
      </w:r>
      <w:r w:rsidRPr="00524770">
        <w:rPr>
          <w:color w:val="000000" w:themeColor="text1"/>
        </w:rPr>
        <w:tab/>
      </w:r>
      <w:r w:rsidRPr="00524770">
        <w:rPr>
          <w:rFonts w:eastAsia="Calibri"/>
          <w:color w:val="000000" w:themeColor="text1"/>
        </w:rPr>
        <w:t xml:space="preserve">JCGM 100:2008; </w:t>
      </w:r>
      <w:r w:rsidRPr="00524770">
        <w:rPr>
          <w:rFonts w:eastAsia="Calibri"/>
          <w:i/>
          <w:iCs/>
          <w:color w:val="000000" w:themeColor="text1"/>
        </w:rPr>
        <w:t>Evaluation of Measurement Data - Guide to the Expression of Uncertainty in Measurement</w:t>
      </w:r>
      <w:r w:rsidRPr="00524770">
        <w:rPr>
          <w:rFonts w:eastAsia="Calibri"/>
          <w:color w:val="000000" w:themeColor="text1"/>
        </w:rPr>
        <w:t xml:space="preserve">; (ISO GUM 1995 with Minor Corrections), Joint Committee for Guides in </w:t>
      </w:r>
      <w:r w:rsidRPr="00524770">
        <w:rPr>
          <w:color w:val="000000" w:themeColor="text1"/>
        </w:rPr>
        <w:t>Metrology (JCGM)</w:t>
      </w:r>
      <w:r w:rsidRPr="00524770">
        <w:rPr>
          <w:rFonts w:eastAsia="Calibri"/>
          <w:color w:val="000000" w:themeColor="text1"/>
        </w:rPr>
        <w:t xml:space="preserve"> (2008); available at </w:t>
      </w:r>
      <w:hyperlink r:id="rId15" w:history="1">
        <w:r w:rsidRPr="00524770">
          <w:rPr>
            <w:rStyle w:val="Hyperlink"/>
            <w:rFonts w:eastAsia="Calibri"/>
            <w:color w:val="000000" w:themeColor="text1"/>
            <w:u w:val="none"/>
          </w:rPr>
          <w:t>http://www.bipm.org/utils/common/documents/jcgm/JCGM_100_2008_E.pdf</w:t>
        </w:r>
      </w:hyperlink>
      <w:r w:rsidRPr="00524770">
        <w:rPr>
          <w:rFonts w:eastAsia="Calibri"/>
          <w:color w:val="000000" w:themeColor="text1"/>
        </w:rPr>
        <w:t xml:space="preserve"> (accessed June 2012); see also Taylor, B.N.; </w:t>
      </w:r>
      <w:proofErr w:type="spellStart"/>
      <w:r w:rsidRPr="00524770">
        <w:rPr>
          <w:rFonts w:eastAsia="Calibri"/>
          <w:color w:val="000000" w:themeColor="text1"/>
        </w:rPr>
        <w:t>Kuyatt</w:t>
      </w:r>
      <w:proofErr w:type="spellEnd"/>
      <w:r w:rsidRPr="00524770">
        <w:rPr>
          <w:rFonts w:eastAsia="Calibri"/>
          <w:color w:val="000000" w:themeColor="text1"/>
        </w:rPr>
        <w:t xml:space="preserve">, C.E.; </w:t>
      </w:r>
      <w:r w:rsidRPr="00524770">
        <w:rPr>
          <w:rFonts w:eastAsia="Calibri"/>
          <w:i/>
          <w:iCs/>
          <w:color w:val="000000" w:themeColor="text1"/>
        </w:rPr>
        <w:t>Guidelines for Evaluating and Expressing the Uncertainty of NIST Measurement Results</w:t>
      </w:r>
      <w:r w:rsidRPr="00524770">
        <w:rPr>
          <w:rFonts w:eastAsia="Calibri"/>
          <w:color w:val="000000" w:themeColor="text1"/>
        </w:rPr>
        <w:t xml:space="preserve">; NIST Technical Note 1297, U.S. Government Printing Office:  Washington, DC (1994); available at </w:t>
      </w:r>
      <w:hyperlink r:id="rId16" w:history="1">
        <w:r w:rsidRPr="00524770">
          <w:rPr>
            <w:rStyle w:val="Hyperlink"/>
            <w:rFonts w:eastAsia="Calibri"/>
            <w:color w:val="000000" w:themeColor="text1"/>
            <w:u w:val="none"/>
          </w:rPr>
          <w:t>http://www.nist.gov/pml/pubs/index.cfm</w:t>
        </w:r>
      </w:hyperlink>
      <w:r w:rsidRPr="00524770">
        <w:rPr>
          <w:rFonts w:eastAsia="Calibri"/>
          <w:color w:val="000000" w:themeColor="text1"/>
        </w:rPr>
        <w:t xml:space="preserve"> (accessed June 2012).</w:t>
      </w:r>
    </w:p>
    <w:p w:rsidR="00524770" w:rsidRDefault="00524770" w:rsidP="00524770">
      <w:pPr>
        <w:tabs>
          <w:tab w:val="left" w:pos="-1080"/>
          <w:tab w:val="left" w:pos="-720"/>
          <w:tab w:val="left" w:pos="0"/>
          <w:tab w:val="left" w:pos="540"/>
        </w:tabs>
        <w:ind w:left="540" w:hanging="540"/>
        <w:jc w:val="both"/>
      </w:pPr>
    </w:p>
    <w:p w:rsidR="00D20F4D" w:rsidRPr="00340E50" w:rsidRDefault="00D20F4D" w:rsidP="00524770">
      <w:pPr>
        <w:widowControl w:val="0"/>
        <w:tabs>
          <w:tab w:val="left" w:pos="-1080"/>
          <w:tab w:val="left" w:pos="-720"/>
          <w:tab w:val="left" w:pos="0"/>
          <w:tab w:val="left" w:pos="540"/>
        </w:tabs>
        <w:ind w:left="540" w:hanging="540"/>
        <w:jc w:val="both"/>
      </w:pPr>
    </w:p>
    <w:p w:rsidR="00D20F4D" w:rsidRPr="00340E50" w:rsidRDefault="00D20F4D" w:rsidP="00D20F4D">
      <w:pPr>
        <w:jc w:val="both"/>
        <w:rPr>
          <w:i/>
        </w:rPr>
      </w:pPr>
    </w:p>
    <w:p w:rsidR="00D20F4D" w:rsidRPr="00340E50" w:rsidRDefault="00D20F4D" w:rsidP="00D20F4D">
      <w:pPr>
        <w:jc w:val="both"/>
      </w:pPr>
    </w:p>
    <w:p w:rsidR="00D20F4D" w:rsidRPr="00340E50" w:rsidRDefault="00D20F4D" w:rsidP="00D20F4D">
      <w:pPr>
        <w:jc w:val="both"/>
        <w:rPr>
          <w:i/>
        </w:rPr>
      </w:pPr>
    </w:p>
    <w:p w:rsidR="00D20F4D" w:rsidRPr="00340E50" w:rsidRDefault="00D20F4D" w:rsidP="00D20F4D">
      <w:pPr>
        <w:jc w:val="both"/>
        <w:rPr>
          <w:i/>
        </w:rPr>
      </w:pPr>
    </w:p>
    <w:p w:rsidR="00D20F4D" w:rsidRPr="00340E50" w:rsidRDefault="00D20F4D" w:rsidP="00D20F4D">
      <w:pPr>
        <w:jc w:val="both"/>
        <w:rPr>
          <w:i/>
        </w:rPr>
      </w:pPr>
    </w:p>
    <w:p w:rsidR="00D20F4D" w:rsidRPr="00340E50" w:rsidRDefault="00D20F4D" w:rsidP="00D20F4D">
      <w:pPr>
        <w:jc w:val="both"/>
        <w:rPr>
          <w:i/>
        </w:rPr>
      </w:pPr>
    </w:p>
    <w:p w:rsidR="00D20F4D" w:rsidRPr="00340E50" w:rsidRDefault="00D20F4D" w:rsidP="00D20F4D">
      <w:pPr>
        <w:jc w:val="both"/>
        <w:rPr>
          <w:i/>
        </w:rPr>
      </w:pPr>
    </w:p>
    <w:p w:rsidR="00D20F4D" w:rsidRPr="0087061E" w:rsidRDefault="00D20F4D" w:rsidP="00D20F4D">
      <w:pPr>
        <w:jc w:val="both"/>
        <w:rPr>
          <w:i/>
        </w:rPr>
      </w:pPr>
    </w:p>
    <w:p w:rsidR="00D20F4D" w:rsidRPr="0087061E" w:rsidRDefault="00D20F4D" w:rsidP="00D20F4D">
      <w:pPr>
        <w:jc w:val="both"/>
        <w:rPr>
          <w:i/>
        </w:rPr>
      </w:pPr>
    </w:p>
    <w:p w:rsidR="00D20F4D" w:rsidRPr="0087061E" w:rsidRDefault="00D20F4D" w:rsidP="00D20F4D">
      <w:pPr>
        <w:jc w:val="both"/>
        <w:rPr>
          <w:i/>
        </w:rPr>
      </w:pPr>
    </w:p>
    <w:p w:rsidR="00D20F4D" w:rsidRDefault="00D20F4D" w:rsidP="00D20F4D">
      <w:pPr>
        <w:jc w:val="both"/>
        <w:rPr>
          <w:i/>
        </w:rPr>
      </w:pPr>
    </w:p>
    <w:p w:rsidR="00524770" w:rsidRPr="0087061E" w:rsidRDefault="00524770" w:rsidP="00D20F4D">
      <w:pPr>
        <w:jc w:val="both"/>
        <w:rPr>
          <w:i/>
        </w:rPr>
      </w:pPr>
    </w:p>
    <w:p w:rsidR="00D20F4D" w:rsidRPr="0087061E" w:rsidRDefault="00D20F4D" w:rsidP="00D20F4D">
      <w:pPr>
        <w:jc w:val="both"/>
        <w:rPr>
          <w:i/>
        </w:rPr>
      </w:pPr>
    </w:p>
    <w:p w:rsidR="00D20F4D" w:rsidRDefault="00D20F4D" w:rsidP="00D20F4D">
      <w:pPr>
        <w:jc w:val="both"/>
        <w:rPr>
          <w:i/>
        </w:rPr>
      </w:pPr>
    </w:p>
    <w:p w:rsidR="00D20F4D" w:rsidRDefault="00D20F4D" w:rsidP="00D20F4D">
      <w:pPr>
        <w:jc w:val="both"/>
        <w:rPr>
          <w:i/>
        </w:rPr>
      </w:pPr>
    </w:p>
    <w:p w:rsidR="00D20F4D" w:rsidRPr="0087061E" w:rsidRDefault="00D20F4D" w:rsidP="00D20F4D">
      <w:pPr>
        <w:jc w:val="both"/>
        <w:rPr>
          <w:i/>
        </w:rPr>
      </w:pPr>
    </w:p>
    <w:p w:rsidR="00D20F4D" w:rsidRPr="0087061E" w:rsidRDefault="00D20F4D" w:rsidP="00D20F4D">
      <w:pPr>
        <w:jc w:val="both"/>
        <w:rPr>
          <w:i/>
        </w:rPr>
      </w:pPr>
    </w:p>
    <w:p w:rsidR="00D20F4D" w:rsidRDefault="00D20F4D" w:rsidP="00D20F4D">
      <w:pPr>
        <w:jc w:val="both"/>
        <w:rPr>
          <w:i/>
        </w:rPr>
      </w:pPr>
    </w:p>
    <w:p w:rsidR="00D20F4D" w:rsidRDefault="00D20F4D" w:rsidP="00D20F4D">
      <w:pPr>
        <w:jc w:val="both"/>
        <w:rPr>
          <w:i/>
        </w:rPr>
      </w:pPr>
    </w:p>
    <w:p w:rsidR="00D20F4D" w:rsidRPr="0087061E" w:rsidRDefault="00D20F4D" w:rsidP="00D20F4D">
      <w:pPr>
        <w:jc w:val="both"/>
        <w:rPr>
          <w:i/>
        </w:rPr>
      </w:pPr>
    </w:p>
    <w:p w:rsidR="00D20F4D" w:rsidRPr="00355D9F" w:rsidRDefault="00D20F4D" w:rsidP="00D20F4D">
      <w:pPr>
        <w:tabs>
          <w:tab w:val="left" w:pos="-1440"/>
          <w:tab w:val="left" w:pos="-720"/>
        </w:tabs>
        <w:suppressAutoHyphens/>
        <w:jc w:val="both"/>
      </w:pPr>
    </w:p>
    <w:p w:rsidR="00D20F4D" w:rsidRDefault="00D20F4D" w:rsidP="00D20F4D">
      <w:pPr>
        <w:pBdr>
          <w:top w:val="single" w:sz="4" w:space="1" w:color="auto"/>
          <w:left w:val="single" w:sz="4" w:space="0" w:color="auto"/>
          <w:bottom w:val="single" w:sz="4" w:space="1" w:color="auto"/>
          <w:right w:val="single" w:sz="4" w:space="2" w:color="auto"/>
        </w:pBdr>
        <w:tabs>
          <w:tab w:val="left" w:pos="-1080"/>
          <w:tab w:val="left" w:pos="-720"/>
          <w:tab w:val="left" w:pos="0"/>
          <w:tab w:val="left" w:pos="540"/>
        </w:tabs>
        <w:jc w:val="both"/>
        <w:rPr>
          <w:sz w:val="16"/>
        </w:rPr>
      </w:pPr>
      <w:r w:rsidRPr="00355D9F">
        <w:rPr>
          <w:b/>
          <w:kern w:val="2"/>
          <w:sz w:val="16"/>
        </w:rPr>
        <w:t>Certificate Revision Histor</w:t>
      </w:r>
      <w:r w:rsidRPr="002640B5">
        <w:rPr>
          <w:b/>
          <w:kern w:val="2"/>
          <w:sz w:val="16"/>
        </w:rPr>
        <w:t>y:</w:t>
      </w:r>
      <w:r w:rsidRPr="00A3363F">
        <w:rPr>
          <w:kern w:val="2"/>
          <w:sz w:val="16"/>
        </w:rPr>
        <w:t xml:space="preserve">  </w:t>
      </w:r>
      <w:r w:rsidR="00685A95">
        <w:rPr>
          <w:b/>
          <w:kern w:val="2"/>
          <w:sz w:val="16"/>
        </w:rPr>
        <w:t>20</w:t>
      </w:r>
      <w:r w:rsidRPr="00A3363F">
        <w:rPr>
          <w:b/>
          <w:kern w:val="2"/>
          <w:sz w:val="16"/>
        </w:rPr>
        <w:t> Ju</w:t>
      </w:r>
      <w:r>
        <w:rPr>
          <w:b/>
          <w:kern w:val="2"/>
          <w:sz w:val="16"/>
        </w:rPr>
        <w:t>ne</w:t>
      </w:r>
      <w:r w:rsidRPr="00A3363F">
        <w:rPr>
          <w:b/>
          <w:bCs/>
          <w:kern w:val="2"/>
          <w:sz w:val="16"/>
        </w:rPr>
        <w:t> 20</w:t>
      </w:r>
      <w:r>
        <w:rPr>
          <w:b/>
          <w:bCs/>
          <w:kern w:val="2"/>
          <w:sz w:val="16"/>
        </w:rPr>
        <w:t>12</w:t>
      </w:r>
      <w:r w:rsidRPr="000F511C">
        <w:rPr>
          <w:kern w:val="2"/>
          <w:sz w:val="16"/>
        </w:rPr>
        <w:t xml:space="preserve"> </w:t>
      </w:r>
      <w:r>
        <w:rPr>
          <w:sz w:val="16"/>
        </w:rPr>
        <w:t xml:space="preserve">(Extension of certification period; editorial changes); </w:t>
      </w:r>
      <w:r>
        <w:rPr>
          <w:b/>
          <w:kern w:val="2"/>
          <w:sz w:val="16"/>
        </w:rPr>
        <w:t>15</w:t>
      </w:r>
      <w:r w:rsidRPr="00A3363F">
        <w:rPr>
          <w:b/>
          <w:kern w:val="2"/>
          <w:sz w:val="16"/>
        </w:rPr>
        <w:t> July</w:t>
      </w:r>
      <w:r w:rsidRPr="00A3363F">
        <w:rPr>
          <w:b/>
          <w:bCs/>
          <w:kern w:val="2"/>
          <w:sz w:val="16"/>
        </w:rPr>
        <w:t> 2005</w:t>
      </w:r>
      <w:r w:rsidRPr="00D20F4D">
        <w:rPr>
          <w:kern w:val="2"/>
          <w:sz w:val="16"/>
        </w:rPr>
        <w:t xml:space="preserve"> </w:t>
      </w:r>
      <w:r>
        <w:rPr>
          <w:sz w:val="16"/>
        </w:rPr>
        <w:t xml:space="preserve">(This technical revision clarifies the determination of the certified value expressed in mg/L); </w:t>
      </w:r>
      <w:r w:rsidRPr="00A3363F">
        <w:rPr>
          <w:b/>
          <w:sz w:val="16"/>
        </w:rPr>
        <w:t>23 May 2003</w:t>
      </w:r>
      <w:r>
        <w:rPr>
          <w:sz w:val="16"/>
        </w:rPr>
        <w:t xml:space="preserve"> (Original certificate date).</w:t>
      </w:r>
    </w:p>
    <w:p w:rsidR="00D20F4D" w:rsidRDefault="00D20F4D" w:rsidP="00D20F4D">
      <w:pPr>
        <w:widowControl w:val="0"/>
        <w:tabs>
          <w:tab w:val="left" w:pos="-1080"/>
          <w:tab w:val="left" w:pos="-720"/>
          <w:tab w:val="left" w:pos="0"/>
          <w:tab w:val="left" w:pos="540"/>
        </w:tabs>
        <w:jc w:val="both"/>
      </w:pPr>
    </w:p>
    <w:p w:rsidR="00524770" w:rsidRDefault="00524770" w:rsidP="00D20F4D">
      <w:pPr>
        <w:widowControl w:val="0"/>
        <w:tabs>
          <w:tab w:val="left" w:pos="-1080"/>
          <w:tab w:val="left" w:pos="-720"/>
          <w:tab w:val="left" w:pos="0"/>
          <w:tab w:val="left" w:pos="540"/>
        </w:tabs>
        <w:jc w:val="both"/>
      </w:pPr>
    </w:p>
    <w:p w:rsidR="00524770" w:rsidRPr="00135010" w:rsidRDefault="00524770" w:rsidP="00D20F4D">
      <w:pPr>
        <w:widowControl w:val="0"/>
        <w:tabs>
          <w:tab w:val="left" w:pos="-1080"/>
          <w:tab w:val="left" w:pos="-720"/>
          <w:tab w:val="left" w:pos="0"/>
          <w:tab w:val="left" w:pos="540"/>
        </w:tabs>
        <w:jc w:val="both"/>
      </w:pPr>
    </w:p>
    <w:p w:rsidR="00D20F4D" w:rsidRDefault="00D20F4D" w:rsidP="00D20F4D">
      <w:pPr>
        <w:jc w:val="both"/>
        <w:rPr>
          <w:i/>
        </w:rPr>
      </w:pPr>
    </w:p>
    <w:p w:rsidR="00524770" w:rsidRDefault="00524770" w:rsidP="00D20F4D">
      <w:pPr>
        <w:jc w:val="both"/>
        <w:rPr>
          <w:i/>
        </w:rPr>
      </w:pPr>
    </w:p>
    <w:p w:rsidR="00524770" w:rsidRDefault="00524770" w:rsidP="00D20F4D">
      <w:pPr>
        <w:jc w:val="both"/>
        <w:rPr>
          <w:i/>
        </w:rPr>
      </w:pPr>
    </w:p>
    <w:p w:rsidR="00524770" w:rsidRPr="0087061E" w:rsidRDefault="00524770" w:rsidP="00D20F4D">
      <w:pPr>
        <w:jc w:val="both"/>
        <w:rPr>
          <w:i/>
        </w:rPr>
      </w:pPr>
    </w:p>
    <w:p w:rsidR="00D20F4D" w:rsidRPr="0087061E" w:rsidRDefault="00D20F4D" w:rsidP="00D20F4D">
      <w:pPr>
        <w:jc w:val="both"/>
        <w:rPr>
          <w:i/>
        </w:rPr>
      </w:pPr>
    </w:p>
    <w:p w:rsidR="00D20F4D" w:rsidRPr="0087061E" w:rsidRDefault="00D20F4D" w:rsidP="00D20F4D">
      <w:pPr>
        <w:jc w:val="both"/>
        <w:rPr>
          <w:i/>
        </w:rPr>
      </w:pPr>
    </w:p>
    <w:p w:rsidR="00D20F4D" w:rsidRPr="0087061E" w:rsidRDefault="00D20F4D" w:rsidP="00D20F4D">
      <w:pPr>
        <w:jc w:val="both"/>
        <w:rPr>
          <w:i/>
        </w:rPr>
      </w:pPr>
    </w:p>
    <w:p w:rsidR="00D20F4D" w:rsidRPr="0087061E" w:rsidRDefault="00D20F4D" w:rsidP="00D20F4D">
      <w:pPr>
        <w:jc w:val="both"/>
        <w:rPr>
          <w:i/>
        </w:rPr>
      </w:pPr>
    </w:p>
    <w:p w:rsidR="00D20F4D" w:rsidRPr="0087061E" w:rsidRDefault="00D20F4D" w:rsidP="00D20F4D">
      <w:pPr>
        <w:jc w:val="both"/>
        <w:rPr>
          <w:i/>
        </w:rPr>
      </w:pPr>
    </w:p>
    <w:p w:rsidR="00D20F4D" w:rsidRPr="0087061E" w:rsidRDefault="00D20F4D" w:rsidP="00D20F4D">
      <w:pPr>
        <w:jc w:val="both"/>
        <w:rPr>
          <w:i/>
        </w:rPr>
      </w:pPr>
    </w:p>
    <w:p w:rsidR="00D20F4D" w:rsidRPr="0087061E" w:rsidRDefault="00D20F4D" w:rsidP="00D20F4D">
      <w:pPr>
        <w:jc w:val="both"/>
        <w:rPr>
          <w:i/>
        </w:rPr>
      </w:pPr>
    </w:p>
    <w:p w:rsidR="00D20F4D" w:rsidRPr="0087061E" w:rsidRDefault="00D20F4D" w:rsidP="00D20F4D">
      <w:pPr>
        <w:jc w:val="both"/>
        <w:rPr>
          <w:i/>
        </w:rPr>
      </w:pPr>
    </w:p>
    <w:p w:rsidR="00D20F4D" w:rsidRPr="0087061E" w:rsidRDefault="00D20F4D" w:rsidP="00D20F4D">
      <w:pPr>
        <w:jc w:val="both"/>
        <w:rPr>
          <w:i/>
        </w:rPr>
      </w:pPr>
    </w:p>
    <w:p w:rsidR="00D20F4D" w:rsidRPr="0087061E" w:rsidRDefault="00D20F4D" w:rsidP="00D20F4D">
      <w:pPr>
        <w:jc w:val="both"/>
        <w:rPr>
          <w:i/>
        </w:rPr>
      </w:pPr>
    </w:p>
    <w:p w:rsidR="00D20F4D" w:rsidRPr="0087061E" w:rsidRDefault="00D20F4D" w:rsidP="00D20F4D">
      <w:pPr>
        <w:jc w:val="both"/>
        <w:rPr>
          <w:i/>
        </w:rPr>
      </w:pPr>
    </w:p>
    <w:p w:rsidR="00D20F4D" w:rsidRPr="00340E50" w:rsidRDefault="00D20F4D" w:rsidP="00D20F4D">
      <w:pPr>
        <w:jc w:val="both"/>
      </w:pPr>
      <w:r w:rsidRPr="00340E50">
        <w:rPr>
          <w:i/>
          <w:color w:val="000000"/>
        </w:rPr>
        <w:t>Users of this SRM should ensure that the Certificate of Analysis in their possession is current.  This can be accomplished by contacting the SRM Program:  telephone (301)</w:t>
      </w:r>
      <w:r w:rsidR="00CA597F">
        <w:rPr>
          <w:i/>
          <w:color w:val="000000"/>
        </w:rPr>
        <w:t> 975-2200</w:t>
      </w:r>
      <w:r w:rsidRPr="00340E50">
        <w:rPr>
          <w:i/>
          <w:color w:val="000000"/>
        </w:rPr>
        <w:t>; fax (301) 948-3730; e</w:t>
      </w:r>
      <w:r w:rsidRPr="00340E50">
        <w:rPr>
          <w:i/>
          <w:color w:val="000000"/>
        </w:rPr>
        <w:noBreakHyphen/>
        <w:t>mail </w:t>
      </w:r>
      <w:hyperlink r:id="rId17" w:history="1">
        <w:r w:rsidRPr="00340E50">
          <w:rPr>
            <w:rStyle w:val="Hyperlink"/>
            <w:i/>
            <w:color w:val="000000"/>
            <w:u w:val="none"/>
          </w:rPr>
          <w:t>srminfo@nist.gov</w:t>
        </w:r>
      </w:hyperlink>
      <w:r w:rsidRPr="00340E50">
        <w:rPr>
          <w:i/>
          <w:color w:val="000000"/>
        </w:rPr>
        <w:t>; or via the Internet at http://www.nist.gov/srm.</w:t>
      </w:r>
      <w:bookmarkStart w:id="0" w:name="_GoBack"/>
      <w:bookmarkEnd w:id="0"/>
    </w:p>
    <w:sectPr w:rsidR="00D20F4D" w:rsidRPr="00340E50" w:rsidSect="00CA597F">
      <w:footerReference w:type="default" r:id="rId18"/>
      <w:pgSz w:w="12240" w:h="15840" w:code="1"/>
      <w:pgMar w:top="720" w:right="1440" w:bottom="720" w:left="1440" w:header="720" w:footer="432"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BED" w:rsidRDefault="00071BED" w:rsidP="00071BED">
      <w:r>
        <w:separator/>
      </w:r>
    </w:p>
  </w:endnote>
  <w:endnote w:type="continuationSeparator" w:id="0">
    <w:p w:rsidR="00071BED" w:rsidRDefault="00071BED" w:rsidP="00071B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ncoln">
    <w:altName w:val="Courier New"/>
    <w:charset w:val="00"/>
    <w:family w:val="swiss"/>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ED" w:rsidRPr="00605442" w:rsidRDefault="00071BED" w:rsidP="00960D30">
    <w:pPr>
      <w:pStyle w:val="Footer"/>
      <w:tabs>
        <w:tab w:val="clear" w:pos="4320"/>
        <w:tab w:val="clear" w:pos="8640"/>
        <w:tab w:val="right" w:pos="9360"/>
        <w:tab w:val="right" w:pos="12420"/>
        <w:tab w:val="right" w:pos="14400"/>
      </w:tabs>
    </w:pPr>
    <w:r w:rsidRPr="00605442">
      <w:t>SRM</w:t>
    </w:r>
    <w:r>
      <w:t> </w:t>
    </w:r>
    <w:r w:rsidRPr="00605442">
      <w:t>3086</w:t>
    </w:r>
    <w:r>
      <w:tab/>
    </w:r>
    <w:r w:rsidRPr="00605442">
      <w:t xml:space="preserve">Page </w:t>
    </w:r>
    <w:r w:rsidR="00D249F2" w:rsidRPr="00605442">
      <w:rPr>
        <w:rStyle w:val="PageNumber"/>
      </w:rPr>
      <w:fldChar w:fldCharType="begin"/>
    </w:r>
    <w:r w:rsidRPr="00605442">
      <w:rPr>
        <w:rStyle w:val="PageNumber"/>
      </w:rPr>
      <w:instrText xml:space="preserve"> PAGE </w:instrText>
    </w:r>
    <w:r w:rsidR="00D249F2" w:rsidRPr="00605442">
      <w:rPr>
        <w:rStyle w:val="PageNumber"/>
      </w:rPr>
      <w:fldChar w:fldCharType="separate"/>
    </w:r>
    <w:r w:rsidR="00245F94">
      <w:rPr>
        <w:rStyle w:val="PageNumber"/>
        <w:noProof/>
      </w:rPr>
      <w:t>1</w:t>
    </w:r>
    <w:r w:rsidR="00D249F2" w:rsidRPr="00605442">
      <w:rPr>
        <w:rStyle w:val="PageNumber"/>
      </w:rPr>
      <w:fldChar w:fldCharType="end"/>
    </w:r>
    <w:r w:rsidRPr="00605442">
      <w:rPr>
        <w:rStyle w:val="PageNumber"/>
      </w:rPr>
      <w:t xml:space="preserve"> of </w:t>
    </w:r>
    <w:fldSimple w:instr=" NUMPAGES  \* MERGEFORMAT ">
      <w:r w:rsidR="00245F94" w:rsidRPr="00245F94">
        <w:rPr>
          <w:rStyle w:val="PageNumbe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ED" w:rsidRPr="00605442" w:rsidRDefault="00071BED" w:rsidP="00960D30">
    <w:pPr>
      <w:pStyle w:val="Footer"/>
      <w:tabs>
        <w:tab w:val="clear" w:pos="4320"/>
        <w:tab w:val="clear" w:pos="8640"/>
        <w:tab w:val="right" w:pos="9360"/>
        <w:tab w:val="right" w:pos="12420"/>
        <w:tab w:val="right" w:pos="14400"/>
      </w:tabs>
    </w:pPr>
    <w:r w:rsidRPr="00605442">
      <w:t>SRM</w:t>
    </w:r>
    <w:r>
      <w:t> </w:t>
    </w:r>
    <w:r w:rsidRPr="00605442">
      <w:t>3086</w:t>
    </w:r>
    <w:r>
      <w:t xml:space="preserve"> </w:t>
    </w:r>
    <w:r>
      <w:tab/>
    </w:r>
    <w:r>
      <w:tab/>
    </w:r>
    <w:r>
      <w:tab/>
    </w:r>
    <w:r w:rsidRPr="00605442">
      <w:t xml:space="preserve">Page </w:t>
    </w:r>
    <w:r w:rsidR="00D249F2" w:rsidRPr="00605442">
      <w:rPr>
        <w:rStyle w:val="PageNumber"/>
      </w:rPr>
      <w:fldChar w:fldCharType="begin"/>
    </w:r>
    <w:r w:rsidRPr="00605442">
      <w:rPr>
        <w:rStyle w:val="PageNumber"/>
      </w:rPr>
      <w:instrText xml:space="preserve"> PAGE </w:instrText>
    </w:r>
    <w:r w:rsidR="00D249F2" w:rsidRPr="00605442">
      <w:rPr>
        <w:rStyle w:val="PageNumber"/>
      </w:rPr>
      <w:fldChar w:fldCharType="separate"/>
    </w:r>
    <w:r w:rsidR="00245F94">
      <w:rPr>
        <w:rStyle w:val="PageNumber"/>
        <w:noProof/>
      </w:rPr>
      <w:t>3</w:t>
    </w:r>
    <w:r w:rsidR="00D249F2" w:rsidRPr="00605442">
      <w:rPr>
        <w:rStyle w:val="PageNumber"/>
      </w:rPr>
      <w:fldChar w:fldCharType="end"/>
    </w:r>
    <w:r w:rsidRPr="00605442">
      <w:rPr>
        <w:rStyle w:val="PageNumber"/>
      </w:rPr>
      <w:t xml:space="preserve"> of </w:t>
    </w:r>
    <w:fldSimple w:instr=" NUMPAGES  \* MERGEFORMAT ">
      <w:r w:rsidR="00245F94" w:rsidRPr="00245F94">
        <w:rPr>
          <w:rStyle w:val="PageNumber"/>
          <w:noProof/>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ED" w:rsidRPr="006162EF" w:rsidRDefault="00ED6862">
    <w:pPr>
      <w:pStyle w:val="Footer"/>
      <w:tabs>
        <w:tab w:val="clear" w:pos="4320"/>
        <w:tab w:val="clear" w:pos="8640"/>
        <w:tab w:val="right" w:pos="9360"/>
        <w:tab w:val="right" w:pos="14400"/>
      </w:tabs>
    </w:pPr>
    <w:r w:rsidRPr="00ED6862">
      <w:t>SRM 3086</w:t>
    </w:r>
    <w:r w:rsidRPr="00ED6862">
      <w:tab/>
      <w:t xml:space="preserve">Page </w:t>
    </w:r>
    <w:r w:rsidR="00D249F2" w:rsidRPr="006162EF">
      <w:rPr>
        <w:rStyle w:val="PageNumber"/>
      </w:rPr>
      <w:fldChar w:fldCharType="begin"/>
    </w:r>
    <w:r>
      <w:rPr>
        <w:rStyle w:val="PageNumber"/>
      </w:rPr>
      <w:instrText xml:space="preserve"> PAGE </w:instrText>
    </w:r>
    <w:r w:rsidR="00D249F2" w:rsidRPr="006162EF">
      <w:rPr>
        <w:rStyle w:val="PageNumber"/>
      </w:rPr>
      <w:fldChar w:fldCharType="separate"/>
    </w:r>
    <w:r w:rsidR="00245F94">
      <w:rPr>
        <w:rStyle w:val="PageNumber"/>
        <w:noProof/>
      </w:rPr>
      <w:t>4</w:t>
    </w:r>
    <w:r w:rsidR="00D249F2" w:rsidRPr="006162EF">
      <w:rPr>
        <w:rStyle w:val="PageNumber"/>
      </w:rPr>
      <w:fldChar w:fldCharType="end"/>
    </w:r>
    <w:r w:rsidRPr="00ED6862">
      <w:rPr>
        <w:rStyle w:val="PageNumber"/>
      </w:rPr>
      <w:t xml:space="preserve"> of </w:t>
    </w:r>
    <w:r w:rsidR="00D249F2" w:rsidRPr="006162EF">
      <w:rPr>
        <w:rStyle w:val="PageNumber"/>
      </w:rPr>
      <w:fldChar w:fldCharType="begin"/>
    </w:r>
    <w:r>
      <w:rPr>
        <w:rStyle w:val="PageNumber"/>
      </w:rPr>
      <w:instrText xml:space="preserve"> NUMPAGES </w:instrText>
    </w:r>
    <w:r w:rsidR="00D249F2" w:rsidRPr="006162EF">
      <w:rPr>
        <w:rStyle w:val="PageNumber"/>
      </w:rPr>
      <w:fldChar w:fldCharType="separate"/>
    </w:r>
    <w:r w:rsidR="00245F94">
      <w:rPr>
        <w:rStyle w:val="PageNumber"/>
        <w:noProof/>
      </w:rPr>
      <w:t>4</w:t>
    </w:r>
    <w:r w:rsidR="00D249F2" w:rsidRPr="006162EF">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BED" w:rsidRDefault="00071BED" w:rsidP="00071BED">
      <w:r>
        <w:separator/>
      </w:r>
    </w:p>
  </w:footnote>
  <w:footnote w:type="continuationSeparator" w:id="0">
    <w:p w:rsidR="00071BED" w:rsidRDefault="00071BED" w:rsidP="00071BED">
      <w:r>
        <w:continuationSeparator/>
      </w:r>
    </w:p>
  </w:footnote>
  <w:footnote w:id="1">
    <w:p w:rsidR="00071BED" w:rsidRPr="0066704E" w:rsidRDefault="00ED6862">
      <w:pPr>
        <w:pStyle w:val="FootnoteText"/>
        <w:ind w:firstLine="720"/>
        <w:jc w:val="both"/>
        <w:rPr>
          <w:sz w:val="18"/>
          <w:szCs w:val="18"/>
        </w:rPr>
      </w:pPr>
      <w:r w:rsidRPr="00ED6862">
        <w:rPr>
          <w:sz w:val="18"/>
          <w:szCs w:val="18"/>
          <w:vertAlign w:val="superscript"/>
        </w:rPr>
        <w:t>(</w:t>
      </w:r>
      <w:r w:rsidRPr="00ED6862">
        <w:rPr>
          <w:rStyle w:val="FootnoteReference"/>
          <w:sz w:val="18"/>
          <w:szCs w:val="18"/>
        </w:rPr>
        <w:footnoteRef/>
      </w:r>
      <w:r>
        <w:rPr>
          <w:sz w:val="18"/>
          <w:szCs w:val="18"/>
          <w:vertAlign w:val="superscript"/>
        </w:rPr>
        <w:t xml:space="preserve">) </w:t>
      </w:r>
      <w:r w:rsidR="00071BED" w:rsidRPr="0066704E">
        <w:rPr>
          <w:sz w:val="18"/>
          <w:szCs w:val="18"/>
        </w:rPr>
        <w:t xml:space="preserve">Certain commercial equipment, instrumentation or materials are identified in this certificate to adequately </w:t>
      </w:r>
      <w:r w:rsidR="006162EF" w:rsidRPr="0066704E">
        <w:rPr>
          <w:sz w:val="18"/>
          <w:szCs w:val="18"/>
        </w:rPr>
        <w:t xml:space="preserve">specify </w:t>
      </w:r>
      <w:r w:rsidR="00071BED" w:rsidRPr="0066704E">
        <w:rPr>
          <w:sz w:val="18"/>
          <w:szCs w:val="18"/>
        </w:rPr>
        <w:t>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05442"/>
    <w:rsid w:val="00005503"/>
    <w:rsid w:val="00071BED"/>
    <w:rsid w:val="00072DEC"/>
    <w:rsid w:val="00245F94"/>
    <w:rsid w:val="002B29CF"/>
    <w:rsid w:val="002C51C9"/>
    <w:rsid w:val="004B0311"/>
    <w:rsid w:val="00524770"/>
    <w:rsid w:val="005B1CAF"/>
    <w:rsid w:val="005E6D81"/>
    <w:rsid w:val="00605442"/>
    <w:rsid w:val="006162EF"/>
    <w:rsid w:val="006166E4"/>
    <w:rsid w:val="0066704E"/>
    <w:rsid w:val="00685A95"/>
    <w:rsid w:val="008077AA"/>
    <w:rsid w:val="00934931"/>
    <w:rsid w:val="00960D30"/>
    <w:rsid w:val="00A1523B"/>
    <w:rsid w:val="00B23C0B"/>
    <w:rsid w:val="00B4108A"/>
    <w:rsid w:val="00C76D50"/>
    <w:rsid w:val="00CA597F"/>
    <w:rsid w:val="00D20F4D"/>
    <w:rsid w:val="00D249F2"/>
    <w:rsid w:val="00D61C6D"/>
    <w:rsid w:val="00E01BF9"/>
    <w:rsid w:val="00E07956"/>
    <w:rsid w:val="00E719CE"/>
    <w:rsid w:val="00ED07E0"/>
    <w:rsid w:val="00ED6862"/>
    <w:rsid w:val="00F67A82"/>
    <w:rsid w:val="00FB196C"/>
    <w:rsid w:val="00FC5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D50"/>
  </w:style>
  <w:style w:type="paragraph" w:styleId="Heading1">
    <w:name w:val="heading 1"/>
    <w:basedOn w:val="Normal"/>
    <w:next w:val="Normal"/>
    <w:qFormat/>
    <w:rsid w:val="00C76D50"/>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C76D50"/>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C76D50"/>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C76D50"/>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C76D50"/>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6D50"/>
    <w:pPr>
      <w:tabs>
        <w:tab w:val="center" w:pos="4320"/>
        <w:tab w:val="right" w:pos="8640"/>
      </w:tabs>
    </w:pPr>
  </w:style>
  <w:style w:type="paragraph" w:styleId="Footer">
    <w:name w:val="footer"/>
    <w:basedOn w:val="Normal"/>
    <w:rsid w:val="00C76D50"/>
    <w:pPr>
      <w:tabs>
        <w:tab w:val="center" w:pos="4320"/>
        <w:tab w:val="right" w:pos="8640"/>
      </w:tabs>
    </w:pPr>
  </w:style>
  <w:style w:type="character" w:styleId="PageNumber">
    <w:name w:val="page number"/>
    <w:basedOn w:val="DefaultParagraphFont"/>
    <w:rsid w:val="00C76D50"/>
  </w:style>
  <w:style w:type="paragraph" w:styleId="Title">
    <w:name w:val="Title"/>
    <w:basedOn w:val="Normal"/>
    <w:qFormat/>
    <w:rsid w:val="00C76D50"/>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C76D50"/>
    <w:pPr>
      <w:jc w:val="center"/>
    </w:pPr>
    <w:rPr>
      <w:rFonts w:ascii="Lincoln" w:hAnsi="Lincoln"/>
      <w:sz w:val="60"/>
    </w:rPr>
  </w:style>
  <w:style w:type="paragraph" w:styleId="BodyText">
    <w:name w:val="Body Text"/>
    <w:basedOn w:val="Normal"/>
    <w:rsid w:val="00C76D50"/>
    <w:pPr>
      <w:jc w:val="both"/>
    </w:pPr>
    <w:rPr>
      <w:rFonts w:ascii="CG Times" w:hAnsi="CG Times"/>
      <w:snapToGrid w:val="0"/>
    </w:rPr>
  </w:style>
  <w:style w:type="paragraph" w:styleId="BodyText3">
    <w:name w:val="Body Text 3"/>
    <w:basedOn w:val="Normal"/>
    <w:rsid w:val="00C76D50"/>
    <w:rPr>
      <w:i/>
    </w:rPr>
  </w:style>
  <w:style w:type="paragraph" w:styleId="BodyTextIndent">
    <w:name w:val="Body Text Indent"/>
    <w:basedOn w:val="Normal"/>
    <w:rsid w:val="00C76D50"/>
    <w:pPr>
      <w:widowControl w:val="0"/>
      <w:ind w:left="720" w:hanging="720"/>
      <w:jc w:val="both"/>
    </w:pPr>
    <w:rPr>
      <w:snapToGrid w:val="0"/>
      <w:sz w:val="24"/>
    </w:rPr>
  </w:style>
  <w:style w:type="paragraph" w:styleId="BodyTextIndent2">
    <w:name w:val="Body Text Indent 2"/>
    <w:basedOn w:val="Normal"/>
    <w:rsid w:val="00C76D50"/>
    <w:pPr>
      <w:widowControl w:val="0"/>
      <w:tabs>
        <w:tab w:val="left" w:pos="-1440"/>
      </w:tabs>
      <w:ind w:left="360"/>
    </w:pPr>
    <w:rPr>
      <w:snapToGrid w:val="0"/>
      <w:sz w:val="24"/>
    </w:rPr>
  </w:style>
  <w:style w:type="paragraph" w:customStyle="1" w:styleId="TxBrt1">
    <w:name w:val="TxBr_t1"/>
    <w:basedOn w:val="Normal"/>
    <w:rsid w:val="00C76D50"/>
    <w:pPr>
      <w:widowControl w:val="0"/>
      <w:spacing w:line="240" w:lineRule="atLeast"/>
    </w:pPr>
    <w:rPr>
      <w:snapToGrid w:val="0"/>
      <w:sz w:val="24"/>
    </w:rPr>
  </w:style>
  <w:style w:type="paragraph" w:customStyle="1" w:styleId="TxBrt2">
    <w:name w:val="TxBr_t2"/>
    <w:basedOn w:val="Normal"/>
    <w:rsid w:val="00C76D50"/>
    <w:pPr>
      <w:widowControl w:val="0"/>
      <w:spacing w:line="238" w:lineRule="atLeast"/>
    </w:pPr>
    <w:rPr>
      <w:snapToGrid w:val="0"/>
      <w:sz w:val="24"/>
    </w:rPr>
  </w:style>
  <w:style w:type="paragraph" w:customStyle="1" w:styleId="TxBrt3">
    <w:name w:val="TxBr_t3"/>
    <w:basedOn w:val="Normal"/>
    <w:rsid w:val="00C76D50"/>
    <w:pPr>
      <w:widowControl w:val="0"/>
      <w:spacing w:line="238" w:lineRule="atLeast"/>
    </w:pPr>
    <w:rPr>
      <w:snapToGrid w:val="0"/>
      <w:sz w:val="24"/>
    </w:rPr>
  </w:style>
  <w:style w:type="paragraph" w:customStyle="1" w:styleId="TxBrc6">
    <w:name w:val="TxBr_c6"/>
    <w:basedOn w:val="Normal"/>
    <w:rsid w:val="00C76D50"/>
    <w:pPr>
      <w:widowControl w:val="0"/>
      <w:spacing w:line="240" w:lineRule="atLeast"/>
      <w:jc w:val="center"/>
    </w:pPr>
    <w:rPr>
      <w:snapToGrid w:val="0"/>
      <w:sz w:val="24"/>
    </w:rPr>
  </w:style>
  <w:style w:type="paragraph" w:customStyle="1" w:styleId="TxBrc7">
    <w:name w:val="TxBr_c7"/>
    <w:basedOn w:val="Normal"/>
    <w:rsid w:val="00C76D50"/>
    <w:pPr>
      <w:widowControl w:val="0"/>
      <w:spacing w:line="240" w:lineRule="atLeast"/>
      <w:jc w:val="center"/>
    </w:pPr>
    <w:rPr>
      <w:snapToGrid w:val="0"/>
      <w:sz w:val="24"/>
    </w:rPr>
  </w:style>
  <w:style w:type="paragraph" w:customStyle="1" w:styleId="TxBrp8">
    <w:name w:val="TxBr_p8"/>
    <w:basedOn w:val="Normal"/>
    <w:rsid w:val="00C76D50"/>
    <w:pPr>
      <w:widowControl w:val="0"/>
      <w:spacing w:line="238" w:lineRule="atLeast"/>
    </w:pPr>
    <w:rPr>
      <w:snapToGrid w:val="0"/>
      <w:sz w:val="24"/>
    </w:rPr>
  </w:style>
  <w:style w:type="paragraph" w:customStyle="1" w:styleId="TxBrc9">
    <w:name w:val="TxBr_c9"/>
    <w:basedOn w:val="Normal"/>
    <w:rsid w:val="00C76D50"/>
    <w:pPr>
      <w:widowControl w:val="0"/>
      <w:spacing w:line="240" w:lineRule="atLeast"/>
      <w:jc w:val="center"/>
    </w:pPr>
    <w:rPr>
      <w:snapToGrid w:val="0"/>
      <w:sz w:val="24"/>
    </w:rPr>
  </w:style>
  <w:style w:type="paragraph" w:customStyle="1" w:styleId="TxBrp10">
    <w:name w:val="TxBr_p10"/>
    <w:basedOn w:val="Normal"/>
    <w:rsid w:val="00C76D50"/>
    <w:pPr>
      <w:widowControl w:val="0"/>
      <w:spacing w:line="238" w:lineRule="atLeast"/>
    </w:pPr>
    <w:rPr>
      <w:snapToGrid w:val="0"/>
      <w:sz w:val="24"/>
    </w:rPr>
  </w:style>
  <w:style w:type="paragraph" w:customStyle="1" w:styleId="TxBrp11">
    <w:name w:val="TxBr_p11"/>
    <w:basedOn w:val="Normal"/>
    <w:rsid w:val="00C76D50"/>
    <w:pPr>
      <w:widowControl w:val="0"/>
      <w:spacing w:line="240" w:lineRule="atLeast"/>
    </w:pPr>
    <w:rPr>
      <w:snapToGrid w:val="0"/>
      <w:sz w:val="24"/>
    </w:rPr>
  </w:style>
  <w:style w:type="paragraph" w:customStyle="1" w:styleId="TxBrp12">
    <w:name w:val="TxBr_p12"/>
    <w:basedOn w:val="Normal"/>
    <w:rsid w:val="00C76D50"/>
    <w:pPr>
      <w:widowControl w:val="0"/>
      <w:spacing w:line="238" w:lineRule="atLeast"/>
    </w:pPr>
    <w:rPr>
      <w:snapToGrid w:val="0"/>
      <w:sz w:val="24"/>
    </w:rPr>
  </w:style>
  <w:style w:type="paragraph" w:customStyle="1" w:styleId="TxBrt13">
    <w:name w:val="TxBr_t13"/>
    <w:basedOn w:val="Normal"/>
    <w:rsid w:val="00C76D50"/>
    <w:pPr>
      <w:widowControl w:val="0"/>
      <w:spacing w:line="476" w:lineRule="atLeast"/>
    </w:pPr>
    <w:rPr>
      <w:snapToGrid w:val="0"/>
      <w:sz w:val="24"/>
    </w:rPr>
  </w:style>
  <w:style w:type="paragraph" w:customStyle="1" w:styleId="TxBrt14">
    <w:name w:val="TxBr_t14"/>
    <w:basedOn w:val="Normal"/>
    <w:rsid w:val="00C76D50"/>
    <w:pPr>
      <w:widowControl w:val="0"/>
      <w:spacing w:line="238" w:lineRule="atLeast"/>
    </w:pPr>
    <w:rPr>
      <w:snapToGrid w:val="0"/>
      <w:sz w:val="24"/>
    </w:rPr>
  </w:style>
  <w:style w:type="paragraph" w:customStyle="1" w:styleId="TxBrt15">
    <w:name w:val="TxBr_t15"/>
    <w:basedOn w:val="Normal"/>
    <w:rsid w:val="00C76D50"/>
    <w:pPr>
      <w:widowControl w:val="0"/>
      <w:spacing w:line="238" w:lineRule="atLeast"/>
    </w:pPr>
    <w:rPr>
      <w:snapToGrid w:val="0"/>
      <w:sz w:val="24"/>
    </w:rPr>
  </w:style>
  <w:style w:type="paragraph" w:customStyle="1" w:styleId="TxBrt16">
    <w:name w:val="TxBr_t16"/>
    <w:basedOn w:val="Normal"/>
    <w:rsid w:val="00C76D50"/>
    <w:pPr>
      <w:widowControl w:val="0"/>
      <w:spacing w:line="240" w:lineRule="atLeast"/>
    </w:pPr>
    <w:rPr>
      <w:snapToGrid w:val="0"/>
      <w:sz w:val="24"/>
    </w:rPr>
  </w:style>
  <w:style w:type="paragraph" w:customStyle="1" w:styleId="TxBrp17">
    <w:name w:val="TxBr_p17"/>
    <w:basedOn w:val="Normal"/>
    <w:rsid w:val="00C76D50"/>
    <w:pPr>
      <w:widowControl w:val="0"/>
      <w:tabs>
        <w:tab w:val="left" w:pos="2562"/>
      </w:tabs>
      <w:spacing w:line="238" w:lineRule="atLeast"/>
    </w:pPr>
    <w:rPr>
      <w:snapToGrid w:val="0"/>
      <w:sz w:val="24"/>
    </w:rPr>
  </w:style>
  <w:style w:type="paragraph" w:customStyle="1" w:styleId="TxBrp18">
    <w:name w:val="TxBr_p18"/>
    <w:basedOn w:val="Normal"/>
    <w:rsid w:val="00C76D50"/>
    <w:pPr>
      <w:widowControl w:val="0"/>
      <w:spacing w:line="147" w:lineRule="atLeast"/>
    </w:pPr>
    <w:rPr>
      <w:snapToGrid w:val="0"/>
      <w:sz w:val="24"/>
    </w:rPr>
  </w:style>
  <w:style w:type="paragraph" w:customStyle="1" w:styleId="TxBrp19">
    <w:name w:val="TxBr_p19"/>
    <w:basedOn w:val="Normal"/>
    <w:rsid w:val="00C76D50"/>
    <w:pPr>
      <w:widowControl w:val="0"/>
      <w:spacing w:line="240" w:lineRule="atLeast"/>
    </w:pPr>
    <w:rPr>
      <w:snapToGrid w:val="0"/>
      <w:sz w:val="24"/>
    </w:rPr>
  </w:style>
  <w:style w:type="paragraph" w:customStyle="1" w:styleId="TxBrp20">
    <w:name w:val="TxBr_p20"/>
    <w:basedOn w:val="Normal"/>
    <w:rsid w:val="00C76D50"/>
    <w:pPr>
      <w:widowControl w:val="0"/>
      <w:spacing w:line="238" w:lineRule="atLeast"/>
    </w:pPr>
    <w:rPr>
      <w:snapToGrid w:val="0"/>
      <w:sz w:val="24"/>
    </w:rPr>
  </w:style>
  <w:style w:type="paragraph" w:customStyle="1" w:styleId="TxBrp21">
    <w:name w:val="TxBr_p21"/>
    <w:basedOn w:val="Normal"/>
    <w:rsid w:val="00C76D50"/>
    <w:pPr>
      <w:widowControl w:val="0"/>
      <w:spacing w:line="238" w:lineRule="atLeast"/>
    </w:pPr>
    <w:rPr>
      <w:snapToGrid w:val="0"/>
      <w:sz w:val="24"/>
    </w:rPr>
  </w:style>
  <w:style w:type="paragraph" w:customStyle="1" w:styleId="TxBrp22">
    <w:name w:val="TxBr_p22"/>
    <w:basedOn w:val="Normal"/>
    <w:rsid w:val="00C76D50"/>
    <w:pPr>
      <w:widowControl w:val="0"/>
      <w:spacing w:line="238" w:lineRule="atLeast"/>
      <w:ind w:left="1099" w:hanging="260"/>
    </w:pPr>
    <w:rPr>
      <w:snapToGrid w:val="0"/>
      <w:sz w:val="24"/>
    </w:rPr>
  </w:style>
  <w:style w:type="paragraph" w:customStyle="1" w:styleId="TxBrp23">
    <w:name w:val="TxBr_p23"/>
    <w:basedOn w:val="Normal"/>
    <w:rsid w:val="00C76D50"/>
    <w:pPr>
      <w:widowControl w:val="0"/>
      <w:tabs>
        <w:tab w:val="left" w:pos="289"/>
      </w:tabs>
      <w:spacing w:line="238" w:lineRule="atLeast"/>
      <w:ind w:left="1071" w:hanging="289"/>
    </w:pPr>
    <w:rPr>
      <w:snapToGrid w:val="0"/>
      <w:sz w:val="24"/>
    </w:rPr>
  </w:style>
  <w:style w:type="paragraph" w:customStyle="1" w:styleId="TxBrp24">
    <w:name w:val="TxBr_p24"/>
    <w:basedOn w:val="Normal"/>
    <w:rsid w:val="00C76D50"/>
    <w:pPr>
      <w:widowControl w:val="0"/>
      <w:spacing w:line="238" w:lineRule="atLeast"/>
    </w:pPr>
    <w:rPr>
      <w:snapToGrid w:val="0"/>
      <w:sz w:val="24"/>
    </w:rPr>
  </w:style>
  <w:style w:type="character" w:styleId="Hyperlink">
    <w:name w:val="Hyperlink"/>
    <w:basedOn w:val="DefaultParagraphFont"/>
    <w:rsid w:val="00C76D50"/>
    <w:rPr>
      <w:color w:val="0000FF"/>
      <w:u w:val="single"/>
    </w:rPr>
  </w:style>
  <w:style w:type="paragraph" w:styleId="FootnoteText">
    <w:name w:val="footnote text"/>
    <w:basedOn w:val="Normal"/>
    <w:semiHidden/>
    <w:rsid w:val="00C76D50"/>
  </w:style>
  <w:style w:type="character" w:styleId="FootnoteReference">
    <w:name w:val="footnote reference"/>
    <w:basedOn w:val="DefaultParagraphFont"/>
    <w:semiHidden/>
    <w:rsid w:val="00C76D50"/>
    <w:rPr>
      <w:vertAlign w:val="superscript"/>
    </w:rPr>
  </w:style>
  <w:style w:type="paragraph" w:styleId="BalloonText">
    <w:name w:val="Balloon Text"/>
    <w:basedOn w:val="Normal"/>
    <w:link w:val="BalloonTextChar"/>
    <w:uiPriority w:val="99"/>
    <w:semiHidden/>
    <w:unhideWhenUsed/>
    <w:rsid w:val="00071BED"/>
    <w:rPr>
      <w:rFonts w:ascii="Tahoma" w:hAnsi="Tahoma" w:cs="Tahoma"/>
      <w:sz w:val="16"/>
      <w:szCs w:val="16"/>
    </w:rPr>
  </w:style>
  <w:style w:type="character" w:customStyle="1" w:styleId="BalloonTextChar">
    <w:name w:val="Balloon Text Char"/>
    <w:basedOn w:val="DefaultParagraphFont"/>
    <w:link w:val="BalloonText"/>
    <w:uiPriority w:val="99"/>
    <w:semiHidden/>
    <w:rsid w:val="00071B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D50"/>
  </w:style>
  <w:style w:type="paragraph" w:styleId="Heading1">
    <w:name w:val="heading 1"/>
    <w:basedOn w:val="Normal"/>
    <w:next w:val="Normal"/>
    <w:qFormat/>
    <w:rsid w:val="00C76D50"/>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C76D50"/>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C76D50"/>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C76D50"/>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C76D50"/>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6D50"/>
    <w:pPr>
      <w:tabs>
        <w:tab w:val="center" w:pos="4320"/>
        <w:tab w:val="right" w:pos="8640"/>
      </w:tabs>
    </w:pPr>
  </w:style>
  <w:style w:type="paragraph" w:styleId="Footer">
    <w:name w:val="footer"/>
    <w:basedOn w:val="Normal"/>
    <w:rsid w:val="00C76D50"/>
    <w:pPr>
      <w:tabs>
        <w:tab w:val="center" w:pos="4320"/>
        <w:tab w:val="right" w:pos="8640"/>
      </w:tabs>
    </w:pPr>
  </w:style>
  <w:style w:type="character" w:styleId="PageNumber">
    <w:name w:val="page number"/>
    <w:basedOn w:val="DefaultParagraphFont"/>
    <w:rsid w:val="00C76D50"/>
  </w:style>
  <w:style w:type="paragraph" w:styleId="Title">
    <w:name w:val="Title"/>
    <w:basedOn w:val="Normal"/>
    <w:qFormat/>
    <w:rsid w:val="00C76D50"/>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C76D50"/>
    <w:pPr>
      <w:jc w:val="center"/>
    </w:pPr>
    <w:rPr>
      <w:rFonts w:ascii="Lincoln" w:hAnsi="Lincoln"/>
      <w:sz w:val="60"/>
    </w:rPr>
  </w:style>
  <w:style w:type="paragraph" w:styleId="BodyText">
    <w:name w:val="Body Text"/>
    <w:basedOn w:val="Normal"/>
    <w:rsid w:val="00C76D50"/>
    <w:pPr>
      <w:jc w:val="both"/>
    </w:pPr>
    <w:rPr>
      <w:rFonts w:ascii="CG Times" w:hAnsi="CG Times"/>
      <w:snapToGrid w:val="0"/>
    </w:rPr>
  </w:style>
  <w:style w:type="paragraph" w:styleId="BodyText3">
    <w:name w:val="Body Text 3"/>
    <w:basedOn w:val="Normal"/>
    <w:rsid w:val="00C76D50"/>
    <w:rPr>
      <w:i/>
    </w:rPr>
  </w:style>
  <w:style w:type="paragraph" w:styleId="BodyTextIndent">
    <w:name w:val="Body Text Indent"/>
    <w:basedOn w:val="Normal"/>
    <w:rsid w:val="00C76D50"/>
    <w:pPr>
      <w:widowControl w:val="0"/>
      <w:ind w:left="720" w:hanging="720"/>
      <w:jc w:val="both"/>
    </w:pPr>
    <w:rPr>
      <w:snapToGrid w:val="0"/>
      <w:sz w:val="24"/>
    </w:rPr>
  </w:style>
  <w:style w:type="paragraph" w:styleId="BodyTextIndent2">
    <w:name w:val="Body Text Indent 2"/>
    <w:basedOn w:val="Normal"/>
    <w:rsid w:val="00C76D50"/>
    <w:pPr>
      <w:widowControl w:val="0"/>
      <w:tabs>
        <w:tab w:val="left" w:pos="-1440"/>
      </w:tabs>
      <w:ind w:left="360"/>
    </w:pPr>
    <w:rPr>
      <w:snapToGrid w:val="0"/>
      <w:sz w:val="24"/>
    </w:rPr>
  </w:style>
  <w:style w:type="paragraph" w:customStyle="1" w:styleId="TxBrt1">
    <w:name w:val="TxBr_t1"/>
    <w:basedOn w:val="Normal"/>
    <w:rsid w:val="00C76D50"/>
    <w:pPr>
      <w:widowControl w:val="0"/>
      <w:spacing w:line="240" w:lineRule="atLeast"/>
    </w:pPr>
    <w:rPr>
      <w:snapToGrid w:val="0"/>
      <w:sz w:val="24"/>
    </w:rPr>
  </w:style>
  <w:style w:type="paragraph" w:customStyle="1" w:styleId="TxBrt2">
    <w:name w:val="TxBr_t2"/>
    <w:basedOn w:val="Normal"/>
    <w:rsid w:val="00C76D50"/>
    <w:pPr>
      <w:widowControl w:val="0"/>
      <w:spacing w:line="238" w:lineRule="atLeast"/>
    </w:pPr>
    <w:rPr>
      <w:snapToGrid w:val="0"/>
      <w:sz w:val="24"/>
    </w:rPr>
  </w:style>
  <w:style w:type="paragraph" w:customStyle="1" w:styleId="TxBrt3">
    <w:name w:val="TxBr_t3"/>
    <w:basedOn w:val="Normal"/>
    <w:rsid w:val="00C76D50"/>
    <w:pPr>
      <w:widowControl w:val="0"/>
      <w:spacing w:line="238" w:lineRule="atLeast"/>
    </w:pPr>
    <w:rPr>
      <w:snapToGrid w:val="0"/>
      <w:sz w:val="24"/>
    </w:rPr>
  </w:style>
  <w:style w:type="paragraph" w:customStyle="1" w:styleId="TxBrc6">
    <w:name w:val="TxBr_c6"/>
    <w:basedOn w:val="Normal"/>
    <w:rsid w:val="00C76D50"/>
    <w:pPr>
      <w:widowControl w:val="0"/>
      <w:spacing w:line="240" w:lineRule="atLeast"/>
      <w:jc w:val="center"/>
    </w:pPr>
    <w:rPr>
      <w:snapToGrid w:val="0"/>
      <w:sz w:val="24"/>
    </w:rPr>
  </w:style>
  <w:style w:type="paragraph" w:customStyle="1" w:styleId="TxBrc7">
    <w:name w:val="TxBr_c7"/>
    <w:basedOn w:val="Normal"/>
    <w:rsid w:val="00C76D50"/>
    <w:pPr>
      <w:widowControl w:val="0"/>
      <w:spacing w:line="240" w:lineRule="atLeast"/>
      <w:jc w:val="center"/>
    </w:pPr>
    <w:rPr>
      <w:snapToGrid w:val="0"/>
      <w:sz w:val="24"/>
    </w:rPr>
  </w:style>
  <w:style w:type="paragraph" w:customStyle="1" w:styleId="TxBrp8">
    <w:name w:val="TxBr_p8"/>
    <w:basedOn w:val="Normal"/>
    <w:rsid w:val="00C76D50"/>
    <w:pPr>
      <w:widowControl w:val="0"/>
      <w:spacing w:line="238" w:lineRule="atLeast"/>
    </w:pPr>
    <w:rPr>
      <w:snapToGrid w:val="0"/>
      <w:sz w:val="24"/>
    </w:rPr>
  </w:style>
  <w:style w:type="paragraph" w:customStyle="1" w:styleId="TxBrc9">
    <w:name w:val="TxBr_c9"/>
    <w:basedOn w:val="Normal"/>
    <w:rsid w:val="00C76D50"/>
    <w:pPr>
      <w:widowControl w:val="0"/>
      <w:spacing w:line="240" w:lineRule="atLeast"/>
      <w:jc w:val="center"/>
    </w:pPr>
    <w:rPr>
      <w:snapToGrid w:val="0"/>
      <w:sz w:val="24"/>
    </w:rPr>
  </w:style>
  <w:style w:type="paragraph" w:customStyle="1" w:styleId="TxBrp10">
    <w:name w:val="TxBr_p10"/>
    <w:basedOn w:val="Normal"/>
    <w:rsid w:val="00C76D50"/>
    <w:pPr>
      <w:widowControl w:val="0"/>
      <w:spacing w:line="238" w:lineRule="atLeast"/>
    </w:pPr>
    <w:rPr>
      <w:snapToGrid w:val="0"/>
      <w:sz w:val="24"/>
    </w:rPr>
  </w:style>
  <w:style w:type="paragraph" w:customStyle="1" w:styleId="TxBrp11">
    <w:name w:val="TxBr_p11"/>
    <w:basedOn w:val="Normal"/>
    <w:rsid w:val="00C76D50"/>
    <w:pPr>
      <w:widowControl w:val="0"/>
      <w:spacing w:line="240" w:lineRule="atLeast"/>
    </w:pPr>
    <w:rPr>
      <w:snapToGrid w:val="0"/>
      <w:sz w:val="24"/>
    </w:rPr>
  </w:style>
  <w:style w:type="paragraph" w:customStyle="1" w:styleId="TxBrp12">
    <w:name w:val="TxBr_p12"/>
    <w:basedOn w:val="Normal"/>
    <w:rsid w:val="00C76D50"/>
    <w:pPr>
      <w:widowControl w:val="0"/>
      <w:spacing w:line="238" w:lineRule="atLeast"/>
    </w:pPr>
    <w:rPr>
      <w:snapToGrid w:val="0"/>
      <w:sz w:val="24"/>
    </w:rPr>
  </w:style>
  <w:style w:type="paragraph" w:customStyle="1" w:styleId="TxBrt13">
    <w:name w:val="TxBr_t13"/>
    <w:basedOn w:val="Normal"/>
    <w:rsid w:val="00C76D50"/>
    <w:pPr>
      <w:widowControl w:val="0"/>
      <w:spacing w:line="476" w:lineRule="atLeast"/>
    </w:pPr>
    <w:rPr>
      <w:snapToGrid w:val="0"/>
      <w:sz w:val="24"/>
    </w:rPr>
  </w:style>
  <w:style w:type="paragraph" w:customStyle="1" w:styleId="TxBrt14">
    <w:name w:val="TxBr_t14"/>
    <w:basedOn w:val="Normal"/>
    <w:rsid w:val="00C76D50"/>
    <w:pPr>
      <w:widowControl w:val="0"/>
      <w:spacing w:line="238" w:lineRule="atLeast"/>
    </w:pPr>
    <w:rPr>
      <w:snapToGrid w:val="0"/>
      <w:sz w:val="24"/>
    </w:rPr>
  </w:style>
  <w:style w:type="paragraph" w:customStyle="1" w:styleId="TxBrt15">
    <w:name w:val="TxBr_t15"/>
    <w:basedOn w:val="Normal"/>
    <w:rsid w:val="00C76D50"/>
    <w:pPr>
      <w:widowControl w:val="0"/>
      <w:spacing w:line="238" w:lineRule="atLeast"/>
    </w:pPr>
    <w:rPr>
      <w:snapToGrid w:val="0"/>
      <w:sz w:val="24"/>
    </w:rPr>
  </w:style>
  <w:style w:type="paragraph" w:customStyle="1" w:styleId="TxBrt16">
    <w:name w:val="TxBr_t16"/>
    <w:basedOn w:val="Normal"/>
    <w:rsid w:val="00C76D50"/>
    <w:pPr>
      <w:widowControl w:val="0"/>
      <w:spacing w:line="240" w:lineRule="atLeast"/>
    </w:pPr>
    <w:rPr>
      <w:snapToGrid w:val="0"/>
      <w:sz w:val="24"/>
    </w:rPr>
  </w:style>
  <w:style w:type="paragraph" w:customStyle="1" w:styleId="TxBrp17">
    <w:name w:val="TxBr_p17"/>
    <w:basedOn w:val="Normal"/>
    <w:rsid w:val="00C76D50"/>
    <w:pPr>
      <w:widowControl w:val="0"/>
      <w:tabs>
        <w:tab w:val="left" w:pos="2562"/>
      </w:tabs>
      <w:spacing w:line="238" w:lineRule="atLeast"/>
    </w:pPr>
    <w:rPr>
      <w:snapToGrid w:val="0"/>
      <w:sz w:val="24"/>
    </w:rPr>
  </w:style>
  <w:style w:type="paragraph" w:customStyle="1" w:styleId="TxBrp18">
    <w:name w:val="TxBr_p18"/>
    <w:basedOn w:val="Normal"/>
    <w:rsid w:val="00C76D50"/>
    <w:pPr>
      <w:widowControl w:val="0"/>
      <w:spacing w:line="147" w:lineRule="atLeast"/>
    </w:pPr>
    <w:rPr>
      <w:snapToGrid w:val="0"/>
      <w:sz w:val="24"/>
    </w:rPr>
  </w:style>
  <w:style w:type="paragraph" w:customStyle="1" w:styleId="TxBrp19">
    <w:name w:val="TxBr_p19"/>
    <w:basedOn w:val="Normal"/>
    <w:rsid w:val="00C76D50"/>
    <w:pPr>
      <w:widowControl w:val="0"/>
      <w:spacing w:line="240" w:lineRule="atLeast"/>
    </w:pPr>
    <w:rPr>
      <w:snapToGrid w:val="0"/>
      <w:sz w:val="24"/>
    </w:rPr>
  </w:style>
  <w:style w:type="paragraph" w:customStyle="1" w:styleId="TxBrp20">
    <w:name w:val="TxBr_p20"/>
    <w:basedOn w:val="Normal"/>
    <w:rsid w:val="00C76D50"/>
    <w:pPr>
      <w:widowControl w:val="0"/>
      <w:spacing w:line="238" w:lineRule="atLeast"/>
    </w:pPr>
    <w:rPr>
      <w:snapToGrid w:val="0"/>
      <w:sz w:val="24"/>
    </w:rPr>
  </w:style>
  <w:style w:type="paragraph" w:customStyle="1" w:styleId="TxBrp21">
    <w:name w:val="TxBr_p21"/>
    <w:basedOn w:val="Normal"/>
    <w:rsid w:val="00C76D50"/>
    <w:pPr>
      <w:widowControl w:val="0"/>
      <w:spacing w:line="238" w:lineRule="atLeast"/>
    </w:pPr>
    <w:rPr>
      <w:snapToGrid w:val="0"/>
      <w:sz w:val="24"/>
    </w:rPr>
  </w:style>
  <w:style w:type="paragraph" w:customStyle="1" w:styleId="TxBrp22">
    <w:name w:val="TxBr_p22"/>
    <w:basedOn w:val="Normal"/>
    <w:rsid w:val="00C76D50"/>
    <w:pPr>
      <w:widowControl w:val="0"/>
      <w:spacing w:line="238" w:lineRule="atLeast"/>
      <w:ind w:left="1099" w:hanging="260"/>
    </w:pPr>
    <w:rPr>
      <w:snapToGrid w:val="0"/>
      <w:sz w:val="24"/>
    </w:rPr>
  </w:style>
  <w:style w:type="paragraph" w:customStyle="1" w:styleId="TxBrp23">
    <w:name w:val="TxBr_p23"/>
    <w:basedOn w:val="Normal"/>
    <w:rsid w:val="00C76D50"/>
    <w:pPr>
      <w:widowControl w:val="0"/>
      <w:tabs>
        <w:tab w:val="left" w:pos="289"/>
      </w:tabs>
      <w:spacing w:line="238" w:lineRule="atLeast"/>
      <w:ind w:left="1071" w:hanging="289"/>
    </w:pPr>
    <w:rPr>
      <w:snapToGrid w:val="0"/>
      <w:sz w:val="24"/>
    </w:rPr>
  </w:style>
  <w:style w:type="paragraph" w:customStyle="1" w:styleId="TxBrp24">
    <w:name w:val="TxBr_p24"/>
    <w:basedOn w:val="Normal"/>
    <w:rsid w:val="00C76D50"/>
    <w:pPr>
      <w:widowControl w:val="0"/>
      <w:spacing w:line="238" w:lineRule="atLeast"/>
    </w:pPr>
    <w:rPr>
      <w:snapToGrid w:val="0"/>
      <w:sz w:val="24"/>
    </w:rPr>
  </w:style>
  <w:style w:type="character" w:styleId="Hyperlink">
    <w:name w:val="Hyperlink"/>
    <w:basedOn w:val="DefaultParagraphFont"/>
    <w:rsid w:val="00C76D50"/>
    <w:rPr>
      <w:color w:val="0000FF"/>
      <w:u w:val="single"/>
    </w:rPr>
  </w:style>
  <w:style w:type="paragraph" w:styleId="FootnoteText">
    <w:name w:val="footnote text"/>
    <w:basedOn w:val="Normal"/>
    <w:semiHidden/>
    <w:rsid w:val="00C76D50"/>
  </w:style>
  <w:style w:type="character" w:styleId="FootnoteReference">
    <w:name w:val="footnote reference"/>
    <w:basedOn w:val="DefaultParagraphFont"/>
    <w:semiHidden/>
    <w:rsid w:val="00C76D50"/>
    <w:rPr>
      <w:vertAlign w:val="superscript"/>
    </w:rPr>
  </w:style>
  <w:style w:type="paragraph" w:styleId="BalloonText">
    <w:name w:val="Balloon Text"/>
    <w:basedOn w:val="Normal"/>
    <w:link w:val="BalloonTextChar"/>
    <w:uiPriority w:val="99"/>
    <w:semiHidden/>
    <w:unhideWhenUsed/>
    <w:rsid w:val="00071BED"/>
    <w:rPr>
      <w:rFonts w:ascii="Tahoma" w:hAnsi="Tahoma" w:cs="Tahoma"/>
      <w:sz w:val="16"/>
      <w:szCs w:val="16"/>
    </w:rPr>
  </w:style>
  <w:style w:type="character" w:customStyle="1" w:styleId="BalloonTextChar">
    <w:name w:val="Balloon Text Char"/>
    <w:basedOn w:val="DefaultParagraphFont"/>
    <w:link w:val="BalloonText"/>
    <w:uiPriority w:val="99"/>
    <w:semiHidden/>
    <w:rsid w:val="00071B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785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Word_97_-_2003_Document1.doc"/><Relationship Id="rId13" Type="http://schemas.openxmlformats.org/officeDocument/2006/relationships/hyperlink" Target="http://www.nist.gov/srm/upload/SP260-136.PDF" TargetMode="External"/><Relationship Id="rId18" Type="http://schemas.openxmlformats.org/officeDocument/2006/relationships/footer" Target="footer3.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oleObject" Target="embeddings/oleObject1.bin"/><Relationship Id="rId17" Type="http://schemas.openxmlformats.org/officeDocument/2006/relationships/hyperlink" Target="mailto:srminfo@nsit.gov" TargetMode="External"/><Relationship Id="rId2" Type="http://schemas.openxmlformats.org/officeDocument/2006/relationships/styles" Target="styles.xml"/><Relationship Id="rId16" Type="http://schemas.openxmlformats.org/officeDocument/2006/relationships/hyperlink" Target="http://www.nist.gov/pml/pubs/index.cf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yperlink" Target="http://www.bipm.org/utils/common/documents/jcgm/JCGM_100_2008_E.pdf"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nist.gov/pml/pubs/sp811/indexfull.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1135</Words>
  <Characters>7099</Characters>
  <Application>Microsoft Office Word</Application>
  <DocSecurity>0</DocSecurity>
  <Lines>169</Lines>
  <Paragraphs>41</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8193</CharactersWithSpaces>
  <SharedDoc>false</SharedDoc>
  <HLinks>
    <vt:vector size="12" baseType="variant">
      <vt:variant>
        <vt:i4>3866647</vt:i4>
      </vt:variant>
      <vt:variant>
        <vt:i4>3</vt:i4>
      </vt:variant>
      <vt:variant>
        <vt:i4>0</vt:i4>
      </vt:variant>
      <vt:variant>
        <vt:i4>5</vt:i4>
      </vt:variant>
      <vt:variant>
        <vt:lpwstr>mailto:srminfo@nsit.gov</vt:lpwstr>
      </vt:variant>
      <vt:variant>
        <vt:lpwstr/>
      </vt:variant>
      <vt:variant>
        <vt:i4>6553710</vt:i4>
      </vt:variant>
      <vt:variant>
        <vt:i4>0</vt:i4>
      </vt:variant>
      <vt:variant>
        <vt:i4>0</vt:i4>
      </vt:variant>
      <vt:variant>
        <vt:i4>5</vt:i4>
      </vt:variant>
      <vt:variant>
        <vt:lpwstr>http://physics.nist.gov/Pubs/)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creator>SRMP</dc:creator>
  <cp:lastModifiedBy>cab4</cp:lastModifiedBy>
  <cp:revision>4</cp:revision>
  <cp:lastPrinted>2012-06-20T17:58:00Z</cp:lastPrinted>
  <dcterms:created xsi:type="dcterms:W3CDTF">2012-06-20T17:57:00Z</dcterms:created>
  <dcterms:modified xsi:type="dcterms:W3CDTF">2012-06-20T17:58:00Z</dcterms:modified>
</cp:coreProperties>
</file>