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D6DD7F" w14:textId="77777777" w:rsidR="006C26E2" w:rsidRPr="00EB0C56" w:rsidRDefault="004229DB" w:rsidP="00357FC1">
      <w:pPr>
        <w:pStyle w:val="Title"/>
        <w:widowControl/>
        <w:rPr>
          <w:rFonts w:ascii="Linotext" w:hAnsi="Linotext"/>
          <w:szCs w:val="44"/>
        </w:rPr>
      </w:pPr>
      <w:r>
        <w:rPr>
          <w:rFonts w:ascii="Linotext" w:hAnsi="Linotext"/>
          <w:noProof/>
          <w:szCs w:val="44"/>
        </w:rPr>
        <w:object w:dxaOrig="1440" w:dyaOrig="1440" w14:anchorId="540D2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36.7pt;margin-top:-16.15pt;width:96.05pt;height:63.8pt;z-index:-251658752" fillcolor="window">
            <v:imagedata r:id="rId8" o:title=""/>
          </v:shape>
          <o:OLEObject Type="Embed" ProgID="Word.Document.8" ShapeID="_x0000_s1034" DrawAspect="Content" ObjectID="_1539588767" r:id="rId9">
            <o:FieldCodes>\s</o:FieldCodes>
          </o:OLEObject>
        </w:object>
      </w:r>
      <w:r w:rsidR="006C26E2" w:rsidRPr="00EB0C56">
        <w:rPr>
          <w:rFonts w:ascii="Linotext" w:hAnsi="Linotext"/>
        </w:rPr>
        <w:t>National Institute of Standards &amp; Technology</w:t>
      </w:r>
    </w:p>
    <w:p w14:paraId="6BFC340A" w14:textId="77777777" w:rsidR="006C26E2" w:rsidRPr="005E35FB" w:rsidRDefault="006C26E2" w:rsidP="00357FC1">
      <w:pPr>
        <w:pStyle w:val="Subtitle"/>
        <w:rPr>
          <w:rFonts w:ascii="Times New Roman" w:hAnsi="Times New Roman"/>
          <w:sz w:val="20"/>
        </w:rPr>
      </w:pPr>
    </w:p>
    <w:p w14:paraId="45655AD8" w14:textId="77777777" w:rsidR="006C26E2" w:rsidRPr="00EF57AF" w:rsidRDefault="006C26E2" w:rsidP="00357FC1">
      <w:pPr>
        <w:pStyle w:val="Subtitle"/>
        <w:rPr>
          <w:rFonts w:ascii="Linotext" w:hAnsi="Linotext"/>
        </w:rPr>
      </w:pPr>
      <w:r w:rsidRPr="00EF57AF">
        <w:rPr>
          <w:rFonts w:ascii="Linotext" w:hAnsi="Linotext"/>
        </w:rPr>
        <w:t>Certificate of Analysis</w:t>
      </w:r>
    </w:p>
    <w:p w14:paraId="5C5AEA02" w14:textId="77777777" w:rsidR="00D34DB5" w:rsidRPr="005E35FB" w:rsidRDefault="00D34DB5" w:rsidP="00357FC1">
      <w:pPr>
        <w:jc w:val="center"/>
        <w:rPr>
          <w:rFonts w:ascii="Linotext" w:hAnsi="Linotext"/>
          <w:sz w:val="20"/>
          <w:szCs w:val="20"/>
        </w:rPr>
      </w:pPr>
    </w:p>
    <w:p w14:paraId="26D02AE4" w14:textId="61B73105" w:rsidR="00D34DB5" w:rsidRDefault="00D34DB5" w:rsidP="00357FC1">
      <w:pPr>
        <w:jc w:val="center"/>
        <w:rPr>
          <w:sz w:val="36"/>
          <w:szCs w:val="36"/>
        </w:rPr>
      </w:pPr>
      <w:r w:rsidRPr="00D34DB5">
        <w:rPr>
          <w:sz w:val="36"/>
          <w:szCs w:val="36"/>
        </w:rPr>
        <w:t>Standard Reference Material</w:t>
      </w:r>
      <w:r w:rsidRPr="00D34DB5">
        <w:rPr>
          <w:sz w:val="36"/>
          <w:szCs w:val="36"/>
          <w:vertAlign w:val="superscript"/>
        </w:rPr>
        <w:t>®</w:t>
      </w:r>
      <w:r w:rsidR="001953FB">
        <w:rPr>
          <w:sz w:val="36"/>
          <w:szCs w:val="36"/>
        </w:rPr>
        <w:t> </w:t>
      </w:r>
      <w:r w:rsidR="00511720">
        <w:rPr>
          <w:sz w:val="36"/>
          <w:szCs w:val="36"/>
        </w:rPr>
        <w:t>3239</w:t>
      </w:r>
    </w:p>
    <w:p w14:paraId="1B0A3057" w14:textId="77777777" w:rsidR="00D34DB5" w:rsidRPr="005E35FB" w:rsidRDefault="00D34DB5" w:rsidP="00357FC1">
      <w:pPr>
        <w:jc w:val="center"/>
        <w:rPr>
          <w:sz w:val="20"/>
          <w:szCs w:val="20"/>
        </w:rPr>
      </w:pPr>
    </w:p>
    <w:p w14:paraId="70ED4654" w14:textId="6DE34154" w:rsidR="00D34DB5" w:rsidRPr="00840204" w:rsidRDefault="00511720" w:rsidP="00357FC1">
      <w:pPr>
        <w:jc w:val="center"/>
        <w:rPr>
          <w:sz w:val="28"/>
          <w:szCs w:val="28"/>
        </w:rPr>
      </w:pPr>
      <w:proofErr w:type="spellStart"/>
      <w:r>
        <w:rPr>
          <w:sz w:val="28"/>
          <w:szCs w:val="28"/>
        </w:rPr>
        <w:t>Isoflavones</w:t>
      </w:r>
      <w:proofErr w:type="spellEnd"/>
      <w:r w:rsidR="00B000D5" w:rsidRPr="00B000D5">
        <w:rPr>
          <w:sz w:val="28"/>
          <w:szCs w:val="28"/>
        </w:rPr>
        <w:t xml:space="preserve"> Calibration Solutions</w:t>
      </w:r>
    </w:p>
    <w:p w14:paraId="59B004B7" w14:textId="77777777" w:rsidR="00D34DB5" w:rsidRPr="005E35FB" w:rsidRDefault="00D34DB5" w:rsidP="00357FC1">
      <w:pPr>
        <w:jc w:val="center"/>
        <w:rPr>
          <w:sz w:val="20"/>
          <w:szCs w:val="20"/>
        </w:rPr>
      </w:pPr>
    </w:p>
    <w:p w14:paraId="6D67B6BF" w14:textId="2652E736" w:rsidR="00511720" w:rsidRPr="005D0843" w:rsidRDefault="00511720" w:rsidP="00357FC1">
      <w:pPr>
        <w:jc w:val="both"/>
        <w:rPr>
          <w:sz w:val="20"/>
          <w:szCs w:val="20"/>
        </w:rPr>
      </w:pPr>
      <w:r w:rsidRPr="005D0843">
        <w:rPr>
          <w:sz w:val="20"/>
          <w:szCs w:val="20"/>
        </w:rPr>
        <w:t>This Standard Reference Material</w:t>
      </w:r>
      <w:r w:rsidR="00982158" w:rsidRPr="005D0843">
        <w:rPr>
          <w:sz w:val="20"/>
          <w:szCs w:val="20"/>
        </w:rPr>
        <w:t> </w:t>
      </w:r>
      <w:r w:rsidRPr="005D0843">
        <w:rPr>
          <w:sz w:val="20"/>
          <w:szCs w:val="20"/>
        </w:rPr>
        <w:t xml:space="preserve">(SRM) </w:t>
      </w:r>
      <w:r w:rsidR="00982158" w:rsidRPr="005D0843">
        <w:rPr>
          <w:sz w:val="20"/>
          <w:szCs w:val="20"/>
        </w:rPr>
        <w:t xml:space="preserve">is intended primarily for use in calibration of instruments and techniques used for the determination of </w:t>
      </w:r>
      <w:proofErr w:type="spellStart"/>
      <w:r w:rsidR="00982158" w:rsidRPr="005D0843">
        <w:rPr>
          <w:sz w:val="20"/>
          <w:szCs w:val="20"/>
        </w:rPr>
        <w:t>isoflavones</w:t>
      </w:r>
      <w:proofErr w:type="spellEnd"/>
      <w:r w:rsidR="00982158" w:rsidRPr="005D0843">
        <w:rPr>
          <w:sz w:val="20"/>
          <w:szCs w:val="20"/>
        </w:rPr>
        <w:t xml:space="preserve">.  </w:t>
      </w:r>
      <w:r w:rsidR="004229DB" w:rsidRPr="004229DB">
        <w:rPr>
          <w:sz w:val="20"/>
          <w:szCs w:val="20"/>
        </w:rPr>
        <w:t xml:space="preserve">SRM 3239 consists of two solutions containing </w:t>
      </w:r>
      <w:proofErr w:type="spellStart"/>
      <w:r w:rsidR="004229DB" w:rsidRPr="004229DB">
        <w:rPr>
          <w:sz w:val="20"/>
          <w:szCs w:val="20"/>
        </w:rPr>
        <w:t>isoflavones</w:t>
      </w:r>
      <w:proofErr w:type="spellEnd"/>
      <w:r w:rsidR="004229DB" w:rsidRPr="004229DB">
        <w:rPr>
          <w:sz w:val="20"/>
          <w:szCs w:val="20"/>
        </w:rPr>
        <w:t xml:space="preserve"> at levels that reflect the mass fraction ratios found in soy products:  Solution 1, </w:t>
      </w:r>
      <w:proofErr w:type="spellStart"/>
      <w:r w:rsidR="004229DB" w:rsidRPr="004229DB">
        <w:rPr>
          <w:sz w:val="20"/>
          <w:szCs w:val="20"/>
        </w:rPr>
        <w:t>Isoflavone</w:t>
      </w:r>
      <w:proofErr w:type="spellEnd"/>
      <w:r w:rsidR="004229DB" w:rsidRPr="004229DB">
        <w:rPr>
          <w:sz w:val="20"/>
          <w:szCs w:val="20"/>
        </w:rPr>
        <w:t xml:space="preserve"> Glycosides (</w:t>
      </w:r>
      <w:proofErr w:type="spellStart"/>
      <w:r w:rsidR="004229DB" w:rsidRPr="004229DB">
        <w:rPr>
          <w:sz w:val="20"/>
          <w:szCs w:val="20"/>
        </w:rPr>
        <w:t>daidzin</w:t>
      </w:r>
      <w:proofErr w:type="spellEnd"/>
      <w:r w:rsidR="004229DB" w:rsidRPr="004229DB">
        <w:rPr>
          <w:sz w:val="20"/>
          <w:szCs w:val="20"/>
        </w:rPr>
        <w:t xml:space="preserve">, </w:t>
      </w:r>
      <w:proofErr w:type="spellStart"/>
      <w:r w:rsidR="004229DB" w:rsidRPr="004229DB">
        <w:rPr>
          <w:sz w:val="20"/>
          <w:szCs w:val="20"/>
        </w:rPr>
        <w:t>genistin</w:t>
      </w:r>
      <w:proofErr w:type="spellEnd"/>
      <w:r w:rsidR="004229DB" w:rsidRPr="004229DB">
        <w:rPr>
          <w:sz w:val="20"/>
          <w:szCs w:val="20"/>
        </w:rPr>
        <w:t xml:space="preserve">, and </w:t>
      </w:r>
      <w:proofErr w:type="spellStart"/>
      <w:r w:rsidR="004229DB" w:rsidRPr="004229DB">
        <w:rPr>
          <w:sz w:val="20"/>
          <w:szCs w:val="20"/>
        </w:rPr>
        <w:t>glycitin</w:t>
      </w:r>
      <w:proofErr w:type="spellEnd"/>
      <w:r w:rsidR="004229DB" w:rsidRPr="004229DB">
        <w:rPr>
          <w:sz w:val="20"/>
          <w:szCs w:val="20"/>
        </w:rPr>
        <w:t xml:space="preserve">); Solution 2, </w:t>
      </w:r>
      <w:proofErr w:type="spellStart"/>
      <w:r w:rsidR="004229DB" w:rsidRPr="004229DB">
        <w:rPr>
          <w:sz w:val="20"/>
          <w:szCs w:val="20"/>
        </w:rPr>
        <w:t>Isoflavone</w:t>
      </w:r>
      <w:proofErr w:type="spellEnd"/>
      <w:r w:rsidR="004229DB" w:rsidRPr="004229DB">
        <w:rPr>
          <w:sz w:val="20"/>
          <w:szCs w:val="20"/>
        </w:rPr>
        <w:t xml:space="preserve"> </w:t>
      </w:r>
      <w:proofErr w:type="spellStart"/>
      <w:r w:rsidR="004229DB" w:rsidRPr="004229DB">
        <w:rPr>
          <w:sz w:val="20"/>
          <w:szCs w:val="20"/>
        </w:rPr>
        <w:t>Aglycones</w:t>
      </w:r>
      <w:proofErr w:type="spellEnd"/>
      <w:r w:rsidR="004229DB" w:rsidRPr="004229DB">
        <w:rPr>
          <w:sz w:val="20"/>
          <w:szCs w:val="20"/>
        </w:rPr>
        <w:t xml:space="preserve"> (</w:t>
      </w:r>
      <w:proofErr w:type="spellStart"/>
      <w:r w:rsidR="004229DB" w:rsidRPr="004229DB">
        <w:rPr>
          <w:sz w:val="20"/>
          <w:szCs w:val="20"/>
        </w:rPr>
        <w:t>daidzein</w:t>
      </w:r>
      <w:proofErr w:type="spellEnd"/>
      <w:r w:rsidR="004229DB" w:rsidRPr="004229DB">
        <w:rPr>
          <w:sz w:val="20"/>
          <w:szCs w:val="20"/>
        </w:rPr>
        <w:t xml:space="preserve">, </w:t>
      </w:r>
      <w:proofErr w:type="spellStart"/>
      <w:r w:rsidR="004229DB" w:rsidRPr="004229DB">
        <w:rPr>
          <w:sz w:val="20"/>
          <w:szCs w:val="20"/>
        </w:rPr>
        <w:t>genistein</w:t>
      </w:r>
      <w:proofErr w:type="spellEnd"/>
      <w:r w:rsidR="004229DB" w:rsidRPr="004229DB">
        <w:rPr>
          <w:sz w:val="20"/>
          <w:szCs w:val="20"/>
        </w:rPr>
        <w:t xml:space="preserve">, and </w:t>
      </w:r>
      <w:proofErr w:type="spellStart"/>
      <w:r w:rsidR="004229DB" w:rsidRPr="004229DB">
        <w:rPr>
          <w:sz w:val="20"/>
          <w:szCs w:val="20"/>
        </w:rPr>
        <w:t>glycitein</w:t>
      </w:r>
      <w:proofErr w:type="spellEnd"/>
      <w:r w:rsidR="004229DB" w:rsidRPr="004229DB">
        <w:rPr>
          <w:sz w:val="20"/>
          <w:szCs w:val="20"/>
        </w:rPr>
        <w:t>).</w:t>
      </w:r>
      <w:r w:rsidR="004229DB">
        <w:rPr>
          <w:sz w:val="20"/>
          <w:szCs w:val="20"/>
        </w:rPr>
        <w:t xml:space="preserve">  </w:t>
      </w:r>
      <w:bookmarkStart w:id="0" w:name="_GoBack"/>
      <w:bookmarkEnd w:id="0"/>
      <w:r w:rsidRPr="005D0843">
        <w:rPr>
          <w:sz w:val="20"/>
          <w:szCs w:val="20"/>
        </w:rPr>
        <w:t xml:space="preserve">The solutions </w:t>
      </w:r>
      <w:r w:rsidR="00AC7B3F" w:rsidRPr="005D0843">
        <w:rPr>
          <w:sz w:val="20"/>
          <w:szCs w:val="20"/>
        </w:rPr>
        <w:t>contain a</w:t>
      </w:r>
      <w:r w:rsidRPr="005D0843">
        <w:rPr>
          <w:sz w:val="20"/>
          <w:szCs w:val="20"/>
        </w:rPr>
        <w:t xml:space="preserve"> mixture of 80</w:t>
      </w:r>
      <w:r w:rsidR="001B372B" w:rsidRPr="005D0843">
        <w:rPr>
          <w:sz w:val="20"/>
          <w:szCs w:val="20"/>
        </w:rPr>
        <w:t> </w:t>
      </w:r>
      <w:r w:rsidRPr="005D0843">
        <w:rPr>
          <w:sz w:val="20"/>
          <w:szCs w:val="20"/>
        </w:rPr>
        <w:t>% methanol and 20</w:t>
      </w:r>
      <w:r w:rsidR="001B372B" w:rsidRPr="005D0843">
        <w:rPr>
          <w:sz w:val="20"/>
          <w:szCs w:val="20"/>
        </w:rPr>
        <w:t> </w:t>
      </w:r>
      <w:r w:rsidR="00E46DD6" w:rsidRPr="005D0843">
        <w:rPr>
          <w:sz w:val="20"/>
          <w:szCs w:val="20"/>
        </w:rPr>
        <w:t>% </w:t>
      </w:r>
      <w:r w:rsidRPr="005D0843">
        <w:rPr>
          <w:sz w:val="20"/>
          <w:szCs w:val="20"/>
        </w:rPr>
        <w:t>water (volume fractions</w:t>
      </w:r>
      <w:r w:rsidR="00E46DD6" w:rsidRPr="005D0843">
        <w:rPr>
          <w:sz w:val="20"/>
          <w:szCs w:val="20"/>
        </w:rPr>
        <w:t xml:space="preserve">); </w:t>
      </w:r>
      <w:r w:rsidRPr="005D0843">
        <w:rPr>
          <w:sz w:val="20"/>
          <w:szCs w:val="20"/>
        </w:rPr>
        <w:t>dimethyl sulfoxide</w:t>
      </w:r>
      <w:r w:rsidR="001B372B" w:rsidRPr="005D0843">
        <w:rPr>
          <w:sz w:val="20"/>
          <w:szCs w:val="20"/>
        </w:rPr>
        <w:t> </w:t>
      </w:r>
      <w:r w:rsidRPr="005D0843">
        <w:rPr>
          <w:sz w:val="20"/>
          <w:szCs w:val="20"/>
        </w:rPr>
        <w:t xml:space="preserve">(DMSO) was added to solubilize the crystalline </w:t>
      </w:r>
      <w:proofErr w:type="spellStart"/>
      <w:r w:rsidRPr="005D0843">
        <w:rPr>
          <w:sz w:val="20"/>
          <w:szCs w:val="20"/>
        </w:rPr>
        <w:t>isoflavones</w:t>
      </w:r>
      <w:proofErr w:type="spellEnd"/>
      <w:r w:rsidRPr="005D0843">
        <w:rPr>
          <w:sz w:val="20"/>
          <w:szCs w:val="20"/>
        </w:rPr>
        <w:t>.  A unit of SRM</w:t>
      </w:r>
      <w:r w:rsidR="009C77E9" w:rsidRPr="005D0843">
        <w:rPr>
          <w:sz w:val="20"/>
          <w:szCs w:val="20"/>
        </w:rPr>
        <w:t> </w:t>
      </w:r>
      <w:r w:rsidRPr="005D0843">
        <w:rPr>
          <w:sz w:val="20"/>
          <w:szCs w:val="20"/>
        </w:rPr>
        <w:t>3239 consists of ten 2</w:t>
      </w:r>
      <w:r w:rsidR="001B372B" w:rsidRPr="005D0843">
        <w:rPr>
          <w:sz w:val="20"/>
          <w:szCs w:val="20"/>
        </w:rPr>
        <w:t> </w:t>
      </w:r>
      <w:r w:rsidRPr="005D0843">
        <w:rPr>
          <w:sz w:val="20"/>
          <w:szCs w:val="20"/>
        </w:rPr>
        <w:t>mL ampoules, five each of Solution</w:t>
      </w:r>
      <w:r w:rsidR="001B372B" w:rsidRPr="005D0843">
        <w:rPr>
          <w:sz w:val="20"/>
          <w:szCs w:val="20"/>
        </w:rPr>
        <w:t> </w:t>
      </w:r>
      <w:r w:rsidRPr="005D0843">
        <w:rPr>
          <w:sz w:val="20"/>
          <w:szCs w:val="20"/>
        </w:rPr>
        <w:t>1 and Solution</w:t>
      </w:r>
      <w:r w:rsidR="001B372B" w:rsidRPr="005D0843">
        <w:rPr>
          <w:sz w:val="20"/>
          <w:szCs w:val="20"/>
        </w:rPr>
        <w:t> </w:t>
      </w:r>
      <w:r w:rsidRPr="005D0843">
        <w:rPr>
          <w:sz w:val="20"/>
          <w:szCs w:val="20"/>
        </w:rPr>
        <w:t>2.  Each ampoule contains approximately 1.2</w:t>
      </w:r>
      <w:r w:rsidR="001B372B" w:rsidRPr="005D0843">
        <w:rPr>
          <w:sz w:val="20"/>
          <w:szCs w:val="20"/>
        </w:rPr>
        <w:t> </w:t>
      </w:r>
      <w:r w:rsidRPr="005D0843">
        <w:rPr>
          <w:sz w:val="20"/>
          <w:szCs w:val="20"/>
        </w:rPr>
        <w:t>mL of solution.</w:t>
      </w:r>
    </w:p>
    <w:p w14:paraId="1ED0D44F" w14:textId="77777777" w:rsidR="00511720" w:rsidRPr="005D0843" w:rsidRDefault="00511720" w:rsidP="00357FC1">
      <w:pPr>
        <w:pStyle w:val="BodyText"/>
        <w:widowControl/>
        <w:tabs>
          <w:tab w:val="clear" w:pos="-1440"/>
          <w:tab w:val="clear" w:pos="-720"/>
        </w:tabs>
        <w:suppressAutoHyphens w:val="0"/>
        <w:rPr>
          <w:rFonts w:ascii="Times New Roman" w:hAnsi="Times New Roman"/>
          <w:spacing w:val="0"/>
          <w:lang w:val="en-US"/>
        </w:rPr>
      </w:pPr>
    </w:p>
    <w:p w14:paraId="6593419A" w14:textId="6C30357B" w:rsidR="006246F6" w:rsidRPr="005D0843" w:rsidRDefault="006246F6" w:rsidP="00357FC1">
      <w:pPr>
        <w:pStyle w:val="BodyText"/>
        <w:widowControl/>
        <w:tabs>
          <w:tab w:val="clear" w:pos="-1440"/>
          <w:tab w:val="clear" w:pos="-720"/>
        </w:tabs>
        <w:suppressAutoHyphens w:val="0"/>
        <w:rPr>
          <w:rFonts w:ascii="Times New Roman" w:hAnsi="Times New Roman"/>
          <w:spacing w:val="0"/>
          <w:kern w:val="2"/>
          <w:lang w:val="en-US"/>
        </w:rPr>
      </w:pPr>
      <w:r w:rsidRPr="005D0843">
        <w:rPr>
          <w:rFonts w:ascii="Times New Roman" w:hAnsi="Times New Roman"/>
          <w:spacing w:val="0"/>
          <w:lang w:val="en-US"/>
        </w:rPr>
        <w:t>Development of SRM 3239 was a collaboration between the National Institute of Standards and Technology (NIST) and the National Institutes of Health Office of Dietary Supplements (NIH ODS).</w:t>
      </w:r>
    </w:p>
    <w:p w14:paraId="451D02F3" w14:textId="77777777" w:rsidR="00A94717" w:rsidRPr="005D0843" w:rsidRDefault="00A94717" w:rsidP="00357FC1">
      <w:pPr>
        <w:jc w:val="both"/>
        <w:rPr>
          <w:sz w:val="20"/>
          <w:szCs w:val="20"/>
        </w:rPr>
      </w:pPr>
    </w:p>
    <w:p w14:paraId="79110349" w14:textId="348F1A3B" w:rsidR="00CA334F" w:rsidRPr="001B372B" w:rsidRDefault="00CA334F" w:rsidP="00357FC1">
      <w:pPr>
        <w:jc w:val="both"/>
        <w:rPr>
          <w:sz w:val="20"/>
          <w:szCs w:val="20"/>
        </w:rPr>
      </w:pPr>
      <w:r w:rsidRPr="005D0843">
        <w:rPr>
          <w:b/>
          <w:bCs/>
          <w:sz w:val="20"/>
          <w:szCs w:val="20"/>
        </w:rPr>
        <w:t>Certified Mass Fraction Values:</w:t>
      </w:r>
      <w:r w:rsidRPr="005D0843">
        <w:rPr>
          <w:sz w:val="20"/>
          <w:szCs w:val="20"/>
        </w:rPr>
        <w:t xml:space="preserve">  Certified mass fraction values </w:t>
      </w:r>
      <w:r w:rsidR="005E7427" w:rsidRPr="005D0843">
        <w:rPr>
          <w:sz w:val="20"/>
          <w:szCs w:val="20"/>
        </w:rPr>
        <w:t xml:space="preserve">and structures </w:t>
      </w:r>
      <w:r w:rsidRPr="005D0843">
        <w:rPr>
          <w:sz w:val="20"/>
          <w:szCs w:val="20"/>
        </w:rPr>
        <w:t xml:space="preserve">for </w:t>
      </w:r>
      <w:proofErr w:type="spellStart"/>
      <w:r w:rsidRPr="005D0843">
        <w:rPr>
          <w:sz w:val="20"/>
          <w:szCs w:val="20"/>
        </w:rPr>
        <w:t>isoflavones</w:t>
      </w:r>
      <w:proofErr w:type="spellEnd"/>
      <w:r w:rsidRPr="005D0843">
        <w:rPr>
          <w:sz w:val="20"/>
          <w:szCs w:val="20"/>
        </w:rPr>
        <w:t xml:space="preserve"> are presented in Table 1</w:t>
      </w:r>
      <w:r w:rsidR="00C321CB" w:rsidRPr="005D0843">
        <w:rPr>
          <w:sz w:val="20"/>
          <w:szCs w:val="20"/>
        </w:rPr>
        <w:t xml:space="preserve"> and Figure 1, respectively</w:t>
      </w:r>
      <w:r w:rsidRPr="005D0843">
        <w:rPr>
          <w:sz w:val="20"/>
          <w:szCs w:val="20"/>
        </w:rPr>
        <w:t>.  A NIST certified value is a value for which NIST has the highest confidence in its accuracy in that all known or suspected sources of bias have been investigated or taken into account [1].  Analyses for value assignment were performed by NIST and are based on the masses used in the gravimetric preparation of the solution and from the analytical results determined using liquid chromatography with ultraviolet absorbance detection (LC</w:t>
      </w:r>
      <w:r w:rsidRPr="005D0843">
        <w:rPr>
          <w:sz w:val="20"/>
          <w:szCs w:val="20"/>
        </w:rPr>
        <w:noBreakHyphen/>
        <w:t>UV).  Certified values were calculated as the mean of the mean values from NIST methods.  The associated uncertainties are expressed at an approximately 95</w:t>
      </w:r>
      <w:r w:rsidR="001B372B" w:rsidRPr="005D0843">
        <w:rPr>
          <w:sz w:val="20"/>
          <w:szCs w:val="20"/>
        </w:rPr>
        <w:t> </w:t>
      </w:r>
      <w:r w:rsidRPr="005D0843">
        <w:rPr>
          <w:sz w:val="20"/>
          <w:szCs w:val="20"/>
        </w:rPr>
        <w:t>% level of confidence</w:t>
      </w:r>
      <w:r w:rsidR="001B372B" w:rsidRPr="005D0843">
        <w:rPr>
          <w:sz w:val="20"/>
          <w:szCs w:val="20"/>
        </w:rPr>
        <w:t> </w:t>
      </w:r>
      <w:r w:rsidRPr="005D0843">
        <w:rPr>
          <w:sz w:val="20"/>
          <w:szCs w:val="20"/>
        </w:rPr>
        <w:t>[2–4].</w:t>
      </w:r>
    </w:p>
    <w:p w14:paraId="7A4C5FAD" w14:textId="77777777" w:rsidR="008A58A1" w:rsidRPr="001B372B" w:rsidRDefault="008A58A1" w:rsidP="00357FC1">
      <w:pPr>
        <w:jc w:val="both"/>
        <w:rPr>
          <w:sz w:val="20"/>
          <w:szCs w:val="20"/>
        </w:rPr>
      </w:pPr>
    </w:p>
    <w:p w14:paraId="5EFF6F13" w14:textId="76BE946E" w:rsidR="00F22C3E" w:rsidRPr="001B372B" w:rsidRDefault="00595AFD" w:rsidP="00357FC1">
      <w:pPr>
        <w:jc w:val="both"/>
        <w:rPr>
          <w:sz w:val="20"/>
          <w:szCs w:val="20"/>
        </w:rPr>
      </w:pPr>
      <w:r w:rsidRPr="001B372B">
        <w:rPr>
          <w:b/>
          <w:bCs/>
          <w:sz w:val="20"/>
          <w:szCs w:val="20"/>
        </w:rPr>
        <w:t>Expiration of Certification:</w:t>
      </w:r>
      <w:r w:rsidRPr="001B372B">
        <w:rPr>
          <w:sz w:val="20"/>
          <w:szCs w:val="20"/>
        </w:rPr>
        <w:t xml:space="preserve">  The certification of </w:t>
      </w:r>
      <w:r w:rsidR="001953FB" w:rsidRPr="001B372B">
        <w:rPr>
          <w:b/>
          <w:bCs/>
          <w:sz w:val="20"/>
          <w:szCs w:val="20"/>
        </w:rPr>
        <w:t>SRM </w:t>
      </w:r>
      <w:r w:rsidR="001A3197" w:rsidRPr="001B372B">
        <w:rPr>
          <w:b/>
          <w:bCs/>
          <w:sz w:val="20"/>
          <w:szCs w:val="20"/>
        </w:rPr>
        <w:t>3239</w:t>
      </w:r>
      <w:r w:rsidRPr="001B372B">
        <w:rPr>
          <w:sz w:val="20"/>
          <w:szCs w:val="20"/>
        </w:rPr>
        <w:t xml:space="preserve"> is valid, with</w:t>
      </w:r>
      <w:r w:rsidR="001953FB" w:rsidRPr="001B372B">
        <w:rPr>
          <w:sz w:val="20"/>
          <w:szCs w:val="20"/>
        </w:rPr>
        <w:t>in the measurement uncertainty</w:t>
      </w:r>
      <w:r w:rsidRPr="001B372B">
        <w:rPr>
          <w:sz w:val="20"/>
          <w:szCs w:val="20"/>
        </w:rPr>
        <w:t xml:space="preserve"> specified, until </w:t>
      </w:r>
      <w:r w:rsidR="001A3197" w:rsidRPr="001B372B">
        <w:rPr>
          <w:b/>
          <w:bCs/>
          <w:sz w:val="20"/>
          <w:szCs w:val="20"/>
        </w:rPr>
        <w:t>01</w:t>
      </w:r>
      <w:r w:rsidR="001953FB" w:rsidRPr="001B372B">
        <w:rPr>
          <w:b/>
          <w:bCs/>
          <w:sz w:val="20"/>
          <w:szCs w:val="20"/>
        </w:rPr>
        <w:t> </w:t>
      </w:r>
      <w:r w:rsidR="001A3197" w:rsidRPr="001B372B">
        <w:rPr>
          <w:b/>
          <w:bCs/>
          <w:sz w:val="20"/>
          <w:szCs w:val="20"/>
        </w:rPr>
        <w:t>March</w:t>
      </w:r>
      <w:r w:rsidR="001953FB" w:rsidRPr="001B372B">
        <w:rPr>
          <w:b/>
          <w:bCs/>
          <w:sz w:val="20"/>
          <w:szCs w:val="20"/>
        </w:rPr>
        <w:t> </w:t>
      </w:r>
      <w:r w:rsidRPr="001B372B">
        <w:rPr>
          <w:b/>
          <w:bCs/>
          <w:sz w:val="20"/>
          <w:szCs w:val="20"/>
        </w:rPr>
        <w:t>20</w:t>
      </w:r>
      <w:r w:rsidR="001A3197" w:rsidRPr="001B372B">
        <w:rPr>
          <w:b/>
          <w:bCs/>
          <w:sz w:val="20"/>
          <w:szCs w:val="20"/>
        </w:rPr>
        <w:t>26</w:t>
      </w:r>
      <w:r w:rsidRPr="001B372B">
        <w:rPr>
          <w:sz w:val="20"/>
          <w:szCs w:val="20"/>
        </w:rPr>
        <w:t xml:space="preserve">, provided the SRM is handled </w:t>
      </w:r>
      <w:r w:rsidR="00377FC5" w:rsidRPr="001B372B">
        <w:rPr>
          <w:sz w:val="20"/>
          <w:szCs w:val="20"/>
        </w:rPr>
        <w:t xml:space="preserve">and stored </w:t>
      </w:r>
      <w:r w:rsidRPr="001B372B">
        <w:rPr>
          <w:sz w:val="20"/>
          <w:szCs w:val="20"/>
        </w:rPr>
        <w:t xml:space="preserve">in accordance </w:t>
      </w:r>
      <w:r w:rsidR="00F22C3E" w:rsidRPr="001B372B">
        <w:rPr>
          <w:sz w:val="20"/>
          <w:szCs w:val="20"/>
        </w:rPr>
        <w:t>with the instructions given in this certificate (see “</w:t>
      </w:r>
      <w:r w:rsidR="00A02959" w:rsidRPr="001B372B">
        <w:rPr>
          <w:sz w:val="20"/>
          <w:szCs w:val="20"/>
        </w:rPr>
        <w:t>Instructions for</w:t>
      </w:r>
      <w:r w:rsidR="001953FB" w:rsidRPr="001B372B">
        <w:rPr>
          <w:sz w:val="20"/>
          <w:szCs w:val="20"/>
        </w:rPr>
        <w:t xml:space="preserve"> </w:t>
      </w:r>
      <w:r w:rsidR="00BA4E98" w:rsidRPr="001B372B">
        <w:rPr>
          <w:sz w:val="20"/>
          <w:szCs w:val="20"/>
        </w:rPr>
        <w:t xml:space="preserve">Storage and </w:t>
      </w:r>
      <w:r w:rsidR="001953FB" w:rsidRPr="001B372B">
        <w:rPr>
          <w:sz w:val="20"/>
          <w:szCs w:val="20"/>
        </w:rPr>
        <w:t>Use</w:t>
      </w:r>
      <w:r w:rsidR="00377FC5" w:rsidRPr="001B372B">
        <w:rPr>
          <w:sz w:val="20"/>
          <w:szCs w:val="20"/>
        </w:rPr>
        <w:t>”</w:t>
      </w:r>
      <w:r w:rsidR="00F22C3E" w:rsidRPr="001B372B">
        <w:rPr>
          <w:sz w:val="20"/>
          <w:szCs w:val="20"/>
        </w:rPr>
        <w:t xml:space="preserve">).  </w:t>
      </w:r>
      <w:r w:rsidR="00A02959" w:rsidRPr="001B372B">
        <w:rPr>
          <w:sz w:val="20"/>
          <w:szCs w:val="20"/>
        </w:rPr>
        <w:t>T</w:t>
      </w:r>
      <w:r w:rsidR="00F22C3E" w:rsidRPr="001B372B">
        <w:rPr>
          <w:sz w:val="20"/>
          <w:szCs w:val="20"/>
        </w:rPr>
        <w:t xml:space="preserve">he certification will be nullified if the SRM is damaged, contaminated, or </w:t>
      </w:r>
      <w:r w:rsidR="00920E40" w:rsidRPr="001B372B">
        <w:rPr>
          <w:sz w:val="20"/>
          <w:szCs w:val="20"/>
        </w:rPr>
        <w:t xml:space="preserve">otherwise </w:t>
      </w:r>
      <w:r w:rsidR="00F22C3E" w:rsidRPr="001B372B">
        <w:rPr>
          <w:sz w:val="20"/>
          <w:szCs w:val="20"/>
        </w:rPr>
        <w:t>modified.</w:t>
      </w:r>
    </w:p>
    <w:p w14:paraId="0855163B" w14:textId="77777777" w:rsidR="00920E40" w:rsidRPr="001B372B" w:rsidRDefault="00920E40" w:rsidP="00357FC1">
      <w:pPr>
        <w:jc w:val="both"/>
        <w:rPr>
          <w:sz w:val="20"/>
          <w:szCs w:val="20"/>
        </w:rPr>
      </w:pPr>
    </w:p>
    <w:p w14:paraId="43427F3E" w14:textId="77777777" w:rsidR="00595AFD" w:rsidRPr="001B372B" w:rsidRDefault="00F22C3E" w:rsidP="00357FC1">
      <w:pPr>
        <w:jc w:val="both"/>
        <w:rPr>
          <w:sz w:val="20"/>
          <w:szCs w:val="20"/>
        </w:rPr>
      </w:pPr>
      <w:r w:rsidRPr="001B372B">
        <w:rPr>
          <w:b/>
          <w:bCs/>
          <w:sz w:val="20"/>
          <w:szCs w:val="20"/>
        </w:rPr>
        <w:t>Maintenance of SRM Certification:</w:t>
      </w:r>
      <w:r w:rsidRPr="001B372B">
        <w:rPr>
          <w:sz w:val="20"/>
          <w:szCs w:val="20"/>
        </w:rPr>
        <w:t xml:space="preserve">  NIST will monitor this SRM over the period of its certification.  If </w:t>
      </w:r>
      <w:r w:rsidR="0047150D" w:rsidRPr="001B372B">
        <w:rPr>
          <w:sz w:val="20"/>
          <w:szCs w:val="20"/>
        </w:rPr>
        <w:t xml:space="preserve">substantive technical </w:t>
      </w:r>
      <w:r w:rsidRPr="001B372B">
        <w:rPr>
          <w:sz w:val="20"/>
          <w:szCs w:val="20"/>
        </w:rPr>
        <w:t xml:space="preserve">changes occur that affect the certification before the expiration of this certificate, NIST will notify the purchaser. </w:t>
      </w:r>
      <w:r w:rsidR="00962160" w:rsidRPr="001B372B">
        <w:rPr>
          <w:sz w:val="20"/>
          <w:szCs w:val="20"/>
        </w:rPr>
        <w:t xml:space="preserve"> </w:t>
      </w:r>
      <w:r w:rsidRPr="001B372B">
        <w:rPr>
          <w:sz w:val="20"/>
          <w:szCs w:val="20"/>
        </w:rPr>
        <w:t>Registration (see attached sheet</w:t>
      </w:r>
      <w:r w:rsidR="001953FB" w:rsidRPr="001B372B">
        <w:rPr>
          <w:sz w:val="20"/>
          <w:szCs w:val="20"/>
        </w:rPr>
        <w:t xml:space="preserve"> or register online</w:t>
      </w:r>
      <w:r w:rsidRPr="001B372B">
        <w:rPr>
          <w:sz w:val="20"/>
          <w:szCs w:val="20"/>
        </w:rPr>
        <w:t>) will facilitate notification.</w:t>
      </w:r>
    </w:p>
    <w:p w14:paraId="691854FF" w14:textId="77777777" w:rsidR="00F22C3E" w:rsidRPr="001B372B" w:rsidRDefault="00F22C3E" w:rsidP="00357FC1">
      <w:pPr>
        <w:jc w:val="both"/>
        <w:rPr>
          <w:sz w:val="20"/>
          <w:szCs w:val="20"/>
        </w:rPr>
      </w:pPr>
    </w:p>
    <w:p w14:paraId="6581B4EB" w14:textId="38737C54" w:rsidR="00F22C3E" w:rsidRPr="001B372B" w:rsidRDefault="00696FA4" w:rsidP="00357FC1">
      <w:pPr>
        <w:jc w:val="both"/>
        <w:rPr>
          <w:sz w:val="20"/>
          <w:szCs w:val="20"/>
        </w:rPr>
      </w:pPr>
      <w:r w:rsidRPr="001B372B">
        <w:rPr>
          <w:sz w:val="20"/>
          <w:szCs w:val="20"/>
        </w:rPr>
        <w:t>C</w:t>
      </w:r>
      <w:r w:rsidR="005C192E" w:rsidRPr="001B372B">
        <w:rPr>
          <w:sz w:val="20"/>
          <w:szCs w:val="20"/>
        </w:rPr>
        <w:t>oordination of the technical measurements leading to the certification of this SRM</w:t>
      </w:r>
      <w:r w:rsidR="00884493" w:rsidRPr="001B372B">
        <w:rPr>
          <w:sz w:val="20"/>
          <w:szCs w:val="20"/>
        </w:rPr>
        <w:t xml:space="preserve"> </w:t>
      </w:r>
      <w:r w:rsidR="00274646" w:rsidRPr="001B372B">
        <w:rPr>
          <w:sz w:val="20"/>
          <w:szCs w:val="20"/>
        </w:rPr>
        <w:t>were</w:t>
      </w:r>
      <w:r w:rsidR="00884493" w:rsidRPr="001B372B">
        <w:rPr>
          <w:sz w:val="20"/>
          <w:szCs w:val="20"/>
        </w:rPr>
        <w:t xml:space="preserve"> performed</w:t>
      </w:r>
      <w:r w:rsidR="005C192E" w:rsidRPr="001B372B">
        <w:rPr>
          <w:sz w:val="20"/>
          <w:szCs w:val="20"/>
        </w:rPr>
        <w:t xml:space="preserve"> by M</w:t>
      </w:r>
      <w:r w:rsidR="001A3197" w:rsidRPr="001B372B">
        <w:rPr>
          <w:sz w:val="20"/>
          <w:szCs w:val="20"/>
        </w:rPr>
        <w:t>.M</w:t>
      </w:r>
      <w:r w:rsidR="005C192E" w:rsidRPr="001B372B">
        <w:rPr>
          <w:sz w:val="20"/>
          <w:szCs w:val="20"/>
        </w:rPr>
        <w:t>.</w:t>
      </w:r>
      <w:r w:rsidR="00B13B8E" w:rsidRPr="001B372B">
        <w:rPr>
          <w:sz w:val="20"/>
          <w:szCs w:val="20"/>
        </w:rPr>
        <w:t> </w:t>
      </w:r>
      <w:r w:rsidR="001A3197" w:rsidRPr="001B372B">
        <w:rPr>
          <w:sz w:val="20"/>
          <w:szCs w:val="20"/>
        </w:rPr>
        <w:t>Phillips</w:t>
      </w:r>
      <w:r w:rsidR="005C192E" w:rsidRPr="001B372B">
        <w:rPr>
          <w:sz w:val="20"/>
          <w:szCs w:val="20"/>
        </w:rPr>
        <w:t xml:space="preserve"> </w:t>
      </w:r>
      <w:r w:rsidR="008C61C0" w:rsidRPr="001B372B">
        <w:rPr>
          <w:sz w:val="20"/>
          <w:szCs w:val="20"/>
        </w:rPr>
        <w:t xml:space="preserve">and </w:t>
      </w:r>
      <w:r w:rsidR="001A3197" w:rsidRPr="001B372B">
        <w:rPr>
          <w:sz w:val="20"/>
          <w:szCs w:val="20"/>
        </w:rPr>
        <w:t>C.A.</w:t>
      </w:r>
      <w:r w:rsidR="008C61C0" w:rsidRPr="001B372B">
        <w:rPr>
          <w:sz w:val="20"/>
          <w:szCs w:val="20"/>
        </w:rPr>
        <w:t> </w:t>
      </w:r>
      <w:r w:rsidR="001A3197" w:rsidRPr="001B372B">
        <w:rPr>
          <w:sz w:val="20"/>
          <w:szCs w:val="20"/>
        </w:rPr>
        <w:t>Rimmer</w:t>
      </w:r>
      <w:r w:rsidR="0098014A" w:rsidRPr="001B372B">
        <w:rPr>
          <w:sz w:val="20"/>
          <w:szCs w:val="20"/>
        </w:rPr>
        <w:t xml:space="preserve"> </w:t>
      </w:r>
      <w:r w:rsidR="005C192E" w:rsidRPr="001B372B">
        <w:rPr>
          <w:sz w:val="20"/>
          <w:szCs w:val="20"/>
        </w:rPr>
        <w:t>of the NIST Chemical Sciences Division</w:t>
      </w:r>
      <w:r w:rsidR="001A3197" w:rsidRPr="001B372B">
        <w:rPr>
          <w:sz w:val="20"/>
          <w:szCs w:val="20"/>
        </w:rPr>
        <w:t xml:space="preserve">.  </w:t>
      </w:r>
      <w:r w:rsidR="005C192E" w:rsidRPr="001B372B">
        <w:rPr>
          <w:sz w:val="20"/>
          <w:szCs w:val="20"/>
        </w:rPr>
        <w:t>Analytical measurements at NIST were performed by M</w:t>
      </w:r>
      <w:r w:rsidR="001A3197" w:rsidRPr="001B372B">
        <w:rPr>
          <w:sz w:val="20"/>
          <w:szCs w:val="20"/>
        </w:rPr>
        <w:t>.M</w:t>
      </w:r>
      <w:r w:rsidR="005C192E" w:rsidRPr="001B372B">
        <w:rPr>
          <w:sz w:val="20"/>
          <w:szCs w:val="20"/>
        </w:rPr>
        <w:t>. </w:t>
      </w:r>
      <w:r w:rsidR="001A3197" w:rsidRPr="001B372B">
        <w:rPr>
          <w:sz w:val="20"/>
          <w:szCs w:val="20"/>
        </w:rPr>
        <w:t>Phillips</w:t>
      </w:r>
      <w:r w:rsidR="005C192E" w:rsidRPr="001B372B">
        <w:rPr>
          <w:sz w:val="20"/>
          <w:szCs w:val="20"/>
        </w:rPr>
        <w:t xml:space="preserve"> and M.A. Nelson of the </w:t>
      </w:r>
      <w:r w:rsidR="003651B4" w:rsidRPr="001B372B">
        <w:rPr>
          <w:sz w:val="20"/>
          <w:szCs w:val="20"/>
        </w:rPr>
        <w:t xml:space="preserve">NIST </w:t>
      </w:r>
      <w:r w:rsidR="005C192E" w:rsidRPr="001B372B">
        <w:rPr>
          <w:sz w:val="20"/>
          <w:szCs w:val="20"/>
        </w:rPr>
        <w:t>Chemical Science</w:t>
      </w:r>
      <w:r w:rsidR="008C61C0" w:rsidRPr="001B372B">
        <w:rPr>
          <w:sz w:val="20"/>
          <w:szCs w:val="20"/>
        </w:rPr>
        <w:t>s Division</w:t>
      </w:r>
      <w:r w:rsidR="00F22C3E" w:rsidRPr="001B372B">
        <w:rPr>
          <w:sz w:val="20"/>
          <w:szCs w:val="20"/>
        </w:rPr>
        <w:t>.</w:t>
      </w:r>
    </w:p>
    <w:p w14:paraId="75B956FF" w14:textId="77777777" w:rsidR="001B372B" w:rsidRPr="001B372B" w:rsidRDefault="001B372B" w:rsidP="00357FC1">
      <w:pPr>
        <w:jc w:val="both"/>
        <w:rPr>
          <w:sz w:val="20"/>
          <w:szCs w:val="20"/>
        </w:rPr>
      </w:pPr>
    </w:p>
    <w:p w14:paraId="195CEC88" w14:textId="3207F11B" w:rsidR="001B372B" w:rsidRPr="001B372B" w:rsidRDefault="001B372B" w:rsidP="00357FC1">
      <w:pPr>
        <w:jc w:val="both"/>
        <w:rPr>
          <w:sz w:val="20"/>
          <w:szCs w:val="20"/>
        </w:rPr>
      </w:pPr>
      <w:r w:rsidRPr="001B372B">
        <w:rPr>
          <w:sz w:val="20"/>
          <w:szCs w:val="20"/>
        </w:rPr>
        <w:t>Support for the development of SRM 3239 was provided in part by NIH ODS.  Technical consultation was provided by J.M. Betz (NIH ODS).</w:t>
      </w:r>
    </w:p>
    <w:p w14:paraId="3C0685FF" w14:textId="77777777" w:rsidR="00F22C3E" w:rsidRPr="001B372B" w:rsidRDefault="00F22C3E" w:rsidP="00357FC1">
      <w:pPr>
        <w:jc w:val="both"/>
        <w:rPr>
          <w:sz w:val="20"/>
          <w:szCs w:val="20"/>
        </w:rPr>
      </w:pPr>
    </w:p>
    <w:p w14:paraId="614F4D51" w14:textId="77777777" w:rsidR="009E7574" w:rsidRPr="001B372B" w:rsidRDefault="009E7574" w:rsidP="00357FC1">
      <w:pPr>
        <w:jc w:val="both"/>
        <w:rPr>
          <w:sz w:val="20"/>
          <w:szCs w:val="20"/>
        </w:rPr>
      </w:pPr>
      <w:r w:rsidRPr="001B372B">
        <w:rPr>
          <w:sz w:val="20"/>
          <w:szCs w:val="20"/>
        </w:rPr>
        <w:t>Statistical analysis was provided by J.H. Yen of the NIST Statistical Engineering Division.</w:t>
      </w:r>
    </w:p>
    <w:p w14:paraId="3A5619C8" w14:textId="77777777" w:rsidR="0047639F" w:rsidRPr="001B372B" w:rsidRDefault="0047639F" w:rsidP="00357FC1">
      <w:pPr>
        <w:jc w:val="both"/>
        <w:rPr>
          <w:kern w:val="2"/>
          <w:sz w:val="20"/>
          <w:szCs w:val="20"/>
        </w:rPr>
      </w:pPr>
    </w:p>
    <w:p w14:paraId="1427E314" w14:textId="77777777" w:rsidR="009E7574" w:rsidRPr="001B372B" w:rsidRDefault="009E7574" w:rsidP="00357FC1">
      <w:pPr>
        <w:jc w:val="both"/>
        <w:rPr>
          <w:sz w:val="20"/>
          <w:szCs w:val="20"/>
        </w:rPr>
      </w:pPr>
      <w:r w:rsidRPr="001B372B">
        <w:rPr>
          <w:sz w:val="20"/>
          <w:szCs w:val="20"/>
        </w:rPr>
        <w:t>Support aspects involved in the issuance of this SRM were coordinated through the NIST Office of Reference Materials.</w:t>
      </w:r>
    </w:p>
    <w:p w14:paraId="79F9307F" w14:textId="379E6004" w:rsidR="006D5A4F" w:rsidRPr="001B372B" w:rsidRDefault="006D5A4F" w:rsidP="00357FC1">
      <w:pPr>
        <w:jc w:val="both"/>
        <w:rPr>
          <w:position w:val="-2"/>
          <w:sz w:val="20"/>
          <w:szCs w:val="20"/>
        </w:rPr>
      </w:pPr>
    </w:p>
    <w:p w14:paraId="51D641E8" w14:textId="5183E12D" w:rsidR="001B372B" w:rsidRDefault="001B372B" w:rsidP="00357FC1">
      <w:pPr>
        <w:jc w:val="both"/>
        <w:rPr>
          <w:position w:val="-2"/>
          <w:sz w:val="20"/>
          <w:szCs w:val="20"/>
        </w:rPr>
      </w:pPr>
    </w:p>
    <w:p w14:paraId="4B62520A" w14:textId="77777777" w:rsidR="0057039C" w:rsidRDefault="0057039C" w:rsidP="00357FC1">
      <w:pPr>
        <w:jc w:val="both"/>
        <w:rPr>
          <w:position w:val="-2"/>
          <w:sz w:val="20"/>
          <w:szCs w:val="20"/>
        </w:rPr>
      </w:pPr>
    </w:p>
    <w:p w14:paraId="296AB9A1" w14:textId="45E88E39" w:rsidR="00982158" w:rsidRDefault="00982158" w:rsidP="00357FC1">
      <w:pPr>
        <w:jc w:val="both"/>
        <w:rPr>
          <w:position w:val="-2"/>
          <w:sz w:val="20"/>
          <w:szCs w:val="20"/>
        </w:rPr>
      </w:pPr>
    </w:p>
    <w:p w14:paraId="05A4F4B5" w14:textId="77777777" w:rsidR="00982158" w:rsidRPr="001B372B" w:rsidRDefault="00982158" w:rsidP="00357FC1">
      <w:pPr>
        <w:jc w:val="both"/>
        <w:rPr>
          <w:position w:val="-2"/>
          <w:sz w:val="20"/>
          <w:szCs w:val="20"/>
        </w:rPr>
      </w:pPr>
    </w:p>
    <w:p w14:paraId="3C0F1E19" w14:textId="525DDD98" w:rsidR="0047639F" w:rsidRPr="001B372B" w:rsidRDefault="0047639F" w:rsidP="00357FC1">
      <w:pPr>
        <w:tabs>
          <w:tab w:val="right" w:pos="9360"/>
        </w:tabs>
        <w:jc w:val="both"/>
        <w:rPr>
          <w:kern w:val="2"/>
          <w:sz w:val="20"/>
          <w:szCs w:val="20"/>
        </w:rPr>
      </w:pPr>
      <w:r w:rsidRPr="001B372B">
        <w:rPr>
          <w:kern w:val="2"/>
          <w:sz w:val="20"/>
          <w:szCs w:val="20"/>
        </w:rPr>
        <w:tab/>
      </w:r>
      <w:r w:rsidR="008C61C0" w:rsidRPr="001B372B">
        <w:rPr>
          <w:kern w:val="2"/>
          <w:sz w:val="20"/>
          <w:szCs w:val="20"/>
        </w:rPr>
        <w:t>Carlos A. </w:t>
      </w:r>
      <w:r w:rsidR="005C51E5" w:rsidRPr="001B372B">
        <w:rPr>
          <w:kern w:val="2"/>
          <w:sz w:val="20"/>
          <w:szCs w:val="20"/>
        </w:rPr>
        <w:t>Gonzalez</w:t>
      </w:r>
      <w:r w:rsidRPr="001B372B">
        <w:rPr>
          <w:kern w:val="2"/>
          <w:sz w:val="20"/>
          <w:szCs w:val="20"/>
        </w:rPr>
        <w:t>,</w:t>
      </w:r>
      <w:r w:rsidR="004210B8" w:rsidRPr="001B372B">
        <w:rPr>
          <w:kern w:val="2"/>
          <w:sz w:val="20"/>
          <w:szCs w:val="20"/>
        </w:rPr>
        <w:t> </w:t>
      </w:r>
      <w:r w:rsidRPr="001B372B">
        <w:rPr>
          <w:kern w:val="2"/>
          <w:sz w:val="20"/>
          <w:szCs w:val="20"/>
        </w:rPr>
        <w:t>Chief</w:t>
      </w:r>
      <w:r w:rsidR="005C51E5" w:rsidRPr="001B372B">
        <w:rPr>
          <w:kern w:val="2"/>
          <w:sz w:val="20"/>
          <w:szCs w:val="20"/>
        </w:rPr>
        <w:tab/>
        <w:t>Chemical Sciences Division</w:t>
      </w:r>
    </w:p>
    <w:p w14:paraId="2B028A89" w14:textId="77777777" w:rsidR="0047639F" w:rsidRPr="001B372B" w:rsidRDefault="0047639F" w:rsidP="00357FC1">
      <w:pPr>
        <w:jc w:val="both"/>
        <w:rPr>
          <w:kern w:val="2"/>
          <w:sz w:val="20"/>
          <w:szCs w:val="20"/>
        </w:rPr>
      </w:pPr>
    </w:p>
    <w:p w14:paraId="1B89815D" w14:textId="06DC9F5F" w:rsidR="0047639F" w:rsidRPr="001B372B" w:rsidRDefault="008C61C0" w:rsidP="00357FC1">
      <w:pPr>
        <w:tabs>
          <w:tab w:val="right" w:pos="9360"/>
        </w:tabs>
        <w:jc w:val="both"/>
        <w:rPr>
          <w:kern w:val="2"/>
          <w:sz w:val="20"/>
          <w:szCs w:val="20"/>
        </w:rPr>
      </w:pPr>
      <w:r w:rsidRPr="001B372B">
        <w:rPr>
          <w:kern w:val="2"/>
          <w:sz w:val="20"/>
          <w:szCs w:val="20"/>
        </w:rPr>
        <w:t>Gaithersburg, </w:t>
      </w:r>
      <w:r w:rsidR="0047639F" w:rsidRPr="001B372B">
        <w:rPr>
          <w:kern w:val="2"/>
          <w:sz w:val="20"/>
          <w:szCs w:val="20"/>
        </w:rPr>
        <w:t>MD</w:t>
      </w:r>
      <w:r w:rsidRPr="001B372B">
        <w:rPr>
          <w:kern w:val="2"/>
          <w:sz w:val="20"/>
          <w:szCs w:val="20"/>
        </w:rPr>
        <w:t> 20899</w:t>
      </w:r>
      <w:r w:rsidRPr="001B372B">
        <w:rPr>
          <w:kern w:val="2"/>
          <w:sz w:val="20"/>
          <w:szCs w:val="20"/>
        </w:rPr>
        <w:tab/>
      </w:r>
      <w:r w:rsidR="001A3197" w:rsidRPr="001B372B">
        <w:rPr>
          <w:kern w:val="2"/>
          <w:sz w:val="20"/>
          <w:szCs w:val="20"/>
        </w:rPr>
        <w:t>Steven J. Choquette</w:t>
      </w:r>
      <w:r w:rsidR="0047639F" w:rsidRPr="001B372B">
        <w:rPr>
          <w:kern w:val="2"/>
          <w:sz w:val="20"/>
          <w:szCs w:val="20"/>
        </w:rPr>
        <w:t xml:space="preserve">, </w:t>
      </w:r>
      <w:r w:rsidR="00020A41" w:rsidRPr="001B372B">
        <w:rPr>
          <w:kern w:val="2"/>
          <w:sz w:val="20"/>
          <w:szCs w:val="20"/>
        </w:rPr>
        <w:t xml:space="preserve">Acting </w:t>
      </w:r>
      <w:r w:rsidRPr="001B372B">
        <w:rPr>
          <w:kern w:val="2"/>
          <w:sz w:val="20"/>
          <w:szCs w:val="20"/>
        </w:rPr>
        <w:t>Director</w:t>
      </w:r>
    </w:p>
    <w:p w14:paraId="05348D3A" w14:textId="1A3EF2D8" w:rsidR="00CA334F" w:rsidRPr="001B372B" w:rsidRDefault="0047639F" w:rsidP="00357FC1">
      <w:pPr>
        <w:tabs>
          <w:tab w:val="right" w:pos="9360"/>
        </w:tabs>
        <w:jc w:val="both"/>
        <w:rPr>
          <w:kern w:val="2"/>
          <w:sz w:val="20"/>
          <w:szCs w:val="20"/>
          <w:highlight w:val="yellow"/>
        </w:rPr>
      </w:pPr>
      <w:r w:rsidRPr="001B372B">
        <w:rPr>
          <w:kern w:val="2"/>
          <w:sz w:val="20"/>
          <w:szCs w:val="20"/>
        </w:rPr>
        <w:t xml:space="preserve">Certificate Issue Date:  </w:t>
      </w:r>
      <w:r w:rsidR="003E3FBB">
        <w:rPr>
          <w:kern w:val="2"/>
          <w:sz w:val="20"/>
          <w:szCs w:val="20"/>
        </w:rPr>
        <w:t>1</w:t>
      </w:r>
      <w:r w:rsidR="00357FC1">
        <w:rPr>
          <w:kern w:val="2"/>
          <w:sz w:val="20"/>
          <w:szCs w:val="20"/>
        </w:rPr>
        <w:t>5</w:t>
      </w:r>
      <w:r w:rsidR="008A77FD" w:rsidRPr="001B372B">
        <w:rPr>
          <w:kern w:val="2"/>
          <w:sz w:val="20"/>
          <w:szCs w:val="20"/>
        </w:rPr>
        <w:t> </w:t>
      </w:r>
      <w:r w:rsidR="003E3FBB">
        <w:rPr>
          <w:kern w:val="2"/>
          <w:sz w:val="20"/>
          <w:szCs w:val="20"/>
        </w:rPr>
        <w:t>June</w:t>
      </w:r>
      <w:r w:rsidR="005F494D" w:rsidRPr="001B372B">
        <w:rPr>
          <w:kern w:val="2"/>
          <w:sz w:val="20"/>
          <w:szCs w:val="20"/>
        </w:rPr>
        <w:t> </w:t>
      </w:r>
      <w:r w:rsidR="001A3197" w:rsidRPr="001B372B">
        <w:rPr>
          <w:kern w:val="2"/>
          <w:sz w:val="20"/>
          <w:szCs w:val="20"/>
        </w:rPr>
        <w:t>2016</w:t>
      </w:r>
      <w:r w:rsidR="002C0872" w:rsidRPr="001B372B">
        <w:rPr>
          <w:kern w:val="2"/>
          <w:sz w:val="20"/>
          <w:szCs w:val="20"/>
        </w:rPr>
        <w:tab/>
      </w:r>
      <w:r w:rsidR="008C61C0" w:rsidRPr="001B372B">
        <w:rPr>
          <w:kern w:val="2"/>
          <w:sz w:val="20"/>
          <w:szCs w:val="20"/>
        </w:rPr>
        <w:t>Office of Reference Materials</w:t>
      </w:r>
      <w:r w:rsidR="00CA334F" w:rsidRPr="001B372B">
        <w:rPr>
          <w:kern w:val="2"/>
          <w:sz w:val="20"/>
          <w:szCs w:val="20"/>
          <w:highlight w:val="yellow"/>
        </w:rPr>
        <w:br w:type="page"/>
      </w:r>
    </w:p>
    <w:p w14:paraId="30CE525A" w14:textId="77777777" w:rsidR="001B372B" w:rsidRPr="001B372B" w:rsidRDefault="005E35FB">
      <w:pPr>
        <w:jc w:val="both"/>
        <w:rPr>
          <w:b/>
          <w:bCs/>
          <w:position w:val="-2"/>
          <w:sz w:val="20"/>
          <w:szCs w:val="20"/>
        </w:rPr>
      </w:pPr>
      <w:r w:rsidRPr="001B372B">
        <w:rPr>
          <w:b/>
          <w:bCs/>
          <w:position w:val="-2"/>
          <w:sz w:val="20"/>
          <w:szCs w:val="20"/>
        </w:rPr>
        <w:lastRenderedPageBreak/>
        <w:t>NOTICE TO USERS</w:t>
      </w:r>
    </w:p>
    <w:p w14:paraId="631A73D8" w14:textId="77777777" w:rsidR="001B372B" w:rsidRPr="001B372B" w:rsidRDefault="001B372B">
      <w:pPr>
        <w:jc w:val="both"/>
        <w:rPr>
          <w:bCs/>
          <w:position w:val="-2"/>
          <w:sz w:val="20"/>
          <w:szCs w:val="20"/>
        </w:rPr>
      </w:pPr>
    </w:p>
    <w:p w14:paraId="6DC135CD" w14:textId="7118CD7B" w:rsidR="005E35FB" w:rsidRPr="001B372B" w:rsidRDefault="005E35FB">
      <w:pPr>
        <w:jc w:val="both"/>
        <w:rPr>
          <w:position w:val="-2"/>
          <w:sz w:val="20"/>
          <w:szCs w:val="20"/>
        </w:rPr>
      </w:pPr>
      <w:r w:rsidRPr="001B372B">
        <w:rPr>
          <w:position w:val="-2"/>
          <w:sz w:val="20"/>
          <w:szCs w:val="20"/>
        </w:rPr>
        <w:t>SRM 3239 IS INTENDED FOR RESEARCH USE; NOT FOR HUMAN CONSUMPTION.</w:t>
      </w:r>
    </w:p>
    <w:p w14:paraId="2839F64E" w14:textId="77777777" w:rsidR="005E35FB" w:rsidRPr="001B372B" w:rsidRDefault="005E35FB">
      <w:pPr>
        <w:tabs>
          <w:tab w:val="right" w:pos="9360"/>
        </w:tabs>
        <w:jc w:val="both"/>
        <w:rPr>
          <w:kern w:val="2"/>
          <w:sz w:val="20"/>
          <w:szCs w:val="20"/>
        </w:rPr>
      </w:pPr>
    </w:p>
    <w:p w14:paraId="5F8F36E8" w14:textId="34A470BC" w:rsidR="005F494D" w:rsidRPr="001B372B" w:rsidRDefault="005F494D">
      <w:pPr>
        <w:pStyle w:val="Default"/>
        <w:jc w:val="both"/>
        <w:rPr>
          <w:b/>
          <w:bCs/>
          <w:sz w:val="20"/>
          <w:szCs w:val="20"/>
        </w:rPr>
      </w:pPr>
      <w:r w:rsidRPr="001B372B">
        <w:rPr>
          <w:b/>
          <w:bCs/>
          <w:sz w:val="20"/>
          <w:szCs w:val="20"/>
        </w:rPr>
        <w:t xml:space="preserve">METROLOGICAL TRACEABILITY </w:t>
      </w:r>
    </w:p>
    <w:p w14:paraId="143A53F3" w14:textId="77777777" w:rsidR="005F494D" w:rsidRPr="001B372B" w:rsidRDefault="005F494D">
      <w:pPr>
        <w:pStyle w:val="Default"/>
        <w:jc w:val="both"/>
        <w:rPr>
          <w:sz w:val="20"/>
          <w:szCs w:val="20"/>
        </w:rPr>
      </w:pPr>
    </w:p>
    <w:p w14:paraId="4FB116F5" w14:textId="3C23FE9B" w:rsidR="002D1724" w:rsidRPr="002D1724" w:rsidRDefault="005F494D">
      <w:pPr>
        <w:jc w:val="both"/>
        <w:rPr>
          <w:color w:val="000000"/>
          <w:sz w:val="20"/>
          <w:szCs w:val="20"/>
        </w:rPr>
      </w:pPr>
      <w:r w:rsidRPr="002D1724">
        <w:rPr>
          <w:color w:val="000000"/>
          <w:sz w:val="20"/>
          <w:szCs w:val="20"/>
        </w:rPr>
        <w:t xml:space="preserve">Metrological traceability of measurement results to a given reference must be established through an unbroken chain of calibrations, each </w:t>
      </w:r>
      <w:r w:rsidR="00810C06" w:rsidRPr="002D1724">
        <w:rPr>
          <w:color w:val="000000"/>
          <w:sz w:val="20"/>
          <w:szCs w:val="20"/>
        </w:rPr>
        <w:t>contributing to the</w:t>
      </w:r>
      <w:r w:rsidRPr="002D1724">
        <w:rPr>
          <w:color w:val="000000"/>
          <w:sz w:val="20"/>
          <w:szCs w:val="20"/>
        </w:rPr>
        <w:t xml:space="preserve"> stated uncertainties [</w:t>
      </w:r>
      <w:r w:rsidR="00A658CA" w:rsidRPr="002D1724">
        <w:rPr>
          <w:color w:val="000000"/>
          <w:sz w:val="20"/>
          <w:szCs w:val="20"/>
        </w:rPr>
        <w:t>5</w:t>
      </w:r>
      <w:r w:rsidRPr="002D1724">
        <w:rPr>
          <w:color w:val="000000"/>
          <w:sz w:val="20"/>
          <w:szCs w:val="20"/>
        </w:rPr>
        <w:t>], using measurement standards that are appropriate for the property measured.  The certified values in this calibration SRM are traceable to the International System of Units (SI)</w:t>
      </w:r>
      <w:r w:rsidR="008E161C" w:rsidRPr="002D1724">
        <w:rPr>
          <w:color w:val="000000"/>
          <w:sz w:val="20"/>
          <w:szCs w:val="20"/>
        </w:rPr>
        <w:t>, established</w:t>
      </w:r>
      <w:r w:rsidRPr="002D1724">
        <w:rPr>
          <w:color w:val="000000"/>
          <w:sz w:val="20"/>
          <w:szCs w:val="20"/>
        </w:rPr>
        <w:t xml:space="preserve"> through confirmation of the chemical identity and determination of the purity of primary standards, </w:t>
      </w:r>
      <w:r w:rsidR="008E161C" w:rsidRPr="002D1724">
        <w:rPr>
          <w:color w:val="000000"/>
          <w:sz w:val="20"/>
          <w:szCs w:val="20"/>
        </w:rPr>
        <w:t>as well as</w:t>
      </w:r>
      <w:r w:rsidR="002A5608" w:rsidRPr="002D1724">
        <w:rPr>
          <w:color w:val="000000"/>
          <w:sz w:val="20"/>
          <w:szCs w:val="20"/>
        </w:rPr>
        <w:t xml:space="preserve"> </w:t>
      </w:r>
      <w:r w:rsidRPr="002D1724">
        <w:rPr>
          <w:color w:val="000000"/>
          <w:sz w:val="20"/>
          <w:szCs w:val="20"/>
        </w:rPr>
        <w:t>calibration of the devices used to determine mass</w:t>
      </w:r>
      <w:r w:rsidR="008E161C" w:rsidRPr="002D1724">
        <w:rPr>
          <w:color w:val="000000"/>
          <w:sz w:val="20"/>
          <w:szCs w:val="20"/>
        </w:rPr>
        <w:t>es</w:t>
      </w:r>
      <w:r w:rsidR="002D1724" w:rsidRPr="002D1724">
        <w:rPr>
          <w:color w:val="000000"/>
          <w:sz w:val="20"/>
          <w:szCs w:val="20"/>
        </w:rPr>
        <w:t xml:space="preserve">.  For this SRM, the </w:t>
      </w:r>
      <w:proofErr w:type="spellStart"/>
      <w:r w:rsidR="002D1724" w:rsidRPr="002D1724">
        <w:rPr>
          <w:color w:val="000000"/>
          <w:sz w:val="20"/>
          <w:szCs w:val="20"/>
        </w:rPr>
        <w:t>measurand</w:t>
      </w:r>
      <w:proofErr w:type="spellEnd"/>
      <w:r w:rsidR="002D1724" w:rsidRPr="002D1724">
        <w:rPr>
          <w:color w:val="000000"/>
          <w:sz w:val="20"/>
          <w:szCs w:val="20"/>
        </w:rPr>
        <w:t xml:space="preserve"> is the total concentration of each analyte listed, expressed as mass fraction</w:t>
      </w:r>
      <w:r w:rsidR="002D1724">
        <w:rPr>
          <w:color w:val="000000"/>
          <w:sz w:val="20"/>
          <w:szCs w:val="20"/>
        </w:rPr>
        <w:t xml:space="preserve"> (expressed as milligrams per kilogram)</w:t>
      </w:r>
      <w:r w:rsidR="00D96F9D">
        <w:rPr>
          <w:color w:val="000000"/>
          <w:sz w:val="20"/>
          <w:szCs w:val="20"/>
        </w:rPr>
        <w:t>,</w:t>
      </w:r>
      <w:r w:rsidR="002D1724" w:rsidRPr="002D1724">
        <w:rPr>
          <w:color w:val="000000"/>
          <w:sz w:val="20"/>
          <w:szCs w:val="20"/>
        </w:rPr>
        <w:t xml:space="preserve"> and the certified value</w:t>
      </w:r>
      <w:r w:rsidR="00D72255">
        <w:rPr>
          <w:color w:val="000000"/>
          <w:sz w:val="20"/>
          <w:szCs w:val="20"/>
        </w:rPr>
        <w:t>s are</w:t>
      </w:r>
      <w:r w:rsidR="002D1724" w:rsidRPr="002D1724">
        <w:rPr>
          <w:color w:val="000000"/>
          <w:sz w:val="20"/>
          <w:szCs w:val="20"/>
        </w:rPr>
        <w:t xml:space="preserve"> </w:t>
      </w:r>
      <w:proofErr w:type="spellStart"/>
      <w:r w:rsidR="002D1724" w:rsidRPr="002D1724">
        <w:rPr>
          <w:color w:val="000000"/>
          <w:sz w:val="20"/>
          <w:szCs w:val="20"/>
        </w:rPr>
        <w:t>metrologically</w:t>
      </w:r>
      <w:proofErr w:type="spellEnd"/>
      <w:r w:rsidR="002D1724" w:rsidRPr="002D1724">
        <w:rPr>
          <w:color w:val="000000"/>
          <w:sz w:val="20"/>
          <w:szCs w:val="20"/>
        </w:rPr>
        <w:t xml:space="preserve"> traceable to the SI unit </w:t>
      </w:r>
      <w:r w:rsidR="00197C02">
        <w:rPr>
          <w:color w:val="000000"/>
          <w:sz w:val="20"/>
          <w:szCs w:val="20"/>
        </w:rPr>
        <w:t>for</w:t>
      </w:r>
      <w:r w:rsidR="002D1724" w:rsidRPr="002D1724">
        <w:rPr>
          <w:color w:val="000000"/>
          <w:sz w:val="20"/>
          <w:szCs w:val="20"/>
        </w:rPr>
        <w:t xml:space="preserve"> mass.</w:t>
      </w:r>
    </w:p>
    <w:p w14:paraId="04894481" w14:textId="77777777" w:rsidR="002D1724" w:rsidRPr="002D1724" w:rsidRDefault="002D1724">
      <w:pPr>
        <w:jc w:val="both"/>
        <w:rPr>
          <w:color w:val="000000"/>
          <w:sz w:val="20"/>
          <w:szCs w:val="20"/>
        </w:rPr>
      </w:pPr>
    </w:p>
    <w:p w14:paraId="3F3D7A7F" w14:textId="2AA7DAFF" w:rsidR="005F494D" w:rsidRPr="002D1724" w:rsidRDefault="00EA6544">
      <w:pPr>
        <w:jc w:val="both"/>
        <w:rPr>
          <w:color w:val="000000"/>
          <w:sz w:val="20"/>
          <w:szCs w:val="20"/>
        </w:rPr>
      </w:pPr>
      <w:r w:rsidRPr="002D1724">
        <w:rPr>
          <w:color w:val="000000"/>
          <w:sz w:val="20"/>
          <w:szCs w:val="20"/>
        </w:rPr>
        <w:t>For calibration of measurement processes</w:t>
      </w:r>
      <w:r w:rsidR="00DE23C8" w:rsidRPr="002D1724">
        <w:rPr>
          <w:color w:val="000000"/>
          <w:sz w:val="20"/>
          <w:szCs w:val="20"/>
        </w:rPr>
        <w:t xml:space="preserve"> used to evaluate results of the certified property</w:t>
      </w:r>
      <w:r w:rsidRPr="002D1724">
        <w:rPr>
          <w:color w:val="000000"/>
          <w:sz w:val="20"/>
          <w:szCs w:val="20"/>
        </w:rPr>
        <w:t>, this</w:t>
      </w:r>
      <w:r w:rsidR="00AC6E28" w:rsidRPr="002D1724">
        <w:rPr>
          <w:color w:val="000000"/>
          <w:sz w:val="20"/>
          <w:szCs w:val="20"/>
        </w:rPr>
        <w:t xml:space="preserve"> </w:t>
      </w:r>
      <w:r w:rsidR="005F494D" w:rsidRPr="002D1724">
        <w:rPr>
          <w:color w:val="000000"/>
          <w:sz w:val="20"/>
          <w:szCs w:val="20"/>
        </w:rPr>
        <w:t>SRM</w:t>
      </w:r>
      <w:r w:rsidR="00AC6E28" w:rsidRPr="002D1724">
        <w:rPr>
          <w:color w:val="000000"/>
          <w:sz w:val="20"/>
          <w:szCs w:val="20"/>
        </w:rPr>
        <w:t xml:space="preserve"> may be implemented</w:t>
      </w:r>
      <w:r w:rsidR="005F494D" w:rsidRPr="002D1724">
        <w:rPr>
          <w:color w:val="000000"/>
          <w:sz w:val="20"/>
          <w:szCs w:val="20"/>
        </w:rPr>
        <w:t xml:space="preserve"> as-is or </w:t>
      </w:r>
      <w:r w:rsidR="00AC6E28" w:rsidRPr="002D1724">
        <w:rPr>
          <w:color w:val="000000"/>
          <w:sz w:val="20"/>
          <w:szCs w:val="20"/>
        </w:rPr>
        <w:t>diluted to</w:t>
      </w:r>
      <w:r w:rsidR="005F494D" w:rsidRPr="002D1724">
        <w:rPr>
          <w:color w:val="000000"/>
          <w:sz w:val="20"/>
          <w:szCs w:val="20"/>
        </w:rPr>
        <w:t xml:space="preserve"> prepar</w:t>
      </w:r>
      <w:r w:rsidR="00AC6E28" w:rsidRPr="002D1724">
        <w:rPr>
          <w:color w:val="000000"/>
          <w:sz w:val="20"/>
          <w:szCs w:val="20"/>
        </w:rPr>
        <w:t>e</w:t>
      </w:r>
      <w:r w:rsidR="005F494D" w:rsidRPr="002D1724">
        <w:rPr>
          <w:color w:val="000000"/>
          <w:sz w:val="20"/>
          <w:szCs w:val="20"/>
        </w:rPr>
        <w:t xml:space="preserve"> in-house </w:t>
      </w:r>
      <w:r w:rsidRPr="002D1724">
        <w:rPr>
          <w:color w:val="000000"/>
          <w:sz w:val="20"/>
          <w:szCs w:val="20"/>
        </w:rPr>
        <w:t xml:space="preserve">calibration </w:t>
      </w:r>
      <w:r w:rsidR="005F494D" w:rsidRPr="002D1724">
        <w:rPr>
          <w:color w:val="000000"/>
          <w:sz w:val="20"/>
          <w:szCs w:val="20"/>
        </w:rPr>
        <w:t xml:space="preserve">solutions. </w:t>
      </w:r>
      <w:r w:rsidR="009C77E9" w:rsidRPr="002D1724">
        <w:rPr>
          <w:color w:val="000000"/>
          <w:sz w:val="20"/>
          <w:szCs w:val="20"/>
        </w:rPr>
        <w:t xml:space="preserve"> </w:t>
      </w:r>
      <w:r w:rsidR="005F494D" w:rsidRPr="002D1724">
        <w:rPr>
          <w:color w:val="000000"/>
          <w:sz w:val="20"/>
          <w:szCs w:val="20"/>
        </w:rPr>
        <w:t xml:space="preserve">The property values of in-house solutions </w:t>
      </w:r>
      <w:r w:rsidR="00AF0389" w:rsidRPr="002D1724">
        <w:rPr>
          <w:color w:val="000000"/>
          <w:sz w:val="20"/>
          <w:szCs w:val="20"/>
        </w:rPr>
        <w:t>are traceable</w:t>
      </w:r>
      <w:r w:rsidR="005F494D" w:rsidRPr="002D1724">
        <w:rPr>
          <w:color w:val="000000"/>
          <w:sz w:val="20"/>
          <w:szCs w:val="20"/>
        </w:rPr>
        <w:t xml:space="preserve"> to the certified value of the SRM </w:t>
      </w:r>
      <w:r w:rsidR="00AF0389" w:rsidRPr="002D1724">
        <w:rPr>
          <w:color w:val="000000"/>
          <w:sz w:val="20"/>
          <w:szCs w:val="20"/>
        </w:rPr>
        <w:t xml:space="preserve">if </w:t>
      </w:r>
      <w:r w:rsidR="005F494D" w:rsidRPr="002D1724">
        <w:rPr>
          <w:color w:val="000000"/>
          <w:sz w:val="20"/>
          <w:szCs w:val="20"/>
        </w:rPr>
        <w:t xml:space="preserve">the uncertainties </w:t>
      </w:r>
      <w:r w:rsidR="00AF0389" w:rsidRPr="002D1724">
        <w:rPr>
          <w:color w:val="000000"/>
          <w:sz w:val="20"/>
          <w:szCs w:val="20"/>
        </w:rPr>
        <w:t>associated with the procedures of</w:t>
      </w:r>
      <w:r w:rsidR="005F494D" w:rsidRPr="002D1724">
        <w:rPr>
          <w:color w:val="000000"/>
          <w:sz w:val="20"/>
          <w:szCs w:val="20"/>
        </w:rPr>
        <w:t xml:space="preserve"> preparation</w:t>
      </w:r>
      <w:r w:rsidR="00AF0389" w:rsidRPr="002D1724">
        <w:rPr>
          <w:color w:val="000000"/>
          <w:sz w:val="20"/>
          <w:szCs w:val="20"/>
        </w:rPr>
        <w:t xml:space="preserve"> are evaluated</w:t>
      </w:r>
      <w:r w:rsidR="00102834" w:rsidRPr="002D1724">
        <w:rPr>
          <w:color w:val="000000"/>
          <w:sz w:val="20"/>
          <w:szCs w:val="20"/>
        </w:rPr>
        <w:t xml:space="preserve"> and </w:t>
      </w:r>
      <w:r w:rsidR="00810C06" w:rsidRPr="002D1724">
        <w:rPr>
          <w:color w:val="000000"/>
          <w:sz w:val="20"/>
          <w:szCs w:val="20"/>
        </w:rPr>
        <w:t>appropriately combined with</w:t>
      </w:r>
      <w:r w:rsidR="00172308" w:rsidRPr="002D1724">
        <w:rPr>
          <w:color w:val="000000"/>
          <w:sz w:val="20"/>
          <w:szCs w:val="20"/>
        </w:rPr>
        <w:t xml:space="preserve"> </w:t>
      </w:r>
      <w:r w:rsidR="00810C06" w:rsidRPr="002D1724">
        <w:rPr>
          <w:color w:val="000000"/>
          <w:sz w:val="20"/>
          <w:szCs w:val="20"/>
        </w:rPr>
        <w:t>the uncertainty</w:t>
      </w:r>
      <w:r w:rsidR="009C77E9" w:rsidRPr="002D1724">
        <w:rPr>
          <w:color w:val="000000"/>
          <w:sz w:val="20"/>
          <w:szCs w:val="20"/>
        </w:rPr>
        <w:t xml:space="preserve"> of </w:t>
      </w:r>
      <w:r w:rsidR="00172308" w:rsidRPr="002D1724">
        <w:rPr>
          <w:color w:val="000000"/>
          <w:sz w:val="20"/>
          <w:szCs w:val="20"/>
        </w:rPr>
        <w:t xml:space="preserve">the </w:t>
      </w:r>
      <w:r w:rsidR="00102834" w:rsidRPr="002D1724">
        <w:rPr>
          <w:color w:val="000000"/>
          <w:sz w:val="20"/>
          <w:szCs w:val="20"/>
        </w:rPr>
        <w:t>certified value</w:t>
      </w:r>
      <w:r w:rsidR="005F494D" w:rsidRPr="002D1724">
        <w:rPr>
          <w:color w:val="000000"/>
          <w:sz w:val="20"/>
          <w:szCs w:val="20"/>
        </w:rPr>
        <w:t xml:space="preserve">.  The property value uncertainties assigned to results </w:t>
      </w:r>
      <w:r w:rsidR="00102834" w:rsidRPr="002D1724">
        <w:rPr>
          <w:color w:val="000000"/>
          <w:sz w:val="20"/>
          <w:szCs w:val="20"/>
        </w:rPr>
        <w:t>of</w:t>
      </w:r>
      <w:r w:rsidR="005F494D" w:rsidRPr="002D1724">
        <w:rPr>
          <w:color w:val="000000"/>
          <w:sz w:val="20"/>
          <w:szCs w:val="20"/>
        </w:rPr>
        <w:t xml:space="preserve"> the calibrated</w:t>
      </w:r>
      <w:r w:rsidR="00102834" w:rsidRPr="002D1724">
        <w:rPr>
          <w:color w:val="000000"/>
          <w:sz w:val="20"/>
          <w:szCs w:val="20"/>
        </w:rPr>
        <w:t xml:space="preserve"> measurement</w:t>
      </w:r>
      <w:r w:rsidR="005F494D" w:rsidRPr="002D1724">
        <w:rPr>
          <w:color w:val="000000"/>
          <w:sz w:val="20"/>
          <w:szCs w:val="20"/>
        </w:rPr>
        <w:t xml:space="preserve"> process must </w:t>
      </w:r>
      <w:r w:rsidR="00102834" w:rsidRPr="002D1724">
        <w:rPr>
          <w:color w:val="000000"/>
          <w:sz w:val="20"/>
          <w:szCs w:val="20"/>
        </w:rPr>
        <w:t xml:space="preserve">include </w:t>
      </w:r>
      <w:r w:rsidR="005F494D" w:rsidRPr="002D1724">
        <w:rPr>
          <w:color w:val="000000"/>
          <w:sz w:val="20"/>
          <w:szCs w:val="20"/>
        </w:rPr>
        <w:t>the</w:t>
      </w:r>
      <w:r w:rsidR="00FA603C" w:rsidRPr="002D1724">
        <w:rPr>
          <w:color w:val="000000"/>
          <w:sz w:val="20"/>
          <w:szCs w:val="20"/>
        </w:rPr>
        <w:t xml:space="preserve"> uncertainty of the</w:t>
      </w:r>
      <w:r w:rsidR="005F494D" w:rsidRPr="002D1724">
        <w:rPr>
          <w:color w:val="000000"/>
          <w:sz w:val="20"/>
          <w:szCs w:val="20"/>
        </w:rPr>
        <w:t xml:space="preserve"> calibration function </w:t>
      </w:r>
      <w:r w:rsidR="00102834" w:rsidRPr="002D1724">
        <w:rPr>
          <w:color w:val="000000"/>
          <w:sz w:val="20"/>
          <w:szCs w:val="20"/>
        </w:rPr>
        <w:t>combined with</w:t>
      </w:r>
      <w:r w:rsidR="00E667D2" w:rsidRPr="002D1724">
        <w:rPr>
          <w:color w:val="000000"/>
          <w:sz w:val="20"/>
          <w:szCs w:val="20"/>
        </w:rPr>
        <w:t xml:space="preserve"> </w:t>
      </w:r>
      <w:r w:rsidR="007F0EDC" w:rsidRPr="002D1724">
        <w:rPr>
          <w:color w:val="000000"/>
          <w:sz w:val="20"/>
          <w:szCs w:val="20"/>
        </w:rPr>
        <w:t>the uncertainty</w:t>
      </w:r>
      <w:r w:rsidR="00FA603C" w:rsidRPr="002D1724">
        <w:rPr>
          <w:color w:val="000000"/>
          <w:sz w:val="20"/>
          <w:szCs w:val="20"/>
        </w:rPr>
        <w:t xml:space="preserve"> associated with the</w:t>
      </w:r>
      <w:r w:rsidR="00E667D2" w:rsidRPr="002D1724">
        <w:rPr>
          <w:color w:val="000000"/>
          <w:sz w:val="20"/>
          <w:szCs w:val="20"/>
        </w:rPr>
        <w:t xml:space="preserve"> </w:t>
      </w:r>
      <w:r w:rsidR="00FA603C" w:rsidRPr="002D1724">
        <w:rPr>
          <w:color w:val="000000"/>
          <w:sz w:val="20"/>
          <w:szCs w:val="20"/>
        </w:rPr>
        <w:t>precision</w:t>
      </w:r>
      <w:r w:rsidR="00E667D2" w:rsidRPr="002D1724">
        <w:rPr>
          <w:color w:val="000000"/>
          <w:sz w:val="20"/>
          <w:szCs w:val="20"/>
        </w:rPr>
        <w:t xml:space="preserve"> of the</w:t>
      </w:r>
      <w:r w:rsidR="005F494D" w:rsidRPr="002D1724">
        <w:rPr>
          <w:color w:val="000000"/>
          <w:sz w:val="20"/>
          <w:szCs w:val="20"/>
        </w:rPr>
        <w:t xml:space="preserve"> measurement process.  Guidance on evaluating and combining uncertainties is provided in reference </w:t>
      </w:r>
      <w:r w:rsidR="00A658CA" w:rsidRPr="002D1724">
        <w:rPr>
          <w:color w:val="000000"/>
          <w:sz w:val="20"/>
          <w:szCs w:val="20"/>
        </w:rPr>
        <w:t>6</w:t>
      </w:r>
      <w:r w:rsidR="005F494D" w:rsidRPr="002D1724">
        <w:rPr>
          <w:color w:val="000000"/>
          <w:sz w:val="20"/>
          <w:szCs w:val="20"/>
        </w:rPr>
        <w:t>.</w:t>
      </w:r>
    </w:p>
    <w:p w14:paraId="34912FA2" w14:textId="77777777" w:rsidR="005F494D" w:rsidRPr="002D1724" w:rsidRDefault="005F494D">
      <w:pPr>
        <w:jc w:val="both"/>
        <w:rPr>
          <w:b/>
          <w:sz w:val="20"/>
          <w:szCs w:val="20"/>
        </w:rPr>
      </w:pPr>
    </w:p>
    <w:p w14:paraId="3DD3ADED" w14:textId="77777777" w:rsidR="001A3197" w:rsidRPr="001B372B" w:rsidRDefault="001A3197">
      <w:pPr>
        <w:jc w:val="both"/>
        <w:rPr>
          <w:b/>
          <w:position w:val="-2"/>
          <w:sz w:val="20"/>
          <w:szCs w:val="20"/>
        </w:rPr>
      </w:pPr>
      <w:r w:rsidRPr="002D1724">
        <w:rPr>
          <w:b/>
          <w:bCs/>
          <w:position w:val="-2"/>
          <w:sz w:val="20"/>
          <w:szCs w:val="20"/>
        </w:rPr>
        <w:t>INSTRUCTIONS FOR STORAGE AND USE</w:t>
      </w:r>
    </w:p>
    <w:p w14:paraId="7CC42806" w14:textId="77777777" w:rsidR="001A3197" w:rsidRPr="001B372B" w:rsidRDefault="001A3197">
      <w:pPr>
        <w:jc w:val="both"/>
        <w:rPr>
          <w:position w:val="-2"/>
          <w:sz w:val="20"/>
          <w:szCs w:val="20"/>
        </w:rPr>
      </w:pPr>
    </w:p>
    <w:p w14:paraId="0C406099" w14:textId="29B72CCC" w:rsidR="001A3197" w:rsidRPr="001B372B" w:rsidRDefault="001A3197">
      <w:pPr>
        <w:jc w:val="both"/>
        <w:rPr>
          <w:sz w:val="20"/>
          <w:szCs w:val="20"/>
        </w:rPr>
      </w:pPr>
      <w:r w:rsidRPr="001B372B">
        <w:rPr>
          <w:b/>
          <w:bCs/>
          <w:position w:val="-2"/>
          <w:sz w:val="20"/>
          <w:szCs w:val="20"/>
        </w:rPr>
        <w:t>Storage:</w:t>
      </w:r>
      <w:r w:rsidRPr="001B372B">
        <w:rPr>
          <w:position w:val="-2"/>
          <w:sz w:val="20"/>
          <w:szCs w:val="20"/>
        </w:rPr>
        <w:t xml:space="preserve">  </w:t>
      </w:r>
      <w:r w:rsidRPr="001B372B">
        <w:rPr>
          <w:sz w:val="20"/>
          <w:szCs w:val="20"/>
        </w:rPr>
        <w:t xml:space="preserve">Sealed ampoules, as received, should be stored in </w:t>
      </w:r>
      <w:r w:rsidR="00532840" w:rsidRPr="001B372B">
        <w:rPr>
          <w:sz w:val="20"/>
          <w:szCs w:val="20"/>
        </w:rPr>
        <w:t>a freezer</w:t>
      </w:r>
      <w:r w:rsidRPr="001B372B">
        <w:rPr>
          <w:sz w:val="20"/>
          <w:szCs w:val="20"/>
        </w:rPr>
        <w:t xml:space="preserve"> (</w:t>
      </w:r>
      <w:r w:rsidR="00532840" w:rsidRPr="001B372B">
        <w:rPr>
          <w:sz w:val="20"/>
          <w:szCs w:val="20"/>
        </w:rPr>
        <w:t>–18 </w:t>
      </w:r>
      <w:r w:rsidRPr="001B372B">
        <w:rPr>
          <w:sz w:val="20"/>
          <w:szCs w:val="20"/>
        </w:rPr>
        <w:t xml:space="preserve">°C to </w:t>
      </w:r>
      <w:r w:rsidR="00532840" w:rsidRPr="001B372B">
        <w:rPr>
          <w:sz w:val="20"/>
          <w:szCs w:val="20"/>
        </w:rPr>
        <w:t>–22 </w:t>
      </w:r>
      <w:r w:rsidRPr="001B372B">
        <w:rPr>
          <w:sz w:val="20"/>
          <w:szCs w:val="20"/>
        </w:rPr>
        <w:t xml:space="preserve">°C).  </w:t>
      </w:r>
      <w:r w:rsidR="00EC0816">
        <w:rPr>
          <w:sz w:val="20"/>
          <w:szCs w:val="20"/>
        </w:rPr>
        <w:t xml:space="preserve">Additional </w:t>
      </w:r>
      <w:r w:rsidR="004019D2">
        <w:rPr>
          <w:sz w:val="20"/>
          <w:szCs w:val="20"/>
        </w:rPr>
        <w:t>information for</w:t>
      </w:r>
      <w:r w:rsidR="00EC0816">
        <w:rPr>
          <w:sz w:val="20"/>
          <w:szCs w:val="20"/>
        </w:rPr>
        <w:t xml:space="preserve"> storing d</w:t>
      </w:r>
      <w:r w:rsidR="00EC0816" w:rsidRPr="00EC0816">
        <w:rPr>
          <w:sz w:val="20"/>
          <w:szCs w:val="20"/>
        </w:rPr>
        <w:t>ilut</w:t>
      </w:r>
      <w:r w:rsidR="00EC0816">
        <w:rPr>
          <w:sz w:val="20"/>
          <w:szCs w:val="20"/>
        </w:rPr>
        <w:t>ed s</w:t>
      </w:r>
      <w:r w:rsidR="00EC0816" w:rsidRPr="00EC0816">
        <w:rPr>
          <w:sz w:val="20"/>
          <w:szCs w:val="20"/>
        </w:rPr>
        <w:t xml:space="preserve">olutions </w:t>
      </w:r>
      <w:r w:rsidR="004019D2">
        <w:rPr>
          <w:sz w:val="20"/>
          <w:szCs w:val="20"/>
        </w:rPr>
        <w:t xml:space="preserve">is </w:t>
      </w:r>
      <w:r w:rsidR="00EC0816">
        <w:rPr>
          <w:sz w:val="20"/>
          <w:szCs w:val="20"/>
        </w:rPr>
        <w:t xml:space="preserve">provided in </w:t>
      </w:r>
      <w:r w:rsidR="00EC0816" w:rsidRPr="00EC0816">
        <w:rPr>
          <w:sz w:val="20"/>
          <w:szCs w:val="20"/>
        </w:rPr>
        <w:t>Appendix</w:t>
      </w:r>
      <w:r w:rsidR="00EC0816">
        <w:rPr>
          <w:sz w:val="20"/>
          <w:szCs w:val="20"/>
        </w:rPr>
        <w:t> </w:t>
      </w:r>
      <w:r w:rsidR="00EC0816" w:rsidRPr="00EC0816">
        <w:rPr>
          <w:sz w:val="20"/>
          <w:szCs w:val="20"/>
        </w:rPr>
        <w:t>A.</w:t>
      </w:r>
    </w:p>
    <w:p w14:paraId="5B355F23" w14:textId="4DE76783" w:rsidR="001A3197" w:rsidRPr="001B372B" w:rsidRDefault="001A3197">
      <w:pPr>
        <w:jc w:val="both"/>
        <w:rPr>
          <w:sz w:val="20"/>
          <w:szCs w:val="20"/>
        </w:rPr>
      </w:pPr>
    </w:p>
    <w:p w14:paraId="417AF950" w14:textId="3F1509F4" w:rsidR="001A3197" w:rsidRPr="001B372B" w:rsidRDefault="001A3197">
      <w:pPr>
        <w:jc w:val="both"/>
        <w:rPr>
          <w:sz w:val="20"/>
          <w:szCs w:val="20"/>
        </w:rPr>
      </w:pPr>
      <w:r w:rsidRPr="001B372B">
        <w:rPr>
          <w:b/>
          <w:bCs/>
          <w:sz w:val="20"/>
          <w:szCs w:val="20"/>
        </w:rPr>
        <w:t>Use:</w:t>
      </w:r>
      <w:r w:rsidRPr="001B372B">
        <w:rPr>
          <w:sz w:val="20"/>
          <w:szCs w:val="20"/>
        </w:rPr>
        <w:t xml:space="preserve">  </w:t>
      </w:r>
      <w:r w:rsidRPr="001B372B">
        <w:rPr>
          <w:kern w:val="2"/>
          <w:sz w:val="20"/>
          <w:szCs w:val="20"/>
        </w:rPr>
        <w:t xml:space="preserve">Prior to removal of a test portion for analysis, the contents of an ampoule should be mixed thoroughly.  </w:t>
      </w:r>
      <w:r w:rsidRPr="001B372B">
        <w:rPr>
          <w:sz w:val="20"/>
          <w:szCs w:val="20"/>
        </w:rPr>
        <w:t>Test portions for use should be withdrawn immediately after opening the ampoules, and should be processed or diluted without delay for the certified mass fraction to be valid within the stated uncertainty</w:t>
      </w:r>
      <w:r w:rsidRPr="00EC0816">
        <w:rPr>
          <w:sz w:val="20"/>
          <w:szCs w:val="20"/>
        </w:rPr>
        <w:t xml:space="preserve">.  </w:t>
      </w:r>
      <w:r w:rsidR="004019D2" w:rsidRPr="004019D2">
        <w:rPr>
          <w:sz w:val="20"/>
          <w:szCs w:val="20"/>
        </w:rPr>
        <w:t xml:space="preserve">Gravimetric and volumetric methods for preparing in-house solutions are described in Appendix A.  </w:t>
      </w:r>
      <w:r w:rsidR="00EC0816" w:rsidRPr="001B372B">
        <w:rPr>
          <w:sz w:val="20"/>
          <w:szCs w:val="20"/>
        </w:rPr>
        <w:t xml:space="preserve">The certified values do not apply to contents of previously opened and stored ampoules, </w:t>
      </w:r>
      <w:r w:rsidR="00EC0816" w:rsidRPr="004019D2">
        <w:rPr>
          <w:sz w:val="20"/>
          <w:szCs w:val="20"/>
        </w:rPr>
        <w:t xml:space="preserve">as the stability of </w:t>
      </w:r>
      <w:proofErr w:type="spellStart"/>
      <w:r w:rsidR="00EC0816" w:rsidRPr="004019D2">
        <w:rPr>
          <w:sz w:val="20"/>
          <w:szCs w:val="20"/>
        </w:rPr>
        <w:t>analytes</w:t>
      </w:r>
      <w:proofErr w:type="spellEnd"/>
      <w:r w:rsidR="00EC0816" w:rsidRPr="004019D2">
        <w:rPr>
          <w:sz w:val="20"/>
          <w:szCs w:val="20"/>
        </w:rPr>
        <w:t xml:space="preserve"> in opened ampoules has not been investigated</w:t>
      </w:r>
      <w:r w:rsidR="00EC0816" w:rsidRPr="001B372B">
        <w:rPr>
          <w:sz w:val="20"/>
          <w:szCs w:val="20"/>
        </w:rPr>
        <w:t>.</w:t>
      </w:r>
    </w:p>
    <w:p w14:paraId="23EEC471" w14:textId="5D55048E" w:rsidR="001A3197" w:rsidRPr="001B372B" w:rsidRDefault="001A3197">
      <w:pPr>
        <w:jc w:val="both"/>
        <w:rPr>
          <w:sz w:val="20"/>
          <w:szCs w:val="20"/>
        </w:rPr>
      </w:pPr>
    </w:p>
    <w:p w14:paraId="19EA2B89" w14:textId="77777777" w:rsidR="001A3197" w:rsidRPr="001B372B" w:rsidRDefault="001A3197">
      <w:pPr>
        <w:spacing w:after="120"/>
        <w:jc w:val="both"/>
        <w:rPr>
          <w:sz w:val="20"/>
          <w:szCs w:val="20"/>
        </w:rPr>
      </w:pPr>
      <w:r w:rsidRPr="001B372B">
        <w:rPr>
          <w:b/>
          <w:bCs/>
          <w:sz w:val="20"/>
          <w:szCs w:val="20"/>
        </w:rPr>
        <w:t xml:space="preserve">PREPARATION AND </w:t>
      </w:r>
      <w:proofErr w:type="gramStart"/>
      <w:r w:rsidRPr="001B372B">
        <w:rPr>
          <w:b/>
          <w:bCs/>
          <w:sz w:val="20"/>
          <w:szCs w:val="20"/>
        </w:rPr>
        <w:t>ANALYSIS</w:t>
      </w:r>
      <w:r w:rsidRPr="001B372B">
        <w:rPr>
          <w:b/>
          <w:bCs/>
          <w:sz w:val="20"/>
          <w:szCs w:val="20"/>
          <w:vertAlign w:val="superscript"/>
        </w:rPr>
        <w:t>(</w:t>
      </w:r>
      <w:proofErr w:type="gramEnd"/>
      <w:r w:rsidRPr="001B372B">
        <w:rPr>
          <w:rStyle w:val="FootnoteReference"/>
          <w:b/>
          <w:bCs/>
          <w:sz w:val="20"/>
          <w:szCs w:val="20"/>
        </w:rPr>
        <w:footnoteReference w:id="1"/>
      </w:r>
      <w:r w:rsidRPr="001B372B">
        <w:rPr>
          <w:b/>
          <w:bCs/>
          <w:sz w:val="20"/>
          <w:szCs w:val="20"/>
          <w:vertAlign w:val="superscript"/>
        </w:rPr>
        <w:t>)</w:t>
      </w:r>
    </w:p>
    <w:p w14:paraId="4794E3D6" w14:textId="343C79BB" w:rsidR="001A3197" w:rsidRPr="001B372B" w:rsidRDefault="001A3197">
      <w:pPr>
        <w:jc w:val="both"/>
        <w:rPr>
          <w:sz w:val="20"/>
          <w:szCs w:val="20"/>
        </w:rPr>
      </w:pPr>
      <w:r w:rsidRPr="001B372B">
        <w:rPr>
          <w:b/>
          <w:bCs/>
          <w:sz w:val="20"/>
          <w:szCs w:val="20"/>
        </w:rPr>
        <w:t>Solution Preparation:</w:t>
      </w:r>
      <w:r w:rsidRPr="001B372B">
        <w:rPr>
          <w:sz w:val="20"/>
          <w:szCs w:val="20"/>
        </w:rPr>
        <w:t xml:space="preserve">  The solution</w:t>
      </w:r>
      <w:r w:rsidR="00863EFD" w:rsidRPr="001B372B">
        <w:rPr>
          <w:sz w:val="20"/>
          <w:szCs w:val="20"/>
        </w:rPr>
        <w:t>s</w:t>
      </w:r>
      <w:r w:rsidRPr="001B372B">
        <w:rPr>
          <w:sz w:val="20"/>
          <w:szCs w:val="20"/>
        </w:rPr>
        <w:t xml:space="preserve"> w</w:t>
      </w:r>
      <w:r w:rsidR="00863EFD" w:rsidRPr="001B372B">
        <w:rPr>
          <w:sz w:val="20"/>
          <w:szCs w:val="20"/>
        </w:rPr>
        <w:t>ere</w:t>
      </w:r>
      <w:r w:rsidRPr="001B372B">
        <w:rPr>
          <w:sz w:val="20"/>
          <w:szCs w:val="20"/>
        </w:rPr>
        <w:t xml:space="preserve"> prepared gravimetrically at NIST from</w:t>
      </w:r>
      <w:r w:rsidR="00863EFD" w:rsidRPr="001B372B">
        <w:rPr>
          <w:sz w:val="20"/>
          <w:szCs w:val="20"/>
        </w:rPr>
        <w:t xml:space="preserve"> a solution of 80</w:t>
      </w:r>
      <w:r w:rsidR="001B372B" w:rsidRPr="001B372B">
        <w:rPr>
          <w:sz w:val="20"/>
          <w:szCs w:val="20"/>
        </w:rPr>
        <w:t> </w:t>
      </w:r>
      <w:r w:rsidR="00863EFD" w:rsidRPr="001B372B">
        <w:rPr>
          <w:sz w:val="20"/>
          <w:szCs w:val="20"/>
        </w:rPr>
        <w:t>% methanol and 20</w:t>
      </w:r>
      <w:r w:rsidR="001B372B" w:rsidRPr="001B372B">
        <w:rPr>
          <w:sz w:val="20"/>
          <w:szCs w:val="20"/>
        </w:rPr>
        <w:t> </w:t>
      </w:r>
      <w:r w:rsidR="00863EFD" w:rsidRPr="001B372B">
        <w:rPr>
          <w:sz w:val="20"/>
          <w:szCs w:val="20"/>
        </w:rPr>
        <w:t xml:space="preserve">% water (volume fractions), </w:t>
      </w:r>
      <w:r w:rsidRPr="001B372B">
        <w:rPr>
          <w:sz w:val="20"/>
          <w:szCs w:val="20"/>
        </w:rPr>
        <w:t xml:space="preserve">primary standards for </w:t>
      </w:r>
      <w:proofErr w:type="spellStart"/>
      <w:r w:rsidR="00863EFD" w:rsidRPr="001B372B">
        <w:rPr>
          <w:sz w:val="20"/>
          <w:szCs w:val="20"/>
        </w:rPr>
        <w:t>daidzin</w:t>
      </w:r>
      <w:proofErr w:type="spellEnd"/>
      <w:r w:rsidR="00863EFD" w:rsidRPr="001B372B">
        <w:rPr>
          <w:sz w:val="20"/>
          <w:szCs w:val="20"/>
        </w:rPr>
        <w:t xml:space="preserve">, </w:t>
      </w:r>
      <w:proofErr w:type="spellStart"/>
      <w:r w:rsidR="00863EFD" w:rsidRPr="001B372B">
        <w:rPr>
          <w:sz w:val="20"/>
          <w:szCs w:val="20"/>
        </w:rPr>
        <w:t>genistin</w:t>
      </w:r>
      <w:proofErr w:type="spellEnd"/>
      <w:r w:rsidR="00863EFD" w:rsidRPr="001B372B">
        <w:rPr>
          <w:sz w:val="20"/>
          <w:szCs w:val="20"/>
        </w:rPr>
        <w:t xml:space="preserve">, </w:t>
      </w:r>
      <w:proofErr w:type="spellStart"/>
      <w:r w:rsidR="00863EFD" w:rsidRPr="001B372B">
        <w:rPr>
          <w:sz w:val="20"/>
          <w:szCs w:val="20"/>
        </w:rPr>
        <w:t>glycitin</w:t>
      </w:r>
      <w:proofErr w:type="spellEnd"/>
      <w:r w:rsidR="00863EFD" w:rsidRPr="001B372B">
        <w:rPr>
          <w:sz w:val="20"/>
          <w:szCs w:val="20"/>
        </w:rPr>
        <w:t xml:space="preserve">, </w:t>
      </w:r>
      <w:proofErr w:type="spellStart"/>
      <w:r w:rsidR="00863EFD" w:rsidRPr="001B372B">
        <w:rPr>
          <w:sz w:val="20"/>
          <w:szCs w:val="20"/>
        </w:rPr>
        <w:t>daidzein</w:t>
      </w:r>
      <w:proofErr w:type="spellEnd"/>
      <w:r w:rsidR="00863EFD" w:rsidRPr="001B372B">
        <w:rPr>
          <w:sz w:val="20"/>
          <w:szCs w:val="20"/>
        </w:rPr>
        <w:t xml:space="preserve">, </w:t>
      </w:r>
      <w:proofErr w:type="spellStart"/>
      <w:r w:rsidR="00863EFD" w:rsidRPr="001B372B">
        <w:rPr>
          <w:sz w:val="20"/>
          <w:szCs w:val="20"/>
        </w:rPr>
        <w:t>genistein</w:t>
      </w:r>
      <w:proofErr w:type="spellEnd"/>
      <w:r w:rsidR="00863EFD" w:rsidRPr="001B372B">
        <w:rPr>
          <w:sz w:val="20"/>
          <w:szCs w:val="20"/>
        </w:rPr>
        <w:t xml:space="preserve">, and </w:t>
      </w:r>
      <w:proofErr w:type="spellStart"/>
      <w:r w:rsidR="00863EFD" w:rsidRPr="001B372B">
        <w:rPr>
          <w:sz w:val="20"/>
          <w:szCs w:val="20"/>
        </w:rPr>
        <w:t>glycitein</w:t>
      </w:r>
      <w:proofErr w:type="spellEnd"/>
      <w:r w:rsidRPr="001B372B">
        <w:rPr>
          <w:sz w:val="20"/>
          <w:szCs w:val="20"/>
        </w:rPr>
        <w:t xml:space="preserve"> obtained from </w:t>
      </w:r>
      <w:r w:rsidR="00863EFD" w:rsidRPr="001B372B">
        <w:rPr>
          <w:sz w:val="20"/>
          <w:szCs w:val="20"/>
        </w:rPr>
        <w:t>Blaze Science Industries</w:t>
      </w:r>
      <w:r w:rsidRPr="001B372B">
        <w:rPr>
          <w:sz w:val="20"/>
          <w:szCs w:val="20"/>
        </w:rPr>
        <w:t xml:space="preserve"> (</w:t>
      </w:r>
      <w:r w:rsidR="00863EFD" w:rsidRPr="001B372B">
        <w:rPr>
          <w:sz w:val="20"/>
          <w:szCs w:val="20"/>
        </w:rPr>
        <w:t>Lawndale, CA</w:t>
      </w:r>
      <w:r w:rsidRPr="001B372B">
        <w:rPr>
          <w:sz w:val="20"/>
          <w:szCs w:val="20"/>
        </w:rPr>
        <w:t>)</w:t>
      </w:r>
      <w:r w:rsidR="00863EFD" w:rsidRPr="001B372B">
        <w:rPr>
          <w:sz w:val="20"/>
          <w:szCs w:val="20"/>
        </w:rPr>
        <w:t>, and DMSO used to solubilize the primary standards</w:t>
      </w:r>
      <w:r w:rsidRPr="001B372B">
        <w:rPr>
          <w:sz w:val="20"/>
          <w:szCs w:val="20"/>
        </w:rPr>
        <w:t>.</w:t>
      </w:r>
      <w:r w:rsidR="00863EFD" w:rsidRPr="001B372B">
        <w:rPr>
          <w:sz w:val="20"/>
          <w:szCs w:val="20"/>
        </w:rPr>
        <w:t xml:space="preserve">  After preparation, t</w:t>
      </w:r>
      <w:r w:rsidRPr="001B372B">
        <w:rPr>
          <w:sz w:val="20"/>
          <w:szCs w:val="20"/>
        </w:rPr>
        <w:t>he solution</w:t>
      </w:r>
      <w:r w:rsidR="00863EFD" w:rsidRPr="001B372B">
        <w:rPr>
          <w:sz w:val="20"/>
          <w:szCs w:val="20"/>
        </w:rPr>
        <w:t>s</w:t>
      </w:r>
      <w:r w:rsidRPr="001B372B">
        <w:rPr>
          <w:sz w:val="20"/>
          <w:szCs w:val="20"/>
        </w:rPr>
        <w:t xml:space="preserve"> </w:t>
      </w:r>
      <w:r w:rsidR="00863EFD" w:rsidRPr="001B372B">
        <w:rPr>
          <w:sz w:val="20"/>
          <w:szCs w:val="20"/>
        </w:rPr>
        <w:t>were</w:t>
      </w:r>
      <w:r w:rsidRPr="001B372B">
        <w:rPr>
          <w:sz w:val="20"/>
          <w:szCs w:val="20"/>
        </w:rPr>
        <w:t xml:space="preserve"> mixed overnight (18 h) and aliquoted into 2 mL amber glass ampoules that had been purged with argon prior to addition of the solution.  The ampoules were then flame-sealed.  The masses of the primary standards and the total mass of the solution</w:t>
      </w:r>
      <w:r w:rsidR="00863EFD" w:rsidRPr="001B372B">
        <w:rPr>
          <w:sz w:val="20"/>
          <w:szCs w:val="20"/>
        </w:rPr>
        <w:t>s</w:t>
      </w:r>
      <w:r w:rsidRPr="001B372B">
        <w:rPr>
          <w:sz w:val="20"/>
          <w:szCs w:val="20"/>
        </w:rPr>
        <w:t xml:space="preserve"> were used to calculate the gravimetric mass fractions.  The mass fractions were adjusted for the purity estimates of the primary standards, which were determined using </w:t>
      </w:r>
      <w:r w:rsidR="00863EFD" w:rsidRPr="001B372B">
        <w:rPr>
          <w:sz w:val="20"/>
          <w:szCs w:val="20"/>
        </w:rPr>
        <w:t>quantitative proton nuclear magnetic resonance spectroscopy</w:t>
      </w:r>
      <w:r w:rsidR="001B372B">
        <w:rPr>
          <w:sz w:val="20"/>
          <w:szCs w:val="20"/>
        </w:rPr>
        <w:t> </w:t>
      </w:r>
      <w:r w:rsidR="00863EFD" w:rsidRPr="001B372B">
        <w:rPr>
          <w:sz w:val="20"/>
          <w:szCs w:val="20"/>
        </w:rPr>
        <w:t>(</w:t>
      </w:r>
      <w:proofErr w:type="spellStart"/>
      <w:r w:rsidR="00863EFD" w:rsidRPr="001B372B">
        <w:rPr>
          <w:sz w:val="20"/>
          <w:szCs w:val="20"/>
        </w:rPr>
        <w:t>qNMR</w:t>
      </w:r>
      <w:proofErr w:type="spellEnd"/>
      <w:r w:rsidR="00863EFD" w:rsidRPr="001B372B">
        <w:rPr>
          <w:sz w:val="20"/>
          <w:szCs w:val="20"/>
        </w:rPr>
        <w:t>)</w:t>
      </w:r>
      <w:r w:rsidRPr="001B372B">
        <w:rPr>
          <w:sz w:val="20"/>
          <w:szCs w:val="20"/>
        </w:rPr>
        <w:t>.</w:t>
      </w:r>
    </w:p>
    <w:p w14:paraId="35F56401" w14:textId="77777777" w:rsidR="001A3197" w:rsidRPr="001B372B" w:rsidRDefault="001A3197">
      <w:pPr>
        <w:jc w:val="both"/>
        <w:rPr>
          <w:sz w:val="20"/>
          <w:szCs w:val="20"/>
        </w:rPr>
      </w:pPr>
    </w:p>
    <w:p w14:paraId="220A5D59" w14:textId="47FB0432" w:rsidR="001A3197" w:rsidRPr="001B372B" w:rsidRDefault="001A3197">
      <w:pPr>
        <w:jc w:val="both"/>
        <w:rPr>
          <w:sz w:val="20"/>
          <w:szCs w:val="20"/>
        </w:rPr>
      </w:pPr>
      <w:r w:rsidRPr="001B372B">
        <w:rPr>
          <w:b/>
          <w:bCs/>
          <w:sz w:val="20"/>
          <w:szCs w:val="20"/>
        </w:rPr>
        <w:t>Analytical Approach:</w:t>
      </w:r>
      <w:r w:rsidRPr="001B372B">
        <w:rPr>
          <w:sz w:val="20"/>
          <w:szCs w:val="20"/>
        </w:rPr>
        <w:t xml:space="preserve">  Aliquots from 10 ampoules</w:t>
      </w:r>
      <w:r w:rsidR="00863EFD" w:rsidRPr="001B372B">
        <w:rPr>
          <w:sz w:val="20"/>
          <w:szCs w:val="20"/>
        </w:rPr>
        <w:t xml:space="preserve"> of each solution</w:t>
      </w:r>
      <w:r w:rsidRPr="001B372B">
        <w:rPr>
          <w:sz w:val="20"/>
          <w:szCs w:val="20"/>
        </w:rPr>
        <w:t>, selected using a stratified random sampling scheme, were</w:t>
      </w:r>
      <w:r w:rsidR="00863EFD" w:rsidRPr="001B372B">
        <w:rPr>
          <w:sz w:val="20"/>
          <w:szCs w:val="20"/>
        </w:rPr>
        <w:t xml:space="preserve"> spiked with </w:t>
      </w:r>
      <w:r w:rsidR="0023384D" w:rsidRPr="001B372B">
        <w:rPr>
          <w:sz w:val="20"/>
          <w:szCs w:val="20"/>
        </w:rPr>
        <w:t>an internal standard (</w:t>
      </w:r>
      <w:proofErr w:type="spellStart"/>
      <w:r w:rsidR="0023384D" w:rsidRPr="001B372B">
        <w:rPr>
          <w:sz w:val="20"/>
          <w:szCs w:val="20"/>
        </w:rPr>
        <w:t>sissotrin</w:t>
      </w:r>
      <w:proofErr w:type="spellEnd"/>
      <w:r w:rsidR="0023384D" w:rsidRPr="001B372B">
        <w:rPr>
          <w:sz w:val="20"/>
          <w:szCs w:val="20"/>
        </w:rPr>
        <w:t>) solution and</w:t>
      </w:r>
      <w:r w:rsidRPr="001B372B">
        <w:rPr>
          <w:sz w:val="20"/>
          <w:szCs w:val="20"/>
        </w:rPr>
        <w:t xml:space="preserve"> analyzed in duplicate using LC</w:t>
      </w:r>
      <w:r w:rsidRPr="001B372B">
        <w:rPr>
          <w:sz w:val="20"/>
          <w:szCs w:val="20"/>
        </w:rPr>
        <w:noBreakHyphen/>
        <w:t>UV at 2</w:t>
      </w:r>
      <w:r w:rsidR="00863EFD" w:rsidRPr="001B372B">
        <w:rPr>
          <w:sz w:val="20"/>
          <w:szCs w:val="20"/>
        </w:rPr>
        <w:t>54</w:t>
      </w:r>
      <w:r w:rsidRPr="001B372B">
        <w:rPr>
          <w:sz w:val="20"/>
          <w:szCs w:val="20"/>
        </w:rPr>
        <w:t xml:space="preserve"> nm.  </w:t>
      </w:r>
      <w:r w:rsidR="00863EFD" w:rsidRPr="001B372B">
        <w:rPr>
          <w:sz w:val="20"/>
          <w:szCs w:val="20"/>
        </w:rPr>
        <w:t>Two to f</w:t>
      </w:r>
      <w:r w:rsidRPr="001B372B">
        <w:rPr>
          <w:sz w:val="20"/>
          <w:szCs w:val="20"/>
        </w:rPr>
        <w:t xml:space="preserve">our independently prepared calibration solutions </w:t>
      </w:r>
      <w:r w:rsidR="00863EFD" w:rsidRPr="001B372B">
        <w:rPr>
          <w:sz w:val="20"/>
          <w:szCs w:val="20"/>
        </w:rPr>
        <w:t xml:space="preserve">of each </w:t>
      </w:r>
      <w:proofErr w:type="spellStart"/>
      <w:r w:rsidR="00863EFD" w:rsidRPr="001B372B">
        <w:rPr>
          <w:sz w:val="20"/>
          <w:szCs w:val="20"/>
        </w:rPr>
        <w:t>isoflavone</w:t>
      </w:r>
      <w:proofErr w:type="spellEnd"/>
      <w:r w:rsidR="00863EFD" w:rsidRPr="001B372B">
        <w:rPr>
          <w:sz w:val="20"/>
          <w:szCs w:val="20"/>
        </w:rPr>
        <w:t xml:space="preserve"> </w:t>
      </w:r>
      <w:r w:rsidRPr="001B372B">
        <w:rPr>
          <w:sz w:val="20"/>
          <w:szCs w:val="20"/>
        </w:rPr>
        <w:t>were gravimetrically prepared</w:t>
      </w:r>
      <w:r w:rsidR="0023384D" w:rsidRPr="001B372B">
        <w:rPr>
          <w:sz w:val="20"/>
          <w:szCs w:val="20"/>
        </w:rPr>
        <w:t>, combined with the internal standard solution,</w:t>
      </w:r>
      <w:r w:rsidRPr="001B372B">
        <w:rPr>
          <w:sz w:val="20"/>
          <w:szCs w:val="20"/>
        </w:rPr>
        <w:t xml:space="preserve"> and chromatographically analyzed.  </w:t>
      </w:r>
      <w:r w:rsidR="0023384D" w:rsidRPr="001B372B">
        <w:rPr>
          <w:sz w:val="20"/>
          <w:szCs w:val="20"/>
        </w:rPr>
        <w:t xml:space="preserve">The </w:t>
      </w:r>
      <w:r w:rsidR="352FD06F" w:rsidRPr="001B372B">
        <w:rPr>
          <w:sz w:val="20"/>
          <w:szCs w:val="20"/>
        </w:rPr>
        <w:t xml:space="preserve">mass </w:t>
      </w:r>
      <w:r w:rsidR="0023384D" w:rsidRPr="001B372B">
        <w:rPr>
          <w:sz w:val="20"/>
          <w:szCs w:val="20"/>
        </w:rPr>
        <w:t xml:space="preserve">purity of the </w:t>
      </w:r>
      <w:r w:rsidR="007A3358" w:rsidRPr="001B372B">
        <w:rPr>
          <w:sz w:val="20"/>
          <w:szCs w:val="20"/>
        </w:rPr>
        <w:t xml:space="preserve">neat chemical </w:t>
      </w:r>
      <w:proofErr w:type="spellStart"/>
      <w:r w:rsidR="0023384D" w:rsidRPr="001B372B">
        <w:rPr>
          <w:sz w:val="20"/>
          <w:szCs w:val="20"/>
        </w:rPr>
        <w:t>calibrant</w:t>
      </w:r>
      <w:proofErr w:type="spellEnd"/>
      <w:r w:rsidR="0023384D" w:rsidRPr="001B372B">
        <w:rPr>
          <w:sz w:val="20"/>
          <w:szCs w:val="20"/>
        </w:rPr>
        <w:t xml:space="preserve"> materials was determined using </w:t>
      </w:r>
      <w:proofErr w:type="spellStart"/>
      <w:r w:rsidR="0023384D" w:rsidRPr="001B372B">
        <w:rPr>
          <w:sz w:val="20"/>
          <w:szCs w:val="20"/>
        </w:rPr>
        <w:t>qNMR</w:t>
      </w:r>
      <w:proofErr w:type="spellEnd"/>
      <w:r w:rsidR="0023384D" w:rsidRPr="001B372B">
        <w:rPr>
          <w:sz w:val="20"/>
          <w:szCs w:val="20"/>
        </w:rPr>
        <w:t xml:space="preserve">.  </w:t>
      </w:r>
      <w:r w:rsidR="0023384D" w:rsidRPr="001B372B">
        <w:rPr>
          <w:kern w:val="2"/>
          <w:sz w:val="20"/>
          <w:szCs w:val="20"/>
        </w:rPr>
        <w:t xml:space="preserve">A single internal standard solution was used for the </w:t>
      </w:r>
      <w:proofErr w:type="spellStart"/>
      <w:r w:rsidR="0023384D" w:rsidRPr="001B372B">
        <w:rPr>
          <w:kern w:val="2"/>
          <w:sz w:val="20"/>
          <w:szCs w:val="20"/>
        </w:rPr>
        <w:t>calibrants</w:t>
      </w:r>
      <w:proofErr w:type="spellEnd"/>
      <w:r w:rsidR="0023384D" w:rsidRPr="001B372B">
        <w:rPr>
          <w:kern w:val="2"/>
          <w:sz w:val="20"/>
          <w:szCs w:val="20"/>
        </w:rPr>
        <w:t xml:space="preserve"> and samples.  </w:t>
      </w:r>
      <w:r w:rsidR="0023384D" w:rsidRPr="001B372B">
        <w:rPr>
          <w:sz w:val="20"/>
          <w:szCs w:val="20"/>
        </w:rPr>
        <w:t>R</w:t>
      </w:r>
      <w:r w:rsidRPr="001B372B">
        <w:rPr>
          <w:sz w:val="20"/>
          <w:szCs w:val="20"/>
        </w:rPr>
        <w:t>epresentative chromatogram</w:t>
      </w:r>
      <w:r w:rsidR="0023384D" w:rsidRPr="001B372B">
        <w:rPr>
          <w:sz w:val="20"/>
          <w:szCs w:val="20"/>
        </w:rPr>
        <w:t>s</w:t>
      </w:r>
      <w:r w:rsidRPr="001B372B">
        <w:rPr>
          <w:sz w:val="20"/>
          <w:szCs w:val="20"/>
        </w:rPr>
        <w:t xml:space="preserve"> and the separation conditions are presented in Figure</w:t>
      </w:r>
      <w:r w:rsidR="001B372B" w:rsidRPr="001B372B">
        <w:rPr>
          <w:sz w:val="20"/>
          <w:szCs w:val="20"/>
        </w:rPr>
        <w:t> </w:t>
      </w:r>
      <w:r w:rsidR="00815C32">
        <w:rPr>
          <w:sz w:val="20"/>
          <w:szCs w:val="20"/>
        </w:rPr>
        <w:t>2</w:t>
      </w:r>
      <w:r w:rsidRPr="001B372B">
        <w:rPr>
          <w:sz w:val="20"/>
          <w:szCs w:val="20"/>
        </w:rPr>
        <w:t>.</w:t>
      </w:r>
    </w:p>
    <w:p w14:paraId="02ABD0CA" w14:textId="77777777" w:rsidR="001A3197" w:rsidRPr="001B372B" w:rsidRDefault="001A3197">
      <w:pPr>
        <w:jc w:val="both"/>
        <w:rPr>
          <w:sz w:val="20"/>
          <w:szCs w:val="20"/>
        </w:rPr>
      </w:pPr>
    </w:p>
    <w:p w14:paraId="1475845E" w14:textId="4DEEB863" w:rsidR="001A3197" w:rsidRPr="001B372B" w:rsidRDefault="001A3197">
      <w:pPr>
        <w:jc w:val="both"/>
        <w:rPr>
          <w:sz w:val="20"/>
          <w:szCs w:val="20"/>
        </w:rPr>
      </w:pPr>
      <w:r w:rsidRPr="001B372B">
        <w:rPr>
          <w:b/>
          <w:bCs/>
          <w:kern w:val="2"/>
          <w:sz w:val="20"/>
          <w:szCs w:val="20"/>
        </w:rPr>
        <w:t>Homogeneity Assessment:</w:t>
      </w:r>
      <w:r w:rsidRPr="001B372B">
        <w:rPr>
          <w:kern w:val="2"/>
          <w:sz w:val="20"/>
          <w:szCs w:val="20"/>
        </w:rPr>
        <w:t xml:space="preserve">  The homogeneity of </w:t>
      </w:r>
      <w:proofErr w:type="spellStart"/>
      <w:r w:rsidR="00F20AB7" w:rsidRPr="001B372B">
        <w:rPr>
          <w:kern w:val="2"/>
          <w:sz w:val="20"/>
          <w:szCs w:val="20"/>
        </w:rPr>
        <w:t>isoflavone</w:t>
      </w:r>
      <w:proofErr w:type="spellEnd"/>
      <w:r w:rsidRPr="001B372B">
        <w:rPr>
          <w:kern w:val="2"/>
          <w:sz w:val="20"/>
          <w:szCs w:val="20"/>
        </w:rPr>
        <w:t xml:space="preserve"> mass fractions was assessed at NIST by using the analytical approach described above.  </w:t>
      </w:r>
      <w:r w:rsidRPr="001B372B">
        <w:rPr>
          <w:sz w:val="20"/>
          <w:szCs w:val="20"/>
        </w:rPr>
        <w:t>An analysis of variance did not show inhomogeneity for the 0.</w:t>
      </w:r>
      <w:r w:rsidR="00F20AB7" w:rsidRPr="001B372B">
        <w:rPr>
          <w:sz w:val="20"/>
          <w:szCs w:val="20"/>
        </w:rPr>
        <w:t>4</w:t>
      </w:r>
      <w:r w:rsidRPr="001B372B">
        <w:rPr>
          <w:sz w:val="20"/>
          <w:szCs w:val="20"/>
        </w:rPr>
        <w:t> g test portions analyzed.</w:t>
      </w:r>
    </w:p>
    <w:p w14:paraId="6B2D607A" w14:textId="77777777" w:rsidR="00EC0816" w:rsidRDefault="00EC0816">
      <w:pPr>
        <w:rPr>
          <w:sz w:val="20"/>
          <w:szCs w:val="20"/>
        </w:rPr>
      </w:pPr>
      <w:r>
        <w:rPr>
          <w:sz w:val="20"/>
          <w:szCs w:val="20"/>
        </w:rPr>
        <w:br w:type="page"/>
      </w:r>
    </w:p>
    <w:p w14:paraId="3AF19AF6" w14:textId="68C9B684" w:rsidR="009E609D" w:rsidRPr="001B372B" w:rsidRDefault="00F20AB7">
      <w:pPr>
        <w:jc w:val="both"/>
        <w:rPr>
          <w:sz w:val="20"/>
          <w:szCs w:val="20"/>
        </w:rPr>
      </w:pPr>
      <w:r w:rsidRPr="00EC0816">
        <w:rPr>
          <w:b/>
          <w:bCs/>
          <w:sz w:val="20"/>
          <w:szCs w:val="20"/>
        </w:rPr>
        <w:lastRenderedPageBreak/>
        <w:t xml:space="preserve">Certified Mass Fraction Values for </w:t>
      </w:r>
      <w:proofErr w:type="spellStart"/>
      <w:r w:rsidRPr="00EC0816">
        <w:rPr>
          <w:b/>
          <w:bCs/>
          <w:sz w:val="20"/>
          <w:szCs w:val="20"/>
        </w:rPr>
        <w:t>Isoflavones</w:t>
      </w:r>
      <w:proofErr w:type="spellEnd"/>
      <w:r w:rsidRPr="00EC0816">
        <w:rPr>
          <w:b/>
          <w:bCs/>
          <w:sz w:val="20"/>
          <w:szCs w:val="20"/>
        </w:rPr>
        <w:t>:</w:t>
      </w:r>
      <w:r w:rsidRPr="00EC0816">
        <w:rPr>
          <w:sz w:val="20"/>
          <w:szCs w:val="20"/>
        </w:rPr>
        <w:t xml:space="preserve">  </w:t>
      </w:r>
      <w:r w:rsidR="005B7F75" w:rsidRPr="00EC0816">
        <w:rPr>
          <w:sz w:val="20"/>
          <w:szCs w:val="20"/>
        </w:rPr>
        <w:t xml:space="preserve">For calculation of assigned values, the means of the available sets of data were averaged.  </w:t>
      </w:r>
      <w:r w:rsidR="001A3197" w:rsidRPr="00EC0816">
        <w:rPr>
          <w:sz w:val="20"/>
          <w:szCs w:val="20"/>
        </w:rPr>
        <w:t xml:space="preserve">Each certified </w:t>
      </w:r>
      <w:r w:rsidRPr="00EC0816">
        <w:rPr>
          <w:sz w:val="20"/>
          <w:szCs w:val="20"/>
        </w:rPr>
        <w:t>mass fraction value is the</w:t>
      </w:r>
      <w:r w:rsidR="001A3197" w:rsidRPr="00EC0816">
        <w:rPr>
          <w:sz w:val="20"/>
          <w:szCs w:val="20"/>
        </w:rPr>
        <w:t xml:space="preserve"> mean of m</w:t>
      </w:r>
      <w:r w:rsidR="222A7DFE" w:rsidRPr="00EC0816">
        <w:rPr>
          <w:sz w:val="20"/>
          <w:szCs w:val="20"/>
        </w:rPr>
        <w:t xml:space="preserve">ean </w:t>
      </w:r>
      <w:r w:rsidR="001A3197" w:rsidRPr="00EC0816">
        <w:rPr>
          <w:sz w:val="20"/>
          <w:szCs w:val="20"/>
        </w:rPr>
        <w:t xml:space="preserve">mass fractions determined </w:t>
      </w:r>
      <w:r w:rsidRPr="00EC0816">
        <w:rPr>
          <w:sz w:val="20"/>
          <w:szCs w:val="20"/>
        </w:rPr>
        <w:t xml:space="preserve">at NIST </w:t>
      </w:r>
      <w:r w:rsidR="001A3197" w:rsidRPr="00EC0816">
        <w:rPr>
          <w:sz w:val="20"/>
          <w:szCs w:val="20"/>
        </w:rPr>
        <w:t>by gravimetric preparation and LC</w:t>
      </w:r>
      <w:r w:rsidR="001A3197" w:rsidRPr="00EC0816">
        <w:rPr>
          <w:sz w:val="20"/>
          <w:szCs w:val="20"/>
        </w:rPr>
        <w:noBreakHyphen/>
        <w:t xml:space="preserve">UV measurements.  The uncertainty provided with each value is an expanded uncertainty about the mean to cover the </w:t>
      </w:r>
      <w:proofErr w:type="spellStart"/>
      <w:r w:rsidR="001A3197" w:rsidRPr="00EC0816">
        <w:rPr>
          <w:sz w:val="20"/>
          <w:szCs w:val="20"/>
        </w:rPr>
        <w:t>measurand</w:t>
      </w:r>
      <w:proofErr w:type="spellEnd"/>
      <w:r w:rsidR="001A3197" w:rsidRPr="00EC0816">
        <w:rPr>
          <w:sz w:val="20"/>
          <w:szCs w:val="20"/>
        </w:rPr>
        <w:t xml:space="preserve"> with approximately 95 % confidence</w:t>
      </w:r>
      <w:r w:rsidR="009E609D" w:rsidRPr="00EC0816">
        <w:rPr>
          <w:sz w:val="20"/>
          <w:szCs w:val="20"/>
        </w:rPr>
        <w:t xml:space="preserve">.  The expanded uncertainty is calculated as </w:t>
      </w:r>
      <w:r w:rsidR="009E609D" w:rsidRPr="00EC0816">
        <w:rPr>
          <w:i/>
          <w:iCs/>
          <w:sz w:val="20"/>
          <w:szCs w:val="20"/>
        </w:rPr>
        <w:t>U = </w:t>
      </w:r>
      <w:proofErr w:type="spellStart"/>
      <w:r w:rsidR="009E609D" w:rsidRPr="00EC0816">
        <w:rPr>
          <w:i/>
          <w:iCs/>
          <w:sz w:val="20"/>
          <w:szCs w:val="20"/>
        </w:rPr>
        <w:t>ku</w:t>
      </w:r>
      <w:r w:rsidR="009E609D" w:rsidRPr="00EC0816">
        <w:rPr>
          <w:sz w:val="20"/>
          <w:szCs w:val="20"/>
          <w:vertAlign w:val="subscript"/>
        </w:rPr>
        <w:t>c</w:t>
      </w:r>
      <w:proofErr w:type="spellEnd"/>
      <w:r w:rsidR="009E609D" w:rsidRPr="00EC0816">
        <w:rPr>
          <w:sz w:val="20"/>
          <w:szCs w:val="20"/>
        </w:rPr>
        <w:t>, where the combined uncertainty</w:t>
      </w:r>
      <w:r w:rsidR="009E609D" w:rsidRPr="00EC0816">
        <w:rPr>
          <w:i/>
          <w:iCs/>
          <w:sz w:val="20"/>
          <w:szCs w:val="20"/>
        </w:rPr>
        <w:t xml:space="preserve"> </w:t>
      </w:r>
      <w:proofErr w:type="spellStart"/>
      <w:r w:rsidR="009E609D" w:rsidRPr="00EC0816">
        <w:rPr>
          <w:i/>
          <w:iCs/>
          <w:sz w:val="20"/>
          <w:szCs w:val="20"/>
        </w:rPr>
        <w:t>u</w:t>
      </w:r>
      <w:r w:rsidR="009E609D" w:rsidRPr="00EC0816">
        <w:rPr>
          <w:sz w:val="20"/>
          <w:szCs w:val="20"/>
          <w:vertAlign w:val="subscript"/>
        </w:rPr>
        <w:t>c</w:t>
      </w:r>
      <w:proofErr w:type="spellEnd"/>
      <w:r w:rsidR="009E609D" w:rsidRPr="00EC0816">
        <w:rPr>
          <w:sz w:val="20"/>
          <w:szCs w:val="20"/>
        </w:rPr>
        <w:t xml:space="preserve"> incorporates the observed difference between the results from the methods and their respective uncertainties, consistently with the ISO</w:t>
      </w:r>
      <w:r w:rsidR="001B372B" w:rsidRPr="00EC0816">
        <w:rPr>
          <w:sz w:val="20"/>
          <w:szCs w:val="20"/>
        </w:rPr>
        <w:t>/JCGM</w:t>
      </w:r>
      <w:r w:rsidR="009E609D" w:rsidRPr="00EC0816">
        <w:rPr>
          <w:sz w:val="20"/>
          <w:szCs w:val="20"/>
        </w:rPr>
        <w:t xml:space="preserve"> Guide and with its Supplement 1, and </w:t>
      </w:r>
      <w:r w:rsidR="009E609D" w:rsidRPr="00EC0816">
        <w:rPr>
          <w:i/>
          <w:iCs/>
          <w:sz w:val="20"/>
          <w:szCs w:val="20"/>
        </w:rPr>
        <w:t>k</w:t>
      </w:r>
      <w:r w:rsidR="009E609D" w:rsidRPr="00EC0816">
        <w:rPr>
          <w:sz w:val="20"/>
          <w:szCs w:val="20"/>
        </w:rPr>
        <w:t xml:space="preserve"> is a coverage factor corresponding to approximately 95 % confidence</w:t>
      </w:r>
      <w:r w:rsidR="00D72255">
        <w:rPr>
          <w:sz w:val="20"/>
          <w:szCs w:val="20"/>
        </w:rPr>
        <w:t> </w:t>
      </w:r>
      <w:r w:rsidR="009E609D" w:rsidRPr="00EC0816">
        <w:rPr>
          <w:sz w:val="20"/>
          <w:szCs w:val="20"/>
        </w:rPr>
        <w:t>[3</w:t>
      </w:r>
      <w:r w:rsidR="00FF2FC8" w:rsidRPr="00EC0816">
        <w:rPr>
          <w:sz w:val="20"/>
          <w:szCs w:val="20"/>
        </w:rPr>
        <w:t>,4,7</w:t>
      </w:r>
      <w:r w:rsidR="009E609D" w:rsidRPr="00EC0816">
        <w:rPr>
          <w:sz w:val="20"/>
          <w:szCs w:val="20"/>
        </w:rPr>
        <w:t>].</w:t>
      </w:r>
    </w:p>
    <w:p w14:paraId="236A2822" w14:textId="192489C8" w:rsidR="009E609D" w:rsidRDefault="009E609D">
      <w:pPr>
        <w:jc w:val="both"/>
        <w:rPr>
          <w:sz w:val="20"/>
          <w:szCs w:val="20"/>
        </w:rPr>
      </w:pPr>
    </w:p>
    <w:p w14:paraId="29C68AAF" w14:textId="77777777" w:rsidR="001E5290" w:rsidRPr="001B372B" w:rsidRDefault="001E5290">
      <w:pPr>
        <w:jc w:val="both"/>
        <w:rPr>
          <w:sz w:val="20"/>
          <w:szCs w:val="20"/>
        </w:rPr>
      </w:pPr>
    </w:p>
    <w:p w14:paraId="2ED162D2" w14:textId="69DAA95E" w:rsidR="001A3197" w:rsidRPr="001B372B" w:rsidRDefault="001A3197">
      <w:pPr>
        <w:jc w:val="center"/>
        <w:rPr>
          <w:sz w:val="20"/>
          <w:szCs w:val="20"/>
        </w:rPr>
      </w:pPr>
      <w:r w:rsidRPr="001B372B">
        <w:rPr>
          <w:sz w:val="20"/>
          <w:szCs w:val="20"/>
        </w:rPr>
        <w:t xml:space="preserve">Table 1.  Certified Mass Fraction Values for </w:t>
      </w:r>
      <w:proofErr w:type="spellStart"/>
      <w:r w:rsidR="009E609D" w:rsidRPr="001B372B">
        <w:rPr>
          <w:sz w:val="20"/>
          <w:szCs w:val="20"/>
        </w:rPr>
        <w:t>Isoflavones</w:t>
      </w:r>
      <w:proofErr w:type="spellEnd"/>
      <w:r w:rsidRPr="001B372B">
        <w:rPr>
          <w:sz w:val="20"/>
          <w:szCs w:val="20"/>
        </w:rPr>
        <w:t xml:space="preserve"> in SRM </w:t>
      </w:r>
      <w:r w:rsidR="009E609D" w:rsidRPr="001B372B">
        <w:rPr>
          <w:sz w:val="20"/>
          <w:szCs w:val="20"/>
        </w:rPr>
        <w:t>3239</w:t>
      </w:r>
    </w:p>
    <w:p w14:paraId="336E2DD7" w14:textId="77777777" w:rsidR="009E609D" w:rsidRPr="001B372B" w:rsidRDefault="009E609D">
      <w:pPr>
        <w:jc w:val="center"/>
        <w:rPr>
          <w:sz w:val="20"/>
          <w:szCs w:val="20"/>
        </w:rPr>
      </w:pPr>
    </w:p>
    <w:tbl>
      <w:tblPr>
        <w:tblW w:w="0" w:type="auto"/>
        <w:jc w:val="center"/>
        <w:tblLook w:val="04A0" w:firstRow="1" w:lastRow="0" w:firstColumn="1" w:lastColumn="0" w:noHBand="0" w:noVBand="1"/>
      </w:tblPr>
      <w:tblGrid>
        <w:gridCol w:w="2041"/>
        <w:gridCol w:w="1829"/>
        <w:gridCol w:w="1710"/>
      </w:tblGrid>
      <w:tr w:rsidR="009E609D" w:rsidRPr="001B372B" w14:paraId="696B0E4D" w14:textId="77777777" w:rsidTr="002D1724">
        <w:trPr>
          <w:trHeight w:val="486"/>
          <w:jc w:val="center"/>
        </w:trPr>
        <w:tc>
          <w:tcPr>
            <w:tcW w:w="2041" w:type="dxa"/>
            <w:shd w:val="clear" w:color="auto" w:fill="auto"/>
          </w:tcPr>
          <w:p w14:paraId="2C72B761" w14:textId="77777777" w:rsidR="009E609D" w:rsidRPr="001B372B" w:rsidRDefault="009E609D">
            <w:pPr>
              <w:tabs>
                <w:tab w:val="left" w:pos="-1440"/>
                <w:tab w:val="left" w:pos="-720"/>
                <w:tab w:val="left" w:pos="0"/>
                <w:tab w:val="left" w:pos="720"/>
                <w:tab w:val="left" w:pos="1440"/>
                <w:tab w:val="left" w:pos="2160"/>
                <w:tab w:val="left" w:pos="2880"/>
                <w:tab w:val="center" w:pos="3600"/>
                <w:tab w:val="left" w:pos="4320"/>
                <w:tab w:val="center" w:pos="4680"/>
                <w:tab w:val="left" w:pos="5040"/>
                <w:tab w:val="left" w:pos="5760"/>
                <w:tab w:val="left" w:pos="6480"/>
                <w:tab w:val="left" w:pos="7200"/>
                <w:tab w:val="left" w:pos="7920"/>
                <w:tab w:val="left" w:pos="8640"/>
                <w:tab w:val="left" w:pos="9360"/>
              </w:tabs>
              <w:overflowPunct w:val="0"/>
              <w:autoSpaceDE w:val="0"/>
              <w:autoSpaceDN w:val="0"/>
              <w:adjustRightInd w:val="0"/>
              <w:jc w:val="both"/>
              <w:textAlignment w:val="baseline"/>
              <w:rPr>
                <w:sz w:val="20"/>
                <w:szCs w:val="20"/>
                <w:highlight w:val="yellow"/>
                <w:lang w:val="fr-FR"/>
              </w:rPr>
            </w:pPr>
          </w:p>
        </w:tc>
        <w:tc>
          <w:tcPr>
            <w:tcW w:w="1829" w:type="dxa"/>
            <w:shd w:val="clear" w:color="auto" w:fill="auto"/>
          </w:tcPr>
          <w:p w14:paraId="47F1D0E4" w14:textId="77777777" w:rsidR="009E609D" w:rsidRPr="001B372B" w:rsidRDefault="009E609D">
            <w:pPr>
              <w:jc w:val="center"/>
              <w:rPr>
                <w:sz w:val="20"/>
                <w:szCs w:val="20"/>
              </w:rPr>
            </w:pPr>
            <w:r w:rsidRPr="001B372B">
              <w:rPr>
                <w:sz w:val="20"/>
                <w:szCs w:val="20"/>
              </w:rPr>
              <w:t>Mass Fraction</w:t>
            </w:r>
          </w:p>
          <w:p w14:paraId="22E78DB3" w14:textId="77777777" w:rsidR="009E609D" w:rsidRPr="001B372B" w:rsidRDefault="009E609D">
            <w:pPr>
              <w:jc w:val="center"/>
              <w:rPr>
                <w:sz w:val="20"/>
                <w:szCs w:val="20"/>
              </w:rPr>
            </w:pPr>
            <w:r w:rsidRPr="001B372B">
              <w:rPr>
                <w:sz w:val="20"/>
                <w:szCs w:val="20"/>
              </w:rPr>
              <w:t>(mg/kg)</w:t>
            </w:r>
          </w:p>
        </w:tc>
        <w:tc>
          <w:tcPr>
            <w:tcW w:w="1710" w:type="dxa"/>
            <w:shd w:val="clear" w:color="auto" w:fill="auto"/>
          </w:tcPr>
          <w:p w14:paraId="2833E1D2" w14:textId="117A4D2C" w:rsidR="009E609D" w:rsidRPr="001B372B" w:rsidRDefault="009E609D">
            <w:pPr>
              <w:jc w:val="center"/>
              <w:rPr>
                <w:kern w:val="2"/>
                <w:sz w:val="20"/>
                <w:szCs w:val="20"/>
              </w:rPr>
            </w:pPr>
            <w:r w:rsidRPr="001B372B">
              <w:rPr>
                <w:sz w:val="20"/>
                <w:szCs w:val="20"/>
              </w:rPr>
              <w:t>Coverage Factor</w:t>
            </w:r>
            <w:r w:rsidR="002D1724">
              <w:rPr>
                <w:sz w:val="20"/>
                <w:szCs w:val="20"/>
              </w:rPr>
              <w:br/>
            </w:r>
            <w:r w:rsidRPr="001B372B">
              <w:rPr>
                <w:i/>
                <w:iCs/>
                <w:sz w:val="20"/>
                <w:szCs w:val="20"/>
              </w:rPr>
              <w:t>k</w:t>
            </w:r>
          </w:p>
        </w:tc>
      </w:tr>
      <w:tr w:rsidR="009E609D" w:rsidRPr="001B372B" w14:paraId="5BE70BE5" w14:textId="77777777" w:rsidTr="002D1724">
        <w:trPr>
          <w:trHeight w:val="288"/>
          <w:jc w:val="center"/>
        </w:trPr>
        <w:tc>
          <w:tcPr>
            <w:tcW w:w="2041" w:type="dxa"/>
            <w:shd w:val="clear" w:color="auto" w:fill="auto"/>
            <w:vAlign w:val="center"/>
          </w:tcPr>
          <w:p w14:paraId="25BC7B6B" w14:textId="0991163C" w:rsidR="009E609D" w:rsidRPr="001B372B" w:rsidRDefault="009E609D" w:rsidP="00357FC1">
            <w:pPr>
              <w:tabs>
                <w:tab w:val="left" w:pos="0"/>
              </w:tabs>
              <w:overflowPunct w:val="0"/>
              <w:autoSpaceDE w:val="0"/>
              <w:autoSpaceDN w:val="0"/>
              <w:adjustRightInd w:val="0"/>
              <w:spacing w:after="20"/>
              <w:jc w:val="both"/>
              <w:textAlignment w:val="baseline"/>
              <w:rPr>
                <w:b/>
                <w:sz w:val="20"/>
                <w:szCs w:val="20"/>
              </w:rPr>
            </w:pPr>
            <w:r w:rsidRPr="001B372B">
              <w:rPr>
                <w:b/>
                <w:bCs/>
                <w:sz w:val="20"/>
                <w:szCs w:val="20"/>
              </w:rPr>
              <w:t>Solution 1</w:t>
            </w:r>
          </w:p>
        </w:tc>
        <w:tc>
          <w:tcPr>
            <w:tcW w:w="1829" w:type="dxa"/>
            <w:shd w:val="clear" w:color="auto" w:fill="auto"/>
            <w:vAlign w:val="center"/>
          </w:tcPr>
          <w:p w14:paraId="4AD7716A" w14:textId="77777777" w:rsidR="009E609D" w:rsidRPr="001B372B" w:rsidRDefault="009E609D" w:rsidP="00653EC1">
            <w:pPr>
              <w:tabs>
                <w:tab w:val="decimal" w:pos="525"/>
                <w:tab w:val="center" w:pos="1065"/>
                <w:tab w:val="decimal" w:pos="1695"/>
              </w:tabs>
              <w:overflowPunct w:val="0"/>
              <w:autoSpaceDE w:val="0"/>
              <w:autoSpaceDN w:val="0"/>
              <w:adjustRightInd w:val="0"/>
              <w:spacing w:after="20"/>
              <w:ind w:right="-915"/>
              <w:jc w:val="both"/>
              <w:textAlignment w:val="baseline"/>
              <w:rPr>
                <w:sz w:val="20"/>
                <w:szCs w:val="20"/>
              </w:rPr>
            </w:pPr>
          </w:p>
        </w:tc>
        <w:tc>
          <w:tcPr>
            <w:tcW w:w="1710" w:type="dxa"/>
            <w:shd w:val="clear" w:color="auto" w:fill="auto"/>
            <w:vAlign w:val="center"/>
          </w:tcPr>
          <w:p w14:paraId="4626DC87" w14:textId="77777777" w:rsidR="009E609D" w:rsidRPr="001B372B" w:rsidRDefault="009E609D">
            <w:pPr>
              <w:overflowPunct w:val="0"/>
              <w:autoSpaceDE w:val="0"/>
              <w:autoSpaceDN w:val="0"/>
              <w:adjustRightInd w:val="0"/>
              <w:spacing w:after="20"/>
              <w:jc w:val="center"/>
              <w:textAlignment w:val="baseline"/>
              <w:rPr>
                <w:sz w:val="20"/>
                <w:szCs w:val="20"/>
              </w:rPr>
            </w:pPr>
          </w:p>
        </w:tc>
      </w:tr>
      <w:tr w:rsidR="009E609D" w:rsidRPr="001B372B" w14:paraId="0788AE96" w14:textId="77777777" w:rsidTr="002D1724">
        <w:trPr>
          <w:trHeight w:val="288"/>
          <w:jc w:val="center"/>
        </w:trPr>
        <w:tc>
          <w:tcPr>
            <w:tcW w:w="2041" w:type="dxa"/>
            <w:shd w:val="clear" w:color="auto" w:fill="auto"/>
            <w:vAlign w:val="center"/>
          </w:tcPr>
          <w:p w14:paraId="4B109815" w14:textId="68BE6C63" w:rsidR="009E609D" w:rsidRPr="001B372B" w:rsidRDefault="009E609D" w:rsidP="00357FC1">
            <w:pPr>
              <w:tabs>
                <w:tab w:val="left" w:pos="0"/>
              </w:tabs>
              <w:overflowPunct w:val="0"/>
              <w:autoSpaceDE w:val="0"/>
              <w:autoSpaceDN w:val="0"/>
              <w:adjustRightInd w:val="0"/>
              <w:spacing w:after="20"/>
              <w:jc w:val="both"/>
              <w:textAlignment w:val="baseline"/>
              <w:rPr>
                <w:sz w:val="20"/>
                <w:szCs w:val="20"/>
              </w:rPr>
            </w:pPr>
            <w:r w:rsidRPr="001B372B">
              <w:rPr>
                <w:sz w:val="20"/>
                <w:szCs w:val="20"/>
              </w:rPr>
              <w:tab/>
            </w:r>
            <w:proofErr w:type="spellStart"/>
            <w:r w:rsidRPr="001B372B">
              <w:rPr>
                <w:sz w:val="20"/>
                <w:szCs w:val="20"/>
              </w:rPr>
              <w:t>Daidzin</w:t>
            </w:r>
            <w:proofErr w:type="spellEnd"/>
          </w:p>
        </w:tc>
        <w:tc>
          <w:tcPr>
            <w:tcW w:w="1829" w:type="dxa"/>
            <w:shd w:val="clear" w:color="auto" w:fill="auto"/>
            <w:vAlign w:val="center"/>
          </w:tcPr>
          <w:p w14:paraId="56A73DFC" w14:textId="11A034B2" w:rsidR="009E609D" w:rsidRPr="001B372B" w:rsidRDefault="009E609D" w:rsidP="00653EC1">
            <w:pPr>
              <w:tabs>
                <w:tab w:val="decimal" w:pos="280"/>
                <w:tab w:val="center" w:pos="820"/>
                <w:tab w:val="decimal" w:pos="1180"/>
              </w:tabs>
              <w:overflowPunct w:val="0"/>
              <w:autoSpaceDE w:val="0"/>
              <w:autoSpaceDN w:val="0"/>
              <w:adjustRightInd w:val="0"/>
              <w:spacing w:after="20"/>
              <w:ind w:right="-915"/>
              <w:jc w:val="both"/>
              <w:textAlignment w:val="baseline"/>
              <w:rPr>
                <w:sz w:val="20"/>
                <w:szCs w:val="20"/>
              </w:rPr>
            </w:pPr>
            <w:r w:rsidRPr="001B372B">
              <w:rPr>
                <w:sz w:val="20"/>
                <w:szCs w:val="20"/>
              </w:rPr>
              <w:tab/>
              <w:t>95.2</w:t>
            </w:r>
            <w:r w:rsidRPr="001B372B">
              <w:rPr>
                <w:sz w:val="20"/>
                <w:szCs w:val="20"/>
              </w:rPr>
              <w:tab/>
            </w:r>
            <w:r w:rsidRPr="001B372B">
              <w:rPr>
                <w:sz w:val="20"/>
                <w:szCs w:val="20"/>
              </w:rPr>
              <w:sym w:font="Symbol" w:char="F0B1"/>
            </w:r>
            <w:r w:rsidRPr="001B372B">
              <w:rPr>
                <w:sz w:val="20"/>
                <w:szCs w:val="20"/>
              </w:rPr>
              <w:tab/>
              <w:t>2.0</w:t>
            </w:r>
          </w:p>
        </w:tc>
        <w:tc>
          <w:tcPr>
            <w:tcW w:w="1710" w:type="dxa"/>
            <w:shd w:val="clear" w:color="auto" w:fill="auto"/>
            <w:vAlign w:val="center"/>
          </w:tcPr>
          <w:p w14:paraId="6901DD03" w14:textId="77777777" w:rsidR="009E609D" w:rsidRPr="001B372B" w:rsidRDefault="009E609D">
            <w:pPr>
              <w:overflowPunct w:val="0"/>
              <w:autoSpaceDE w:val="0"/>
              <w:autoSpaceDN w:val="0"/>
              <w:adjustRightInd w:val="0"/>
              <w:spacing w:after="20"/>
              <w:jc w:val="center"/>
              <w:textAlignment w:val="baseline"/>
              <w:rPr>
                <w:sz w:val="20"/>
                <w:szCs w:val="20"/>
              </w:rPr>
            </w:pPr>
            <w:r w:rsidRPr="001B372B">
              <w:rPr>
                <w:sz w:val="20"/>
                <w:szCs w:val="20"/>
              </w:rPr>
              <w:t>2.00</w:t>
            </w:r>
          </w:p>
        </w:tc>
      </w:tr>
      <w:tr w:rsidR="009E609D" w:rsidRPr="001B372B" w14:paraId="449E4067" w14:textId="77777777" w:rsidTr="002D1724">
        <w:trPr>
          <w:trHeight w:val="288"/>
          <w:jc w:val="center"/>
        </w:trPr>
        <w:tc>
          <w:tcPr>
            <w:tcW w:w="2041" w:type="dxa"/>
            <w:shd w:val="clear" w:color="auto" w:fill="auto"/>
            <w:vAlign w:val="center"/>
          </w:tcPr>
          <w:p w14:paraId="219E5296" w14:textId="05E161D3" w:rsidR="009E609D" w:rsidRPr="001B372B" w:rsidRDefault="009E609D" w:rsidP="00357FC1">
            <w:pPr>
              <w:tabs>
                <w:tab w:val="left" w:pos="0"/>
              </w:tabs>
              <w:overflowPunct w:val="0"/>
              <w:autoSpaceDE w:val="0"/>
              <w:autoSpaceDN w:val="0"/>
              <w:adjustRightInd w:val="0"/>
              <w:spacing w:after="20"/>
              <w:jc w:val="both"/>
              <w:textAlignment w:val="baseline"/>
              <w:rPr>
                <w:sz w:val="20"/>
                <w:szCs w:val="20"/>
              </w:rPr>
            </w:pPr>
            <w:r w:rsidRPr="001B372B">
              <w:rPr>
                <w:sz w:val="20"/>
                <w:szCs w:val="20"/>
              </w:rPr>
              <w:tab/>
            </w:r>
            <w:proofErr w:type="spellStart"/>
            <w:r w:rsidRPr="001B372B">
              <w:rPr>
                <w:sz w:val="20"/>
                <w:szCs w:val="20"/>
              </w:rPr>
              <w:t>Genistin</w:t>
            </w:r>
            <w:proofErr w:type="spellEnd"/>
          </w:p>
        </w:tc>
        <w:tc>
          <w:tcPr>
            <w:tcW w:w="1829" w:type="dxa"/>
            <w:shd w:val="clear" w:color="auto" w:fill="auto"/>
            <w:vAlign w:val="center"/>
          </w:tcPr>
          <w:p w14:paraId="51D310C5" w14:textId="2912CE77" w:rsidR="009E609D" w:rsidRPr="001B372B" w:rsidRDefault="009E609D" w:rsidP="00653EC1">
            <w:pPr>
              <w:tabs>
                <w:tab w:val="decimal" w:pos="280"/>
                <w:tab w:val="center" w:pos="820"/>
                <w:tab w:val="decimal" w:pos="1180"/>
              </w:tabs>
              <w:overflowPunct w:val="0"/>
              <w:autoSpaceDE w:val="0"/>
              <w:autoSpaceDN w:val="0"/>
              <w:adjustRightInd w:val="0"/>
              <w:spacing w:after="20"/>
              <w:ind w:right="-915"/>
              <w:jc w:val="both"/>
              <w:textAlignment w:val="baseline"/>
              <w:rPr>
                <w:sz w:val="20"/>
                <w:szCs w:val="20"/>
              </w:rPr>
            </w:pPr>
            <w:r w:rsidRPr="001B372B">
              <w:rPr>
                <w:sz w:val="20"/>
                <w:szCs w:val="20"/>
              </w:rPr>
              <w:tab/>
              <w:t>110.0</w:t>
            </w:r>
            <w:r w:rsidRPr="001B372B">
              <w:rPr>
                <w:sz w:val="20"/>
                <w:szCs w:val="20"/>
              </w:rPr>
              <w:tab/>
            </w:r>
            <w:r w:rsidRPr="001B372B">
              <w:rPr>
                <w:sz w:val="20"/>
                <w:szCs w:val="20"/>
              </w:rPr>
              <w:sym w:font="Symbol" w:char="F0B1"/>
            </w:r>
            <w:r w:rsidRPr="001B372B">
              <w:rPr>
                <w:sz w:val="20"/>
                <w:szCs w:val="20"/>
              </w:rPr>
              <w:tab/>
              <w:t>3.0</w:t>
            </w:r>
          </w:p>
        </w:tc>
        <w:tc>
          <w:tcPr>
            <w:tcW w:w="1710" w:type="dxa"/>
            <w:shd w:val="clear" w:color="auto" w:fill="auto"/>
          </w:tcPr>
          <w:p w14:paraId="29372BF6" w14:textId="77777777" w:rsidR="009E609D" w:rsidRPr="001B372B" w:rsidRDefault="009E609D">
            <w:pPr>
              <w:overflowPunct w:val="0"/>
              <w:autoSpaceDE w:val="0"/>
              <w:autoSpaceDN w:val="0"/>
              <w:adjustRightInd w:val="0"/>
              <w:spacing w:after="20"/>
              <w:jc w:val="center"/>
              <w:textAlignment w:val="baseline"/>
              <w:rPr>
                <w:sz w:val="20"/>
                <w:szCs w:val="20"/>
              </w:rPr>
            </w:pPr>
            <w:r w:rsidRPr="001B372B">
              <w:rPr>
                <w:sz w:val="20"/>
                <w:szCs w:val="20"/>
              </w:rPr>
              <w:t>2.00</w:t>
            </w:r>
          </w:p>
        </w:tc>
      </w:tr>
      <w:tr w:rsidR="009E609D" w:rsidRPr="001B372B" w14:paraId="2A933297" w14:textId="77777777" w:rsidTr="002D1724">
        <w:trPr>
          <w:trHeight w:val="288"/>
          <w:jc w:val="center"/>
        </w:trPr>
        <w:tc>
          <w:tcPr>
            <w:tcW w:w="2041" w:type="dxa"/>
            <w:shd w:val="clear" w:color="auto" w:fill="auto"/>
            <w:vAlign w:val="center"/>
          </w:tcPr>
          <w:p w14:paraId="06198690" w14:textId="1306CD88" w:rsidR="009E609D" w:rsidRPr="001B372B" w:rsidRDefault="009E609D" w:rsidP="00357FC1">
            <w:pPr>
              <w:tabs>
                <w:tab w:val="left" w:pos="0"/>
              </w:tabs>
              <w:overflowPunct w:val="0"/>
              <w:autoSpaceDE w:val="0"/>
              <w:autoSpaceDN w:val="0"/>
              <w:adjustRightInd w:val="0"/>
              <w:spacing w:after="20"/>
              <w:jc w:val="both"/>
              <w:textAlignment w:val="baseline"/>
              <w:rPr>
                <w:sz w:val="20"/>
                <w:szCs w:val="20"/>
                <w:lang w:val="pt-BR"/>
              </w:rPr>
            </w:pPr>
            <w:r w:rsidRPr="001B372B">
              <w:rPr>
                <w:sz w:val="20"/>
                <w:szCs w:val="20"/>
                <w:lang w:val="pt-BR"/>
              </w:rPr>
              <w:tab/>
              <w:t>Glycitin</w:t>
            </w:r>
          </w:p>
        </w:tc>
        <w:tc>
          <w:tcPr>
            <w:tcW w:w="1829" w:type="dxa"/>
            <w:shd w:val="clear" w:color="auto" w:fill="auto"/>
            <w:vAlign w:val="center"/>
          </w:tcPr>
          <w:p w14:paraId="1C4BFF4E" w14:textId="0912A082" w:rsidR="009E609D" w:rsidRPr="001B372B" w:rsidRDefault="009E609D" w:rsidP="00653EC1">
            <w:pPr>
              <w:tabs>
                <w:tab w:val="decimal" w:pos="280"/>
                <w:tab w:val="center" w:pos="820"/>
                <w:tab w:val="decimal" w:pos="1180"/>
              </w:tabs>
              <w:overflowPunct w:val="0"/>
              <w:autoSpaceDE w:val="0"/>
              <w:autoSpaceDN w:val="0"/>
              <w:adjustRightInd w:val="0"/>
              <w:spacing w:after="20"/>
              <w:ind w:right="-915"/>
              <w:jc w:val="both"/>
              <w:textAlignment w:val="baseline"/>
              <w:rPr>
                <w:sz w:val="20"/>
                <w:szCs w:val="20"/>
              </w:rPr>
            </w:pPr>
            <w:r w:rsidRPr="001B372B">
              <w:rPr>
                <w:sz w:val="20"/>
                <w:szCs w:val="20"/>
              </w:rPr>
              <w:tab/>
              <w:t>19.51</w:t>
            </w:r>
            <w:r w:rsidRPr="001B372B">
              <w:rPr>
                <w:sz w:val="20"/>
                <w:szCs w:val="20"/>
              </w:rPr>
              <w:tab/>
            </w:r>
            <w:r w:rsidRPr="001B372B">
              <w:rPr>
                <w:sz w:val="20"/>
                <w:szCs w:val="20"/>
              </w:rPr>
              <w:sym w:font="Symbol" w:char="F0B1"/>
            </w:r>
            <w:r w:rsidRPr="001B372B">
              <w:rPr>
                <w:sz w:val="20"/>
                <w:szCs w:val="20"/>
              </w:rPr>
              <w:tab/>
              <w:t>0.16</w:t>
            </w:r>
          </w:p>
        </w:tc>
        <w:tc>
          <w:tcPr>
            <w:tcW w:w="1710" w:type="dxa"/>
            <w:shd w:val="clear" w:color="auto" w:fill="auto"/>
          </w:tcPr>
          <w:p w14:paraId="2A8E27A2" w14:textId="77777777" w:rsidR="009E609D" w:rsidRPr="001B372B" w:rsidRDefault="009E609D">
            <w:pPr>
              <w:overflowPunct w:val="0"/>
              <w:autoSpaceDE w:val="0"/>
              <w:autoSpaceDN w:val="0"/>
              <w:adjustRightInd w:val="0"/>
              <w:spacing w:after="20"/>
              <w:jc w:val="center"/>
              <w:textAlignment w:val="baseline"/>
              <w:rPr>
                <w:sz w:val="20"/>
                <w:szCs w:val="20"/>
              </w:rPr>
            </w:pPr>
            <w:r w:rsidRPr="001B372B">
              <w:rPr>
                <w:sz w:val="20"/>
                <w:szCs w:val="20"/>
              </w:rPr>
              <w:t>2.00</w:t>
            </w:r>
          </w:p>
        </w:tc>
      </w:tr>
      <w:tr w:rsidR="009E609D" w:rsidRPr="001B372B" w14:paraId="33BAE6C5" w14:textId="77777777" w:rsidTr="002D1724">
        <w:trPr>
          <w:trHeight w:val="288"/>
          <w:jc w:val="center"/>
        </w:trPr>
        <w:tc>
          <w:tcPr>
            <w:tcW w:w="2041" w:type="dxa"/>
            <w:shd w:val="clear" w:color="auto" w:fill="auto"/>
            <w:vAlign w:val="center"/>
          </w:tcPr>
          <w:p w14:paraId="60DE6F07" w14:textId="3F0497AC" w:rsidR="009E609D" w:rsidRPr="001B372B" w:rsidRDefault="009E609D" w:rsidP="00357FC1">
            <w:pPr>
              <w:tabs>
                <w:tab w:val="left" w:pos="0"/>
              </w:tabs>
              <w:overflowPunct w:val="0"/>
              <w:autoSpaceDE w:val="0"/>
              <w:autoSpaceDN w:val="0"/>
              <w:adjustRightInd w:val="0"/>
              <w:spacing w:after="20"/>
              <w:jc w:val="both"/>
              <w:textAlignment w:val="baseline"/>
              <w:rPr>
                <w:b/>
                <w:sz w:val="20"/>
                <w:szCs w:val="20"/>
                <w:lang w:val="pt-BR"/>
              </w:rPr>
            </w:pPr>
            <w:r w:rsidRPr="001B372B">
              <w:rPr>
                <w:b/>
                <w:bCs/>
                <w:sz w:val="20"/>
                <w:szCs w:val="20"/>
                <w:lang w:val="pt-BR"/>
              </w:rPr>
              <w:t>Solution 2</w:t>
            </w:r>
          </w:p>
        </w:tc>
        <w:tc>
          <w:tcPr>
            <w:tcW w:w="1829" w:type="dxa"/>
            <w:shd w:val="clear" w:color="auto" w:fill="auto"/>
            <w:vAlign w:val="center"/>
          </w:tcPr>
          <w:p w14:paraId="50565375" w14:textId="77777777" w:rsidR="009E609D" w:rsidRPr="001B372B" w:rsidRDefault="009E609D" w:rsidP="00653EC1">
            <w:pPr>
              <w:tabs>
                <w:tab w:val="decimal" w:pos="280"/>
                <w:tab w:val="center" w:pos="820"/>
                <w:tab w:val="decimal" w:pos="1180"/>
              </w:tabs>
              <w:overflowPunct w:val="0"/>
              <w:autoSpaceDE w:val="0"/>
              <w:autoSpaceDN w:val="0"/>
              <w:adjustRightInd w:val="0"/>
              <w:spacing w:after="20"/>
              <w:ind w:right="-915"/>
              <w:jc w:val="both"/>
              <w:textAlignment w:val="baseline"/>
              <w:rPr>
                <w:sz w:val="20"/>
                <w:szCs w:val="20"/>
              </w:rPr>
            </w:pPr>
          </w:p>
        </w:tc>
        <w:tc>
          <w:tcPr>
            <w:tcW w:w="1710" w:type="dxa"/>
            <w:shd w:val="clear" w:color="auto" w:fill="auto"/>
          </w:tcPr>
          <w:p w14:paraId="1ACC8945" w14:textId="77777777" w:rsidR="009E609D" w:rsidRPr="001B372B" w:rsidRDefault="009E609D">
            <w:pPr>
              <w:overflowPunct w:val="0"/>
              <w:autoSpaceDE w:val="0"/>
              <w:autoSpaceDN w:val="0"/>
              <w:adjustRightInd w:val="0"/>
              <w:spacing w:after="20"/>
              <w:jc w:val="center"/>
              <w:textAlignment w:val="baseline"/>
              <w:rPr>
                <w:sz w:val="20"/>
                <w:szCs w:val="20"/>
              </w:rPr>
            </w:pPr>
          </w:p>
        </w:tc>
      </w:tr>
      <w:tr w:rsidR="009E609D" w:rsidRPr="001B372B" w14:paraId="60353C54" w14:textId="77777777" w:rsidTr="002D1724">
        <w:trPr>
          <w:trHeight w:val="288"/>
          <w:jc w:val="center"/>
        </w:trPr>
        <w:tc>
          <w:tcPr>
            <w:tcW w:w="2041" w:type="dxa"/>
            <w:shd w:val="clear" w:color="auto" w:fill="auto"/>
            <w:vAlign w:val="center"/>
          </w:tcPr>
          <w:p w14:paraId="6C08A24B" w14:textId="16849B27" w:rsidR="009E609D" w:rsidRPr="001B372B" w:rsidRDefault="009E609D" w:rsidP="00357FC1">
            <w:pPr>
              <w:tabs>
                <w:tab w:val="left" w:pos="0"/>
              </w:tabs>
              <w:overflowPunct w:val="0"/>
              <w:autoSpaceDE w:val="0"/>
              <w:autoSpaceDN w:val="0"/>
              <w:adjustRightInd w:val="0"/>
              <w:spacing w:after="20"/>
              <w:jc w:val="both"/>
              <w:textAlignment w:val="baseline"/>
              <w:rPr>
                <w:sz w:val="20"/>
                <w:szCs w:val="20"/>
                <w:lang w:val="pt-BR"/>
              </w:rPr>
            </w:pPr>
            <w:r w:rsidRPr="001B372B">
              <w:rPr>
                <w:sz w:val="20"/>
                <w:szCs w:val="20"/>
              </w:rPr>
              <w:tab/>
            </w:r>
            <w:proofErr w:type="spellStart"/>
            <w:r w:rsidRPr="001B372B">
              <w:rPr>
                <w:sz w:val="20"/>
                <w:szCs w:val="20"/>
              </w:rPr>
              <w:t>Daidzein</w:t>
            </w:r>
            <w:proofErr w:type="spellEnd"/>
          </w:p>
        </w:tc>
        <w:tc>
          <w:tcPr>
            <w:tcW w:w="1829" w:type="dxa"/>
            <w:shd w:val="clear" w:color="auto" w:fill="auto"/>
            <w:vAlign w:val="center"/>
          </w:tcPr>
          <w:p w14:paraId="2247167A" w14:textId="04FEBC88" w:rsidR="009E609D" w:rsidRPr="001B372B" w:rsidRDefault="009E609D" w:rsidP="00653EC1">
            <w:pPr>
              <w:tabs>
                <w:tab w:val="decimal" w:pos="280"/>
                <w:tab w:val="center" w:pos="820"/>
                <w:tab w:val="decimal" w:pos="1180"/>
              </w:tabs>
              <w:overflowPunct w:val="0"/>
              <w:autoSpaceDE w:val="0"/>
              <w:autoSpaceDN w:val="0"/>
              <w:adjustRightInd w:val="0"/>
              <w:spacing w:after="20"/>
              <w:ind w:right="-915"/>
              <w:jc w:val="both"/>
              <w:textAlignment w:val="baseline"/>
              <w:rPr>
                <w:sz w:val="20"/>
                <w:szCs w:val="20"/>
              </w:rPr>
            </w:pPr>
            <w:r w:rsidRPr="001B372B">
              <w:rPr>
                <w:sz w:val="20"/>
                <w:szCs w:val="20"/>
              </w:rPr>
              <w:tab/>
              <w:t>2.652</w:t>
            </w:r>
            <w:r w:rsidRPr="001B372B">
              <w:rPr>
                <w:sz w:val="20"/>
                <w:szCs w:val="20"/>
              </w:rPr>
              <w:tab/>
            </w:r>
            <w:r w:rsidRPr="001B372B">
              <w:rPr>
                <w:sz w:val="20"/>
                <w:szCs w:val="20"/>
              </w:rPr>
              <w:sym w:font="Symbol" w:char="F0B1"/>
            </w:r>
            <w:r w:rsidRPr="001B372B">
              <w:rPr>
                <w:sz w:val="20"/>
                <w:szCs w:val="20"/>
              </w:rPr>
              <w:tab/>
              <w:t>0.043</w:t>
            </w:r>
          </w:p>
        </w:tc>
        <w:tc>
          <w:tcPr>
            <w:tcW w:w="1710" w:type="dxa"/>
            <w:shd w:val="clear" w:color="auto" w:fill="auto"/>
          </w:tcPr>
          <w:p w14:paraId="1C360A48" w14:textId="77777777" w:rsidR="009E609D" w:rsidRPr="001B372B" w:rsidRDefault="009E609D">
            <w:pPr>
              <w:overflowPunct w:val="0"/>
              <w:autoSpaceDE w:val="0"/>
              <w:autoSpaceDN w:val="0"/>
              <w:adjustRightInd w:val="0"/>
              <w:spacing w:after="20"/>
              <w:jc w:val="center"/>
              <w:textAlignment w:val="baseline"/>
              <w:rPr>
                <w:sz w:val="20"/>
                <w:szCs w:val="20"/>
              </w:rPr>
            </w:pPr>
            <w:r w:rsidRPr="001B372B">
              <w:rPr>
                <w:sz w:val="20"/>
                <w:szCs w:val="20"/>
              </w:rPr>
              <w:t>2.00</w:t>
            </w:r>
          </w:p>
        </w:tc>
      </w:tr>
      <w:tr w:rsidR="009E609D" w:rsidRPr="001B372B" w14:paraId="6B4F8647" w14:textId="77777777" w:rsidTr="002D1724">
        <w:trPr>
          <w:trHeight w:val="288"/>
          <w:jc w:val="center"/>
        </w:trPr>
        <w:tc>
          <w:tcPr>
            <w:tcW w:w="2041" w:type="dxa"/>
            <w:shd w:val="clear" w:color="auto" w:fill="auto"/>
            <w:vAlign w:val="center"/>
          </w:tcPr>
          <w:p w14:paraId="755849FD" w14:textId="3D2FA7CC" w:rsidR="009E609D" w:rsidRPr="001B372B" w:rsidRDefault="009E609D" w:rsidP="00357FC1">
            <w:pPr>
              <w:tabs>
                <w:tab w:val="left" w:pos="0"/>
              </w:tabs>
              <w:overflowPunct w:val="0"/>
              <w:autoSpaceDE w:val="0"/>
              <w:autoSpaceDN w:val="0"/>
              <w:adjustRightInd w:val="0"/>
              <w:spacing w:after="20"/>
              <w:jc w:val="both"/>
              <w:textAlignment w:val="baseline"/>
              <w:rPr>
                <w:sz w:val="20"/>
                <w:szCs w:val="20"/>
                <w:lang w:val="pt-BR"/>
              </w:rPr>
            </w:pPr>
            <w:r w:rsidRPr="001B372B">
              <w:rPr>
                <w:sz w:val="20"/>
                <w:szCs w:val="20"/>
              </w:rPr>
              <w:tab/>
            </w:r>
            <w:proofErr w:type="spellStart"/>
            <w:r w:rsidRPr="001B372B">
              <w:rPr>
                <w:sz w:val="20"/>
                <w:szCs w:val="20"/>
              </w:rPr>
              <w:t>Genistein</w:t>
            </w:r>
            <w:proofErr w:type="spellEnd"/>
          </w:p>
        </w:tc>
        <w:tc>
          <w:tcPr>
            <w:tcW w:w="1829" w:type="dxa"/>
            <w:shd w:val="clear" w:color="auto" w:fill="auto"/>
            <w:vAlign w:val="center"/>
          </w:tcPr>
          <w:p w14:paraId="571B6931" w14:textId="3EA4B0F4" w:rsidR="009E609D" w:rsidRPr="001B372B" w:rsidRDefault="009E609D" w:rsidP="00653EC1">
            <w:pPr>
              <w:tabs>
                <w:tab w:val="decimal" w:pos="280"/>
                <w:tab w:val="center" w:pos="820"/>
                <w:tab w:val="decimal" w:pos="1180"/>
              </w:tabs>
              <w:overflowPunct w:val="0"/>
              <w:autoSpaceDE w:val="0"/>
              <w:autoSpaceDN w:val="0"/>
              <w:adjustRightInd w:val="0"/>
              <w:spacing w:after="20"/>
              <w:ind w:right="-915"/>
              <w:jc w:val="both"/>
              <w:textAlignment w:val="baseline"/>
              <w:rPr>
                <w:sz w:val="20"/>
                <w:szCs w:val="20"/>
              </w:rPr>
            </w:pPr>
            <w:r w:rsidRPr="001B372B">
              <w:rPr>
                <w:sz w:val="20"/>
                <w:szCs w:val="20"/>
              </w:rPr>
              <w:tab/>
              <w:t>2.236</w:t>
            </w:r>
            <w:r w:rsidRPr="001B372B">
              <w:rPr>
                <w:sz w:val="20"/>
                <w:szCs w:val="20"/>
              </w:rPr>
              <w:tab/>
            </w:r>
            <w:r w:rsidRPr="001B372B">
              <w:rPr>
                <w:sz w:val="20"/>
                <w:szCs w:val="20"/>
              </w:rPr>
              <w:sym w:font="Symbol" w:char="F0B1"/>
            </w:r>
            <w:r w:rsidRPr="001B372B">
              <w:rPr>
                <w:sz w:val="20"/>
                <w:szCs w:val="20"/>
              </w:rPr>
              <w:tab/>
              <w:t>0.030</w:t>
            </w:r>
          </w:p>
        </w:tc>
        <w:tc>
          <w:tcPr>
            <w:tcW w:w="1710" w:type="dxa"/>
            <w:shd w:val="clear" w:color="auto" w:fill="auto"/>
          </w:tcPr>
          <w:p w14:paraId="519F676C" w14:textId="77777777" w:rsidR="009E609D" w:rsidRPr="001B372B" w:rsidRDefault="009E609D">
            <w:pPr>
              <w:overflowPunct w:val="0"/>
              <w:autoSpaceDE w:val="0"/>
              <w:autoSpaceDN w:val="0"/>
              <w:adjustRightInd w:val="0"/>
              <w:spacing w:after="20"/>
              <w:jc w:val="center"/>
              <w:textAlignment w:val="baseline"/>
              <w:rPr>
                <w:sz w:val="20"/>
                <w:szCs w:val="20"/>
              </w:rPr>
            </w:pPr>
            <w:r w:rsidRPr="001B372B">
              <w:rPr>
                <w:sz w:val="20"/>
                <w:szCs w:val="20"/>
              </w:rPr>
              <w:t>2.00</w:t>
            </w:r>
          </w:p>
        </w:tc>
      </w:tr>
      <w:tr w:rsidR="009E609D" w:rsidRPr="001B372B" w14:paraId="40B88FC4" w14:textId="77777777" w:rsidTr="002D1724">
        <w:trPr>
          <w:trHeight w:val="288"/>
          <w:jc w:val="center"/>
        </w:trPr>
        <w:tc>
          <w:tcPr>
            <w:tcW w:w="2041" w:type="dxa"/>
            <w:shd w:val="clear" w:color="auto" w:fill="auto"/>
            <w:vAlign w:val="center"/>
          </w:tcPr>
          <w:p w14:paraId="64DF4F25" w14:textId="50AD84C8" w:rsidR="009E609D" w:rsidRPr="001B372B" w:rsidRDefault="009E609D" w:rsidP="00357FC1">
            <w:pPr>
              <w:tabs>
                <w:tab w:val="left" w:pos="0"/>
              </w:tabs>
              <w:overflowPunct w:val="0"/>
              <w:autoSpaceDE w:val="0"/>
              <w:autoSpaceDN w:val="0"/>
              <w:adjustRightInd w:val="0"/>
              <w:spacing w:after="20"/>
              <w:jc w:val="both"/>
              <w:textAlignment w:val="baseline"/>
              <w:rPr>
                <w:sz w:val="20"/>
                <w:szCs w:val="20"/>
                <w:lang w:val="pt-BR"/>
              </w:rPr>
            </w:pPr>
            <w:r w:rsidRPr="001B372B">
              <w:rPr>
                <w:sz w:val="20"/>
                <w:szCs w:val="20"/>
                <w:lang w:val="pt-BR"/>
              </w:rPr>
              <w:tab/>
              <w:t>Glycitein</w:t>
            </w:r>
          </w:p>
        </w:tc>
        <w:tc>
          <w:tcPr>
            <w:tcW w:w="1829" w:type="dxa"/>
            <w:shd w:val="clear" w:color="auto" w:fill="auto"/>
            <w:vAlign w:val="center"/>
          </w:tcPr>
          <w:p w14:paraId="65EC3A4C" w14:textId="363FAFB7" w:rsidR="009E609D" w:rsidRPr="001B372B" w:rsidRDefault="009E609D" w:rsidP="00653EC1">
            <w:pPr>
              <w:tabs>
                <w:tab w:val="decimal" w:pos="280"/>
                <w:tab w:val="center" w:pos="820"/>
                <w:tab w:val="decimal" w:pos="1180"/>
              </w:tabs>
              <w:overflowPunct w:val="0"/>
              <w:autoSpaceDE w:val="0"/>
              <w:autoSpaceDN w:val="0"/>
              <w:adjustRightInd w:val="0"/>
              <w:spacing w:after="20"/>
              <w:ind w:right="-915"/>
              <w:jc w:val="both"/>
              <w:textAlignment w:val="baseline"/>
              <w:rPr>
                <w:sz w:val="20"/>
                <w:szCs w:val="20"/>
              </w:rPr>
            </w:pPr>
            <w:r w:rsidRPr="001B372B">
              <w:rPr>
                <w:sz w:val="20"/>
                <w:szCs w:val="20"/>
              </w:rPr>
              <w:tab/>
              <w:t>0.549</w:t>
            </w:r>
            <w:r w:rsidRPr="001B372B">
              <w:rPr>
                <w:sz w:val="20"/>
                <w:szCs w:val="20"/>
              </w:rPr>
              <w:tab/>
            </w:r>
            <w:r w:rsidRPr="001B372B">
              <w:rPr>
                <w:sz w:val="20"/>
                <w:szCs w:val="20"/>
              </w:rPr>
              <w:sym w:font="Symbol" w:char="F0B1"/>
            </w:r>
            <w:r w:rsidRPr="001B372B">
              <w:rPr>
                <w:sz w:val="20"/>
                <w:szCs w:val="20"/>
              </w:rPr>
              <w:tab/>
              <w:t>0.011</w:t>
            </w:r>
          </w:p>
        </w:tc>
        <w:tc>
          <w:tcPr>
            <w:tcW w:w="1710" w:type="dxa"/>
            <w:shd w:val="clear" w:color="auto" w:fill="auto"/>
          </w:tcPr>
          <w:p w14:paraId="3285591E" w14:textId="77777777" w:rsidR="009E609D" w:rsidRPr="001B372B" w:rsidRDefault="009E609D">
            <w:pPr>
              <w:overflowPunct w:val="0"/>
              <w:autoSpaceDE w:val="0"/>
              <w:autoSpaceDN w:val="0"/>
              <w:adjustRightInd w:val="0"/>
              <w:spacing w:after="20"/>
              <w:jc w:val="center"/>
              <w:textAlignment w:val="baseline"/>
              <w:rPr>
                <w:sz w:val="20"/>
                <w:szCs w:val="20"/>
              </w:rPr>
            </w:pPr>
            <w:r w:rsidRPr="001B372B">
              <w:rPr>
                <w:sz w:val="20"/>
                <w:szCs w:val="20"/>
              </w:rPr>
              <w:t>2.00</w:t>
            </w:r>
          </w:p>
        </w:tc>
      </w:tr>
    </w:tbl>
    <w:p w14:paraId="19E868E7" w14:textId="34104D5C" w:rsidR="001A3197" w:rsidRDefault="001A3197" w:rsidP="00357FC1">
      <w:pPr>
        <w:rPr>
          <w:sz w:val="20"/>
          <w:szCs w:val="20"/>
        </w:rPr>
      </w:pPr>
    </w:p>
    <w:p w14:paraId="70749717" w14:textId="77777777" w:rsidR="00815C32" w:rsidRPr="00C15A45" w:rsidRDefault="00815C32" w:rsidP="00653EC1">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15A45" w14:paraId="40FFE633" w14:textId="77777777" w:rsidTr="00815C32">
        <w:tc>
          <w:tcPr>
            <w:tcW w:w="4675" w:type="dxa"/>
            <w:vAlign w:val="bottom"/>
          </w:tcPr>
          <w:p w14:paraId="10C3B564" w14:textId="1C029BC7" w:rsidR="00C15A45" w:rsidRDefault="00815C32">
            <w:pPr>
              <w:jc w:val="center"/>
              <w:rPr>
                <w:sz w:val="20"/>
                <w:szCs w:val="20"/>
              </w:rPr>
            </w:pPr>
            <w:r>
              <w:rPr>
                <w:noProof/>
                <w:sz w:val="20"/>
                <w:szCs w:val="20"/>
              </w:rPr>
              <w:drawing>
                <wp:inline distT="0" distB="0" distL="0" distR="0" wp14:anchorId="2B1EDCCA" wp14:editId="5A08ED66">
                  <wp:extent cx="2743200" cy="11969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idz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196926"/>
                          </a:xfrm>
                          <a:prstGeom prst="rect">
                            <a:avLst/>
                          </a:prstGeom>
                        </pic:spPr>
                      </pic:pic>
                    </a:graphicData>
                  </a:graphic>
                </wp:inline>
              </w:drawing>
            </w:r>
          </w:p>
        </w:tc>
        <w:tc>
          <w:tcPr>
            <w:tcW w:w="4675" w:type="dxa"/>
            <w:vAlign w:val="bottom"/>
          </w:tcPr>
          <w:p w14:paraId="3F126D82" w14:textId="28EA7AD6" w:rsidR="00C15A45" w:rsidRDefault="00815C32">
            <w:pPr>
              <w:jc w:val="center"/>
              <w:rPr>
                <w:sz w:val="20"/>
                <w:szCs w:val="20"/>
              </w:rPr>
            </w:pPr>
            <w:r>
              <w:rPr>
                <w:noProof/>
                <w:sz w:val="20"/>
                <w:szCs w:val="20"/>
              </w:rPr>
              <w:drawing>
                <wp:inline distT="0" distB="0" distL="0" distR="0" wp14:anchorId="46772621" wp14:editId="6712343E">
                  <wp:extent cx="1828800" cy="8241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dze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824132"/>
                          </a:xfrm>
                          <a:prstGeom prst="rect">
                            <a:avLst/>
                          </a:prstGeom>
                        </pic:spPr>
                      </pic:pic>
                    </a:graphicData>
                  </a:graphic>
                </wp:inline>
              </w:drawing>
            </w:r>
          </w:p>
        </w:tc>
      </w:tr>
      <w:tr w:rsidR="00C15A45" w14:paraId="36E044A4" w14:textId="77777777" w:rsidTr="00815C32">
        <w:tc>
          <w:tcPr>
            <w:tcW w:w="4675" w:type="dxa"/>
            <w:vAlign w:val="bottom"/>
          </w:tcPr>
          <w:p w14:paraId="342F016E" w14:textId="4252DE5A" w:rsidR="00C15A45" w:rsidRPr="00815C32" w:rsidRDefault="00BC6CEF" w:rsidP="00357FC1">
            <w:pPr>
              <w:jc w:val="center"/>
              <w:rPr>
                <w:b/>
                <w:sz w:val="20"/>
                <w:szCs w:val="20"/>
              </w:rPr>
            </w:pPr>
            <w:proofErr w:type="spellStart"/>
            <w:r w:rsidRPr="00815C32">
              <w:rPr>
                <w:b/>
                <w:sz w:val="20"/>
                <w:szCs w:val="20"/>
              </w:rPr>
              <w:t>Daidzin</w:t>
            </w:r>
            <w:proofErr w:type="spellEnd"/>
          </w:p>
        </w:tc>
        <w:tc>
          <w:tcPr>
            <w:tcW w:w="4675" w:type="dxa"/>
            <w:vAlign w:val="bottom"/>
          </w:tcPr>
          <w:p w14:paraId="0A5696B5" w14:textId="4FB5F99C" w:rsidR="00C15A45" w:rsidRPr="00815C32" w:rsidRDefault="00BC6CEF" w:rsidP="00653EC1">
            <w:pPr>
              <w:jc w:val="center"/>
              <w:rPr>
                <w:b/>
                <w:sz w:val="20"/>
                <w:szCs w:val="20"/>
              </w:rPr>
            </w:pPr>
            <w:proofErr w:type="spellStart"/>
            <w:r w:rsidRPr="00815C32">
              <w:rPr>
                <w:b/>
                <w:sz w:val="20"/>
                <w:szCs w:val="20"/>
              </w:rPr>
              <w:t>Daidzein</w:t>
            </w:r>
            <w:proofErr w:type="spellEnd"/>
          </w:p>
        </w:tc>
      </w:tr>
      <w:tr w:rsidR="00C15A45" w14:paraId="359147B0" w14:textId="77777777" w:rsidTr="00815C32">
        <w:tc>
          <w:tcPr>
            <w:tcW w:w="4675" w:type="dxa"/>
            <w:vAlign w:val="bottom"/>
          </w:tcPr>
          <w:p w14:paraId="54B62BD5" w14:textId="7F03F965" w:rsidR="00C15A45" w:rsidRDefault="00815C32" w:rsidP="00357FC1">
            <w:pPr>
              <w:jc w:val="center"/>
              <w:rPr>
                <w:sz w:val="20"/>
                <w:szCs w:val="20"/>
              </w:rPr>
            </w:pPr>
            <w:r>
              <w:rPr>
                <w:noProof/>
                <w:sz w:val="20"/>
                <w:szCs w:val="20"/>
              </w:rPr>
              <w:drawing>
                <wp:inline distT="0" distB="0" distL="0" distR="0" wp14:anchorId="56838D41" wp14:editId="7F861D3B">
                  <wp:extent cx="2743200" cy="119692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ist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196926"/>
                          </a:xfrm>
                          <a:prstGeom prst="rect">
                            <a:avLst/>
                          </a:prstGeom>
                        </pic:spPr>
                      </pic:pic>
                    </a:graphicData>
                  </a:graphic>
                </wp:inline>
              </w:drawing>
            </w:r>
          </w:p>
        </w:tc>
        <w:tc>
          <w:tcPr>
            <w:tcW w:w="4675" w:type="dxa"/>
            <w:vAlign w:val="bottom"/>
          </w:tcPr>
          <w:p w14:paraId="6BBC6590" w14:textId="2B4E3CEC" w:rsidR="00C15A45" w:rsidRDefault="00815C32" w:rsidP="00357FC1">
            <w:pPr>
              <w:jc w:val="center"/>
              <w:rPr>
                <w:sz w:val="20"/>
                <w:szCs w:val="20"/>
              </w:rPr>
            </w:pPr>
            <w:r>
              <w:rPr>
                <w:noProof/>
                <w:sz w:val="20"/>
                <w:szCs w:val="20"/>
              </w:rPr>
              <w:drawing>
                <wp:inline distT="0" distB="0" distL="0" distR="0" wp14:anchorId="643A887A" wp14:editId="34929879">
                  <wp:extent cx="1828800" cy="822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istein.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828800" cy="822960"/>
                          </a:xfrm>
                          <a:prstGeom prst="rect">
                            <a:avLst/>
                          </a:prstGeom>
                        </pic:spPr>
                      </pic:pic>
                    </a:graphicData>
                  </a:graphic>
                </wp:inline>
              </w:drawing>
            </w:r>
          </w:p>
        </w:tc>
      </w:tr>
      <w:tr w:rsidR="00C15A45" w14:paraId="3BC3CD0F" w14:textId="77777777" w:rsidTr="00815C32">
        <w:tc>
          <w:tcPr>
            <w:tcW w:w="4675" w:type="dxa"/>
            <w:vAlign w:val="bottom"/>
          </w:tcPr>
          <w:p w14:paraId="217806E0" w14:textId="2FB6A1A9" w:rsidR="00C15A45" w:rsidRPr="00815C32" w:rsidRDefault="00BC6CEF" w:rsidP="00357FC1">
            <w:pPr>
              <w:jc w:val="center"/>
              <w:rPr>
                <w:b/>
                <w:sz w:val="20"/>
                <w:szCs w:val="20"/>
              </w:rPr>
            </w:pPr>
            <w:proofErr w:type="spellStart"/>
            <w:r w:rsidRPr="00815C32">
              <w:rPr>
                <w:b/>
                <w:sz w:val="20"/>
                <w:szCs w:val="20"/>
              </w:rPr>
              <w:t>Genistin</w:t>
            </w:r>
            <w:proofErr w:type="spellEnd"/>
          </w:p>
        </w:tc>
        <w:tc>
          <w:tcPr>
            <w:tcW w:w="4675" w:type="dxa"/>
            <w:vAlign w:val="bottom"/>
          </w:tcPr>
          <w:p w14:paraId="14AC9459" w14:textId="08939F89" w:rsidR="00C15A45" w:rsidRPr="00815C32" w:rsidRDefault="00BC6CEF" w:rsidP="00653EC1">
            <w:pPr>
              <w:jc w:val="center"/>
              <w:rPr>
                <w:b/>
                <w:sz w:val="20"/>
                <w:szCs w:val="20"/>
              </w:rPr>
            </w:pPr>
            <w:proofErr w:type="spellStart"/>
            <w:r w:rsidRPr="00815C32">
              <w:rPr>
                <w:b/>
                <w:sz w:val="20"/>
                <w:szCs w:val="20"/>
              </w:rPr>
              <w:t>Genistein</w:t>
            </w:r>
            <w:proofErr w:type="spellEnd"/>
          </w:p>
        </w:tc>
      </w:tr>
      <w:tr w:rsidR="00C15A45" w14:paraId="2E6BD69E" w14:textId="77777777" w:rsidTr="00815C32">
        <w:tc>
          <w:tcPr>
            <w:tcW w:w="4675" w:type="dxa"/>
            <w:vAlign w:val="bottom"/>
          </w:tcPr>
          <w:p w14:paraId="619E912A" w14:textId="64943EA7" w:rsidR="00C15A45" w:rsidRDefault="00815C32" w:rsidP="00357FC1">
            <w:pPr>
              <w:jc w:val="center"/>
              <w:rPr>
                <w:sz w:val="20"/>
                <w:szCs w:val="20"/>
              </w:rPr>
            </w:pPr>
            <w:r>
              <w:rPr>
                <w:noProof/>
                <w:sz w:val="20"/>
                <w:szCs w:val="20"/>
              </w:rPr>
              <w:drawing>
                <wp:inline distT="0" distB="0" distL="0" distR="0" wp14:anchorId="26346B61" wp14:editId="050DFB88">
                  <wp:extent cx="2743200" cy="119692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lycit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196926"/>
                          </a:xfrm>
                          <a:prstGeom prst="rect">
                            <a:avLst/>
                          </a:prstGeom>
                        </pic:spPr>
                      </pic:pic>
                    </a:graphicData>
                  </a:graphic>
                </wp:inline>
              </w:drawing>
            </w:r>
          </w:p>
        </w:tc>
        <w:tc>
          <w:tcPr>
            <w:tcW w:w="4675" w:type="dxa"/>
            <w:vAlign w:val="bottom"/>
          </w:tcPr>
          <w:p w14:paraId="1B33D47F" w14:textId="4642DF82" w:rsidR="00C15A45" w:rsidRDefault="00815C32" w:rsidP="00357FC1">
            <w:pPr>
              <w:jc w:val="center"/>
              <w:rPr>
                <w:sz w:val="20"/>
                <w:szCs w:val="20"/>
              </w:rPr>
            </w:pPr>
            <w:r>
              <w:rPr>
                <w:noProof/>
                <w:sz w:val="20"/>
                <w:szCs w:val="20"/>
              </w:rPr>
              <w:drawing>
                <wp:inline distT="0" distB="0" distL="0" distR="0" wp14:anchorId="0E8560E9" wp14:editId="1E58A9FF">
                  <wp:extent cx="1828800" cy="8241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lycitei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8800" cy="824132"/>
                          </a:xfrm>
                          <a:prstGeom prst="rect">
                            <a:avLst/>
                          </a:prstGeom>
                        </pic:spPr>
                      </pic:pic>
                    </a:graphicData>
                  </a:graphic>
                </wp:inline>
              </w:drawing>
            </w:r>
          </w:p>
        </w:tc>
      </w:tr>
      <w:tr w:rsidR="00C15A45" w14:paraId="2AE5CFEB" w14:textId="77777777" w:rsidTr="00815C32">
        <w:tc>
          <w:tcPr>
            <w:tcW w:w="4675" w:type="dxa"/>
            <w:vAlign w:val="bottom"/>
          </w:tcPr>
          <w:p w14:paraId="7A153400" w14:textId="146F15EC" w:rsidR="00C15A45" w:rsidRPr="00815C32" w:rsidRDefault="00BC6CEF" w:rsidP="00357FC1">
            <w:pPr>
              <w:jc w:val="center"/>
              <w:rPr>
                <w:b/>
                <w:sz w:val="20"/>
                <w:szCs w:val="20"/>
              </w:rPr>
            </w:pPr>
            <w:proofErr w:type="spellStart"/>
            <w:r w:rsidRPr="00815C32">
              <w:rPr>
                <w:b/>
                <w:sz w:val="20"/>
                <w:szCs w:val="20"/>
              </w:rPr>
              <w:t>Glycitin</w:t>
            </w:r>
            <w:proofErr w:type="spellEnd"/>
          </w:p>
        </w:tc>
        <w:tc>
          <w:tcPr>
            <w:tcW w:w="4675" w:type="dxa"/>
            <w:vAlign w:val="bottom"/>
          </w:tcPr>
          <w:p w14:paraId="1A78E494" w14:textId="484030A8" w:rsidR="00C15A45" w:rsidRPr="00815C32" w:rsidRDefault="00BC6CEF" w:rsidP="00357FC1">
            <w:pPr>
              <w:jc w:val="center"/>
              <w:rPr>
                <w:b/>
                <w:sz w:val="20"/>
                <w:szCs w:val="20"/>
              </w:rPr>
            </w:pPr>
            <w:proofErr w:type="spellStart"/>
            <w:r w:rsidRPr="00815C32">
              <w:rPr>
                <w:b/>
                <w:sz w:val="20"/>
                <w:szCs w:val="20"/>
              </w:rPr>
              <w:t>Glycitein</w:t>
            </w:r>
            <w:proofErr w:type="spellEnd"/>
          </w:p>
        </w:tc>
      </w:tr>
    </w:tbl>
    <w:p w14:paraId="51725D17" w14:textId="4D13B2DA" w:rsidR="00C15A45" w:rsidRPr="00C15A45" w:rsidRDefault="00C15A45" w:rsidP="00357FC1">
      <w:pPr>
        <w:rPr>
          <w:sz w:val="20"/>
          <w:szCs w:val="20"/>
        </w:rPr>
      </w:pPr>
    </w:p>
    <w:p w14:paraId="3D16FE3C" w14:textId="671EC9AE" w:rsidR="00C15A45" w:rsidRPr="00C15A45" w:rsidRDefault="00815C32" w:rsidP="009F16E7">
      <w:pPr>
        <w:jc w:val="center"/>
        <w:rPr>
          <w:sz w:val="20"/>
          <w:szCs w:val="20"/>
        </w:rPr>
      </w:pPr>
      <w:r>
        <w:rPr>
          <w:sz w:val="20"/>
          <w:szCs w:val="20"/>
        </w:rPr>
        <w:t xml:space="preserve">Figure 1.  Structures of </w:t>
      </w:r>
      <w:proofErr w:type="spellStart"/>
      <w:r>
        <w:rPr>
          <w:sz w:val="20"/>
          <w:szCs w:val="20"/>
        </w:rPr>
        <w:t>isoflavones</w:t>
      </w:r>
      <w:proofErr w:type="spellEnd"/>
      <w:r>
        <w:rPr>
          <w:sz w:val="20"/>
          <w:szCs w:val="20"/>
        </w:rPr>
        <w:t xml:space="preserve"> in SRM 3239.</w:t>
      </w:r>
    </w:p>
    <w:p w14:paraId="65816338" w14:textId="7ECC75AC" w:rsidR="00C15A45" w:rsidRDefault="00C15A45">
      <w:pPr>
        <w:rPr>
          <w:sz w:val="20"/>
          <w:szCs w:val="20"/>
          <w:highlight w:val="yellow"/>
        </w:rPr>
      </w:pPr>
      <w:r>
        <w:rPr>
          <w:sz w:val="20"/>
          <w:szCs w:val="20"/>
          <w:highlight w:val="yellow"/>
        </w:rPr>
        <w:br w:type="page"/>
      </w:r>
    </w:p>
    <w:p w14:paraId="4D691DB5" w14:textId="0E595DED" w:rsidR="005C192E" w:rsidRDefault="00F20AB7">
      <w:pPr>
        <w:jc w:val="center"/>
        <w:rPr>
          <w:sz w:val="20"/>
          <w:szCs w:val="20"/>
          <w:highlight w:val="yellow"/>
        </w:rPr>
      </w:pPr>
      <w:r>
        <w:rPr>
          <w:noProof/>
          <w:sz w:val="20"/>
          <w:szCs w:val="20"/>
        </w:rPr>
        <w:lastRenderedPageBreak/>
        <w:drawing>
          <wp:inline distT="0" distB="0" distL="0" distR="0" wp14:anchorId="15751615" wp14:editId="7A7C8529">
            <wp:extent cx="5943600" cy="2829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1 - SRM 3239 1 and 2.png"/>
                    <pic:cNvPicPr/>
                  </pic:nvPicPr>
                  <pic:blipFill>
                    <a:blip r:embed="rId16" cstate="print">
                      <a:biLevel thresh="25000"/>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943600" cy="2829560"/>
                    </a:xfrm>
                    <a:prstGeom prst="rect">
                      <a:avLst/>
                    </a:prstGeom>
                  </pic:spPr>
                </pic:pic>
              </a:graphicData>
            </a:graphic>
          </wp:inline>
        </w:drawing>
      </w:r>
    </w:p>
    <w:p w14:paraId="268B022C" w14:textId="0B288D45" w:rsidR="001A3197" w:rsidRDefault="001A3197">
      <w:pPr>
        <w:jc w:val="center"/>
        <w:rPr>
          <w:sz w:val="20"/>
          <w:szCs w:val="20"/>
          <w:highlight w:val="yellow"/>
        </w:rPr>
      </w:pPr>
    </w:p>
    <w:p w14:paraId="055BA522" w14:textId="52CCFC28" w:rsidR="001B372B" w:rsidRDefault="00F408AC">
      <w:pPr>
        <w:jc w:val="both"/>
        <w:rPr>
          <w:sz w:val="20"/>
          <w:szCs w:val="20"/>
        </w:rPr>
      </w:pPr>
      <w:r w:rsidRPr="00F20AB7">
        <w:rPr>
          <w:sz w:val="20"/>
          <w:szCs w:val="20"/>
        </w:rPr>
        <w:t>Figure </w:t>
      </w:r>
      <w:r w:rsidR="00815C32">
        <w:rPr>
          <w:sz w:val="20"/>
          <w:szCs w:val="20"/>
        </w:rPr>
        <w:t>2</w:t>
      </w:r>
      <w:r w:rsidRPr="00F20AB7">
        <w:rPr>
          <w:sz w:val="20"/>
          <w:szCs w:val="20"/>
        </w:rPr>
        <w:t xml:space="preserve">.  </w:t>
      </w:r>
      <w:r w:rsidR="0023384D" w:rsidRPr="00F20AB7">
        <w:rPr>
          <w:sz w:val="20"/>
          <w:szCs w:val="20"/>
        </w:rPr>
        <w:t>L</w:t>
      </w:r>
      <w:r w:rsidRPr="00F20AB7">
        <w:rPr>
          <w:sz w:val="20"/>
          <w:szCs w:val="20"/>
        </w:rPr>
        <w:t>C-</w:t>
      </w:r>
      <w:r w:rsidR="0023384D" w:rsidRPr="00F20AB7">
        <w:rPr>
          <w:sz w:val="20"/>
          <w:szCs w:val="20"/>
        </w:rPr>
        <w:t>UV</w:t>
      </w:r>
      <w:r w:rsidRPr="00F20AB7">
        <w:rPr>
          <w:sz w:val="20"/>
          <w:szCs w:val="20"/>
        </w:rPr>
        <w:t xml:space="preserve"> chromatograms of SRM </w:t>
      </w:r>
      <w:r w:rsidR="0023384D" w:rsidRPr="00F20AB7">
        <w:rPr>
          <w:sz w:val="20"/>
          <w:szCs w:val="20"/>
        </w:rPr>
        <w:t xml:space="preserve">3239 </w:t>
      </w:r>
      <w:proofErr w:type="spellStart"/>
      <w:r w:rsidR="0023384D" w:rsidRPr="00F20AB7">
        <w:rPr>
          <w:sz w:val="20"/>
          <w:szCs w:val="20"/>
        </w:rPr>
        <w:t>Isoflavone</w:t>
      </w:r>
      <w:proofErr w:type="spellEnd"/>
      <w:r w:rsidRPr="00F20AB7">
        <w:rPr>
          <w:sz w:val="20"/>
          <w:szCs w:val="20"/>
        </w:rPr>
        <w:t xml:space="preserve"> Calibration Solutions.  A </w:t>
      </w:r>
      <w:r w:rsidR="0023384D" w:rsidRPr="00F20AB7">
        <w:rPr>
          <w:sz w:val="20"/>
          <w:szCs w:val="20"/>
        </w:rPr>
        <w:t>C18</w:t>
      </w:r>
      <w:r w:rsidRPr="00F20AB7">
        <w:rPr>
          <w:sz w:val="20"/>
          <w:szCs w:val="20"/>
        </w:rPr>
        <w:t xml:space="preserve"> column </w:t>
      </w:r>
      <w:r w:rsidR="0023384D" w:rsidRPr="00F20AB7">
        <w:rPr>
          <w:sz w:val="20"/>
          <w:szCs w:val="20"/>
        </w:rPr>
        <w:t xml:space="preserve">with an embedded amide group and </w:t>
      </w:r>
      <w:r w:rsidRPr="00F20AB7">
        <w:rPr>
          <w:sz w:val="20"/>
          <w:szCs w:val="20"/>
        </w:rPr>
        <w:t>dimensions of 1</w:t>
      </w:r>
      <w:r w:rsidR="0023384D" w:rsidRPr="00F20AB7">
        <w:rPr>
          <w:sz w:val="20"/>
          <w:szCs w:val="20"/>
        </w:rPr>
        <w:t>0</w:t>
      </w:r>
      <w:r w:rsidRPr="00F20AB7">
        <w:rPr>
          <w:sz w:val="20"/>
          <w:szCs w:val="20"/>
        </w:rPr>
        <w:t>0 mm × </w:t>
      </w:r>
      <w:r w:rsidR="0023384D" w:rsidRPr="00F20AB7">
        <w:rPr>
          <w:sz w:val="20"/>
          <w:szCs w:val="20"/>
        </w:rPr>
        <w:t>3.0</w:t>
      </w:r>
      <w:r w:rsidRPr="00F20AB7">
        <w:rPr>
          <w:sz w:val="20"/>
          <w:szCs w:val="20"/>
        </w:rPr>
        <w:t xml:space="preserve"> mm ID and containing 2.7 µm diameter particles and a </w:t>
      </w:r>
      <w:r w:rsidR="00F20AB7" w:rsidRPr="00F20AB7">
        <w:rPr>
          <w:sz w:val="20"/>
          <w:szCs w:val="20"/>
        </w:rPr>
        <w:t xml:space="preserve">gradient </w:t>
      </w:r>
      <w:r w:rsidRPr="00F20AB7">
        <w:rPr>
          <w:sz w:val="20"/>
          <w:szCs w:val="20"/>
        </w:rPr>
        <w:t xml:space="preserve">mobile phase </w:t>
      </w:r>
      <w:r w:rsidR="00F20AB7" w:rsidRPr="00F20AB7">
        <w:rPr>
          <w:sz w:val="20"/>
          <w:szCs w:val="20"/>
        </w:rPr>
        <w:t>consisting of 5</w:t>
      </w:r>
      <w:r w:rsidR="00982158">
        <w:rPr>
          <w:sz w:val="20"/>
          <w:szCs w:val="20"/>
        </w:rPr>
        <w:t> </w:t>
      </w:r>
      <w:proofErr w:type="spellStart"/>
      <w:r w:rsidR="00F20AB7" w:rsidRPr="00F20AB7">
        <w:rPr>
          <w:sz w:val="20"/>
          <w:szCs w:val="20"/>
        </w:rPr>
        <w:t>mmol</w:t>
      </w:r>
      <w:proofErr w:type="spellEnd"/>
      <w:r w:rsidR="00F20AB7" w:rsidRPr="00F20AB7">
        <w:rPr>
          <w:sz w:val="20"/>
          <w:szCs w:val="20"/>
        </w:rPr>
        <w:t>/L</w:t>
      </w:r>
      <w:r w:rsidRPr="00F20AB7">
        <w:rPr>
          <w:sz w:val="20"/>
          <w:szCs w:val="20"/>
        </w:rPr>
        <w:t xml:space="preserve"> </w:t>
      </w:r>
      <w:r w:rsidR="00F20AB7" w:rsidRPr="00F20AB7">
        <w:rPr>
          <w:sz w:val="20"/>
          <w:szCs w:val="20"/>
        </w:rPr>
        <w:t>ammonium acetate in water (pH 4.7) and acetonitrile</w:t>
      </w:r>
      <w:r w:rsidRPr="00F20AB7">
        <w:rPr>
          <w:sz w:val="20"/>
          <w:szCs w:val="20"/>
        </w:rPr>
        <w:t xml:space="preserve"> were used</w:t>
      </w:r>
      <w:r w:rsidR="0023384D" w:rsidRPr="00F20AB7">
        <w:rPr>
          <w:sz w:val="20"/>
          <w:szCs w:val="20"/>
        </w:rPr>
        <w:t>.  The</w:t>
      </w:r>
      <w:r w:rsidRPr="00F20AB7">
        <w:rPr>
          <w:sz w:val="20"/>
          <w:szCs w:val="20"/>
        </w:rPr>
        <w:t xml:space="preserve"> column temperature </w:t>
      </w:r>
      <w:r w:rsidR="0023384D" w:rsidRPr="00F20AB7">
        <w:rPr>
          <w:sz w:val="20"/>
          <w:szCs w:val="20"/>
        </w:rPr>
        <w:t>was not controlled and absorbance detection was conducted at 254 nm</w:t>
      </w:r>
      <w:r w:rsidRPr="00F20AB7">
        <w:rPr>
          <w:sz w:val="20"/>
          <w:szCs w:val="20"/>
        </w:rPr>
        <w:t>.</w:t>
      </w:r>
    </w:p>
    <w:p w14:paraId="0F5C8DBD" w14:textId="323223A4" w:rsidR="001B372B" w:rsidRDefault="001B372B">
      <w:pPr>
        <w:rPr>
          <w:sz w:val="20"/>
          <w:szCs w:val="20"/>
        </w:rPr>
      </w:pPr>
    </w:p>
    <w:p w14:paraId="488E20BF" w14:textId="77777777" w:rsidR="001E5290" w:rsidRDefault="001E5290">
      <w:pPr>
        <w:rPr>
          <w:sz w:val="20"/>
          <w:szCs w:val="20"/>
        </w:rPr>
      </w:pPr>
    </w:p>
    <w:p w14:paraId="0E3AFC15" w14:textId="2A1DE0F6" w:rsidR="00F408AC" w:rsidRPr="001B372B" w:rsidRDefault="00F408AC">
      <w:pPr>
        <w:jc w:val="center"/>
        <w:rPr>
          <w:sz w:val="20"/>
          <w:szCs w:val="20"/>
        </w:rPr>
      </w:pPr>
      <w:r w:rsidRPr="001B372B">
        <w:rPr>
          <w:sz w:val="20"/>
          <w:szCs w:val="20"/>
        </w:rPr>
        <w:t>REFERENCES</w:t>
      </w:r>
    </w:p>
    <w:p w14:paraId="07E57897" w14:textId="77777777" w:rsidR="00F74E34" w:rsidRPr="001B372B" w:rsidRDefault="00F74E34">
      <w:pPr>
        <w:jc w:val="both"/>
        <w:rPr>
          <w:sz w:val="20"/>
          <w:szCs w:val="20"/>
        </w:rPr>
      </w:pPr>
    </w:p>
    <w:p w14:paraId="094FECDC" w14:textId="09CFEFDC" w:rsidR="00F74E34" w:rsidRPr="001B372B" w:rsidRDefault="00F74E34">
      <w:pPr>
        <w:tabs>
          <w:tab w:val="left" w:pos="360"/>
        </w:tabs>
        <w:ind w:left="360" w:hanging="360"/>
        <w:jc w:val="both"/>
        <w:rPr>
          <w:sz w:val="20"/>
          <w:szCs w:val="20"/>
        </w:rPr>
      </w:pPr>
      <w:r w:rsidRPr="001B372B">
        <w:rPr>
          <w:kern w:val="2"/>
          <w:sz w:val="20"/>
          <w:szCs w:val="20"/>
        </w:rPr>
        <w:t>[1]</w:t>
      </w:r>
      <w:r w:rsidRPr="001B372B">
        <w:rPr>
          <w:kern w:val="2"/>
          <w:sz w:val="20"/>
          <w:szCs w:val="20"/>
        </w:rPr>
        <w:tab/>
      </w:r>
      <w:r w:rsidRPr="001B372B">
        <w:rPr>
          <w:sz w:val="20"/>
          <w:szCs w:val="20"/>
        </w:rPr>
        <w:t xml:space="preserve">May, W.; Parris, R.; Beck II, C.; </w:t>
      </w:r>
      <w:proofErr w:type="spellStart"/>
      <w:r w:rsidRPr="001B372B">
        <w:rPr>
          <w:sz w:val="20"/>
          <w:szCs w:val="20"/>
        </w:rPr>
        <w:t>Fassett</w:t>
      </w:r>
      <w:proofErr w:type="spellEnd"/>
      <w:r w:rsidRPr="001B372B">
        <w:rPr>
          <w:sz w:val="20"/>
          <w:szCs w:val="20"/>
        </w:rPr>
        <w:t xml:space="preserve">, J.; Greenberg, R.; Guenther, F.; Kramer, G.; Wise, S.; Gills, T.; Colbert, J.; Gettings, R.; MacDonald, B.; </w:t>
      </w:r>
      <w:r w:rsidRPr="001B372B">
        <w:rPr>
          <w:i/>
          <w:iCs/>
          <w:sz w:val="20"/>
          <w:szCs w:val="20"/>
        </w:rPr>
        <w:t>Definition of Terms and Modes Used at NIST for Value</w:t>
      </w:r>
      <w:r w:rsidR="28A7D43A" w:rsidRPr="001B372B">
        <w:rPr>
          <w:i/>
          <w:iCs/>
          <w:sz w:val="20"/>
          <w:szCs w:val="20"/>
        </w:rPr>
        <w:t>-</w:t>
      </w:r>
      <w:r w:rsidRPr="001B372B">
        <w:rPr>
          <w:i/>
          <w:iCs/>
          <w:sz w:val="20"/>
          <w:szCs w:val="20"/>
        </w:rPr>
        <w:t>Assignment</w:t>
      </w:r>
      <w:r w:rsidRPr="001B372B">
        <w:rPr>
          <w:i/>
          <w:iCs/>
          <w:sz w:val="20"/>
          <w:szCs w:val="20"/>
        </w:rPr>
        <w:noBreakHyphen/>
        <w:t xml:space="preserve"> of Reference Materials for Chemical Measurements</w:t>
      </w:r>
      <w:r w:rsidRPr="001B372B">
        <w:rPr>
          <w:sz w:val="20"/>
          <w:szCs w:val="20"/>
        </w:rPr>
        <w:t>; NIST Special Publication 260</w:t>
      </w:r>
      <w:r w:rsidRPr="001B372B">
        <w:rPr>
          <w:sz w:val="20"/>
          <w:szCs w:val="20"/>
        </w:rPr>
        <w:noBreakHyphen/>
        <w:t xml:space="preserve">136; U.S. Government Printing Office: Washington, DC (2000); available at </w:t>
      </w:r>
      <w:hyperlink r:id="rId18" w:history="1">
        <w:r w:rsidRPr="001B372B">
          <w:rPr>
            <w:sz w:val="20"/>
            <w:szCs w:val="20"/>
          </w:rPr>
          <w:t>http://www.nist.gov/srm/upload/SP260</w:t>
        </w:r>
        <w:r w:rsidRPr="001B372B">
          <w:rPr>
            <w:sz w:val="20"/>
            <w:szCs w:val="20"/>
          </w:rPr>
          <w:noBreakHyphen/>
          <w:t>136.PDF</w:t>
        </w:r>
      </w:hyperlink>
      <w:r w:rsidRPr="001B372B">
        <w:rPr>
          <w:sz w:val="20"/>
          <w:szCs w:val="20"/>
        </w:rPr>
        <w:t xml:space="preserve"> (accessed </w:t>
      </w:r>
      <w:r w:rsidR="003E3FBB">
        <w:rPr>
          <w:kern w:val="2"/>
          <w:sz w:val="20"/>
          <w:szCs w:val="20"/>
        </w:rPr>
        <w:t>June </w:t>
      </w:r>
      <w:r w:rsidR="00CA334F" w:rsidRPr="001B372B">
        <w:rPr>
          <w:kern w:val="2"/>
          <w:sz w:val="20"/>
          <w:szCs w:val="20"/>
        </w:rPr>
        <w:t>2016</w:t>
      </w:r>
      <w:r w:rsidRPr="001B372B">
        <w:rPr>
          <w:sz w:val="20"/>
          <w:szCs w:val="20"/>
        </w:rPr>
        <w:t>).</w:t>
      </w:r>
    </w:p>
    <w:p w14:paraId="5D7FF6DF" w14:textId="22B7A98A" w:rsidR="00CA334F" w:rsidRPr="001B372B" w:rsidRDefault="00CA334F">
      <w:pPr>
        <w:tabs>
          <w:tab w:val="left" w:pos="360"/>
        </w:tabs>
        <w:ind w:left="360" w:hanging="360"/>
        <w:jc w:val="both"/>
        <w:rPr>
          <w:kern w:val="2"/>
          <w:sz w:val="20"/>
          <w:szCs w:val="20"/>
        </w:rPr>
      </w:pPr>
      <w:r w:rsidRPr="001B372B">
        <w:rPr>
          <w:kern w:val="2"/>
          <w:sz w:val="20"/>
          <w:szCs w:val="20"/>
        </w:rPr>
        <w:t>[2]</w:t>
      </w:r>
      <w:r w:rsidRPr="001B372B">
        <w:rPr>
          <w:kern w:val="2"/>
          <w:sz w:val="20"/>
          <w:szCs w:val="20"/>
        </w:rPr>
        <w:tab/>
        <w:t>Thompson,</w:t>
      </w:r>
      <w:r w:rsidR="00357FC1">
        <w:rPr>
          <w:kern w:val="2"/>
          <w:sz w:val="20"/>
          <w:szCs w:val="20"/>
        </w:rPr>
        <w:t> </w:t>
      </w:r>
      <w:r w:rsidRPr="001B372B">
        <w:rPr>
          <w:kern w:val="2"/>
          <w:sz w:val="20"/>
          <w:szCs w:val="20"/>
        </w:rPr>
        <w:t>A.; Taylor,</w:t>
      </w:r>
      <w:r w:rsidR="00357FC1">
        <w:rPr>
          <w:kern w:val="2"/>
          <w:sz w:val="20"/>
          <w:szCs w:val="20"/>
        </w:rPr>
        <w:t> </w:t>
      </w:r>
      <w:r w:rsidRPr="001B372B">
        <w:rPr>
          <w:kern w:val="2"/>
          <w:sz w:val="20"/>
          <w:szCs w:val="20"/>
        </w:rPr>
        <w:t xml:space="preserve">B.N.; </w:t>
      </w:r>
      <w:r w:rsidRPr="001B372B">
        <w:rPr>
          <w:i/>
          <w:iCs/>
          <w:kern w:val="2"/>
          <w:sz w:val="20"/>
          <w:szCs w:val="20"/>
        </w:rPr>
        <w:t>Guide for the Use of the International System of Units (SI)</w:t>
      </w:r>
      <w:r w:rsidRPr="001B372B">
        <w:rPr>
          <w:kern w:val="2"/>
          <w:sz w:val="20"/>
          <w:szCs w:val="20"/>
        </w:rPr>
        <w:t>; NIST Special Publication</w:t>
      </w:r>
      <w:r w:rsidR="00982158">
        <w:rPr>
          <w:kern w:val="2"/>
          <w:sz w:val="20"/>
          <w:szCs w:val="20"/>
        </w:rPr>
        <w:t> </w:t>
      </w:r>
      <w:r w:rsidRPr="001B372B">
        <w:rPr>
          <w:kern w:val="2"/>
          <w:sz w:val="20"/>
          <w:szCs w:val="20"/>
        </w:rPr>
        <w:t>811; U.S. Government Printing Office: Washington,</w:t>
      </w:r>
      <w:r w:rsidR="00982158">
        <w:rPr>
          <w:kern w:val="2"/>
          <w:sz w:val="20"/>
          <w:szCs w:val="20"/>
        </w:rPr>
        <w:t> </w:t>
      </w:r>
      <w:r w:rsidRPr="001B372B">
        <w:rPr>
          <w:kern w:val="2"/>
          <w:sz w:val="20"/>
          <w:szCs w:val="20"/>
        </w:rPr>
        <w:t xml:space="preserve">DC (2008); available at http://www.nist.gov/pml/pubs/index.cfm/ (accessed </w:t>
      </w:r>
      <w:r w:rsidR="003E3FBB">
        <w:rPr>
          <w:kern w:val="2"/>
          <w:sz w:val="20"/>
          <w:szCs w:val="20"/>
        </w:rPr>
        <w:t>June </w:t>
      </w:r>
      <w:r w:rsidR="00982158" w:rsidRPr="001B372B">
        <w:rPr>
          <w:kern w:val="2"/>
          <w:sz w:val="20"/>
          <w:szCs w:val="20"/>
        </w:rPr>
        <w:t>201</w:t>
      </w:r>
      <w:r w:rsidR="00982158">
        <w:rPr>
          <w:kern w:val="2"/>
          <w:sz w:val="20"/>
          <w:szCs w:val="20"/>
        </w:rPr>
        <w:t>6</w:t>
      </w:r>
      <w:r w:rsidRPr="001B372B">
        <w:rPr>
          <w:kern w:val="2"/>
          <w:sz w:val="20"/>
          <w:szCs w:val="20"/>
        </w:rPr>
        <w:t>).</w:t>
      </w:r>
    </w:p>
    <w:p w14:paraId="112EA254" w14:textId="0F3241B0" w:rsidR="00CA334F" w:rsidRPr="001B372B" w:rsidRDefault="00CA334F">
      <w:pPr>
        <w:tabs>
          <w:tab w:val="left" w:pos="360"/>
        </w:tabs>
        <w:ind w:left="360" w:hanging="360"/>
        <w:jc w:val="both"/>
        <w:rPr>
          <w:kern w:val="2"/>
          <w:sz w:val="20"/>
          <w:szCs w:val="20"/>
        </w:rPr>
      </w:pPr>
      <w:r w:rsidRPr="001B372B">
        <w:rPr>
          <w:kern w:val="2"/>
          <w:sz w:val="20"/>
          <w:szCs w:val="20"/>
        </w:rPr>
        <w:t>[3]</w:t>
      </w:r>
      <w:r w:rsidRPr="001B372B">
        <w:rPr>
          <w:kern w:val="2"/>
          <w:sz w:val="20"/>
          <w:szCs w:val="20"/>
        </w:rPr>
        <w:tab/>
        <w:t>JCGM</w:t>
      </w:r>
      <w:r w:rsidR="00357FC1">
        <w:rPr>
          <w:kern w:val="2"/>
          <w:sz w:val="20"/>
          <w:szCs w:val="20"/>
        </w:rPr>
        <w:t> </w:t>
      </w:r>
      <w:r w:rsidRPr="001B372B">
        <w:rPr>
          <w:kern w:val="2"/>
          <w:sz w:val="20"/>
          <w:szCs w:val="20"/>
        </w:rPr>
        <w:t xml:space="preserve">100:2008; </w:t>
      </w:r>
      <w:r w:rsidRPr="001B372B">
        <w:rPr>
          <w:i/>
          <w:iCs/>
          <w:kern w:val="2"/>
          <w:sz w:val="20"/>
          <w:szCs w:val="20"/>
        </w:rPr>
        <w:t>Evaluation of Measurement Data — Guide to the Expression of Uncertainty in Measurement</w:t>
      </w:r>
      <w:r w:rsidRPr="001B372B">
        <w:rPr>
          <w:kern w:val="2"/>
          <w:sz w:val="20"/>
          <w:szCs w:val="20"/>
        </w:rPr>
        <w:t xml:space="preserve"> (GUM</w:t>
      </w:r>
      <w:r w:rsidR="00357FC1">
        <w:rPr>
          <w:kern w:val="2"/>
          <w:sz w:val="20"/>
          <w:szCs w:val="20"/>
        </w:rPr>
        <w:t> </w:t>
      </w:r>
      <w:r w:rsidRPr="001B372B">
        <w:rPr>
          <w:kern w:val="2"/>
          <w:sz w:val="20"/>
          <w:szCs w:val="20"/>
        </w:rPr>
        <w:t xml:space="preserve">1995 with Minor Corrections); Joint Committee for Guides in Metrology (JCGM) (2008); available at http://www.bipm.org/utils/common/documents/jcgm/JCGM_100_2008_E.pdf (accessed </w:t>
      </w:r>
      <w:r w:rsidR="003E3FBB">
        <w:rPr>
          <w:kern w:val="2"/>
          <w:sz w:val="20"/>
          <w:szCs w:val="20"/>
        </w:rPr>
        <w:t>June </w:t>
      </w:r>
      <w:r w:rsidRPr="001B372B">
        <w:rPr>
          <w:kern w:val="2"/>
          <w:sz w:val="20"/>
          <w:szCs w:val="20"/>
        </w:rPr>
        <w:t>201</w:t>
      </w:r>
      <w:r w:rsidR="00982158">
        <w:rPr>
          <w:kern w:val="2"/>
          <w:sz w:val="20"/>
          <w:szCs w:val="20"/>
        </w:rPr>
        <w:t>6</w:t>
      </w:r>
      <w:r w:rsidRPr="001B372B">
        <w:rPr>
          <w:kern w:val="2"/>
          <w:sz w:val="20"/>
          <w:szCs w:val="20"/>
        </w:rPr>
        <w:t>); see also Taylor,</w:t>
      </w:r>
      <w:r w:rsidR="00357FC1">
        <w:rPr>
          <w:kern w:val="2"/>
          <w:sz w:val="20"/>
          <w:szCs w:val="20"/>
        </w:rPr>
        <w:t> </w:t>
      </w:r>
      <w:r w:rsidRPr="001B372B">
        <w:rPr>
          <w:kern w:val="2"/>
          <w:sz w:val="20"/>
          <w:szCs w:val="20"/>
        </w:rPr>
        <w:t xml:space="preserve">B.N.; </w:t>
      </w:r>
      <w:proofErr w:type="spellStart"/>
      <w:r w:rsidRPr="001B372B">
        <w:rPr>
          <w:kern w:val="2"/>
          <w:sz w:val="20"/>
          <w:szCs w:val="20"/>
        </w:rPr>
        <w:t>Kuyatt</w:t>
      </w:r>
      <w:proofErr w:type="spellEnd"/>
      <w:r w:rsidRPr="001B372B">
        <w:rPr>
          <w:kern w:val="2"/>
          <w:sz w:val="20"/>
          <w:szCs w:val="20"/>
        </w:rPr>
        <w:t>,</w:t>
      </w:r>
      <w:r w:rsidR="00357FC1">
        <w:rPr>
          <w:kern w:val="2"/>
          <w:sz w:val="20"/>
          <w:szCs w:val="20"/>
        </w:rPr>
        <w:t> </w:t>
      </w:r>
      <w:r w:rsidRPr="001B372B">
        <w:rPr>
          <w:kern w:val="2"/>
          <w:sz w:val="20"/>
          <w:szCs w:val="20"/>
        </w:rPr>
        <w:t xml:space="preserve">C.E.; </w:t>
      </w:r>
      <w:r w:rsidRPr="006D5F1C">
        <w:rPr>
          <w:i/>
          <w:kern w:val="2"/>
          <w:sz w:val="20"/>
          <w:szCs w:val="20"/>
        </w:rPr>
        <w:t>Guidelines for Evaluating and Expressing the Uncertainty of NIST Measurement Results</w:t>
      </w:r>
      <w:r w:rsidRPr="001B372B">
        <w:rPr>
          <w:kern w:val="2"/>
          <w:sz w:val="20"/>
          <w:szCs w:val="20"/>
        </w:rPr>
        <w:t>; NIST Technical Note 1297; U.S. Government Printing Office: Washington,</w:t>
      </w:r>
      <w:r w:rsidR="00982158">
        <w:rPr>
          <w:kern w:val="2"/>
          <w:sz w:val="20"/>
          <w:szCs w:val="20"/>
        </w:rPr>
        <w:t> </w:t>
      </w:r>
      <w:r w:rsidRPr="001B372B">
        <w:rPr>
          <w:kern w:val="2"/>
          <w:sz w:val="20"/>
          <w:szCs w:val="20"/>
        </w:rPr>
        <w:t xml:space="preserve">DC (1994); available at http://www.nist.gov/pml/pubs/index.cfm (accessed </w:t>
      </w:r>
      <w:r w:rsidR="003E3FBB">
        <w:rPr>
          <w:kern w:val="2"/>
          <w:sz w:val="20"/>
          <w:szCs w:val="20"/>
        </w:rPr>
        <w:t>June </w:t>
      </w:r>
      <w:r w:rsidR="00982158" w:rsidRPr="001B372B">
        <w:rPr>
          <w:kern w:val="2"/>
          <w:sz w:val="20"/>
          <w:szCs w:val="20"/>
        </w:rPr>
        <w:t>201</w:t>
      </w:r>
      <w:r w:rsidR="00982158">
        <w:rPr>
          <w:kern w:val="2"/>
          <w:sz w:val="20"/>
          <w:szCs w:val="20"/>
        </w:rPr>
        <w:t>6</w:t>
      </w:r>
      <w:r w:rsidRPr="001B372B">
        <w:rPr>
          <w:kern w:val="2"/>
          <w:sz w:val="20"/>
          <w:szCs w:val="20"/>
        </w:rPr>
        <w:t>).</w:t>
      </w:r>
    </w:p>
    <w:p w14:paraId="5F7A000A" w14:textId="160EC03A" w:rsidR="00F74E34" w:rsidRPr="001B372B" w:rsidRDefault="00CA334F">
      <w:pPr>
        <w:tabs>
          <w:tab w:val="left" w:pos="360"/>
        </w:tabs>
        <w:ind w:left="360" w:hanging="360"/>
        <w:jc w:val="both"/>
        <w:rPr>
          <w:kern w:val="2"/>
          <w:sz w:val="20"/>
          <w:szCs w:val="20"/>
        </w:rPr>
      </w:pPr>
      <w:r w:rsidRPr="001B372B">
        <w:rPr>
          <w:kern w:val="2"/>
          <w:sz w:val="20"/>
          <w:szCs w:val="20"/>
        </w:rPr>
        <w:t>[4]</w:t>
      </w:r>
      <w:r w:rsidRPr="001B372B">
        <w:rPr>
          <w:kern w:val="2"/>
          <w:sz w:val="20"/>
          <w:szCs w:val="20"/>
        </w:rPr>
        <w:tab/>
        <w:t>JCGM</w:t>
      </w:r>
      <w:r w:rsidR="00357FC1">
        <w:rPr>
          <w:kern w:val="2"/>
          <w:sz w:val="20"/>
          <w:szCs w:val="20"/>
        </w:rPr>
        <w:t> </w:t>
      </w:r>
      <w:r w:rsidRPr="001B372B">
        <w:rPr>
          <w:kern w:val="2"/>
          <w:sz w:val="20"/>
          <w:szCs w:val="20"/>
        </w:rPr>
        <w:t xml:space="preserve">101:2008; </w:t>
      </w:r>
      <w:r w:rsidRPr="001B372B">
        <w:rPr>
          <w:i/>
          <w:iCs/>
          <w:kern w:val="2"/>
          <w:sz w:val="20"/>
          <w:szCs w:val="20"/>
        </w:rPr>
        <w:t xml:space="preserve">Evaluation of </w:t>
      </w:r>
      <w:r w:rsidR="003E3FBB">
        <w:rPr>
          <w:i/>
          <w:iCs/>
          <w:kern w:val="2"/>
          <w:sz w:val="20"/>
          <w:szCs w:val="20"/>
        </w:rPr>
        <w:t>M</w:t>
      </w:r>
      <w:r w:rsidRPr="001B372B">
        <w:rPr>
          <w:i/>
          <w:iCs/>
          <w:kern w:val="2"/>
          <w:sz w:val="20"/>
          <w:szCs w:val="20"/>
        </w:rPr>
        <w:t xml:space="preserve">easurement </w:t>
      </w:r>
      <w:r w:rsidR="003E3FBB">
        <w:rPr>
          <w:i/>
          <w:iCs/>
          <w:kern w:val="2"/>
          <w:sz w:val="20"/>
          <w:szCs w:val="20"/>
        </w:rPr>
        <w:t>D</w:t>
      </w:r>
      <w:r w:rsidRPr="001B372B">
        <w:rPr>
          <w:i/>
          <w:iCs/>
          <w:kern w:val="2"/>
          <w:sz w:val="20"/>
          <w:szCs w:val="20"/>
        </w:rPr>
        <w:t>ata – Supplement 1 to the Guide to the Expression of Uncertainty in Measurement – Propagation of Distributions Using a Monte Carlo Method</w:t>
      </w:r>
      <w:r w:rsidRPr="001B372B">
        <w:rPr>
          <w:kern w:val="2"/>
          <w:sz w:val="20"/>
          <w:szCs w:val="20"/>
        </w:rPr>
        <w:t>; JCGM (2008); available at</w:t>
      </w:r>
      <w:r w:rsidR="5C444796" w:rsidRPr="001B372B">
        <w:rPr>
          <w:kern w:val="2"/>
          <w:sz w:val="20"/>
          <w:szCs w:val="20"/>
        </w:rPr>
        <w:t xml:space="preserve"> </w:t>
      </w:r>
      <w:r w:rsidRPr="001B372B">
        <w:rPr>
          <w:kern w:val="2"/>
          <w:sz w:val="20"/>
          <w:szCs w:val="20"/>
        </w:rPr>
        <w:t xml:space="preserve">http://www.bipm.org/utils/common/documents/jcgm/JCGM_101_2008_E.pdf (accessed </w:t>
      </w:r>
      <w:r w:rsidR="003E3FBB">
        <w:rPr>
          <w:kern w:val="2"/>
          <w:sz w:val="20"/>
          <w:szCs w:val="20"/>
        </w:rPr>
        <w:t>June </w:t>
      </w:r>
      <w:r w:rsidR="00982158" w:rsidRPr="001B372B">
        <w:rPr>
          <w:kern w:val="2"/>
          <w:sz w:val="20"/>
          <w:szCs w:val="20"/>
        </w:rPr>
        <w:t>201</w:t>
      </w:r>
      <w:r w:rsidR="00982158">
        <w:rPr>
          <w:kern w:val="2"/>
          <w:sz w:val="20"/>
          <w:szCs w:val="20"/>
        </w:rPr>
        <w:t>6</w:t>
      </w:r>
      <w:r w:rsidRPr="001B372B">
        <w:rPr>
          <w:kern w:val="2"/>
          <w:sz w:val="20"/>
          <w:szCs w:val="20"/>
        </w:rPr>
        <w:t xml:space="preserve">). </w:t>
      </w:r>
    </w:p>
    <w:p w14:paraId="39FCA4ED" w14:textId="4EF128E4" w:rsidR="009F4D4A" w:rsidRPr="001B372B" w:rsidRDefault="009F4D4A">
      <w:pPr>
        <w:tabs>
          <w:tab w:val="left" w:pos="360"/>
        </w:tabs>
        <w:ind w:left="360" w:hanging="360"/>
        <w:jc w:val="both"/>
        <w:rPr>
          <w:kern w:val="2"/>
          <w:sz w:val="20"/>
          <w:szCs w:val="20"/>
        </w:rPr>
      </w:pPr>
      <w:r w:rsidRPr="001B372B">
        <w:rPr>
          <w:kern w:val="2"/>
          <w:sz w:val="20"/>
          <w:szCs w:val="20"/>
        </w:rPr>
        <w:t>[</w:t>
      </w:r>
      <w:r w:rsidR="000741C3" w:rsidRPr="001B372B">
        <w:rPr>
          <w:kern w:val="2"/>
          <w:sz w:val="20"/>
          <w:szCs w:val="20"/>
        </w:rPr>
        <w:t>5</w:t>
      </w:r>
      <w:r w:rsidRPr="001B372B">
        <w:rPr>
          <w:kern w:val="2"/>
          <w:sz w:val="20"/>
          <w:szCs w:val="20"/>
        </w:rPr>
        <w:t>]</w:t>
      </w:r>
      <w:r w:rsidR="000741C3" w:rsidRPr="001B372B">
        <w:rPr>
          <w:kern w:val="2"/>
          <w:sz w:val="20"/>
          <w:szCs w:val="20"/>
        </w:rPr>
        <w:tab/>
        <w:t>JCGM</w:t>
      </w:r>
      <w:r w:rsidR="00357FC1">
        <w:rPr>
          <w:kern w:val="2"/>
          <w:sz w:val="20"/>
          <w:szCs w:val="20"/>
        </w:rPr>
        <w:t> </w:t>
      </w:r>
      <w:r w:rsidR="000741C3" w:rsidRPr="001B372B">
        <w:rPr>
          <w:kern w:val="2"/>
          <w:sz w:val="20"/>
          <w:szCs w:val="20"/>
        </w:rPr>
        <w:t xml:space="preserve">200:2012; </w:t>
      </w:r>
      <w:r w:rsidR="000741C3" w:rsidRPr="001B372B">
        <w:rPr>
          <w:i/>
          <w:iCs/>
          <w:kern w:val="2"/>
          <w:sz w:val="20"/>
          <w:szCs w:val="20"/>
        </w:rPr>
        <w:t>International Vocabulary of Metrology – Basic and General Concepts and Associated Terms</w:t>
      </w:r>
      <w:r w:rsidR="000741C3" w:rsidRPr="001B372B">
        <w:rPr>
          <w:kern w:val="2"/>
          <w:sz w:val="20"/>
          <w:szCs w:val="20"/>
        </w:rPr>
        <w:t xml:space="preserve"> </w:t>
      </w:r>
      <w:r w:rsidR="000741C3" w:rsidRPr="001B372B">
        <w:rPr>
          <w:i/>
          <w:iCs/>
          <w:kern w:val="2"/>
          <w:sz w:val="20"/>
          <w:szCs w:val="20"/>
        </w:rPr>
        <w:t>(VIM)</w:t>
      </w:r>
      <w:r w:rsidR="000741C3" w:rsidRPr="001B372B">
        <w:rPr>
          <w:kern w:val="2"/>
          <w:sz w:val="20"/>
          <w:szCs w:val="20"/>
        </w:rPr>
        <w:t>, 3</w:t>
      </w:r>
      <w:r w:rsidR="000741C3" w:rsidRPr="001B372B">
        <w:rPr>
          <w:kern w:val="2"/>
          <w:sz w:val="20"/>
          <w:szCs w:val="20"/>
          <w:vertAlign w:val="superscript"/>
        </w:rPr>
        <w:t>rd</w:t>
      </w:r>
      <w:r w:rsidR="000741C3" w:rsidRPr="001B372B">
        <w:rPr>
          <w:kern w:val="2"/>
          <w:sz w:val="20"/>
          <w:szCs w:val="20"/>
        </w:rPr>
        <w:t xml:space="preserve"> ed. (2008 version with Minor Corrections); JCGM (2012); available at </w:t>
      </w:r>
      <w:hyperlink r:id="rId19" w:history="1">
        <w:r w:rsidR="000741C3" w:rsidRPr="001B372B">
          <w:rPr>
            <w:rStyle w:val="Hyperlink"/>
            <w:color w:val="auto"/>
            <w:kern w:val="2"/>
            <w:sz w:val="20"/>
            <w:szCs w:val="20"/>
            <w:u w:val="none"/>
          </w:rPr>
          <w:t>http://www.bipm.org/utils/common/documents/jcgm/JCGM_200_2012.pdf</w:t>
        </w:r>
      </w:hyperlink>
      <w:r w:rsidR="000741C3" w:rsidRPr="001B372B">
        <w:rPr>
          <w:kern w:val="2"/>
          <w:sz w:val="20"/>
          <w:szCs w:val="20"/>
        </w:rPr>
        <w:t xml:space="preserve"> (accessed </w:t>
      </w:r>
      <w:r w:rsidR="003E3FBB">
        <w:rPr>
          <w:kern w:val="2"/>
          <w:sz w:val="20"/>
          <w:szCs w:val="20"/>
        </w:rPr>
        <w:t>June </w:t>
      </w:r>
      <w:r w:rsidR="00982158" w:rsidRPr="001B372B">
        <w:rPr>
          <w:kern w:val="2"/>
          <w:sz w:val="20"/>
          <w:szCs w:val="20"/>
        </w:rPr>
        <w:t>201</w:t>
      </w:r>
      <w:r w:rsidR="00982158">
        <w:rPr>
          <w:kern w:val="2"/>
          <w:sz w:val="20"/>
          <w:szCs w:val="20"/>
        </w:rPr>
        <w:t>6</w:t>
      </w:r>
      <w:r w:rsidR="000741C3" w:rsidRPr="001B372B">
        <w:rPr>
          <w:kern w:val="2"/>
          <w:sz w:val="20"/>
          <w:szCs w:val="20"/>
        </w:rPr>
        <w:t xml:space="preserve">). </w:t>
      </w:r>
    </w:p>
    <w:p w14:paraId="36824BF8" w14:textId="67C583B4" w:rsidR="005F494D" w:rsidRPr="001B372B" w:rsidRDefault="005F494D">
      <w:pPr>
        <w:tabs>
          <w:tab w:val="left" w:pos="360"/>
        </w:tabs>
        <w:ind w:left="360" w:hanging="360"/>
        <w:jc w:val="both"/>
        <w:rPr>
          <w:sz w:val="20"/>
          <w:szCs w:val="20"/>
        </w:rPr>
      </w:pPr>
      <w:r w:rsidRPr="001B372B">
        <w:rPr>
          <w:kern w:val="2"/>
          <w:sz w:val="20"/>
          <w:szCs w:val="20"/>
        </w:rPr>
        <w:t>[</w:t>
      </w:r>
      <w:r w:rsidR="000741C3" w:rsidRPr="001B372B">
        <w:rPr>
          <w:kern w:val="2"/>
          <w:sz w:val="20"/>
          <w:szCs w:val="20"/>
        </w:rPr>
        <w:t>6</w:t>
      </w:r>
      <w:r w:rsidRPr="001B372B">
        <w:rPr>
          <w:kern w:val="2"/>
          <w:sz w:val="20"/>
          <w:szCs w:val="20"/>
        </w:rPr>
        <w:t>]</w:t>
      </w:r>
      <w:r w:rsidRPr="001B372B">
        <w:rPr>
          <w:kern w:val="2"/>
          <w:sz w:val="20"/>
          <w:szCs w:val="20"/>
        </w:rPr>
        <w:tab/>
      </w:r>
      <w:r w:rsidRPr="001B372B">
        <w:rPr>
          <w:sz w:val="20"/>
          <w:szCs w:val="20"/>
        </w:rPr>
        <w:t xml:space="preserve">EURACHEM; </w:t>
      </w:r>
      <w:r w:rsidRPr="001B372B">
        <w:rPr>
          <w:i/>
          <w:iCs/>
          <w:sz w:val="20"/>
          <w:szCs w:val="20"/>
        </w:rPr>
        <w:t>EURACHEM/CITAC Guide: Quantifying Uncertainty in Analytical Measurement</w:t>
      </w:r>
      <w:r w:rsidRPr="001B372B">
        <w:rPr>
          <w:sz w:val="20"/>
          <w:szCs w:val="20"/>
        </w:rPr>
        <w:t>; Ellison, S.; Williams, A.</w:t>
      </w:r>
      <w:r w:rsidR="00982158">
        <w:rPr>
          <w:sz w:val="20"/>
          <w:szCs w:val="20"/>
        </w:rPr>
        <w:t>,</w:t>
      </w:r>
      <w:r w:rsidRPr="001B372B">
        <w:rPr>
          <w:sz w:val="20"/>
          <w:szCs w:val="20"/>
        </w:rPr>
        <w:t xml:space="preserve"> Eds.;</w:t>
      </w:r>
      <w:r w:rsidRPr="001B372B">
        <w:rPr>
          <w:i/>
          <w:iCs/>
          <w:sz w:val="20"/>
          <w:szCs w:val="20"/>
        </w:rPr>
        <w:t xml:space="preserve"> </w:t>
      </w:r>
      <w:r w:rsidRPr="001B372B">
        <w:rPr>
          <w:sz w:val="20"/>
          <w:szCs w:val="20"/>
        </w:rPr>
        <w:t>3rd</w:t>
      </w:r>
      <w:r w:rsidRPr="001B372B">
        <w:rPr>
          <w:i/>
          <w:iCs/>
          <w:sz w:val="20"/>
          <w:szCs w:val="20"/>
        </w:rPr>
        <w:t> </w:t>
      </w:r>
      <w:r w:rsidRPr="001B372B">
        <w:rPr>
          <w:sz w:val="20"/>
          <w:szCs w:val="20"/>
        </w:rPr>
        <w:t xml:space="preserve">ed. (2012); available at </w:t>
      </w:r>
      <w:hyperlink r:id="rId20" w:history="1">
        <w:r w:rsidRPr="001B372B">
          <w:rPr>
            <w:rStyle w:val="Hyperlink"/>
            <w:color w:val="auto"/>
            <w:sz w:val="20"/>
            <w:szCs w:val="20"/>
            <w:u w:val="none"/>
          </w:rPr>
          <w:t>http://www.eurachem.org/index.php/publications/guides</w:t>
        </w:r>
      </w:hyperlink>
      <w:r w:rsidRPr="001B372B">
        <w:rPr>
          <w:rStyle w:val="Hyperlink"/>
          <w:color w:val="auto"/>
          <w:sz w:val="20"/>
          <w:szCs w:val="20"/>
          <w:u w:val="none"/>
        </w:rPr>
        <w:t>/quam</w:t>
      </w:r>
      <w:r w:rsidRPr="001B372B">
        <w:rPr>
          <w:sz w:val="20"/>
          <w:szCs w:val="20"/>
        </w:rPr>
        <w:t xml:space="preserve"> (accessed </w:t>
      </w:r>
      <w:r w:rsidR="003E3FBB">
        <w:rPr>
          <w:kern w:val="2"/>
          <w:sz w:val="20"/>
          <w:szCs w:val="20"/>
        </w:rPr>
        <w:t>June </w:t>
      </w:r>
      <w:r w:rsidR="00982158" w:rsidRPr="001B372B">
        <w:rPr>
          <w:kern w:val="2"/>
          <w:sz w:val="20"/>
          <w:szCs w:val="20"/>
        </w:rPr>
        <w:t>201</w:t>
      </w:r>
      <w:r w:rsidR="00982158">
        <w:rPr>
          <w:kern w:val="2"/>
          <w:sz w:val="20"/>
          <w:szCs w:val="20"/>
        </w:rPr>
        <w:t>6</w:t>
      </w:r>
      <w:r w:rsidRPr="001B372B">
        <w:rPr>
          <w:sz w:val="20"/>
          <w:szCs w:val="20"/>
        </w:rPr>
        <w:t>).</w:t>
      </w:r>
    </w:p>
    <w:p w14:paraId="61C40D33" w14:textId="1AF771F4" w:rsidR="000741C3" w:rsidRPr="001B372B" w:rsidRDefault="000741C3">
      <w:pPr>
        <w:tabs>
          <w:tab w:val="left" w:pos="360"/>
        </w:tabs>
        <w:jc w:val="both"/>
        <w:rPr>
          <w:kern w:val="2"/>
          <w:sz w:val="20"/>
          <w:szCs w:val="20"/>
        </w:rPr>
      </w:pPr>
      <w:r w:rsidRPr="001B372B">
        <w:rPr>
          <w:sz w:val="20"/>
          <w:szCs w:val="20"/>
        </w:rPr>
        <w:t>[7]</w:t>
      </w:r>
      <w:r w:rsidRPr="001B372B">
        <w:rPr>
          <w:sz w:val="20"/>
          <w:szCs w:val="20"/>
        </w:rPr>
        <w:tab/>
      </w:r>
      <w:proofErr w:type="spellStart"/>
      <w:r w:rsidRPr="001B372B">
        <w:rPr>
          <w:kern w:val="2"/>
          <w:sz w:val="20"/>
          <w:szCs w:val="20"/>
        </w:rPr>
        <w:t>Efron</w:t>
      </w:r>
      <w:proofErr w:type="spellEnd"/>
      <w:r w:rsidRPr="001B372B">
        <w:rPr>
          <w:kern w:val="2"/>
          <w:sz w:val="20"/>
          <w:szCs w:val="20"/>
        </w:rPr>
        <w:t xml:space="preserve">, B.; </w:t>
      </w:r>
      <w:proofErr w:type="spellStart"/>
      <w:r w:rsidRPr="001B372B">
        <w:rPr>
          <w:kern w:val="2"/>
          <w:sz w:val="20"/>
          <w:szCs w:val="20"/>
        </w:rPr>
        <w:t>Tibshirani</w:t>
      </w:r>
      <w:proofErr w:type="spellEnd"/>
      <w:r w:rsidRPr="001B372B">
        <w:rPr>
          <w:kern w:val="2"/>
          <w:sz w:val="20"/>
          <w:szCs w:val="20"/>
        </w:rPr>
        <w:t xml:space="preserve">, R.J.; </w:t>
      </w:r>
      <w:r w:rsidRPr="001B372B">
        <w:rPr>
          <w:i/>
          <w:iCs/>
          <w:kern w:val="2"/>
          <w:sz w:val="20"/>
          <w:szCs w:val="20"/>
        </w:rPr>
        <w:t>An Introduction to the Bootstrap</w:t>
      </w:r>
      <w:r w:rsidRPr="001B372B">
        <w:rPr>
          <w:kern w:val="2"/>
          <w:sz w:val="20"/>
          <w:szCs w:val="20"/>
        </w:rPr>
        <w:t>; Chapman &amp; Hall, London, UK (1993).</w:t>
      </w:r>
    </w:p>
    <w:p w14:paraId="54DF7C54" w14:textId="0C0560DB" w:rsidR="009F4D4A" w:rsidRPr="001B372B" w:rsidRDefault="009F4D4A">
      <w:pPr>
        <w:tabs>
          <w:tab w:val="left" w:pos="360"/>
        </w:tabs>
        <w:ind w:left="360" w:hanging="360"/>
        <w:jc w:val="both"/>
        <w:rPr>
          <w:kern w:val="2"/>
          <w:sz w:val="20"/>
          <w:szCs w:val="20"/>
        </w:rPr>
      </w:pPr>
    </w:p>
    <w:p w14:paraId="6C43DE8E" w14:textId="2228039F" w:rsidR="00F74E34" w:rsidRDefault="00F74E34">
      <w:pPr>
        <w:ind w:left="720" w:hanging="720"/>
        <w:jc w:val="both"/>
        <w:rPr>
          <w:sz w:val="20"/>
        </w:rPr>
      </w:pPr>
    </w:p>
    <w:p w14:paraId="741FA74D" w14:textId="48F94DAE" w:rsidR="001E5290" w:rsidRDefault="001E5290">
      <w:pPr>
        <w:ind w:left="720" w:hanging="720"/>
        <w:jc w:val="both"/>
        <w:rPr>
          <w:sz w:val="20"/>
        </w:rPr>
      </w:pPr>
    </w:p>
    <w:p w14:paraId="1F25F664" w14:textId="3F05C05B" w:rsidR="001E5290" w:rsidRDefault="001E5290">
      <w:pPr>
        <w:ind w:left="720" w:hanging="720"/>
        <w:jc w:val="both"/>
        <w:rPr>
          <w:sz w:val="20"/>
        </w:rPr>
      </w:pPr>
    </w:p>
    <w:p w14:paraId="5AB12C7D" w14:textId="77777777" w:rsidR="001E5290" w:rsidRDefault="001E5290">
      <w:pPr>
        <w:ind w:left="720" w:hanging="720"/>
        <w:jc w:val="both"/>
        <w:rPr>
          <w:sz w:val="20"/>
        </w:rPr>
      </w:pPr>
    </w:p>
    <w:p w14:paraId="1F22ABFB" w14:textId="77777777" w:rsidR="00D718AB" w:rsidRPr="00511720" w:rsidRDefault="00D718AB">
      <w:pPr>
        <w:ind w:left="720" w:hanging="720"/>
        <w:jc w:val="both"/>
        <w:rPr>
          <w:sz w:val="20"/>
        </w:rPr>
      </w:pPr>
    </w:p>
    <w:p w14:paraId="6008BB16" w14:textId="3E5F54F0" w:rsidR="00DA1667" w:rsidRDefault="00F74E34">
      <w:pPr>
        <w:jc w:val="both"/>
        <w:rPr>
          <w:i/>
          <w:iCs/>
          <w:color w:val="000000"/>
          <w:sz w:val="20"/>
          <w:szCs w:val="20"/>
        </w:rPr>
      </w:pPr>
      <w:r w:rsidRPr="469EC348">
        <w:rPr>
          <w:i/>
          <w:iCs/>
          <w:color w:val="000000"/>
          <w:sz w:val="20"/>
          <w:szCs w:val="20"/>
        </w:rPr>
        <w:t>Users of this SRM should ensure that the Certificate of Analysis in their possession is current.  This can be accomplished by contacting the SRM Program:  telephone (301) 975-2200; fax (301) 948-3730; e</w:t>
      </w:r>
      <w:r w:rsidR="00A24F4C" w:rsidRPr="00511720">
        <w:rPr>
          <w:i/>
          <w:color w:val="000000"/>
          <w:sz w:val="20"/>
        </w:rPr>
        <w:noBreakHyphen/>
      </w:r>
      <w:r w:rsidRPr="469EC348">
        <w:rPr>
          <w:i/>
          <w:iCs/>
          <w:color w:val="000000"/>
          <w:sz w:val="20"/>
          <w:szCs w:val="20"/>
        </w:rPr>
        <w:t>mail</w:t>
      </w:r>
      <w:r w:rsidR="00A24F4C" w:rsidRPr="469EC348">
        <w:rPr>
          <w:i/>
          <w:iCs/>
          <w:color w:val="000000"/>
          <w:sz w:val="20"/>
          <w:szCs w:val="20"/>
        </w:rPr>
        <w:t> </w:t>
      </w:r>
      <w:hyperlink r:id="rId21" w:history="1">
        <w:r w:rsidRPr="469EC348">
          <w:rPr>
            <w:rStyle w:val="Hyperlink"/>
            <w:i/>
            <w:iCs/>
            <w:color w:val="000000"/>
            <w:sz w:val="20"/>
            <w:szCs w:val="20"/>
            <w:u w:val="none"/>
          </w:rPr>
          <w:t>srminfo@nist.gov</w:t>
        </w:r>
      </w:hyperlink>
      <w:r w:rsidRPr="469EC348">
        <w:rPr>
          <w:i/>
          <w:iCs/>
          <w:color w:val="000000"/>
          <w:sz w:val="20"/>
          <w:szCs w:val="20"/>
        </w:rPr>
        <w:t>; or via the Internet at http://www.nist.gov/srm.</w:t>
      </w:r>
      <w:r w:rsidR="00DA1667">
        <w:rPr>
          <w:i/>
          <w:iCs/>
          <w:color w:val="000000"/>
          <w:sz w:val="20"/>
          <w:szCs w:val="20"/>
        </w:rPr>
        <w:br w:type="page"/>
      </w:r>
    </w:p>
    <w:p w14:paraId="0676287F" w14:textId="25FFC3D6" w:rsidR="005F494D" w:rsidRPr="00B2329E" w:rsidRDefault="005F494D">
      <w:pPr>
        <w:jc w:val="center"/>
        <w:rPr>
          <w:sz w:val="20"/>
        </w:rPr>
      </w:pPr>
      <w:r w:rsidRPr="00F86F8F">
        <w:rPr>
          <w:sz w:val="20"/>
          <w:szCs w:val="20"/>
        </w:rPr>
        <w:lastRenderedPageBreak/>
        <w:t>Appendix A</w:t>
      </w:r>
    </w:p>
    <w:p w14:paraId="7DFC3513" w14:textId="77777777" w:rsidR="005F494D" w:rsidRDefault="005F494D">
      <w:pPr>
        <w:jc w:val="center"/>
        <w:rPr>
          <w:sz w:val="20"/>
        </w:rPr>
      </w:pPr>
    </w:p>
    <w:p w14:paraId="4F8D08CC" w14:textId="172A6570" w:rsidR="005F494D" w:rsidRDefault="005F494D">
      <w:pPr>
        <w:jc w:val="center"/>
        <w:rPr>
          <w:sz w:val="20"/>
        </w:rPr>
      </w:pPr>
      <w:r w:rsidRPr="00F86F8F">
        <w:rPr>
          <w:sz w:val="20"/>
          <w:szCs w:val="20"/>
        </w:rPr>
        <w:t xml:space="preserve">Guidance for Diluting SRM 3239 </w:t>
      </w:r>
      <w:proofErr w:type="spellStart"/>
      <w:r w:rsidRPr="00F86F8F">
        <w:rPr>
          <w:sz w:val="20"/>
          <w:szCs w:val="20"/>
        </w:rPr>
        <w:t>Isoflavones</w:t>
      </w:r>
      <w:proofErr w:type="spellEnd"/>
      <w:r w:rsidRPr="00F86F8F">
        <w:rPr>
          <w:sz w:val="20"/>
          <w:szCs w:val="20"/>
        </w:rPr>
        <w:t xml:space="preserve"> Calibration Solutions</w:t>
      </w:r>
    </w:p>
    <w:p w14:paraId="70974D5A" w14:textId="77777777" w:rsidR="005F494D" w:rsidRDefault="005F494D">
      <w:pPr>
        <w:jc w:val="center"/>
        <w:rPr>
          <w:sz w:val="20"/>
        </w:rPr>
      </w:pPr>
    </w:p>
    <w:p w14:paraId="777F6E54" w14:textId="12A277D8" w:rsidR="005F494D" w:rsidRPr="004B30E3" w:rsidRDefault="005F494D">
      <w:pPr>
        <w:jc w:val="both"/>
        <w:rPr>
          <w:sz w:val="20"/>
        </w:rPr>
      </w:pPr>
      <w:r w:rsidRPr="00F86F8F">
        <w:rPr>
          <w:sz w:val="20"/>
          <w:szCs w:val="20"/>
        </w:rPr>
        <w:t xml:space="preserve">The </w:t>
      </w:r>
      <w:proofErr w:type="spellStart"/>
      <w:r w:rsidRPr="00F86F8F">
        <w:rPr>
          <w:sz w:val="20"/>
          <w:szCs w:val="20"/>
        </w:rPr>
        <w:t>methanolic</w:t>
      </w:r>
      <w:proofErr w:type="spellEnd"/>
      <w:r w:rsidRPr="00F86F8F">
        <w:rPr>
          <w:sz w:val="20"/>
          <w:szCs w:val="20"/>
        </w:rPr>
        <w:t xml:space="preserve"> calibration solutions of SRM </w:t>
      </w:r>
      <w:r w:rsidR="00532840" w:rsidRPr="00D718AB">
        <w:rPr>
          <w:sz w:val="20"/>
          <w:szCs w:val="20"/>
        </w:rPr>
        <w:t>3239</w:t>
      </w:r>
      <w:r w:rsidRPr="00D718AB">
        <w:rPr>
          <w:sz w:val="20"/>
          <w:szCs w:val="20"/>
        </w:rPr>
        <w:t xml:space="preserve"> for </w:t>
      </w:r>
      <w:proofErr w:type="spellStart"/>
      <w:r w:rsidR="00532840" w:rsidRPr="00D718AB">
        <w:rPr>
          <w:sz w:val="20"/>
          <w:szCs w:val="20"/>
        </w:rPr>
        <w:t>isoflavones</w:t>
      </w:r>
      <w:proofErr w:type="spellEnd"/>
      <w:r w:rsidRPr="00D718AB">
        <w:rPr>
          <w:sz w:val="20"/>
          <w:szCs w:val="20"/>
        </w:rPr>
        <w:t xml:space="preserve"> are of higher concentration than is typically encountered in </w:t>
      </w:r>
      <w:r w:rsidR="00532840" w:rsidRPr="00D718AB">
        <w:rPr>
          <w:sz w:val="20"/>
          <w:szCs w:val="20"/>
        </w:rPr>
        <w:t>soy products</w:t>
      </w:r>
      <w:r w:rsidRPr="00D718AB">
        <w:rPr>
          <w:sz w:val="20"/>
          <w:szCs w:val="20"/>
        </w:rPr>
        <w:t xml:space="preserve">.  Therefore, dilution of the calibration solutions may be required for analysis by many of the common </w:t>
      </w:r>
      <w:proofErr w:type="spellStart"/>
      <w:r w:rsidR="00532840" w:rsidRPr="00D718AB">
        <w:rPr>
          <w:sz w:val="20"/>
          <w:szCs w:val="20"/>
        </w:rPr>
        <w:t>isoflavone</w:t>
      </w:r>
      <w:proofErr w:type="spellEnd"/>
      <w:r w:rsidRPr="00D718AB">
        <w:rPr>
          <w:sz w:val="20"/>
          <w:szCs w:val="20"/>
        </w:rPr>
        <w:t xml:space="preserve"> assays.  Recommendations for dilution of the calibration solutions are as follows:</w:t>
      </w:r>
    </w:p>
    <w:p w14:paraId="6EB87770" w14:textId="77777777" w:rsidR="005F494D" w:rsidRPr="004B30E3" w:rsidRDefault="005F494D">
      <w:pPr>
        <w:jc w:val="both"/>
        <w:rPr>
          <w:sz w:val="20"/>
        </w:rPr>
      </w:pPr>
    </w:p>
    <w:p w14:paraId="35CAE552" w14:textId="1DA93B0A" w:rsidR="005F494D" w:rsidRPr="004B30E3" w:rsidRDefault="005F494D">
      <w:pPr>
        <w:numPr>
          <w:ilvl w:val="0"/>
          <w:numId w:val="1"/>
        </w:numPr>
        <w:jc w:val="both"/>
        <w:rPr>
          <w:sz w:val="20"/>
          <w:szCs w:val="20"/>
        </w:rPr>
      </w:pPr>
      <w:r w:rsidRPr="00F86F8F">
        <w:rPr>
          <w:sz w:val="20"/>
          <w:szCs w:val="20"/>
        </w:rPr>
        <w:t xml:space="preserve">The solutions should be allowed to reach room temperature and be thoroughly mixed prior to opening the ampoules for dilution.  However, </w:t>
      </w:r>
      <w:r w:rsidR="00532840" w:rsidRPr="00F86F8F">
        <w:rPr>
          <w:sz w:val="20"/>
          <w:szCs w:val="20"/>
        </w:rPr>
        <w:t xml:space="preserve">to maximize stability of the </w:t>
      </w:r>
      <w:proofErr w:type="spellStart"/>
      <w:r w:rsidR="00532840" w:rsidRPr="00F86F8F">
        <w:rPr>
          <w:sz w:val="20"/>
          <w:szCs w:val="20"/>
        </w:rPr>
        <w:t>isoflavones</w:t>
      </w:r>
      <w:proofErr w:type="spellEnd"/>
      <w:r w:rsidRPr="00F86F8F">
        <w:rPr>
          <w:sz w:val="20"/>
          <w:szCs w:val="20"/>
        </w:rPr>
        <w:t xml:space="preserve">, care should be taken to minimize the total time at room </w:t>
      </w:r>
      <w:r w:rsidRPr="00D718AB">
        <w:rPr>
          <w:sz w:val="20"/>
          <w:szCs w:val="20"/>
        </w:rPr>
        <w:t xml:space="preserve">temperature </w:t>
      </w:r>
      <w:r w:rsidR="00BB79DD" w:rsidRPr="00D718AB">
        <w:rPr>
          <w:sz w:val="20"/>
          <w:szCs w:val="20"/>
        </w:rPr>
        <w:t>to less than</w:t>
      </w:r>
      <w:r w:rsidR="00BB79DD">
        <w:rPr>
          <w:sz w:val="20"/>
          <w:szCs w:val="20"/>
        </w:rPr>
        <w:t xml:space="preserve"> </w:t>
      </w:r>
      <w:r w:rsidR="00BB79DD" w:rsidRPr="00F86F8F">
        <w:rPr>
          <w:sz w:val="20"/>
          <w:szCs w:val="20"/>
        </w:rPr>
        <w:t>3 h</w:t>
      </w:r>
      <w:r w:rsidR="00BB79DD" w:rsidRPr="00D718AB">
        <w:rPr>
          <w:sz w:val="20"/>
          <w:szCs w:val="20"/>
        </w:rPr>
        <w:t xml:space="preserve"> </w:t>
      </w:r>
      <w:r w:rsidRPr="00D718AB">
        <w:rPr>
          <w:sz w:val="20"/>
          <w:szCs w:val="20"/>
        </w:rPr>
        <w:t>for equilibrating, diluting and analyzing</w:t>
      </w:r>
      <w:r w:rsidRPr="00F86F8F">
        <w:rPr>
          <w:sz w:val="20"/>
          <w:szCs w:val="20"/>
        </w:rPr>
        <w:t>.</w:t>
      </w:r>
    </w:p>
    <w:p w14:paraId="43CC4857" w14:textId="77777777" w:rsidR="005F494D" w:rsidRPr="004B30E3" w:rsidRDefault="005F494D">
      <w:pPr>
        <w:jc w:val="both"/>
        <w:rPr>
          <w:sz w:val="20"/>
        </w:rPr>
      </w:pPr>
    </w:p>
    <w:p w14:paraId="0F000B5F" w14:textId="67F19B31" w:rsidR="005F494D" w:rsidRPr="004B30E3" w:rsidRDefault="005F494D">
      <w:pPr>
        <w:numPr>
          <w:ilvl w:val="0"/>
          <w:numId w:val="1"/>
        </w:numPr>
        <w:jc w:val="both"/>
        <w:rPr>
          <w:sz w:val="20"/>
          <w:szCs w:val="20"/>
        </w:rPr>
      </w:pPr>
      <w:r w:rsidRPr="00F86F8F">
        <w:rPr>
          <w:sz w:val="20"/>
          <w:szCs w:val="20"/>
        </w:rPr>
        <w:t xml:space="preserve">The most accurate results for dilution will be obtained using </w:t>
      </w:r>
      <w:proofErr w:type="spellStart"/>
      <w:r w:rsidRPr="00F86F8F">
        <w:rPr>
          <w:sz w:val="20"/>
          <w:szCs w:val="20"/>
        </w:rPr>
        <w:t>gravimetry</w:t>
      </w:r>
      <w:proofErr w:type="spellEnd"/>
      <w:r w:rsidRPr="00F86F8F">
        <w:rPr>
          <w:sz w:val="20"/>
          <w:szCs w:val="20"/>
        </w:rPr>
        <w:t xml:space="preserve"> with a calibrated analytical balance.  Both the masses of the SRM </w:t>
      </w:r>
      <w:r w:rsidR="00532840" w:rsidRPr="00F86F8F">
        <w:rPr>
          <w:sz w:val="20"/>
          <w:szCs w:val="20"/>
        </w:rPr>
        <w:t>3239</w:t>
      </w:r>
      <w:r w:rsidRPr="00F86F8F">
        <w:rPr>
          <w:sz w:val="20"/>
          <w:szCs w:val="20"/>
        </w:rPr>
        <w:t xml:space="preserve"> solution and the total amount of soluti</w:t>
      </w:r>
      <w:r w:rsidRPr="00D718AB">
        <w:rPr>
          <w:sz w:val="20"/>
          <w:szCs w:val="20"/>
        </w:rPr>
        <w:t>on after dilution are required to calculate the new concentration.</w:t>
      </w:r>
    </w:p>
    <w:p w14:paraId="0FC10638" w14:textId="77777777" w:rsidR="005F494D" w:rsidRPr="004B30E3" w:rsidRDefault="005F494D">
      <w:pPr>
        <w:jc w:val="both"/>
        <w:rPr>
          <w:sz w:val="20"/>
        </w:rPr>
      </w:pPr>
    </w:p>
    <w:p w14:paraId="7B18497D" w14:textId="77777777" w:rsidR="005F494D" w:rsidRPr="004B30E3" w:rsidRDefault="005F494D">
      <w:pPr>
        <w:numPr>
          <w:ilvl w:val="0"/>
          <w:numId w:val="1"/>
        </w:numPr>
        <w:jc w:val="both"/>
        <w:rPr>
          <w:i/>
          <w:iCs/>
          <w:sz w:val="20"/>
          <w:szCs w:val="20"/>
        </w:rPr>
      </w:pPr>
      <w:r w:rsidRPr="00F86F8F">
        <w:rPr>
          <w:sz w:val="20"/>
          <w:szCs w:val="20"/>
        </w:rPr>
        <w:t>For assays that utilize volumetric measurements, use of either a gas-tight syringe or a positive displacement pipette (PDP) is recommended for solution transfer.  If using a PDP, ensure all solution is delivered from the capillary (touching the tip of the capillary to the wall of the container may be required to fully deliver the correct volume).  The best results for a volume dilution will be obtained if a volumetric flask is used to achie</w:t>
      </w:r>
      <w:r w:rsidRPr="00D718AB">
        <w:rPr>
          <w:sz w:val="20"/>
          <w:szCs w:val="20"/>
        </w:rPr>
        <w:t>ve the desired total volume.</w:t>
      </w:r>
    </w:p>
    <w:p w14:paraId="6DC8349F" w14:textId="77777777" w:rsidR="005F494D" w:rsidRPr="004B30E3" w:rsidRDefault="005F494D">
      <w:pPr>
        <w:jc w:val="both"/>
        <w:rPr>
          <w:sz w:val="20"/>
        </w:rPr>
      </w:pPr>
    </w:p>
    <w:p w14:paraId="3497AD7A" w14:textId="2E324A30" w:rsidR="005F494D" w:rsidRDefault="005F494D">
      <w:pPr>
        <w:numPr>
          <w:ilvl w:val="0"/>
          <w:numId w:val="1"/>
        </w:numPr>
        <w:jc w:val="both"/>
        <w:rPr>
          <w:sz w:val="20"/>
          <w:szCs w:val="20"/>
        </w:rPr>
      </w:pPr>
      <w:r w:rsidRPr="00F86F8F">
        <w:rPr>
          <w:sz w:val="20"/>
          <w:szCs w:val="20"/>
        </w:rPr>
        <w:t xml:space="preserve">If a positive displacement pipette is not available, an air-displacement pipette can be used.  However, the errors in the amount of the </w:t>
      </w:r>
      <w:proofErr w:type="spellStart"/>
      <w:r w:rsidR="00532840" w:rsidRPr="00F86F8F">
        <w:rPr>
          <w:sz w:val="20"/>
          <w:szCs w:val="20"/>
        </w:rPr>
        <w:t>m</w:t>
      </w:r>
      <w:r w:rsidRPr="00F86F8F">
        <w:rPr>
          <w:sz w:val="20"/>
          <w:szCs w:val="20"/>
        </w:rPr>
        <w:t>ethanolic</w:t>
      </w:r>
      <w:proofErr w:type="spellEnd"/>
      <w:r w:rsidRPr="00F86F8F">
        <w:rPr>
          <w:sz w:val="20"/>
          <w:szCs w:val="20"/>
        </w:rPr>
        <w:t xml:space="preserve"> solution dispensed and the concentration of the diluted solution will be greate</w:t>
      </w:r>
      <w:r w:rsidRPr="00D718AB">
        <w:rPr>
          <w:sz w:val="20"/>
          <w:szCs w:val="20"/>
        </w:rPr>
        <w:t>r.  Also, in both (3) and (4), use of pipettes that are out of calibration will result in additional error.</w:t>
      </w:r>
    </w:p>
    <w:p w14:paraId="39E6E295" w14:textId="77777777" w:rsidR="005F494D" w:rsidRDefault="005F494D">
      <w:pPr>
        <w:pStyle w:val="ListParagraph"/>
        <w:contextualSpacing w:val="0"/>
        <w:jc w:val="both"/>
        <w:rPr>
          <w:sz w:val="20"/>
        </w:rPr>
      </w:pPr>
    </w:p>
    <w:p w14:paraId="698F4FFC" w14:textId="45C5EC8D" w:rsidR="005F494D" w:rsidRPr="002D1724" w:rsidRDefault="005F494D">
      <w:pPr>
        <w:numPr>
          <w:ilvl w:val="0"/>
          <w:numId w:val="1"/>
        </w:numPr>
        <w:jc w:val="both"/>
        <w:rPr>
          <w:sz w:val="20"/>
          <w:szCs w:val="20"/>
        </w:rPr>
      </w:pPr>
      <w:r w:rsidRPr="00F86F8F">
        <w:rPr>
          <w:sz w:val="20"/>
          <w:szCs w:val="20"/>
        </w:rPr>
        <w:t xml:space="preserve">The choice of diluent does not matter, as long as the </w:t>
      </w:r>
      <w:r w:rsidR="00532840" w:rsidRPr="00F86F8F">
        <w:rPr>
          <w:sz w:val="20"/>
          <w:szCs w:val="20"/>
        </w:rPr>
        <w:t>m</w:t>
      </w:r>
      <w:r w:rsidRPr="00F86F8F">
        <w:rPr>
          <w:sz w:val="20"/>
          <w:szCs w:val="20"/>
        </w:rPr>
        <w:t>ethanol/</w:t>
      </w:r>
      <w:proofErr w:type="spellStart"/>
      <w:r w:rsidRPr="00F86F8F">
        <w:rPr>
          <w:sz w:val="20"/>
          <w:szCs w:val="20"/>
        </w:rPr>
        <w:t>analytes</w:t>
      </w:r>
      <w:proofErr w:type="spellEnd"/>
      <w:r w:rsidRPr="00F86F8F">
        <w:rPr>
          <w:sz w:val="20"/>
          <w:szCs w:val="20"/>
        </w:rPr>
        <w:t xml:space="preserve"> are soluble.  Dilution with organic solvents such as alcohols or acetonitri</w:t>
      </w:r>
      <w:r w:rsidRPr="00D718AB">
        <w:rPr>
          <w:sz w:val="20"/>
          <w:szCs w:val="20"/>
        </w:rPr>
        <w:t xml:space="preserve">le is preferable, but water can be used as the diluent </w:t>
      </w:r>
      <w:r w:rsidR="00532840" w:rsidRPr="00D718AB">
        <w:rPr>
          <w:sz w:val="20"/>
          <w:szCs w:val="20"/>
        </w:rPr>
        <w:t>if prescribed by the assay</w:t>
      </w:r>
      <w:r w:rsidRPr="00D718AB">
        <w:rPr>
          <w:sz w:val="20"/>
          <w:szCs w:val="20"/>
        </w:rPr>
        <w:t xml:space="preserve">.  </w:t>
      </w:r>
      <w:r w:rsidR="00686778">
        <w:rPr>
          <w:sz w:val="20"/>
          <w:szCs w:val="20"/>
        </w:rPr>
        <w:t xml:space="preserve">Proper technique is necessary if diluting volumetrically, and particular care must be taken to consider mixing of solvents during the dilution step.  </w:t>
      </w:r>
      <w:r w:rsidRPr="007C220F">
        <w:rPr>
          <w:sz w:val="20"/>
          <w:szCs w:val="20"/>
        </w:rPr>
        <w:t>All d</w:t>
      </w:r>
      <w:r w:rsidRPr="00F86F8F">
        <w:rPr>
          <w:sz w:val="20"/>
          <w:szCs w:val="20"/>
        </w:rPr>
        <w:t>iluted SRM </w:t>
      </w:r>
      <w:r w:rsidR="00532840" w:rsidRPr="00F86F8F">
        <w:rPr>
          <w:sz w:val="20"/>
          <w:szCs w:val="20"/>
        </w:rPr>
        <w:t>3239</w:t>
      </w:r>
      <w:r w:rsidRPr="00F86F8F">
        <w:rPr>
          <w:sz w:val="20"/>
          <w:szCs w:val="20"/>
        </w:rPr>
        <w:t xml:space="preserve"> solutions should be stored in the dark in a sealed container (e.g., amber threaded bottle with a lined screw cap) to minimize concentration changes that could occur from evaporative losses.  </w:t>
      </w:r>
      <w:r w:rsidRPr="002D1724">
        <w:rPr>
          <w:sz w:val="20"/>
          <w:szCs w:val="20"/>
        </w:rPr>
        <w:t xml:space="preserve">Solutions diluted with organic solvents should be stored at –20 °C until ready for analysis (up to </w:t>
      </w:r>
      <w:r w:rsidR="00532840" w:rsidRPr="002D1724">
        <w:rPr>
          <w:sz w:val="20"/>
          <w:szCs w:val="20"/>
        </w:rPr>
        <w:t>6</w:t>
      </w:r>
      <w:r w:rsidRPr="002D1724">
        <w:rPr>
          <w:sz w:val="20"/>
          <w:szCs w:val="20"/>
        </w:rPr>
        <w:t xml:space="preserve"> months) to minimize </w:t>
      </w:r>
      <w:proofErr w:type="spellStart"/>
      <w:r w:rsidR="00532840" w:rsidRPr="002D1724">
        <w:rPr>
          <w:sz w:val="20"/>
          <w:szCs w:val="20"/>
        </w:rPr>
        <w:t>isoflavone</w:t>
      </w:r>
      <w:proofErr w:type="spellEnd"/>
      <w:r w:rsidR="00532840" w:rsidRPr="002D1724">
        <w:rPr>
          <w:sz w:val="20"/>
          <w:szCs w:val="20"/>
        </w:rPr>
        <w:t xml:space="preserve"> </w:t>
      </w:r>
      <w:r w:rsidRPr="002D1724">
        <w:rPr>
          <w:sz w:val="20"/>
          <w:szCs w:val="20"/>
        </w:rPr>
        <w:t>degradation.  The viability of solutions that have been diluted with water, stored at –20 °C, and then equilibrated to room temperature for analysis has not been investigated at NIST.  Therefore, it is recommended that samples diluted with water be analyzed without delay and discarded after 3 h.</w:t>
      </w:r>
    </w:p>
    <w:p w14:paraId="05DEEBEA" w14:textId="7832119F" w:rsidR="00FE2EFE" w:rsidRPr="00511720" w:rsidRDefault="00FE2EFE">
      <w:pPr>
        <w:jc w:val="both"/>
        <w:rPr>
          <w:i/>
          <w:color w:val="000000"/>
          <w:sz w:val="20"/>
        </w:rPr>
      </w:pPr>
    </w:p>
    <w:sectPr w:rsidR="00FE2EFE" w:rsidRPr="00511720" w:rsidSect="00F86F8F">
      <w:footerReference w:type="default" r:id="rId22"/>
      <w:footnotePr>
        <w:numRestart w:val="eachPage"/>
      </w:footnotePr>
      <w:pgSz w:w="12240" w:h="15840"/>
      <w:pgMar w:top="720" w:right="1440" w:bottom="72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C2C52" w14:textId="77777777" w:rsidR="0056583D" w:rsidRDefault="0056583D">
      <w:r>
        <w:separator/>
      </w:r>
    </w:p>
  </w:endnote>
  <w:endnote w:type="continuationSeparator" w:id="0">
    <w:p w14:paraId="3D6D500F" w14:textId="77777777" w:rsidR="0056583D" w:rsidRDefault="00565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col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charset w:val="00"/>
    <w:family w:val="roman"/>
    <w:pitch w:val="variable"/>
    <w:sig w:usb0="00000007" w:usb1="00000000" w:usb2="00000000" w:usb3="00000000" w:csb0="0000009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Linotext">
    <w:altName w:val="Courier New"/>
    <w:panose1 w:val="000005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C58EE" w14:textId="0C76E2F7" w:rsidR="00090026" w:rsidRPr="00265478" w:rsidRDefault="00090026" w:rsidP="003A331D">
    <w:pPr>
      <w:pStyle w:val="Footer"/>
      <w:tabs>
        <w:tab w:val="clear" w:pos="8640"/>
        <w:tab w:val="right" w:pos="9360"/>
      </w:tabs>
      <w:rPr>
        <w:sz w:val="20"/>
        <w:szCs w:val="20"/>
      </w:rPr>
    </w:pPr>
    <w:r w:rsidRPr="00265478">
      <w:rPr>
        <w:sz w:val="20"/>
        <w:szCs w:val="20"/>
      </w:rPr>
      <w:t xml:space="preserve">SRM </w:t>
    </w:r>
    <w:r w:rsidR="00532840">
      <w:rPr>
        <w:sz w:val="20"/>
        <w:szCs w:val="20"/>
      </w:rPr>
      <w:t>3239</w:t>
    </w:r>
    <w:r>
      <w:rPr>
        <w:sz w:val="20"/>
        <w:szCs w:val="20"/>
      </w:rPr>
      <w:tab/>
    </w:r>
    <w:r>
      <w:rPr>
        <w:sz w:val="20"/>
        <w:szCs w:val="20"/>
      </w:rPr>
      <w:tab/>
    </w:r>
    <w:r w:rsidRPr="00265478">
      <w:rPr>
        <w:sz w:val="20"/>
        <w:szCs w:val="20"/>
      </w:rPr>
      <w:t xml:space="preserve">Page </w:t>
    </w:r>
    <w:r w:rsidRPr="00D718AB">
      <w:rPr>
        <w:rStyle w:val="PageNumber"/>
        <w:noProof/>
        <w:sz w:val="20"/>
        <w:szCs w:val="20"/>
      </w:rPr>
      <w:fldChar w:fldCharType="begin"/>
    </w:r>
    <w:r w:rsidRPr="00265478">
      <w:rPr>
        <w:rStyle w:val="PageNumber"/>
        <w:sz w:val="20"/>
        <w:szCs w:val="20"/>
      </w:rPr>
      <w:instrText xml:space="preserve"> PAGE </w:instrText>
    </w:r>
    <w:r w:rsidRPr="00D718AB">
      <w:rPr>
        <w:rStyle w:val="PageNumber"/>
        <w:sz w:val="20"/>
        <w:szCs w:val="20"/>
      </w:rPr>
      <w:fldChar w:fldCharType="separate"/>
    </w:r>
    <w:r w:rsidR="004229DB">
      <w:rPr>
        <w:rStyle w:val="PageNumber"/>
        <w:noProof/>
        <w:sz w:val="20"/>
        <w:szCs w:val="20"/>
      </w:rPr>
      <w:t>5</w:t>
    </w:r>
    <w:r w:rsidRPr="00D718AB">
      <w:rPr>
        <w:rStyle w:val="PageNumber"/>
        <w:noProof/>
        <w:sz w:val="20"/>
        <w:szCs w:val="20"/>
      </w:rPr>
      <w:fldChar w:fldCharType="end"/>
    </w:r>
    <w:r w:rsidRPr="00265478">
      <w:rPr>
        <w:rStyle w:val="PageNumber"/>
        <w:sz w:val="20"/>
        <w:szCs w:val="20"/>
      </w:rPr>
      <w:t xml:space="preserve"> of </w:t>
    </w:r>
    <w:r w:rsidRPr="00D718AB">
      <w:rPr>
        <w:rStyle w:val="PageNumber"/>
        <w:noProof/>
        <w:sz w:val="20"/>
        <w:szCs w:val="20"/>
      </w:rPr>
      <w:fldChar w:fldCharType="begin"/>
    </w:r>
    <w:r w:rsidRPr="00265478">
      <w:rPr>
        <w:rStyle w:val="PageNumber"/>
        <w:sz w:val="20"/>
        <w:szCs w:val="20"/>
      </w:rPr>
      <w:instrText xml:space="preserve"> NUMPAGES </w:instrText>
    </w:r>
    <w:r w:rsidRPr="00D718AB">
      <w:rPr>
        <w:rStyle w:val="PageNumber"/>
        <w:sz w:val="20"/>
        <w:szCs w:val="20"/>
      </w:rPr>
      <w:fldChar w:fldCharType="separate"/>
    </w:r>
    <w:r w:rsidR="004229DB">
      <w:rPr>
        <w:rStyle w:val="PageNumber"/>
        <w:noProof/>
        <w:sz w:val="20"/>
        <w:szCs w:val="20"/>
      </w:rPr>
      <w:t>5</w:t>
    </w:r>
    <w:r w:rsidRPr="00D718AB">
      <w:rPr>
        <w:rStyle w:val="PageNumbe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192A0" w14:textId="77777777" w:rsidR="0056583D" w:rsidRDefault="0056583D">
      <w:r>
        <w:separator/>
      </w:r>
    </w:p>
  </w:footnote>
  <w:footnote w:type="continuationSeparator" w:id="0">
    <w:p w14:paraId="391B9DF1" w14:textId="77777777" w:rsidR="0056583D" w:rsidRDefault="0056583D">
      <w:r>
        <w:continuationSeparator/>
      </w:r>
    </w:p>
  </w:footnote>
  <w:footnote w:id="1">
    <w:p w14:paraId="2E25E57E" w14:textId="77777777" w:rsidR="001A3197" w:rsidRPr="003A331D" w:rsidRDefault="001A3197" w:rsidP="001A3197">
      <w:pPr>
        <w:pStyle w:val="FootnoteText"/>
        <w:tabs>
          <w:tab w:val="left" w:pos="540"/>
        </w:tabs>
        <w:jc w:val="both"/>
        <w:rPr>
          <w:sz w:val="18"/>
          <w:szCs w:val="18"/>
        </w:rPr>
      </w:pPr>
      <w:r>
        <w:rPr>
          <w:sz w:val="18"/>
          <w:szCs w:val="18"/>
          <w:vertAlign w:val="superscript"/>
        </w:rPr>
        <w:tab/>
      </w:r>
      <w:r w:rsidRPr="00D26A47">
        <w:rPr>
          <w:sz w:val="18"/>
          <w:szCs w:val="18"/>
          <w:vertAlign w:val="superscript"/>
        </w:rPr>
        <w:t>(</w:t>
      </w:r>
      <w:r w:rsidRPr="00D26A47">
        <w:rPr>
          <w:rStyle w:val="FootnoteReference"/>
          <w:sz w:val="18"/>
          <w:szCs w:val="18"/>
        </w:rPr>
        <w:footnoteRef/>
      </w:r>
      <w:r w:rsidRPr="00D26A47">
        <w:rPr>
          <w:sz w:val="18"/>
          <w:szCs w:val="18"/>
          <w:vertAlign w:val="superscript"/>
        </w:rPr>
        <w:t>)</w:t>
      </w:r>
      <w:r w:rsidRPr="003A331D">
        <w:rPr>
          <w:sz w:val="18"/>
          <w:szCs w:val="18"/>
        </w:rPr>
        <w:t>Certain commercial equipment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1B1071"/>
    <w:multiLevelType w:val="hybridMultilevel"/>
    <w:tmpl w:val="A42CC8FA"/>
    <w:lvl w:ilvl="0" w:tplc="CB4E1F86">
      <w:start w:val="1"/>
      <w:numFmt w:val="decimal"/>
      <w:lvlText w:val="%1)"/>
      <w:lvlJc w:val="left"/>
      <w:pPr>
        <w:tabs>
          <w:tab w:val="num" w:pos="720"/>
        </w:tabs>
        <w:ind w:left="720" w:hanging="36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F384F2C"/>
    <w:multiLevelType w:val="hybridMultilevel"/>
    <w:tmpl w:val="3404E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DB5"/>
    <w:rsid w:val="0000339C"/>
    <w:rsid w:val="00003CFD"/>
    <w:rsid w:val="000052FF"/>
    <w:rsid w:val="000131F9"/>
    <w:rsid w:val="00016C9C"/>
    <w:rsid w:val="00020A41"/>
    <w:rsid w:val="00021E0D"/>
    <w:rsid w:val="00035096"/>
    <w:rsid w:val="0003589F"/>
    <w:rsid w:val="00060F5C"/>
    <w:rsid w:val="00061D2C"/>
    <w:rsid w:val="00063B9C"/>
    <w:rsid w:val="000651AF"/>
    <w:rsid w:val="00070E84"/>
    <w:rsid w:val="000741C3"/>
    <w:rsid w:val="00075F49"/>
    <w:rsid w:val="00077195"/>
    <w:rsid w:val="000871C4"/>
    <w:rsid w:val="00087F14"/>
    <w:rsid w:val="00090026"/>
    <w:rsid w:val="000C7F75"/>
    <w:rsid w:val="000D4B18"/>
    <w:rsid w:val="000D675F"/>
    <w:rsid w:val="000D688F"/>
    <w:rsid w:val="000D7E36"/>
    <w:rsid w:val="000E3CDA"/>
    <w:rsid w:val="000F749E"/>
    <w:rsid w:val="00102834"/>
    <w:rsid w:val="00104C24"/>
    <w:rsid w:val="001110CC"/>
    <w:rsid w:val="00112F16"/>
    <w:rsid w:val="001217DB"/>
    <w:rsid w:val="00121A35"/>
    <w:rsid w:val="00124212"/>
    <w:rsid w:val="001334DC"/>
    <w:rsid w:val="00140411"/>
    <w:rsid w:val="0014216E"/>
    <w:rsid w:val="00143F6A"/>
    <w:rsid w:val="00160F58"/>
    <w:rsid w:val="00165A10"/>
    <w:rsid w:val="0017052B"/>
    <w:rsid w:val="00172308"/>
    <w:rsid w:val="00173502"/>
    <w:rsid w:val="00174DDB"/>
    <w:rsid w:val="00182A2D"/>
    <w:rsid w:val="001901CE"/>
    <w:rsid w:val="00192015"/>
    <w:rsid w:val="0019416C"/>
    <w:rsid w:val="001953FB"/>
    <w:rsid w:val="00197C02"/>
    <w:rsid w:val="001A1D1B"/>
    <w:rsid w:val="001A3197"/>
    <w:rsid w:val="001B024F"/>
    <w:rsid w:val="001B0EA4"/>
    <w:rsid w:val="001B1504"/>
    <w:rsid w:val="001B372B"/>
    <w:rsid w:val="001B5942"/>
    <w:rsid w:val="001C3E87"/>
    <w:rsid w:val="001C56D5"/>
    <w:rsid w:val="001C62A0"/>
    <w:rsid w:val="001C7E1D"/>
    <w:rsid w:val="001D0149"/>
    <w:rsid w:val="001D1589"/>
    <w:rsid w:val="001D43A9"/>
    <w:rsid w:val="001E3483"/>
    <w:rsid w:val="001E5290"/>
    <w:rsid w:val="001F104E"/>
    <w:rsid w:val="001F18BA"/>
    <w:rsid w:val="001F393D"/>
    <w:rsid w:val="00202903"/>
    <w:rsid w:val="0022252A"/>
    <w:rsid w:val="00224412"/>
    <w:rsid w:val="002259C0"/>
    <w:rsid w:val="00230EDF"/>
    <w:rsid w:val="00233241"/>
    <w:rsid w:val="0023384D"/>
    <w:rsid w:val="00233ECE"/>
    <w:rsid w:val="00234A10"/>
    <w:rsid w:val="0023642E"/>
    <w:rsid w:val="00241DC7"/>
    <w:rsid w:val="00247C08"/>
    <w:rsid w:val="00262D42"/>
    <w:rsid w:val="00265478"/>
    <w:rsid w:val="0026756E"/>
    <w:rsid w:val="00270DB0"/>
    <w:rsid w:val="00272D25"/>
    <w:rsid w:val="00274646"/>
    <w:rsid w:val="00290A4C"/>
    <w:rsid w:val="00295EEA"/>
    <w:rsid w:val="002A2317"/>
    <w:rsid w:val="002A4457"/>
    <w:rsid w:val="002A5608"/>
    <w:rsid w:val="002B0798"/>
    <w:rsid w:val="002B6A5B"/>
    <w:rsid w:val="002C0872"/>
    <w:rsid w:val="002C116E"/>
    <w:rsid w:val="002D1724"/>
    <w:rsid w:val="002D2FED"/>
    <w:rsid w:val="002D56AD"/>
    <w:rsid w:val="002D71C6"/>
    <w:rsid w:val="002E3CF5"/>
    <w:rsid w:val="002E4FE1"/>
    <w:rsid w:val="002F08C5"/>
    <w:rsid w:val="002F0C9E"/>
    <w:rsid w:val="002F0E1B"/>
    <w:rsid w:val="002F11AE"/>
    <w:rsid w:val="002F264F"/>
    <w:rsid w:val="002F3FAD"/>
    <w:rsid w:val="0030454F"/>
    <w:rsid w:val="0031167B"/>
    <w:rsid w:val="00320608"/>
    <w:rsid w:val="003222AE"/>
    <w:rsid w:val="00334B86"/>
    <w:rsid w:val="00336CA4"/>
    <w:rsid w:val="00342EB1"/>
    <w:rsid w:val="00343B12"/>
    <w:rsid w:val="00343C95"/>
    <w:rsid w:val="00357FC1"/>
    <w:rsid w:val="0036108F"/>
    <w:rsid w:val="0036188F"/>
    <w:rsid w:val="003651B4"/>
    <w:rsid w:val="0037001F"/>
    <w:rsid w:val="00371B56"/>
    <w:rsid w:val="00372FBB"/>
    <w:rsid w:val="003759C5"/>
    <w:rsid w:val="00377F2D"/>
    <w:rsid w:val="00377FC5"/>
    <w:rsid w:val="0038406E"/>
    <w:rsid w:val="003841C5"/>
    <w:rsid w:val="00397416"/>
    <w:rsid w:val="003976A6"/>
    <w:rsid w:val="003A12EE"/>
    <w:rsid w:val="003A331D"/>
    <w:rsid w:val="003A3ABC"/>
    <w:rsid w:val="003A5F7C"/>
    <w:rsid w:val="003C7557"/>
    <w:rsid w:val="003E167C"/>
    <w:rsid w:val="003E1D7E"/>
    <w:rsid w:val="003E3FBB"/>
    <w:rsid w:val="003F0080"/>
    <w:rsid w:val="003F63DF"/>
    <w:rsid w:val="00400992"/>
    <w:rsid w:val="004019D2"/>
    <w:rsid w:val="004210B8"/>
    <w:rsid w:val="00422363"/>
    <w:rsid w:val="004229DB"/>
    <w:rsid w:val="00427B3C"/>
    <w:rsid w:val="00431A38"/>
    <w:rsid w:val="0043378E"/>
    <w:rsid w:val="00447A86"/>
    <w:rsid w:val="00447C20"/>
    <w:rsid w:val="004519F4"/>
    <w:rsid w:val="00453071"/>
    <w:rsid w:val="00467C99"/>
    <w:rsid w:val="00470482"/>
    <w:rsid w:val="0047150D"/>
    <w:rsid w:val="0047639F"/>
    <w:rsid w:val="00482595"/>
    <w:rsid w:val="00486679"/>
    <w:rsid w:val="004904E0"/>
    <w:rsid w:val="004907B8"/>
    <w:rsid w:val="004A7C31"/>
    <w:rsid w:val="004B0116"/>
    <w:rsid w:val="004B30E3"/>
    <w:rsid w:val="004C18F4"/>
    <w:rsid w:val="004C427C"/>
    <w:rsid w:val="004C5BBF"/>
    <w:rsid w:val="004D1A9A"/>
    <w:rsid w:val="004D2306"/>
    <w:rsid w:val="004D2B15"/>
    <w:rsid w:val="004D2CB3"/>
    <w:rsid w:val="004D4D02"/>
    <w:rsid w:val="004D56EF"/>
    <w:rsid w:val="004E4EE5"/>
    <w:rsid w:val="004F036B"/>
    <w:rsid w:val="004F06F8"/>
    <w:rsid w:val="004F16A8"/>
    <w:rsid w:val="004F4718"/>
    <w:rsid w:val="00504306"/>
    <w:rsid w:val="00504BE8"/>
    <w:rsid w:val="00511720"/>
    <w:rsid w:val="0051401A"/>
    <w:rsid w:val="005144DC"/>
    <w:rsid w:val="00522E1E"/>
    <w:rsid w:val="00532840"/>
    <w:rsid w:val="00536ECA"/>
    <w:rsid w:val="00546CB2"/>
    <w:rsid w:val="005539A3"/>
    <w:rsid w:val="005642DF"/>
    <w:rsid w:val="0056583D"/>
    <w:rsid w:val="005702E1"/>
    <w:rsid w:val="0057039C"/>
    <w:rsid w:val="00572713"/>
    <w:rsid w:val="005741B6"/>
    <w:rsid w:val="0057684A"/>
    <w:rsid w:val="00582EFE"/>
    <w:rsid w:val="00584860"/>
    <w:rsid w:val="00590904"/>
    <w:rsid w:val="005956B5"/>
    <w:rsid w:val="00595AFD"/>
    <w:rsid w:val="005A17D2"/>
    <w:rsid w:val="005B4B39"/>
    <w:rsid w:val="005B7F75"/>
    <w:rsid w:val="005C192E"/>
    <w:rsid w:val="005C51E5"/>
    <w:rsid w:val="005C78D3"/>
    <w:rsid w:val="005D0843"/>
    <w:rsid w:val="005D14E9"/>
    <w:rsid w:val="005D4CAA"/>
    <w:rsid w:val="005E35FB"/>
    <w:rsid w:val="005E7427"/>
    <w:rsid w:val="005F098F"/>
    <w:rsid w:val="005F494D"/>
    <w:rsid w:val="006024F0"/>
    <w:rsid w:val="00602D78"/>
    <w:rsid w:val="00604AF8"/>
    <w:rsid w:val="00617F10"/>
    <w:rsid w:val="006246F6"/>
    <w:rsid w:val="006259BE"/>
    <w:rsid w:val="00625B7F"/>
    <w:rsid w:val="00626F7E"/>
    <w:rsid w:val="00630ED4"/>
    <w:rsid w:val="00631197"/>
    <w:rsid w:val="00634A7E"/>
    <w:rsid w:val="00650888"/>
    <w:rsid w:val="00653EC1"/>
    <w:rsid w:val="00661A21"/>
    <w:rsid w:val="00665665"/>
    <w:rsid w:val="00667162"/>
    <w:rsid w:val="006827D3"/>
    <w:rsid w:val="00686778"/>
    <w:rsid w:val="00691105"/>
    <w:rsid w:val="00695E9F"/>
    <w:rsid w:val="00696D86"/>
    <w:rsid w:val="00696FA4"/>
    <w:rsid w:val="006A31F9"/>
    <w:rsid w:val="006A63D8"/>
    <w:rsid w:val="006B2917"/>
    <w:rsid w:val="006B37ED"/>
    <w:rsid w:val="006C26E2"/>
    <w:rsid w:val="006D08A4"/>
    <w:rsid w:val="006D4B4F"/>
    <w:rsid w:val="006D5A4F"/>
    <w:rsid w:val="006D5F1C"/>
    <w:rsid w:val="006E02AE"/>
    <w:rsid w:val="006E283C"/>
    <w:rsid w:val="006E56BA"/>
    <w:rsid w:val="006F6524"/>
    <w:rsid w:val="006F6FDA"/>
    <w:rsid w:val="00700B62"/>
    <w:rsid w:val="007131F0"/>
    <w:rsid w:val="00713F7F"/>
    <w:rsid w:val="00721759"/>
    <w:rsid w:val="00743D2B"/>
    <w:rsid w:val="00755ED3"/>
    <w:rsid w:val="00756F2E"/>
    <w:rsid w:val="007675ED"/>
    <w:rsid w:val="0077066F"/>
    <w:rsid w:val="00776F43"/>
    <w:rsid w:val="007A258C"/>
    <w:rsid w:val="007A2EEA"/>
    <w:rsid w:val="007A3358"/>
    <w:rsid w:val="007A456F"/>
    <w:rsid w:val="007B02A1"/>
    <w:rsid w:val="007C1CA6"/>
    <w:rsid w:val="007C220F"/>
    <w:rsid w:val="007D0166"/>
    <w:rsid w:val="007D059A"/>
    <w:rsid w:val="007F0731"/>
    <w:rsid w:val="007F0EDC"/>
    <w:rsid w:val="00807095"/>
    <w:rsid w:val="0081034B"/>
    <w:rsid w:val="00810C06"/>
    <w:rsid w:val="00815C32"/>
    <w:rsid w:val="00815E78"/>
    <w:rsid w:val="00840204"/>
    <w:rsid w:val="00842333"/>
    <w:rsid w:val="00844527"/>
    <w:rsid w:val="00857843"/>
    <w:rsid w:val="00861A61"/>
    <w:rsid w:val="00863EFD"/>
    <w:rsid w:val="008657B7"/>
    <w:rsid w:val="00872CFF"/>
    <w:rsid w:val="0087338A"/>
    <w:rsid w:val="00874F78"/>
    <w:rsid w:val="00877CFB"/>
    <w:rsid w:val="00883931"/>
    <w:rsid w:val="00884493"/>
    <w:rsid w:val="008927F0"/>
    <w:rsid w:val="0089606F"/>
    <w:rsid w:val="008A3373"/>
    <w:rsid w:val="008A54E4"/>
    <w:rsid w:val="008A58A1"/>
    <w:rsid w:val="008A61C7"/>
    <w:rsid w:val="008A77FD"/>
    <w:rsid w:val="008B1223"/>
    <w:rsid w:val="008B633A"/>
    <w:rsid w:val="008C1321"/>
    <w:rsid w:val="008C4443"/>
    <w:rsid w:val="008C61C0"/>
    <w:rsid w:val="008D0B4C"/>
    <w:rsid w:val="008D1A22"/>
    <w:rsid w:val="008D2205"/>
    <w:rsid w:val="008D74FA"/>
    <w:rsid w:val="008E161C"/>
    <w:rsid w:val="008E5E52"/>
    <w:rsid w:val="008F3E6E"/>
    <w:rsid w:val="008F6CA2"/>
    <w:rsid w:val="00912D23"/>
    <w:rsid w:val="00914DB6"/>
    <w:rsid w:val="0091548B"/>
    <w:rsid w:val="00920E40"/>
    <w:rsid w:val="00924CFC"/>
    <w:rsid w:val="00926CE5"/>
    <w:rsid w:val="009310E2"/>
    <w:rsid w:val="0093261F"/>
    <w:rsid w:val="00940F35"/>
    <w:rsid w:val="00943632"/>
    <w:rsid w:val="00946B47"/>
    <w:rsid w:val="0095282B"/>
    <w:rsid w:val="00961CF4"/>
    <w:rsid w:val="00962160"/>
    <w:rsid w:val="00963961"/>
    <w:rsid w:val="00972B51"/>
    <w:rsid w:val="00974199"/>
    <w:rsid w:val="0098014A"/>
    <w:rsid w:val="00982158"/>
    <w:rsid w:val="00983452"/>
    <w:rsid w:val="009929D9"/>
    <w:rsid w:val="009B309C"/>
    <w:rsid w:val="009C77E9"/>
    <w:rsid w:val="009D348C"/>
    <w:rsid w:val="009D3F64"/>
    <w:rsid w:val="009E4AC7"/>
    <w:rsid w:val="009E609D"/>
    <w:rsid w:val="009E7574"/>
    <w:rsid w:val="009F16E7"/>
    <w:rsid w:val="009F4D4A"/>
    <w:rsid w:val="009F78BC"/>
    <w:rsid w:val="00A0179B"/>
    <w:rsid w:val="00A02959"/>
    <w:rsid w:val="00A04A92"/>
    <w:rsid w:val="00A050A9"/>
    <w:rsid w:val="00A15011"/>
    <w:rsid w:val="00A17235"/>
    <w:rsid w:val="00A24F4C"/>
    <w:rsid w:val="00A25D6B"/>
    <w:rsid w:val="00A332DB"/>
    <w:rsid w:val="00A3391D"/>
    <w:rsid w:val="00A40D4D"/>
    <w:rsid w:val="00A40F83"/>
    <w:rsid w:val="00A43B36"/>
    <w:rsid w:val="00A446F0"/>
    <w:rsid w:val="00A6435C"/>
    <w:rsid w:val="00A658CA"/>
    <w:rsid w:val="00A80F31"/>
    <w:rsid w:val="00A83BA4"/>
    <w:rsid w:val="00A872AF"/>
    <w:rsid w:val="00A8757C"/>
    <w:rsid w:val="00A91381"/>
    <w:rsid w:val="00A94126"/>
    <w:rsid w:val="00A94717"/>
    <w:rsid w:val="00AA0D94"/>
    <w:rsid w:val="00AA4F12"/>
    <w:rsid w:val="00AA51E6"/>
    <w:rsid w:val="00AB00EB"/>
    <w:rsid w:val="00AB2183"/>
    <w:rsid w:val="00AB5827"/>
    <w:rsid w:val="00AC666C"/>
    <w:rsid w:val="00AC6E28"/>
    <w:rsid w:val="00AC7B3F"/>
    <w:rsid w:val="00AD0932"/>
    <w:rsid w:val="00AD2168"/>
    <w:rsid w:val="00AD6675"/>
    <w:rsid w:val="00AE4BE0"/>
    <w:rsid w:val="00AF0389"/>
    <w:rsid w:val="00AF0D76"/>
    <w:rsid w:val="00AF3064"/>
    <w:rsid w:val="00AF3103"/>
    <w:rsid w:val="00B000D5"/>
    <w:rsid w:val="00B13B8E"/>
    <w:rsid w:val="00B2329E"/>
    <w:rsid w:val="00B27D47"/>
    <w:rsid w:val="00B30160"/>
    <w:rsid w:val="00B36304"/>
    <w:rsid w:val="00B5061E"/>
    <w:rsid w:val="00B5726F"/>
    <w:rsid w:val="00B71B2E"/>
    <w:rsid w:val="00B72BC2"/>
    <w:rsid w:val="00B732C5"/>
    <w:rsid w:val="00B75C65"/>
    <w:rsid w:val="00B763C7"/>
    <w:rsid w:val="00B81027"/>
    <w:rsid w:val="00B95A48"/>
    <w:rsid w:val="00BA1D32"/>
    <w:rsid w:val="00BA4766"/>
    <w:rsid w:val="00BA4E98"/>
    <w:rsid w:val="00BA5884"/>
    <w:rsid w:val="00BB1964"/>
    <w:rsid w:val="00BB20EC"/>
    <w:rsid w:val="00BB79DD"/>
    <w:rsid w:val="00BC6CEF"/>
    <w:rsid w:val="00BD530A"/>
    <w:rsid w:val="00BE0959"/>
    <w:rsid w:val="00BE2556"/>
    <w:rsid w:val="00BF0DE1"/>
    <w:rsid w:val="00BF2057"/>
    <w:rsid w:val="00BF3805"/>
    <w:rsid w:val="00BF5B5A"/>
    <w:rsid w:val="00BF7EA0"/>
    <w:rsid w:val="00C01C3E"/>
    <w:rsid w:val="00C15230"/>
    <w:rsid w:val="00C15A45"/>
    <w:rsid w:val="00C23348"/>
    <w:rsid w:val="00C25822"/>
    <w:rsid w:val="00C263C6"/>
    <w:rsid w:val="00C2779E"/>
    <w:rsid w:val="00C3120F"/>
    <w:rsid w:val="00C31754"/>
    <w:rsid w:val="00C321CB"/>
    <w:rsid w:val="00C460EC"/>
    <w:rsid w:val="00C46DD7"/>
    <w:rsid w:val="00C51B75"/>
    <w:rsid w:val="00C57213"/>
    <w:rsid w:val="00C701BE"/>
    <w:rsid w:val="00C71431"/>
    <w:rsid w:val="00C71BDF"/>
    <w:rsid w:val="00C72E53"/>
    <w:rsid w:val="00C77D8E"/>
    <w:rsid w:val="00C91947"/>
    <w:rsid w:val="00CA334F"/>
    <w:rsid w:val="00CA6E15"/>
    <w:rsid w:val="00CB26C3"/>
    <w:rsid w:val="00CD4D67"/>
    <w:rsid w:val="00CD6632"/>
    <w:rsid w:val="00CD682F"/>
    <w:rsid w:val="00CD6E18"/>
    <w:rsid w:val="00CD709B"/>
    <w:rsid w:val="00CF0BDE"/>
    <w:rsid w:val="00CF4465"/>
    <w:rsid w:val="00D00E1D"/>
    <w:rsid w:val="00D06424"/>
    <w:rsid w:val="00D12685"/>
    <w:rsid w:val="00D1462F"/>
    <w:rsid w:val="00D173B9"/>
    <w:rsid w:val="00D27300"/>
    <w:rsid w:val="00D30445"/>
    <w:rsid w:val="00D3274F"/>
    <w:rsid w:val="00D34DB5"/>
    <w:rsid w:val="00D3742B"/>
    <w:rsid w:val="00D401C7"/>
    <w:rsid w:val="00D53338"/>
    <w:rsid w:val="00D556D2"/>
    <w:rsid w:val="00D55B49"/>
    <w:rsid w:val="00D5618B"/>
    <w:rsid w:val="00D56FEF"/>
    <w:rsid w:val="00D61362"/>
    <w:rsid w:val="00D718AB"/>
    <w:rsid w:val="00D72255"/>
    <w:rsid w:val="00D80BBD"/>
    <w:rsid w:val="00D9061E"/>
    <w:rsid w:val="00D96F9D"/>
    <w:rsid w:val="00DA1667"/>
    <w:rsid w:val="00DA1D89"/>
    <w:rsid w:val="00DA2766"/>
    <w:rsid w:val="00DA5048"/>
    <w:rsid w:val="00DB305A"/>
    <w:rsid w:val="00DB6957"/>
    <w:rsid w:val="00DC229E"/>
    <w:rsid w:val="00DC7FC4"/>
    <w:rsid w:val="00DD15D5"/>
    <w:rsid w:val="00DE21AD"/>
    <w:rsid w:val="00DE23C8"/>
    <w:rsid w:val="00DE578D"/>
    <w:rsid w:val="00DF26A3"/>
    <w:rsid w:val="00DF3598"/>
    <w:rsid w:val="00DF5F23"/>
    <w:rsid w:val="00DF6995"/>
    <w:rsid w:val="00E00B6E"/>
    <w:rsid w:val="00E148CC"/>
    <w:rsid w:val="00E15832"/>
    <w:rsid w:val="00E17566"/>
    <w:rsid w:val="00E218D6"/>
    <w:rsid w:val="00E233C2"/>
    <w:rsid w:val="00E307BB"/>
    <w:rsid w:val="00E332A9"/>
    <w:rsid w:val="00E33348"/>
    <w:rsid w:val="00E34F6A"/>
    <w:rsid w:val="00E355A5"/>
    <w:rsid w:val="00E4060D"/>
    <w:rsid w:val="00E46DD6"/>
    <w:rsid w:val="00E63BAD"/>
    <w:rsid w:val="00E667D2"/>
    <w:rsid w:val="00E70935"/>
    <w:rsid w:val="00E71CDE"/>
    <w:rsid w:val="00E80B32"/>
    <w:rsid w:val="00E815ED"/>
    <w:rsid w:val="00E878EA"/>
    <w:rsid w:val="00E90381"/>
    <w:rsid w:val="00E9235C"/>
    <w:rsid w:val="00E969BD"/>
    <w:rsid w:val="00E97F13"/>
    <w:rsid w:val="00EA6544"/>
    <w:rsid w:val="00EB072C"/>
    <w:rsid w:val="00EB0C56"/>
    <w:rsid w:val="00EB5958"/>
    <w:rsid w:val="00EB7E10"/>
    <w:rsid w:val="00EC0816"/>
    <w:rsid w:val="00EC2CAD"/>
    <w:rsid w:val="00ED7E75"/>
    <w:rsid w:val="00EE0A06"/>
    <w:rsid w:val="00EE25D3"/>
    <w:rsid w:val="00EF34BE"/>
    <w:rsid w:val="00EF57AF"/>
    <w:rsid w:val="00F05BAE"/>
    <w:rsid w:val="00F12647"/>
    <w:rsid w:val="00F141D8"/>
    <w:rsid w:val="00F149C9"/>
    <w:rsid w:val="00F1769E"/>
    <w:rsid w:val="00F20AB7"/>
    <w:rsid w:val="00F220F4"/>
    <w:rsid w:val="00F22C3E"/>
    <w:rsid w:val="00F26589"/>
    <w:rsid w:val="00F2682A"/>
    <w:rsid w:val="00F31DDC"/>
    <w:rsid w:val="00F34283"/>
    <w:rsid w:val="00F34A7A"/>
    <w:rsid w:val="00F408AC"/>
    <w:rsid w:val="00F4271E"/>
    <w:rsid w:val="00F433AE"/>
    <w:rsid w:val="00F46A21"/>
    <w:rsid w:val="00F50548"/>
    <w:rsid w:val="00F52A5D"/>
    <w:rsid w:val="00F5321B"/>
    <w:rsid w:val="00F57585"/>
    <w:rsid w:val="00F6255D"/>
    <w:rsid w:val="00F647D0"/>
    <w:rsid w:val="00F675C4"/>
    <w:rsid w:val="00F71A10"/>
    <w:rsid w:val="00F742A8"/>
    <w:rsid w:val="00F74E34"/>
    <w:rsid w:val="00F825FE"/>
    <w:rsid w:val="00F85050"/>
    <w:rsid w:val="00F86F8F"/>
    <w:rsid w:val="00F95DFB"/>
    <w:rsid w:val="00F95DFF"/>
    <w:rsid w:val="00F96250"/>
    <w:rsid w:val="00FA486B"/>
    <w:rsid w:val="00FA5A5D"/>
    <w:rsid w:val="00FA603C"/>
    <w:rsid w:val="00FB1A07"/>
    <w:rsid w:val="00FB7656"/>
    <w:rsid w:val="00FC0E99"/>
    <w:rsid w:val="00FC7E4C"/>
    <w:rsid w:val="00FD6361"/>
    <w:rsid w:val="00FE2EFE"/>
    <w:rsid w:val="00FF2FC8"/>
    <w:rsid w:val="00FF58AD"/>
    <w:rsid w:val="015C6AD2"/>
    <w:rsid w:val="082566F9"/>
    <w:rsid w:val="0C2ABCFC"/>
    <w:rsid w:val="222A7DFE"/>
    <w:rsid w:val="28A7D43A"/>
    <w:rsid w:val="30B28918"/>
    <w:rsid w:val="31D9BF27"/>
    <w:rsid w:val="352FD06F"/>
    <w:rsid w:val="40DD8785"/>
    <w:rsid w:val="469EC348"/>
    <w:rsid w:val="46FC1A7C"/>
    <w:rsid w:val="59AA9E80"/>
    <w:rsid w:val="5B665923"/>
    <w:rsid w:val="5C444796"/>
    <w:rsid w:val="60CB6E79"/>
    <w:rsid w:val="674DA65C"/>
    <w:rsid w:val="71E607CD"/>
    <w:rsid w:val="78A3DA59"/>
    <w:rsid w:val="7A128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26CE913D"/>
  <w15:docId w15:val="{0C6C28BE-19E0-4A20-9311-19D2300C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5478"/>
    <w:pPr>
      <w:tabs>
        <w:tab w:val="center" w:pos="4320"/>
        <w:tab w:val="right" w:pos="8640"/>
      </w:tabs>
    </w:pPr>
  </w:style>
  <w:style w:type="paragraph" w:styleId="Footer">
    <w:name w:val="footer"/>
    <w:basedOn w:val="Normal"/>
    <w:rsid w:val="00265478"/>
    <w:pPr>
      <w:tabs>
        <w:tab w:val="center" w:pos="4320"/>
        <w:tab w:val="right" w:pos="8640"/>
      </w:tabs>
    </w:pPr>
  </w:style>
  <w:style w:type="character" w:styleId="PageNumber">
    <w:name w:val="page number"/>
    <w:basedOn w:val="DefaultParagraphFont"/>
    <w:rsid w:val="00265478"/>
  </w:style>
  <w:style w:type="table" w:styleId="TableSimple2">
    <w:name w:val="Table Simple 2"/>
    <w:basedOn w:val="TableNormal"/>
    <w:rsid w:val="00C3175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rsid w:val="0019416C"/>
    <w:rPr>
      <w:color w:val="0000FF"/>
      <w:u w:val="single"/>
    </w:rPr>
  </w:style>
  <w:style w:type="paragraph" w:styleId="FootnoteText">
    <w:name w:val="footnote text"/>
    <w:basedOn w:val="Normal"/>
    <w:semiHidden/>
    <w:rsid w:val="0019416C"/>
    <w:rPr>
      <w:sz w:val="20"/>
      <w:szCs w:val="20"/>
    </w:rPr>
  </w:style>
  <w:style w:type="character" w:styleId="FootnoteReference">
    <w:name w:val="footnote reference"/>
    <w:basedOn w:val="DefaultParagraphFont"/>
    <w:semiHidden/>
    <w:rsid w:val="0019416C"/>
    <w:rPr>
      <w:vertAlign w:val="superscript"/>
    </w:rPr>
  </w:style>
  <w:style w:type="paragraph" w:styleId="Title">
    <w:name w:val="Title"/>
    <w:basedOn w:val="Normal"/>
    <w:qFormat/>
    <w:rsid w:val="006C26E2"/>
    <w:pPr>
      <w:widowControl w:val="0"/>
      <w:tabs>
        <w:tab w:val="left" w:pos="900"/>
        <w:tab w:val="center" w:pos="4680"/>
      </w:tabs>
      <w:ind w:left="806" w:hanging="806"/>
      <w:jc w:val="center"/>
    </w:pPr>
    <w:rPr>
      <w:rFonts w:ascii="Lincoln" w:hAnsi="Lincoln"/>
      <w:sz w:val="44"/>
      <w:szCs w:val="20"/>
    </w:rPr>
  </w:style>
  <w:style w:type="paragraph" w:styleId="Subtitle">
    <w:name w:val="Subtitle"/>
    <w:basedOn w:val="Normal"/>
    <w:qFormat/>
    <w:rsid w:val="006C26E2"/>
    <w:pPr>
      <w:jc w:val="center"/>
    </w:pPr>
    <w:rPr>
      <w:rFonts w:ascii="Lincoln" w:hAnsi="Lincoln"/>
      <w:snapToGrid w:val="0"/>
      <w:sz w:val="60"/>
      <w:szCs w:val="20"/>
    </w:rPr>
  </w:style>
  <w:style w:type="paragraph" w:styleId="BalloonText">
    <w:name w:val="Balloon Text"/>
    <w:basedOn w:val="Normal"/>
    <w:semiHidden/>
    <w:rsid w:val="00920E40"/>
    <w:rPr>
      <w:rFonts w:ascii="Tahoma" w:hAnsi="Tahoma" w:cs="Tahoma"/>
      <w:sz w:val="16"/>
      <w:szCs w:val="16"/>
    </w:rPr>
  </w:style>
  <w:style w:type="paragraph" w:styleId="BodyText">
    <w:name w:val="Body Text"/>
    <w:basedOn w:val="Normal"/>
    <w:rsid w:val="00920E40"/>
    <w:pPr>
      <w:widowControl w:val="0"/>
      <w:tabs>
        <w:tab w:val="left" w:pos="-1440"/>
        <w:tab w:val="left" w:pos="-720"/>
      </w:tabs>
      <w:suppressAutoHyphens/>
      <w:jc w:val="both"/>
    </w:pPr>
    <w:rPr>
      <w:rFonts w:ascii="CG Times" w:hAnsi="CG Times"/>
      <w:spacing w:val="-2"/>
      <w:sz w:val="20"/>
      <w:szCs w:val="20"/>
      <w:lang w:val="en-GB"/>
    </w:rPr>
  </w:style>
  <w:style w:type="character" w:styleId="CommentReference">
    <w:name w:val="annotation reference"/>
    <w:basedOn w:val="DefaultParagraphFont"/>
    <w:semiHidden/>
    <w:rsid w:val="00920E40"/>
    <w:rPr>
      <w:sz w:val="16"/>
      <w:szCs w:val="16"/>
    </w:rPr>
  </w:style>
  <w:style w:type="paragraph" w:styleId="CommentText">
    <w:name w:val="annotation text"/>
    <w:basedOn w:val="Normal"/>
    <w:semiHidden/>
    <w:rsid w:val="00920E40"/>
    <w:rPr>
      <w:sz w:val="20"/>
      <w:szCs w:val="20"/>
    </w:rPr>
  </w:style>
  <w:style w:type="paragraph" w:styleId="CommentSubject">
    <w:name w:val="annotation subject"/>
    <w:basedOn w:val="CommentText"/>
    <w:next w:val="CommentText"/>
    <w:semiHidden/>
    <w:rsid w:val="00920E40"/>
    <w:rPr>
      <w:b/>
      <w:bCs/>
    </w:rPr>
  </w:style>
  <w:style w:type="character" w:styleId="FollowedHyperlink">
    <w:name w:val="FollowedHyperlink"/>
    <w:basedOn w:val="DefaultParagraphFont"/>
    <w:rsid w:val="00D12685"/>
    <w:rPr>
      <w:color w:val="800080"/>
      <w:u w:val="single"/>
    </w:rPr>
  </w:style>
  <w:style w:type="paragraph" w:styleId="BodyTextIndent">
    <w:name w:val="Body Text Indent"/>
    <w:basedOn w:val="Normal"/>
    <w:link w:val="BodyTextIndentChar"/>
    <w:rsid w:val="003A331D"/>
    <w:pPr>
      <w:spacing w:after="120"/>
      <w:ind w:left="360"/>
    </w:pPr>
  </w:style>
  <w:style w:type="character" w:customStyle="1" w:styleId="BodyTextIndentChar">
    <w:name w:val="Body Text Indent Char"/>
    <w:basedOn w:val="DefaultParagraphFont"/>
    <w:link w:val="BodyTextIndent"/>
    <w:rsid w:val="003A331D"/>
    <w:rPr>
      <w:sz w:val="24"/>
      <w:szCs w:val="24"/>
    </w:rPr>
  </w:style>
  <w:style w:type="paragraph" w:styleId="PlainText">
    <w:name w:val="Plain Text"/>
    <w:basedOn w:val="Normal"/>
    <w:link w:val="PlainTextChar"/>
    <w:uiPriority w:val="99"/>
    <w:unhideWhenUsed/>
    <w:rsid w:val="00063B9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063B9C"/>
    <w:rPr>
      <w:rFonts w:ascii="Consolas" w:eastAsiaTheme="minorHAnsi" w:hAnsi="Consolas" w:cstheme="minorBidi"/>
      <w:sz w:val="21"/>
      <w:szCs w:val="21"/>
    </w:rPr>
  </w:style>
  <w:style w:type="paragraph" w:styleId="NormalWeb">
    <w:name w:val="Normal (Web)"/>
    <w:basedOn w:val="Normal"/>
    <w:uiPriority w:val="99"/>
    <w:unhideWhenUsed/>
    <w:rsid w:val="00230EDF"/>
    <w:pPr>
      <w:spacing w:before="100" w:beforeAutospacing="1" w:after="100" w:afterAutospacing="1"/>
    </w:pPr>
    <w:rPr>
      <w:rFonts w:eastAsiaTheme="minorEastAsia"/>
    </w:rPr>
  </w:style>
  <w:style w:type="paragraph" w:styleId="ListParagraph">
    <w:name w:val="List Paragraph"/>
    <w:basedOn w:val="Normal"/>
    <w:uiPriority w:val="34"/>
    <w:qFormat/>
    <w:rsid w:val="00C460EC"/>
    <w:pPr>
      <w:ind w:left="720"/>
      <w:contextualSpacing/>
    </w:pPr>
  </w:style>
  <w:style w:type="paragraph" w:customStyle="1" w:styleId="Default">
    <w:name w:val="Default"/>
    <w:rsid w:val="00755ED3"/>
    <w:pPr>
      <w:autoSpaceDE w:val="0"/>
      <w:autoSpaceDN w:val="0"/>
      <w:adjustRightInd w:val="0"/>
    </w:pPr>
    <w:rPr>
      <w:color w:val="000000"/>
      <w:sz w:val="24"/>
      <w:szCs w:val="24"/>
    </w:rPr>
  </w:style>
  <w:style w:type="table" w:customStyle="1" w:styleId="TableGrid1">
    <w:name w:val="Table Grid1"/>
    <w:basedOn w:val="TableNormal"/>
    <w:next w:val="TableGrid"/>
    <w:rsid w:val="00F74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74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A4E9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244499">
      <w:bodyDiv w:val="1"/>
      <w:marLeft w:val="0"/>
      <w:marRight w:val="0"/>
      <w:marTop w:val="0"/>
      <w:marBottom w:val="0"/>
      <w:divBdr>
        <w:top w:val="none" w:sz="0" w:space="0" w:color="auto"/>
        <w:left w:val="none" w:sz="0" w:space="0" w:color="auto"/>
        <w:bottom w:val="none" w:sz="0" w:space="0" w:color="auto"/>
        <w:right w:val="none" w:sz="0" w:space="0" w:color="auto"/>
      </w:divBdr>
    </w:div>
    <w:div w:id="1048456082">
      <w:bodyDiv w:val="1"/>
      <w:marLeft w:val="0"/>
      <w:marRight w:val="0"/>
      <w:marTop w:val="0"/>
      <w:marBottom w:val="0"/>
      <w:divBdr>
        <w:top w:val="none" w:sz="0" w:space="0" w:color="auto"/>
        <w:left w:val="none" w:sz="0" w:space="0" w:color="auto"/>
        <w:bottom w:val="none" w:sz="0" w:space="0" w:color="auto"/>
        <w:right w:val="none" w:sz="0" w:space="0" w:color="auto"/>
      </w:divBdr>
      <w:divsChild>
        <w:div w:id="855733074">
          <w:marLeft w:val="0"/>
          <w:marRight w:val="0"/>
          <w:marTop w:val="0"/>
          <w:marBottom w:val="0"/>
          <w:divBdr>
            <w:top w:val="none" w:sz="0" w:space="0" w:color="auto"/>
            <w:left w:val="none" w:sz="0" w:space="0" w:color="auto"/>
            <w:bottom w:val="none" w:sz="0" w:space="0" w:color="auto"/>
            <w:right w:val="none" w:sz="0" w:space="0" w:color="auto"/>
          </w:divBdr>
        </w:div>
        <w:div w:id="1038629844">
          <w:marLeft w:val="0"/>
          <w:marRight w:val="0"/>
          <w:marTop w:val="0"/>
          <w:marBottom w:val="0"/>
          <w:divBdr>
            <w:top w:val="none" w:sz="0" w:space="0" w:color="auto"/>
            <w:left w:val="none" w:sz="0" w:space="0" w:color="auto"/>
            <w:bottom w:val="none" w:sz="0" w:space="0" w:color="auto"/>
            <w:right w:val="none" w:sz="0" w:space="0" w:color="auto"/>
          </w:divBdr>
        </w:div>
      </w:divsChild>
    </w:div>
    <w:div w:id="1960918840">
      <w:bodyDiv w:val="1"/>
      <w:marLeft w:val="0"/>
      <w:marRight w:val="0"/>
      <w:marTop w:val="0"/>
      <w:marBottom w:val="0"/>
      <w:divBdr>
        <w:top w:val="none" w:sz="0" w:space="0" w:color="auto"/>
        <w:left w:val="none" w:sz="0" w:space="0" w:color="auto"/>
        <w:bottom w:val="none" w:sz="0" w:space="0" w:color="auto"/>
        <w:right w:val="none" w:sz="0" w:space="0" w:color="auto"/>
      </w:divBdr>
    </w:div>
    <w:div w:id="202928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yperlink" Target="http://www.nist.gov/srm/upload/SP260-136.PDF" TargetMode="External"/><Relationship Id="rId3" Type="http://schemas.openxmlformats.org/officeDocument/2006/relationships/styles" Target="styles.xml"/><Relationship Id="rId21" Type="http://schemas.openxmlformats.org/officeDocument/2006/relationships/hyperlink" Target="mailto:srminfo@nsit.gov" TargetMode="External"/><Relationship Id="rId7" Type="http://schemas.openxmlformats.org/officeDocument/2006/relationships/endnotes" Target="endnotes.xml"/><Relationship Id="rId12" Type="http://schemas.openxmlformats.org/officeDocument/2006/relationships/image" Target="media/image4.png"/><Relationship Id="rId17" Type="http://schemas.microsoft.com/office/2007/relationships/hdphoto" Target="media/hdphoto1.wdp"/><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eurachem.org/index.php/publications/guid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bipm.org/utils/common/documents/jcgm/JCGM_200_2012.pdf" TargetMode="External"/><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7BD54-848A-433A-A650-B9DD1B8AC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2104</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N  National Institute of Standards and Technology</vt:lpstr>
    </vt:vector>
  </TitlesOfParts>
  <Company>NIST</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National Institute of Standards and Technology</dc:title>
  <dc:creator>Mary Bedner</dc:creator>
  <cp:lastModifiedBy>Barber, Chuck (Fed)</cp:lastModifiedBy>
  <cp:revision>6</cp:revision>
  <cp:lastPrinted>2016-05-20T12:25:00Z</cp:lastPrinted>
  <dcterms:created xsi:type="dcterms:W3CDTF">2016-06-16T13:29:00Z</dcterms:created>
  <dcterms:modified xsi:type="dcterms:W3CDTF">2016-11-02T14:46:00Z</dcterms:modified>
</cp:coreProperties>
</file>