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C89" w:rsidRDefault="00236CC4" w:rsidP="009A60F7">
      <w:pPr>
        <w:pStyle w:val="Title"/>
        <w:widowControl/>
        <w:rPr>
          <w:rFonts w:ascii="Linotext" w:hAnsi="Linotext"/>
        </w:rPr>
      </w:pPr>
      <w:r>
        <w:rPr>
          <w:rFonts w:ascii="Linotext" w:hAnsi="Linotext"/>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16.15pt;width:96pt;height:63.75pt;z-index:-251658752" fillcolor="window">
            <v:imagedata r:id="rId8" o:title=""/>
          </v:shape>
          <o:OLEObject Type="Embed" ProgID="Word.Document.8" ShapeID="_x0000_s1027" DrawAspect="Content" ObjectID="_1580283321" r:id="rId9">
            <o:FieldCodes>\s</o:FieldCodes>
          </o:OLEObject>
        </w:object>
      </w:r>
      <w:r w:rsidR="00023C89">
        <w:rPr>
          <w:rFonts w:ascii="Linotext" w:hAnsi="Linotext"/>
        </w:rPr>
        <w:t>National Institute of Standards &amp; Technology</w:t>
      </w:r>
    </w:p>
    <w:p w:rsidR="00023C89" w:rsidRPr="00644D59" w:rsidRDefault="00023C89">
      <w:pPr>
        <w:pStyle w:val="Subtitle"/>
        <w:rPr>
          <w:rFonts w:ascii="Linotext" w:hAnsi="Linotext"/>
          <w:sz w:val="20"/>
        </w:rPr>
      </w:pPr>
    </w:p>
    <w:p w:rsidR="00023C89" w:rsidRDefault="00023C89">
      <w:pPr>
        <w:pStyle w:val="Subtitle"/>
        <w:rPr>
          <w:rFonts w:ascii="Linotext" w:hAnsi="Linotext"/>
        </w:rPr>
      </w:pPr>
      <w:r>
        <w:rPr>
          <w:rFonts w:ascii="Linotext" w:hAnsi="Linotext"/>
        </w:rPr>
        <w:t>Certificate of Analysis</w:t>
      </w:r>
    </w:p>
    <w:p w:rsidR="00023C89" w:rsidRDefault="00023C89">
      <w:pPr>
        <w:widowControl/>
        <w:jc w:val="center"/>
      </w:pPr>
    </w:p>
    <w:p w:rsidR="00023C89" w:rsidRDefault="00023C89">
      <w:pPr>
        <w:widowControl/>
        <w:jc w:val="center"/>
      </w:pPr>
      <w:r>
        <w:rPr>
          <w:sz w:val="36"/>
        </w:rPr>
        <w:t>Standard Reference Material</w:t>
      </w:r>
      <w:r>
        <w:rPr>
          <w:sz w:val="36"/>
          <w:vertAlign w:val="superscript"/>
        </w:rPr>
        <w:t>®</w:t>
      </w:r>
      <w:r>
        <w:rPr>
          <w:sz w:val="36"/>
        </w:rPr>
        <w:t xml:space="preserve"> </w:t>
      </w:r>
      <w:r w:rsidR="003D3379">
        <w:rPr>
          <w:sz w:val="36"/>
        </w:rPr>
        <w:t>333a</w:t>
      </w:r>
    </w:p>
    <w:p w:rsidR="00023C89" w:rsidRDefault="00023C89">
      <w:pPr>
        <w:widowControl/>
        <w:jc w:val="center"/>
      </w:pPr>
    </w:p>
    <w:p w:rsidR="00023C89" w:rsidRDefault="00ED5A61">
      <w:pPr>
        <w:pStyle w:val="TxBrc4"/>
        <w:widowControl/>
        <w:tabs>
          <w:tab w:val="left" w:pos="1298"/>
        </w:tabs>
        <w:spacing w:line="240" w:lineRule="auto"/>
        <w:rPr>
          <w:sz w:val="28"/>
        </w:rPr>
      </w:pPr>
      <w:r>
        <w:rPr>
          <w:sz w:val="28"/>
        </w:rPr>
        <w:t>Molybdenum Sulfide Concentrate</w:t>
      </w:r>
    </w:p>
    <w:p w:rsidR="00766A3A" w:rsidRPr="00512A0E" w:rsidRDefault="00766A3A">
      <w:pPr>
        <w:widowControl/>
      </w:pPr>
    </w:p>
    <w:p w:rsidR="00023C89" w:rsidRDefault="00023C89">
      <w:pPr>
        <w:pStyle w:val="HTMLBody"/>
        <w:jc w:val="both"/>
      </w:pPr>
      <w:r w:rsidRPr="0011011F">
        <w:t>This Standard Reference Material</w:t>
      </w:r>
      <w:r w:rsidR="00981FCE">
        <w:t> </w:t>
      </w:r>
      <w:r w:rsidRPr="0011011F">
        <w:t>(</w:t>
      </w:r>
      <w:smartTag w:uri="urn:schemas-microsoft-com:office:smarttags" w:element="stockticker">
        <w:r w:rsidRPr="0011011F">
          <w:t>SRM</w:t>
        </w:r>
      </w:smartTag>
      <w:r w:rsidRPr="0011011F">
        <w:t xml:space="preserve">) is </w:t>
      </w:r>
      <w:r w:rsidR="00AC3095">
        <w:t xml:space="preserve">a </w:t>
      </w:r>
      <w:r w:rsidR="00ED5A61">
        <w:t>molybdenum sulfide (MoS</w:t>
      </w:r>
      <w:r w:rsidR="00ED5A61" w:rsidRPr="00ED5A61">
        <w:rPr>
          <w:vertAlign w:val="subscript"/>
        </w:rPr>
        <w:t>2</w:t>
      </w:r>
      <w:r w:rsidR="00ED5A61">
        <w:t>) concentrate from a commercial mining and refining process</w:t>
      </w:r>
      <w:r w:rsidR="00AC3095">
        <w:t>.  SRM</w:t>
      </w:r>
      <w:r w:rsidR="00981FCE">
        <w:t> </w:t>
      </w:r>
      <w:r w:rsidR="00ED5A61">
        <w:t>333</w:t>
      </w:r>
      <w:r w:rsidR="00AC3095">
        <w:t xml:space="preserve">a is </w:t>
      </w:r>
      <w:r w:rsidRPr="0011011F">
        <w:t xml:space="preserve">intended for use in </w:t>
      </w:r>
      <w:r w:rsidR="00D36B0E" w:rsidRPr="0011011F">
        <w:t>the e</w:t>
      </w:r>
      <w:bookmarkStart w:id="0" w:name="_GoBack"/>
      <w:bookmarkEnd w:id="0"/>
      <w:r w:rsidR="00D36B0E" w:rsidRPr="0011011F">
        <w:t>valuation</w:t>
      </w:r>
      <w:r w:rsidRPr="0011011F">
        <w:t xml:space="preserve"> </w:t>
      </w:r>
      <w:r w:rsidR="00F32924" w:rsidRPr="0011011F">
        <w:t xml:space="preserve">of </w:t>
      </w:r>
      <w:r w:rsidRPr="0011011F">
        <w:t xml:space="preserve">chemical </w:t>
      </w:r>
      <w:r w:rsidR="0028722F" w:rsidRPr="0011011F">
        <w:t xml:space="preserve">and instrumental </w:t>
      </w:r>
      <w:r w:rsidRPr="0011011F">
        <w:t>methods of analysis</w:t>
      </w:r>
      <w:r w:rsidR="00FE5BE3" w:rsidRPr="0011011F">
        <w:t xml:space="preserve">. </w:t>
      </w:r>
      <w:r w:rsidRPr="0011011F">
        <w:t xml:space="preserve"> </w:t>
      </w:r>
      <w:r w:rsidR="00644D59">
        <w:t>A</w:t>
      </w:r>
      <w:r w:rsidRPr="0011011F">
        <w:t xml:space="preserve"> unit</w:t>
      </w:r>
      <w:r w:rsidR="00D36B0E" w:rsidRPr="0011011F">
        <w:t xml:space="preserve"> of SRM</w:t>
      </w:r>
      <w:r w:rsidR="00981FCE">
        <w:t> </w:t>
      </w:r>
      <w:r w:rsidR="00ED5A61">
        <w:t>333</w:t>
      </w:r>
      <w:r w:rsidR="00544AF6" w:rsidRPr="0011011F">
        <w:t>a</w:t>
      </w:r>
      <w:r w:rsidRPr="0011011F">
        <w:t xml:space="preserve"> consists of </w:t>
      </w:r>
      <w:r w:rsidR="000829E2">
        <w:t>one</w:t>
      </w:r>
      <w:r w:rsidR="00544AF6" w:rsidRPr="0011011F">
        <w:t xml:space="preserve"> </w:t>
      </w:r>
      <w:r w:rsidR="002270E0">
        <w:t>pouch</w:t>
      </w:r>
      <w:r w:rsidR="00ED5A61">
        <w:t xml:space="preserve"> containing</w:t>
      </w:r>
      <w:r w:rsidR="00544AF6" w:rsidRPr="0011011F">
        <w:t xml:space="preserve"> approximately </w:t>
      </w:r>
      <w:r w:rsidR="009279B2">
        <w:t>50 </w:t>
      </w:r>
      <w:r w:rsidR="00ED5A61">
        <w:t>g of powder</w:t>
      </w:r>
      <w:r w:rsidR="00D36B0E" w:rsidRPr="0011011F">
        <w:t>.</w:t>
      </w:r>
    </w:p>
    <w:p w:rsidR="00D124B0" w:rsidRDefault="00D124B0">
      <w:pPr>
        <w:pStyle w:val="HTMLBody"/>
        <w:jc w:val="both"/>
      </w:pPr>
    </w:p>
    <w:p w:rsidR="00FB00A4" w:rsidRPr="005D231B" w:rsidRDefault="00D94B82" w:rsidP="00236CC4">
      <w:pPr>
        <w:widowControl/>
      </w:pPr>
      <w:r w:rsidRPr="0011011F">
        <w:rPr>
          <w:b/>
          <w:szCs w:val="20"/>
        </w:rPr>
        <w:t xml:space="preserve">Certified </w:t>
      </w:r>
      <w:r w:rsidR="0001193F">
        <w:rPr>
          <w:b/>
          <w:szCs w:val="20"/>
        </w:rPr>
        <w:t xml:space="preserve">Mass Fraction </w:t>
      </w:r>
      <w:r w:rsidRPr="0011011F">
        <w:rPr>
          <w:b/>
          <w:szCs w:val="20"/>
        </w:rPr>
        <w:t>Values:</w:t>
      </w:r>
      <w:r w:rsidRPr="0011011F">
        <w:rPr>
          <w:szCs w:val="20"/>
        </w:rPr>
        <w:t xml:space="preserve">  </w:t>
      </w:r>
      <w:r w:rsidR="00256B48" w:rsidRPr="00256B48">
        <w:rPr>
          <w:szCs w:val="20"/>
        </w:rPr>
        <w:t>Certified values are reported in Table</w:t>
      </w:r>
      <w:r w:rsidR="005B14CA">
        <w:rPr>
          <w:szCs w:val="20"/>
        </w:rPr>
        <w:t> </w:t>
      </w:r>
      <w:r w:rsidR="00256B48" w:rsidRPr="00256B48">
        <w:rPr>
          <w:szCs w:val="20"/>
        </w:rPr>
        <w:t>1.  For all elements, values are reported as mass fractions</w:t>
      </w:r>
      <w:r w:rsidR="00981FCE">
        <w:rPr>
          <w:szCs w:val="20"/>
        </w:rPr>
        <w:t> </w:t>
      </w:r>
      <w:r w:rsidR="00256B48" w:rsidRPr="00256B48">
        <w:rPr>
          <w:szCs w:val="20"/>
        </w:rPr>
        <w:t>[1]</w:t>
      </w:r>
      <w:r w:rsidR="002270E0">
        <w:rPr>
          <w:szCs w:val="20"/>
        </w:rPr>
        <w:t xml:space="preserve"> on </w:t>
      </w:r>
      <w:r w:rsidR="0044131A">
        <w:rPr>
          <w:szCs w:val="20"/>
        </w:rPr>
        <w:t>an</w:t>
      </w:r>
      <w:r w:rsidR="002270E0">
        <w:rPr>
          <w:szCs w:val="20"/>
        </w:rPr>
        <w:t xml:space="preserve"> as-received basis</w:t>
      </w:r>
      <w:r w:rsidR="00256B48" w:rsidRPr="00256B48">
        <w:rPr>
          <w:szCs w:val="20"/>
        </w:rPr>
        <w:t>.  Value assignment categories are based on the definition of terms and modes used at NIST for chemical reference materials</w:t>
      </w:r>
      <w:r w:rsidR="00981FCE">
        <w:rPr>
          <w:szCs w:val="20"/>
        </w:rPr>
        <w:t> </w:t>
      </w:r>
      <w:r w:rsidR="00256B48" w:rsidRPr="00256B48">
        <w:rPr>
          <w:szCs w:val="20"/>
        </w:rPr>
        <w:t>[2].  A NIST</w:t>
      </w:r>
      <w:r w:rsidR="00DF78EF">
        <w:rPr>
          <w:szCs w:val="20"/>
        </w:rPr>
        <w:t xml:space="preserve"> </w:t>
      </w:r>
      <w:r w:rsidR="00256B48" w:rsidRPr="00256B48">
        <w:rPr>
          <w:szCs w:val="20"/>
        </w:rPr>
        <w:t>certified value is a value for which NIST has the highest confidence in its accuracy, in that all known or suspected sources of bias have been investigated or taken into account.  A certified value is the present best estimate of the true value based on the results of analyses performed at NIST and collaborating laboratories using instrumental and classical test methods.</w:t>
      </w:r>
      <w:r w:rsidR="00FB00A4">
        <w:rPr>
          <w:szCs w:val="20"/>
        </w:rPr>
        <w:t xml:space="preserve">  </w:t>
      </w:r>
      <w:r w:rsidR="00FB00A4" w:rsidRPr="00A325ED">
        <w:t xml:space="preserve">The measurands are the </w:t>
      </w:r>
      <w:r w:rsidR="00FB00A4">
        <w:t>total mass fractions of the constituents listed in Table 1</w:t>
      </w:r>
      <w:r w:rsidR="00FB00A4" w:rsidRPr="00A325ED">
        <w:t xml:space="preserve">. </w:t>
      </w:r>
      <w:r w:rsidR="00FB00A4">
        <w:t xml:space="preserve"> </w:t>
      </w:r>
      <w:r w:rsidR="00FB00A4" w:rsidRPr="00BC2B5F">
        <w:t>The certified value</w:t>
      </w:r>
      <w:r w:rsidR="00FB00A4">
        <w:t>s</w:t>
      </w:r>
      <w:r w:rsidR="00FB00A4" w:rsidRPr="00BC2B5F">
        <w:t xml:space="preserve"> </w:t>
      </w:r>
      <w:r w:rsidR="00FB00A4">
        <w:t>are</w:t>
      </w:r>
      <w:r w:rsidR="00FB00A4" w:rsidRPr="00BC2B5F">
        <w:t xml:space="preserve"> metrologically traceable </w:t>
      </w:r>
      <w:r w:rsidR="00FB00A4" w:rsidRPr="0028624D">
        <w:t xml:space="preserve">to the SI unit of </w:t>
      </w:r>
      <w:r w:rsidR="00FB00A4">
        <w:t>mass, expressed as percent</w:t>
      </w:r>
      <w:r w:rsidR="00FB00A4" w:rsidRPr="00BC2B5F">
        <w:t>.</w:t>
      </w:r>
    </w:p>
    <w:p w:rsidR="00FE5BE3" w:rsidRPr="0011011F" w:rsidRDefault="00FE5BE3" w:rsidP="009A60F7">
      <w:pPr>
        <w:pStyle w:val="BodyText"/>
        <w:widowControl/>
        <w:rPr>
          <w:szCs w:val="20"/>
        </w:rPr>
      </w:pPr>
    </w:p>
    <w:p w:rsidR="00030D83" w:rsidRPr="0011011F" w:rsidRDefault="00030D83">
      <w:pPr>
        <w:pStyle w:val="BodyText"/>
        <w:widowControl/>
        <w:rPr>
          <w:szCs w:val="20"/>
        </w:rPr>
      </w:pPr>
      <w:r w:rsidRPr="0011011F">
        <w:rPr>
          <w:b/>
          <w:bCs/>
          <w:szCs w:val="20"/>
        </w:rPr>
        <w:t xml:space="preserve">Reference </w:t>
      </w:r>
      <w:r w:rsidR="0001193F">
        <w:rPr>
          <w:b/>
          <w:bCs/>
          <w:szCs w:val="20"/>
        </w:rPr>
        <w:t xml:space="preserve">Mass Fraction </w:t>
      </w:r>
      <w:r w:rsidRPr="0011011F">
        <w:rPr>
          <w:b/>
          <w:bCs/>
          <w:szCs w:val="20"/>
        </w:rPr>
        <w:t>Values:</w:t>
      </w:r>
      <w:r w:rsidRPr="0011011F">
        <w:rPr>
          <w:szCs w:val="20"/>
        </w:rPr>
        <w:t xml:space="preserve">  </w:t>
      </w:r>
      <w:r w:rsidR="00F96E0E">
        <w:rPr>
          <w:szCs w:val="20"/>
        </w:rPr>
        <w:t>R</w:t>
      </w:r>
      <w:r w:rsidR="00041D58">
        <w:rPr>
          <w:szCs w:val="20"/>
        </w:rPr>
        <w:t>eference value</w:t>
      </w:r>
      <w:r w:rsidR="00F96E0E">
        <w:rPr>
          <w:szCs w:val="20"/>
        </w:rPr>
        <w:t>s</w:t>
      </w:r>
      <w:r w:rsidR="00F33EE4">
        <w:rPr>
          <w:szCs w:val="20"/>
        </w:rPr>
        <w:t xml:space="preserve"> </w:t>
      </w:r>
      <w:r w:rsidR="00F96E0E">
        <w:rPr>
          <w:szCs w:val="20"/>
        </w:rPr>
        <w:t>are</w:t>
      </w:r>
      <w:r w:rsidR="00256B48" w:rsidRPr="00256B48">
        <w:rPr>
          <w:szCs w:val="20"/>
        </w:rPr>
        <w:t xml:space="preserve"> reported in Table</w:t>
      </w:r>
      <w:r w:rsidR="00981FCE">
        <w:rPr>
          <w:szCs w:val="20"/>
        </w:rPr>
        <w:t> </w:t>
      </w:r>
      <w:r w:rsidR="00256B48" w:rsidRPr="00256B48">
        <w:rPr>
          <w:szCs w:val="20"/>
        </w:rPr>
        <w:t>2</w:t>
      </w:r>
      <w:r w:rsidR="00626398">
        <w:rPr>
          <w:szCs w:val="20"/>
        </w:rPr>
        <w:t xml:space="preserve"> </w:t>
      </w:r>
      <w:r w:rsidR="00626398" w:rsidRPr="00256B48">
        <w:rPr>
          <w:szCs w:val="20"/>
        </w:rPr>
        <w:t>as mass fractions</w:t>
      </w:r>
      <w:r w:rsidR="00626398">
        <w:rPr>
          <w:szCs w:val="20"/>
        </w:rPr>
        <w:t> </w:t>
      </w:r>
      <w:r w:rsidR="00626398" w:rsidRPr="00256B48">
        <w:rPr>
          <w:szCs w:val="20"/>
        </w:rPr>
        <w:t>[1]</w:t>
      </w:r>
      <w:r w:rsidR="00626398">
        <w:rPr>
          <w:szCs w:val="20"/>
        </w:rPr>
        <w:t xml:space="preserve"> on an as-received basis</w:t>
      </w:r>
      <w:r w:rsidR="00626398" w:rsidRPr="00256B48">
        <w:rPr>
          <w:szCs w:val="20"/>
        </w:rPr>
        <w:t>.</w:t>
      </w:r>
      <w:r w:rsidR="00626398">
        <w:rPr>
          <w:szCs w:val="20"/>
        </w:rPr>
        <w:t xml:space="preserve">  </w:t>
      </w:r>
      <w:r w:rsidRPr="0011011F">
        <w:rPr>
          <w:szCs w:val="20"/>
        </w:rPr>
        <w:t>Reference values are non-certified values that are the best estimates of the true values</w:t>
      </w:r>
      <w:r w:rsidR="000B27B4">
        <w:rPr>
          <w:szCs w:val="20"/>
        </w:rPr>
        <w:t>; h</w:t>
      </w:r>
      <w:r w:rsidRPr="0011011F">
        <w:rPr>
          <w:szCs w:val="20"/>
        </w:rPr>
        <w:t>owever, the values do not meet the NIST criteria for certification and are provided with associated uncertainties that may not inclu</w:t>
      </w:r>
      <w:r w:rsidR="00DD7818" w:rsidRPr="0011011F">
        <w:rPr>
          <w:szCs w:val="20"/>
        </w:rPr>
        <w:t>de all sources of uncertainty</w:t>
      </w:r>
      <w:r w:rsidR="00981FCE">
        <w:rPr>
          <w:szCs w:val="20"/>
        </w:rPr>
        <w:t> </w:t>
      </w:r>
      <w:r w:rsidR="0044131A">
        <w:rPr>
          <w:szCs w:val="20"/>
        </w:rPr>
        <w:t>[2]</w:t>
      </w:r>
      <w:r w:rsidR="00DD7818" w:rsidRPr="0011011F">
        <w:rPr>
          <w:szCs w:val="20"/>
        </w:rPr>
        <w:t>.</w:t>
      </w:r>
      <w:r w:rsidR="00FB00A4">
        <w:rPr>
          <w:szCs w:val="20"/>
        </w:rPr>
        <w:t xml:space="preserve">  </w:t>
      </w:r>
      <w:r w:rsidR="00FB00A4" w:rsidRPr="00A325ED">
        <w:t xml:space="preserve">The measurands are the </w:t>
      </w:r>
      <w:r w:rsidR="00FB00A4">
        <w:t xml:space="preserve">mass fractions </w:t>
      </w:r>
      <w:r w:rsidR="000B27B4">
        <w:t xml:space="preserve">in Table 2 as </w:t>
      </w:r>
      <w:r w:rsidR="00FB00A4">
        <w:t xml:space="preserve">measured by NIST and the collaborating laboratories </w:t>
      </w:r>
      <w:r w:rsidR="000B27B4">
        <w:t>by the indicated</w:t>
      </w:r>
      <w:r w:rsidR="00FB00A4">
        <w:t xml:space="preserve"> methods in Table 4.</w:t>
      </w:r>
      <w:r w:rsidR="00FB00A4" w:rsidRPr="00A325ED">
        <w:t xml:space="preserve"> </w:t>
      </w:r>
      <w:r w:rsidR="00FB00A4">
        <w:t xml:space="preserve"> </w:t>
      </w:r>
      <w:r w:rsidR="00FB00A4" w:rsidRPr="00BC2B5F">
        <w:t xml:space="preserve">The </w:t>
      </w:r>
      <w:r w:rsidR="00FB00A4">
        <w:t>reference</w:t>
      </w:r>
      <w:r w:rsidR="00FB00A4" w:rsidRPr="00BC2B5F">
        <w:t xml:space="preserve"> value</w:t>
      </w:r>
      <w:r w:rsidR="00FB00A4">
        <w:t>s</w:t>
      </w:r>
      <w:r w:rsidR="00FB00A4" w:rsidRPr="00BC2B5F">
        <w:t xml:space="preserve"> </w:t>
      </w:r>
      <w:r w:rsidR="00FB00A4">
        <w:t>are</w:t>
      </w:r>
      <w:r w:rsidR="00FB00A4" w:rsidRPr="00BC2B5F">
        <w:t xml:space="preserve"> metrologically traceable </w:t>
      </w:r>
      <w:r w:rsidR="00FB00A4" w:rsidRPr="0028624D">
        <w:t xml:space="preserve">to the SI unit of </w:t>
      </w:r>
      <w:r w:rsidR="00FB00A4">
        <w:t>mass, expressed as a percent</w:t>
      </w:r>
      <w:r w:rsidR="00FB00A4" w:rsidRPr="00BC2B5F">
        <w:t>.</w:t>
      </w:r>
    </w:p>
    <w:p w:rsidR="00FE5BE3" w:rsidRPr="0011011F" w:rsidRDefault="00FE5BE3">
      <w:pPr>
        <w:pStyle w:val="BodyText"/>
        <w:widowControl/>
        <w:rPr>
          <w:szCs w:val="20"/>
        </w:rPr>
      </w:pPr>
    </w:p>
    <w:p w:rsidR="00FE5BE3" w:rsidRPr="0011011F" w:rsidRDefault="00FE5BE3">
      <w:pPr>
        <w:pStyle w:val="BodyText"/>
        <w:widowControl/>
        <w:rPr>
          <w:szCs w:val="20"/>
        </w:rPr>
      </w:pPr>
      <w:r w:rsidRPr="0011011F">
        <w:rPr>
          <w:b/>
          <w:szCs w:val="20"/>
        </w:rPr>
        <w:t>Information Values:</w:t>
      </w:r>
      <w:r w:rsidRPr="0011011F">
        <w:rPr>
          <w:szCs w:val="20"/>
        </w:rPr>
        <w:t xml:space="preserve">  </w:t>
      </w:r>
      <w:r w:rsidR="00256B48" w:rsidRPr="00256B48">
        <w:rPr>
          <w:szCs w:val="20"/>
        </w:rPr>
        <w:t xml:space="preserve">Information values for constituents are reported in Table 3.  </w:t>
      </w:r>
      <w:r w:rsidRPr="0011011F">
        <w:rPr>
          <w:szCs w:val="20"/>
        </w:rPr>
        <w:t xml:space="preserve">An information value is considered to be a value that will be of </w:t>
      </w:r>
      <w:r w:rsidR="0044131A">
        <w:rPr>
          <w:szCs w:val="20"/>
        </w:rPr>
        <w:t>interest</w:t>
      </w:r>
      <w:r w:rsidR="0044131A" w:rsidRPr="0011011F">
        <w:rPr>
          <w:szCs w:val="20"/>
        </w:rPr>
        <w:t xml:space="preserve"> </w:t>
      </w:r>
      <w:r w:rsidRPr="0011011F">
        <w:rPr>
          <w:szCs w:val="20"/>
        </w:rPr>
        <w:t xml:space="preserve">to the </w:t>
      </w:r>
      <w:smartTag w:uri="urn:schemas-microsoft-com:office:smarttags" w:element="stockticker">
        <w:r w:rsidRPr="0011011F">
          <w:rPr>
            <w:szCs w:val="20"/>
          </w:rPr>
          <w:t>SRM</w:t>
        </w:r>
      </w:smartTag>
      <w:r w:rsidRPr="0011011F">
        <w:rPr>
          <w:szCs w:val="20"/>
        </w:rPr>
        <w:t xml:space="preserve"> user, but insufficient information is available to assess the uncertainty </w:t>
      </w:r>
      <w:r w:rsidRPr="00626398">
        <w:rPr>
          <w:szCs w:val="20"/>
        </w:rPr>
        <w:t>associated with the value</w:t>
      </w:r>
      <w:r w:rsidR="00827F4C" w:rsidRPr="00626398">
        <w:rPr>
          <w:szCs w:val="20"/>
        </w:rPr>
        <w:t>.</w:t>
      </w:r>
      <w:r w:rsidR="00FB00A4" w:rsidRPr="00626398">
        <w:rPr>
          <w:szCs w:val="20"/>
        </w:rPr>
        <w:t xml:space="preserve">  Information values cannot be used to</w:t>
      </w:r>
      <w:r w:rsidR="00626398">
        <w:rPr>
          <w:szCs w:val="20"/>
        </w:rPr>
        <w:t xml:space="preserve"> </w:t>
      </w:r>
      <w:r w:rsidR="00626398" w:rsidRPr="00626398">
        <w:rPr>
          <w:szCs w:val="20"/>
        </w:rPr>
        <w:t>establish metrological traceability.</w:t>
      </w:r>
    </w:p>
    <w:p w:rsidR="00030D83" w:rsidRPr="0011011F" w:rsidRDefault="00030D83">
      <w:pPr>
        <w:pStyle w:val="BodyText"/>
        <w:widowControl/>
        <w:rPr>
          <w:szCs w:val="20"/>
        </w:rPr>
      </w:pPr>
    </w:p>
    <w:p w:rsidR="00D94B82" w:rsidRPr="0011011F" w:rsidRDefault="00D94B82">
      <w:pPr>
        <w:pStyle w:val="HTMLBody"/>
        <w:jc w:val="both"/>
      </w:pPr>
      <w:r w:rsidRPr="0011011F">
        <w:rPr>
          <w:b/>
        </w:rPr>
        <w:t>Expiration of Certification:</w:t>
      </w:r>
      <w:r w:rsidRPr="0011011F">
        <w:t xml:space="preserve">  </w:t>
      </w:r>
      <w:r w:rsidR="0044131A">
        <w:t xml:space="preserve">The certification of </w:t>
      </w:r>
      <w:r w:rsidR="0044131A" w:rsidRPr="00952F15">
        <w:rPr>
          <w:b/>
        </w:rPr>
        <w:t>SRM</w:t>
      </w:r>
      <w:r w:rsidR="0044131A">
        <w:rPr>
          <w:b/>
        </w:rPr>
        <w:t xml:space="preserve"> 333a</w:t>
      </w:r>
      <w:r w:rsidR="0044131A">
        <w:t xml:space="preserve"> is valid, within the measurement uncertainties specified, until </w:t>
      </w:r>
      <w:r w:rsidR="00B42FCC" w:rsidRPr="00B42FCC">
        <w:rPr>
          <w:b/>
        </w:rPr>
        <w:t>0</w:t>
      </w:r>
      <w:r w:rsidR="0044131A">
        <w:rPr>
          <w:b/>
        </w:rPr>
        <w:t>1</w:t>
      </w:r>
      <w:r w:rsidR="00981FCE">
        <w:rPr>
          <w:b/>
        </w:rPr>
        <w:t> </w:t>
      </w:r>
      <w:r w:rsidR="0044131A">
        <w:rPr>
          <w:b/>
        </w:rPr>
        <w:t>July</w:t>
      </w:r>
      <w:r w:rsidR="00981FCE">
        <w:rPr>
          <w:b/>
        </w:rPr>
        <w:t> </w:t>
      </w:r>
      <w:r w:rsidR="0044131A">
        <w:rPr>
          <w:b/>
        </w:rPr>
        <w:t>20</w:t>
      </w:r>
      <w:r w:rsidR="00981FCE">
        <w:rPr>
          <w:b/>
        </w:rPr>
        <w:t>20</w:t>
      </w:r>
      <w:r w:rsidR="0044131A">
        <w:t xml:space="preserve">, </w:t>
      </w:r>
      <w:r w:rsidRPr="0011011F">
        <w:t xml:space="preserve">provided the </w:t>
      </w:r>
      <w:smartTag w:uri="urn:schemas-microsoft-com:office:smarttags" w:element="stockticker">
        <w:r w:rsidRPr="0011011F">
          <w:t>SRM</w:t>
        </w:r>
      </w:smartTag>
      <w:r w:rsidRPr="0011011F">
        <w:t xml:space="preserve"> is handled and stored in accordance with the instructions given in this certificate (see </w:t>
      </w:r>
      <w:r w:rsidR="00B42FCC">
        <w:t>“</w:t>
      </w:r>
      <w:r w:rsidRPr="0011011F">
        <w:t>Instructions for Use</w:t>
      </w:r>
      <w:r w:rsidR="00B42FCC">
        <w:t>”</w:t>
      </w:r>
      <w:r w:rsidRPr="0011011F">
        <w:t xml:space="preserve">).  </w:t>
      </w:r>
      <w:r w:rsidR="00B42FCC">
        <w:rPr>
          <w:iCs/>
        </w:rPr>
        <w:t>The certification is nullified if the SRM is damaged, contaminated, or otherwise modified.</w:t>
      </w:r>
    </w:p>
    <w:p w:rsidR="00D94B82" w:rsidRPr="0011011F" w:rsidRDefault="00D94B82">
      <w:pPr>
        <w:pStyle w:val="HTMLBody"/>
        <w:jc w:val="both"/>
      </w:pPr>
    </w:p>
    <w:p w:rsidR="00FE5BE3" w:rsidRPr="0011011F" w:rsidRDefault="00FE5BE3">
      <w:pPr>
        <w:widowControl/>
        <w:rPr>
          <w:color w:val="000000"/>
          <w:szCs w:val="20"/>
        </w:rPr>
      </w:pPr>
      <w:r w:rsidRPr="0011011F">
        <w:rPr>
          <w:b/>
          <w:color w:val="000000"/>
          <w:szCs w:val="20"/>
        </w:rPr>
        <w:t xml:space="preserve">Maintenance of </w:t>
      </w:r>
      <w:smartTag w:uri="urn:schemas-microsoft-com:office:smarttags" w:element="stockticker">
        <w:r w:rsidRPr="0011011F">
          <w:rPr>
            <w:b/>
            <w:color w:val="000000"/>
            <w:szCs w:val="20"/>
          </w:rPr>
          <w:t>SRM</w:t>
        </w:r>
      </w:smartTag>
      <w:r w:rsidRPr="0011011F">
        <w:rPr>
          <w:b/>
          <w:color w:val="000000"/>
          <w:szCs w:val="20"/>
        </w:rPr>
        <w:t xml:space="preserve"> Certification:</w:t>
      </w:r>
      <w:r w:rsidR="00D94B82" w:rsidRPr="0011011F">
        <w:rPr>
          <w:szCs w:val="20"/>
        </w:rPr>
        <w:t xml:space="preserve">  NIST will monitor this material </w:t>
      </w:r>
      <w:r w:rsidR="00751215">
        <w:rPr>
          <w:szCs w:val="20"/>
        </w:rPr>
        <w:t>over the period of its certification.  If substantive technical changes occur that affect the certification</w:t>
      </w:r>
      <w:r w:rsidR="00256B48">
        <w:rPr>
          <w:szCs w:val="20"/>
        </w:rPr>
        <w:t xml:space="preserve"> before the expiration of this certificate</w:t>
      </w:r>
      <w:r w:rsidR="003A7EAE">
        <w:rPr>
          <w:szCs w:val="20"/>
        </w:rPr>
        <w:t>,</w:t>
      </w:r>
      <w:r w:rsidR="00751215">
        <w:rPr>
          <w:szCs w:val="20"/>
        </w:rPr>
        <w:t xml:space="preserve"> NIST will notify the purchaser. </w:t>
      </w:r>
      <w:r w:rsidR="00D334DA">
        <w:rPr>
          <w:szCs w:val="20"/>
        </w:rPr>
        <w:t xml:space="preserve"> </w:t>
      </w:r>
      <w:r w:rsidRPr="0011011F">
        <w:rPr>
          <w:szCs w:val="20"/>
        </w:rPr>
        <w:t>Registration</w:t>
      </w:r>
      <w:r w:rsidR="004F73DF">
        <w:rPr>
          <w:szCs w:val="20"/>
        </w:rPr>
        <w:t> </w:t>
      </w:r>
      <w:r w:rsidRPr="0011011F">
        <w:rPr>
          <w:szCs w:val="20"/>
        </w:rPr>
        <w:t>(see</w:t>
      </w:r>
      <w:r w:rsidR="00906BD2">
        <w:rPr>
          <w:szCs w:val="20"/>
        </w:rPr>
        <w:t> </w:t>
      </w:r>
      <w:r w:rsidRPr="0011011F">
        <w:rPr>
          <w:szCs w:val="20"/>
        </w:rPr>
        <w:t>attached sheet</w:t>
      </w:r>
      <w:r w:rsidR="00981FCE">
        <w:rPr>
          <w:szCs w:val="20"/>
        </w:rPr>
        <w:t xml:space="preserve"> or register online</w:t>
      </w:r>
      <w:r w:rsidRPr="0011011F">
        <w:rPr>
          <w:szCs w:val="20"/>
        </w:rPr>
        <w:t>) will facilitate notification.</w:t>
      </w:r>
    </w:p>
    <w:p w:rsidR="00485D9B" w:rsidRPr="0011011F" w:rsidRDefault="00485D9B">
      <w:pPr>
        <w:widowControl/>
        <w:rPr>
          <w:szCs w:val="20"/>
        </w:rPr>
      </w:pPr>
    </w:p>
    <w:p w:rsidR="008100C1" w:rsidRDefault="008100C1">
      <w:pPr>
        <w:pStyle w:val="BodyText"/>
        <w:widowControl/>
        <w:rPr>
          <w:szCs w:val="20"/>
        </w:rPr>
      </w:pPr>
      <w:r w:rsidRPr="0011011F">
        <w:rPr>
          <w:szCs w:val="20"/>
        </w:rPr>
        <w:t xml:space="preserve">Coordination of the technical measurements for certification of </w:t>
      </w:r>
      <w:r w:rsidR="00981FCE">
        <w:rPr>
          <w:szCs w:val="20"/>
        </w:rPr>
        <w:t>this SRM</w:t>
      </w:r>
      <w:r w:rsidRPr="0011011F">
        <w:rPr>
          <w:szCs w:val="20"/>
        </w:rPr>
        <w:t xml:space="preserve"> was </w:t>
      </w:r>
      <w:r w:rsidR="00673853">
        <w:rPr>
          <w:szCs w:val="20"/>
        </w:rPr>
        <w:t xml:space="preserve">performed by </w:t>
      </w:r>
      <w:r w:rsidR="00ED5A61">
        <w:rPr>
          <w:szCs w:val="20"/>
        </w:rPr>
        <w:t>J</w:t>
      </w:r>
      <w:r w:rsidRPr="0011011F">
        <w:rPr>
          <w:szCs w:val="20"/>
        </w:rPr>
        <w:t>.</w:t>
      </w:r>
      <w:r w:rsidR="00ED5A61">
        <w:rPr>
          <w:szCs w:val="20"/>
        </w:rPr>
        <w:t>R</w:t>
      </w:r>
      <w:r w:rsidR="0011011F" w:rsidRPr="0011011F">
        <w:rPr>
          <w:szCs w:val="20"/>
        </w:rPr>
        <w:t>. </w:t>
      </w:r>
      <w:r w:rsidR="00ED5A61">
        <w:rPr>
          <w:szCs w:val="20"/>
        </w:rPr>
        <w:t>Sieber</w:t>
      </w:r>
      <w:r w:rsidRPr="0011011F">
        <w:rPr>
          <w:szCs w:val="20"/>
        </w:rPr>
        <w:t xml:space="preserve"> of the NIST </w:t>
      </w:r>
      <w:r w:rsidR="00981FCE" w:rsidRPr="0061471B">
        <w:t>Chemical Sciences Division</w:t>
      </w:r>
      <w:r w:rsidRPr="0011011F">
        <w:rPr>
          <w:szCs w:val="20"/>
        </w:rPr>
        <w:t>.</w:t>
      </w:r>
    </w:p>
    <w:p w:rsidR="00C40171" w:rsidRDefault="00C40171">
      <w:pPr>
        <w:pStyle w:val="BodyText"/>
        <w:widowControl/>
        <w:rPr>
          <w:szCs w:val="20"/>
        </w:rPr>
      </w:pPr>
    </w:p>
    <w:p w:rsidR="00C40171" w:rsidRDefault="00065523">
      <w:pPr>
        <w:widowControl/>
        <w:rPr>
          <w:szCs w:val="20"/>
        </w:rPr>
      </w:pPr>
      <w:r>
        <w:rPr>
          <w:szCs w:val="20"/>
        </w:rPr>
        <w:t>Measurements for homogeneity testing and value assignment of</w:t>
      </w:r>
      <w:r w:rsidR="00981FCE">
        <w:rPr>
          <w:szCs w:val="20"/>
        </w:rPr>
        <w:t xml:space="preserve"> this SRM</w:t>
      </w:r>
      <w:r>
        <w:rPr>
          <w:szCs w:val="20"/>
        </w:rPr>
        <w:t xml:space="preserve"> were performed by J.R.</w:t>
      </w:r>
      <w:r w:rsidR="00981FCE">
        <w:rPr>
          <w:szCs w:val="20"/>
        </w:rPr>
        <w:t> </w:t>
      </w:r>
      <w:r>
        <w:rPr>
          <w:szCs w:val="20"/>
        </w:rPr>
        <w:t>Sieber and A.F</w:t>
      </w:r>
      <w:r w:rsidR="00673853">
        <w:rPr>
          <w:szCs w:val="20"/>
        </w:rPr>
        <w:t>. </w:t>
      </w:r>
      <w:r>
        <w:rPr>
          <w:szCs w:val="20"/>
        </w:rPr>
        <w:t xml:space="preserve">Marlow of the NIST </w:t>
      </w:r>
      <w:r w:rsidR="00981FCE" w:rsidRPr="0061471B">
        <w:t>Chemical Sciences Division</w:t>
      </w:r>
      <w:r>
        <w:rPr>
          <w:szCs w:val="20"/>
        </w:rPr>
        <w:t>.</w:t>
      </w:r>
    </w:p>
    <w:p w:rsidR="00065523" w:rsidRPr="00644D59" w:rsidRDefault="00065523">
      <w:pPr>
        <w:widowControl/>
        <w:rPr>
          <w:szCs w:val="20"/>
        </w:rPr>
      </w:pPr>
    </w:p>
    <w:p w:rsidR="00644D59" w:rsidRPr="00644D59" w:rsidRDefault="00644D59">
      <w:pPr>
        <w:widowControl/>
        <w:rPr>
          <w:szCs w:val="20"/>
        </w:rPr>
      </w:pPr>
      <w:r w:rsidRPr="00644D59">
        <w:rPr>
          <w:szCs w:val="20"/>
        </w:rPr>
        <w:t xml:space="preserve">Statistical consultation for this SRM was provided by </w:t>
      </w:r>
      <w:r>
        <w:rPr>
          <w:szCs w:val="20"/>
        </w:rPr>
        <w:t>S.D.</w:t>
      </w:r>
      <w:r w:rsidR="00981FCE">
        <w:rPr>
          <w:szCs w:val="20"/>
        </w:rPr>
        <w:t> </w:t>
      </w:r>
      <w:r>
        <w:rPr>
          <w:szCs w:val="20"/>
        </w:rPr>
        <w:t>Leigh</w:t>
      </w:r>
      <w:r w:rsidRPr="00644D59">
        <w:rPr>
          <w:szCs w:val="20"/>
        </w:rPr>
        <w:t xml:space="preserve"> of the NIST Statistical Engineering Division.</w:t>
      </w:r>
    </w:p>
    <w:p w:rsidR="00644D59" w:rsidRPr="00644D59" w:rsidRDefault="00644D59">
      <w:pPr>
        <w:widowControl/>
        <w:rPr>
          <w:szCs w:val="20"/>
        </w:rPr>
      </w:pPr>
    </w:p>
    <w:p w:rsidR="004359B9" w:rsidRDefault="004359B9">
      <w:pPr>
        <w:pStyle w:val="BodyText"/>
        <w:widowControl/>
      </w:pPr>
      <w:r>
        <w:t xml:space="preserve">Support aspects involved with the issuance of this SRM were coordinated through the NIST </w:t>
      </w:r>
      <w:r w:rsidRPr="00B44A3E">
        <w:t>Office of Reference Materials</w:t>
      </w:r>
      <w:r>
        <w:t>.</w:t>
      </w:r>
    </w:p>
    <w:p w:rsidR="004359B9" w:rsidRDefault="004359B9">
      <w:pPr>
        <w:pStyle w:val="BodyText"/>
        <w:widowControl/>
        <w:tabs>
          <w:tab w:val="right" w:pos="9360"/>
        </w:tabs>
        <w:spacing w:before="60"/>
      </w:pPr>
      <w:r>
        <w:tab/>
      </w:r>
      <w:r w:rsidRPr="0061471B">
        <w:t>Carlos</w:t>
      </w:r>
      <w:r>
        <w:t> A. </w:t>
      </w:r>
      <w:r w:rsidRPr="0061471B">
        <w:t>Gonzalez</w:t>
      </w:r>
      <w:r>
        <w:t>, Chief</w:t>
      </w:r>
    </w:p>
    <w:p w:rsidR="004359B9" w:rsidRDefault="004359B9">
      <w:pPr>
        <w:pStyle w:val="BodyText"/>
        <w:widowControl/>
        <w:tabs>
          <w:tab w:val="right" w:pos="9360"/>
          <w:tab w:val="right" w:pos="10080"/>
        </w:tabs>
      </w:pPr>
      <w:r>
        <w:tab/>
      </w:r>
      <w:r w:rsidRPr="0061471B">
        <w:t>Chemical Sciences Division</w:t>
      </w:r>
    </w:p>
    <w:p w:rsidR="004359B9" w:rsidRPr="00664B56" w:rsidRDefault="004359B9">
      <w:pPr>
        <w:pStyle w:val="BodyText"/>
        <w:widowControl/>
        <w:tabs>
          <w:tab w:val="right" w:pos="9360"/>
        </w:tabs>
      </w:pPr>
    </w:p>
    <w:p w:rsidR="004359B9" w:rsidRPr="001453FF" w:rsidRDefault="004359B9">
      <w:pPr>
        <w:pStyle w:val="BodyText"/>
        <w:widowControl/>
        <w:tabs>
          <w:tab w:val="right" w:pos="9360"/>
          <w:tab w:val="right" w:pos="10080"/>
        </w:tabs>
      </w:pPr>
      <w:r>
        <w:t>Gaithersburg, MD </w:t>
      </w:r>
      <w:r w:rsidRPr="001453FF">
        <w:t>20899</w:t>
      </w:r>
      <w:r w:rsidRPr="001453FF">
        <w:tab/>
      </w:r>
      <w:r w:rsidR="009279B2">
        <w:t>Steven J. Choquette</w:t>
      </w:r>
      <w:r w:rsidRPr="001453FF">
        <w:t>, Director</w:t>
      </w:r>
    </w:p>
    <w:p w:rsidR="004359B9" w:rsidRPr="00981FCE" w:rsidRDefault="004359B9">
      <w:pPr>
        <w:widowControl/>
        <w:tabs>
          <w:tab w:val="right" w:pos="9360"/>
        </w:tabs>
        <w:rPr>
          <w:szCs w:val="20"/>
        </w:rPr>
      </w:pPr>
      <w:r w:rsidRPr="00981FCE">
        <w:rPr>
          <w:szCs w:val="20"/>
        </w:rPr>
        <w:t xml:space="preserve">Certificate Issue Date:  </w:t>
      </w:r>
      <w:r w:rsidR="00236CC4">
        <w:rPr>
          <w:szCs w:val="20"/>
        </w:rPr>
        <w:t>1</w:t>
      </w:r>
      <w:r w:rsidR="00236CC4">
        <w:rPr>
          <w:szCs w:val="20"/>
        </w:rPr>
        <w:t>6</w:t>
      </w:r>
      <w:r w:rsidR="00236CC4">
        <w:rPr>
          <w:szCs w:val="20"/>
        </w:rPr>
        <w:t> </w:t>
      </w:r>
      <w:r w:rsidR="009279B2">
        <w:rPr>
          <w:szCs w:val="20"/>
        </w:rPr>
        <w:t>February 2018</w:t>
      </w:r>
      <w:r w:rsidRPr="00981FCE">
        <w:rPr>
          <w:szCs w:val="20"/>
        </w:rPr>
        <w:tab/>
      </w:r>
      <w:r w:rsidRPr="00981FCE">
        <w:rPr>
          <w:spacing w:val="-2"/>
          <w:szCs w:val="20"/>
        </w:rPr>
        <w:t>Office of Reference Materials</w:t>
      </w:r>
    </w:p>
    <w:p w:rsidR="00981FCE" w:rsidRDefault="00981FCE">
      <w:pPr>
        <w:widowControl/>
        <w:autoSpaceDE/>
        <w:autoSpaceDN/>
        <w:adjustRightInd/>
        <w:rPr>
          <w:b/>
          <w:bCs/>
          <w:szCs w:val="20"/>
        </w:rPr>
      </w:pPr>
      <w:r>
        <w:rPr>
          <w:bCs/>
          <w:i/>
          <w:sz w:val="16"/>
          <w:szCs w:val="16"/>
        </w:rPr>
        <w:t>Certificate Revision History on Last Page</w:t>
      </w:r>
      <w:r>
        <w:rPr>
          <w:b/>
          <w:bCs/>
          <w:szCs w:val="20"/>
        </w:rPr>
        <w:br w:type="page"/>
      </w:r>
    </w:p>
    <w:p w:rsidR="009F75C6" w:rsidRDefault="009F75C6">
      <w:pPr>
        <w:widowControl/>
        <w:rPr>
          <w:b/>
          <w:bCs/>
          <w:szCs w:val="20"/>
        </w:rPr>
      </w:pPr>
      <w:r w:rsidRPr="00051629">
        <w:rPr>
          <w:b/>
          <w:bCs/>
          <w:szCs w:val="20"/>
        </w:rPr>
        <w:lastRenderedPageBreak/>
        <w:t>INSTRUCTIONS FOR USE</w:t>
      </w:r>
    </w:p>
    <w:p w:rsidR="00C578B8" w:rsidRPr="0001193F" w:rsidRDefault="00C578B8">
      <w:pPr>
        <w:widowControl/>
        <w:rPr>
          <w:bCs/>
          <w:szCs w:val="20"/>
        </w:rPr>
      </w:pPr>
    </w:p>
    <w:p w:rsidR="00485D9B" w:rsidRDefault="00ED5A61">
      <w:pPr>
        <w:widowControl/>
        <w:tabs>
          <w:tab w:val="left" w:pos="583"/>
        </w:tabs>
        <w:rPr>
          <w:bCs/>
          <w:szCs w:val="20"/>
        </w:rPr>
      </w:pPr>
      <w:r>
        <w:rPr>
          <w:bCs/>
          <w:szCs w:val="20"/>
        </w:rPr>
        <w:t xml:space="preserve">The </w:t>
      </w:r>
      <w:r w:rsidR="002270E0">
        <w:rPr>
          <w:bCs/>
          <w:szCs w:val="20"/>
        </w:rPr>
        <w:t>pouch</w:t>
      </w:r>
      <w:r>
        <w:rPr>
          <w:bCs/>
          <w:szCs w:val="20"/>
        </w:rPr>
        <w:t xml:space="preserve"> of powder should be kept sealed, as</w:t>
      </w:r>
      <w:r w:rsidR="00673853">
        <w:rPr>
          <w:bCs/>
          <w:szCs w:val="20"/>
        </w:rPr>
        <w:t xml:space="preserve"> </w:t>
      </w:r>
      <w:r>
        <w:rPr>
          <w:bCs/>
          <w:szCs w:val="20"/>
        </w:rPr>
        <w:t>delivered</w:t>
      </w:r>
      <w:r w:rsidR="00673853">
        <w:rPr>
          <w:bCs/>
          <w:szCs w:val="20"/>
        </w:rPr>
        <w:t>,</w:t>
      </w:r>
      <w:r>
        <w:rPr>
          <w:bCs/>
          <w:szCs w:val="20"/>
        </w:rPr>
        <w:t xml:space="preserve"> until it is needed for the first time</w:t>
      </w:r>
      <w:r w:rsidR="004A310A" w:rsidRPr="00051629">
        <w:rPr>
          <w:bCs/>
          <w:szCs w:val="20"/>
        </w:rPr>
        <w:t xml:space="preserve">.  </w:t>
      </w:r>
      <w:r>
        <w:rPr>
          <w:bCs/>
          <w:szCs w:val="20"/>
        </w:rPr>
        <w:t xml:space="preserve">It is recommended </w:t>
      </w:r>
      <w:r w:rsidR="00673853">
        <w:rPr>
          <w:bCs/>
          <w:szCs w:val="20"/>
        </w:rPr>
        <w:t>that the pouch be opened</w:t>
      </w:r>
      <w:r>
        <w:rPr>
          <w:bCs/>
          <w:szCs w:val="20"/>
        </w:rPr>
        <w:t xml:space="preserve"> by cutting straight across </w:t>
      </w:r>
      <w:r w:rsidR="000C185A">
        <w:rPr>
          <w:bCs/>
          <w:szCs w:val="20"/>
        </w:rPr>
        <w:t>at</w:t>
      </w:r>
      <w:r>
        <w:rPr>
          <w:bCs/>
          <w:szCs w:val="20"/>
        </w:rPr>
        <w:t xml:space="preserve"> the heat-sealed end.  </w:t>
      </w:r>
      <w:r w:rsidRPr="00051629">
        <w:rPr>
          <w:bCs/>
          <w:szCs w:val="20"/>
        </w:rPr>
        <w:t xml:space="preserve">When not in use, the material should be stored in its original </w:t>
      </w:r>
      <w:r w:rsidR="00673853">
        <w:rPr>
          <w:bCs/>
          <w:szCs w:val="20"/>
        </w:rPr>
        <w:t>pouch</w:t>
      </w:r>
      <w:r w:rsidR="00673853" w:rsidRPr="00051629">
        <w:rPr>
          <w:bCs/>
          <w:szCs w:val="20"/>
        </w:rPr>
        <w:t xml:space="preserve"> </w:t>
      </w:r>
      <w:r w:rsidR="00B41B70">
        <w:rPr>
          <w:bCs/>
          <w:szCs w:val="20"/>
        </w:rPr>
        <w:t>placed inside a tightly sealed container</w:t>
      </w:r>
      <w:r w:rsidRPr="00051629">
        <w:rPr>
          <w:bCs/>
          <w:szCs w:val="20"/>
        </w:rPr>
        <w:t xml:space="preserve">.  </w:t>
      </w:r>
      <w:r>
        <w:rPr>
          <w:bCs/>
          <w:szCs w:val="20"/>
        </w:rPr>
        <w:t xml:space="preserve">It is recommended </w:t>
      </w:r>
      <w:r w:rsidR="00673853">
        <w:rPr>
          <w:bCs/>
          <w:szCs w:val="20"/>
        </w:rPr>
        <w:t>that the open end be folded</w:t>
      </w:r>
      <w:r>
        <w:rPr>
          <w:bCs/>
          <w:szCs w:val="20"/>
        </w:rPr>
        <w:t xml:space="preserve"> once or twice and clip</w:t>
      </w:r>
      <w:r w:rsidR="00673853">
        <w:rPr>
          <w:bCs/>
          <w:szCs w:val="20"/>
        </w:rPr>
        <w:t>ped</w:t>
      </w:r>
      <w:r>
        <w:rPr>
          <w:bCs/>
          <w:szCs w:val="20"/>
        </w:rPr>
        <w:t xml:space="preserve"> shut.  </w:t>
      </w:r>
      <w:r w:rsidR="000C185A" w:rsidRPr="00051629">
        <w:rPr>
          <w:bCs/>
          <w:szCs w:val="20"/>
        </w:rPr>
        <w:t xml:space="preserve">The user is cautioned to use care when </w:t>
      </w:r>
      <w:r w:rsidR="000C185A">
        <w:rPr>
          <w:bCs/>
          <w:szCs w:val="20"/>
        </w:rPr>
        <w:t xml:space="preserve">deciding </w:t>
      </w:r>
      <w:r w:rsidR="00673853">
        <w:rPr>
          <w:bCs/>
          <w:szCs w:val="20"/>
        </w:rPr>
        <w:t xml:space="preserve">whether </w:t>
      </w:r>
      <w:r w:rsidR="000C185A">
        <w:rPr>
          <w:bCs/>
          <w:szCs w:val="20"/>
        </w:rPr>
        <w:t xml:space="preserve">to transfer the contents of a </w:t>
      </w:r>
      <w:r w:rsidR="002270E0">
        <w:rPr>
          <w:bCs/>
          <w:szCs w:val="20"/>
        </w:rPr>
        <w:t>pouch</w:t>
      </w:r>
      <w:r w:rsidR="000C185A">
        <w:rPr>
          <w:bCs/>
          <w:szCs w:val="20"/>
        </w:rPr>
        <w:t xml:space="preserve"> to a new container as </w:t>
      </w:r>
      <w:r w:rsidR="000C185A" w:rsidRPr="00051629">
        <w:rPr>
          <w:bCs/>
          <w:szCs w:val="20"/>
        </w:rPr>
        <w:t>th</w:t>
      </w:r>
      <w:r w:rsidR="000C185A">
        <w:rPr>
          <w:bCs/>
          <w:szCs w:val="20"/>
        </w:rPr>
        <w:t>is</w:t>
      </w:r>
      <w:r w:rsidR="000C185A" w:rsidRPr="00051629">
        <w:rPr>
          <w:bCs/>
          <w:szCs w:val="20"/>
        </w:rPr>
        <w:t xml:space="preserve"> may contaminate the </w:t>
      </w:r>
      <w:r w:rsidR="000C185A">
        <w:rPr>
          <w:bCs/>
          <w:szCs w:val="20"/>
        </w:rPr>
        <w:t>SRM</w:t>
      </w:r>
      <w:r w:rsidR="000C185A" w:rsidRPr="00051629">
        <w:rPr>
          <w:bCs/>
          <w:szCs w:val="20"/>
        </w:rPr>
        <w:t xml:space="preserve">.  </w:t>
      </w:r>
      <w:r w:rsidR="004A310A" w:rsidRPr="00051629">
        <w:rPr>
          <w:bCs/>
          <w:szCs w:val="20"/>
        </w:rPr>
        <w:t xml:space="preserve">The </w:t>
      </w:r>
      <w:r w:rsidR="00707A9D">
        <w:rPr>
          <w:bCs/>
          <w:szCs w:val="20"/>
        </w:rPr>
        <w:t xml:space="preserve">material is certified on </w:t>
      </w:r>
      <w:r w:rsidR="00673853">
        <w:rPr>
          <w:bCs/>
          <w:szCs w:val="20"/>
        </w:rPr>
        <w:t xml:space="preserve">an </w:t>
      </w:r>
      <w:r w:rsidR="00707A9D">
        <w:rPr>
          <w:bCs/>
          <w:szCs w:val="20"/>
        </w:rPr>
        <w:t>as-received basis</w:t>
      </w:r>
      <w:r w:rsidR="004A310A" w:rsidRPr="00051629">
        <w:rPr>
          <w:bCs/>
          <w:szCs w:val="20"/>
        </w:rPr>
        <w:t xml:space="preserve">.  </w:t>
      </w:r>
      <w:r w:rsidR="00707A9D">
        <w:rPr>
          <w:bCs/>
          <w:szCs w:val="20"/>
        </w:rPr>
        <w:t xml:space="preserve">No preparation is needed prior to analysis.  </w:t>
      </w:r>
      <w:r w:rsidR="00D970A1">
        <w:rPr>
          <w:bCs/>
          <w:szCs w:val="20"/>
        </w:rPr>
        <w:t>The minimum tested mass for a single determination was 0.</w:t>
      </w:r>
      <w:r w:rsidR="009279B2">
        <w:rPr>
          <w:bCs/>
          <w:szCs w:val="20"/>
        </w:rPr>
        <w:t>9 </w:t>
      </w:r>
      <w:r w:rsidR="00D970A1">
        <w:rPr>
          <w:bCs/>
          <w:szCs w:val="20"/>
        </w:rPr>
        <w:t>g.</w:t>
      </w:r>
    </w:p>
    <w:p w:rsidR="008D4D08" w:rsidRDefault="008D4D08">
      <w:pPr>
        <w:widowControl/>
        <w:tabs>
          <w:tab w:val="left" w:pos="583"/>
        </w:tabs>
        <w:spacing w:line="238" w:lineRule="exact"/>
        <w:rPr>
          <w:bCs/>
          <w:szCs w:val="20"/>
        </w:rPr>
      </w:pPr>
    </w:p>
    <w:p w:rsidR="0074720D" w:rsidRPr="00981FCE" w:rsidRDefault="0074720D">
      <w:pPr>
        <w:widowControl/>
        <w:tabs>
          <w:tab w:val="left" w:pos="583"/>
        </w:tabs>
        <w:spacing w:line="238" w:lineRule="exact"/>
        <w:rPr>
          <w:b/>
          <w:bCs/>
          <w:szCs w:val="20"/>
        </w:rPr>
      </w:pPr>
      <w:r w:rsidRPr="0074720D">
        <w:rPr>
          <w:b/>
          <w:bCs/>
          <w:szCs w:val="20"/>
        </w:rPr>
        <w:t xml:space="preserve">PREPARATION AND </w:t>
      </w:r>
      <w:proofErr w:type="gramStart"/>
      <w:r w:rsidRPr="0074720D">
        <w:rPr>
          <w:b/>
          <w:bCs/>
          <w:szCs w:val="20"/>
        </w:rPr>
        <w:t>ANALYSIS</w:t>
      </w:r>
      <w:r w:rsidR="00981FCE">
        <w:rPr>
          <w:b/>
          <w:bCs/>
          <w:szCs w:val="20"/>
          <w:vertAlign w:val="superscript"/>
        </w:rPr>
        <w:t>(</w:t>
      </w:r>
      <w:proofErr w:type="gramEnd"/>
      <w:r w:rsidRPr="0074720D">
        <w:rPr>
          <w:bCs/>
          <w:szCs w:val="20"/>
          <w:vertAlign w:val="superscript"/>
        </w:rPr>
        <w:footnoteReference w:id="1"/>
      </w:r>
      <w:r w:rsidR="00981FCE" w:rsidRPr="00981FCE">
        <w:rPr>
          <w:b/>
          <w:bCs/>
          <w:szCs w:val="20"/>
          <w:vertAlign w:val="superscript"/>
        </w:rPr>
        <w:t>)</w:t>
      </w:r>
    </w:p>
    <w:p w:rsidR="0074720D" w:rsidRPr="0074720D" w:rsidRDefault="0074720D">
      <w:pPr>
        <w:widowControl/>
        <w:tabs>
          <w:tab w:val="left" w:pos="583"/>
        </w:tabs>
        <w:spacing w:line="238" w:lineRule="exact"/>
        <w:rPr>
          <w:bCs/>
          <w:szCs w:val="20"/>
        </w:rPr>
      </w:pPr>
    </w:p>
    <w:p w:rsidR="009C53D5" w:rsidRPr="009C53D5" w:rsidRDefault="009C53D5">
      <w:pPr>
        <w:widowControl/>
        <w:tabs>
          <w:tab w:val="left" w:pos="583"/>
        </w:tabs>
        <w:rPr>
          <w:bCs/>
          <w:szCs w:val="20"/>
        </w:rPr>
      </w:pPr>
      <w:r w:rsidRPr="009C53D5">
        <w:rPr>
          <w:bCs/>
          <w:szCs w:val="20"/>
        </w:rPr>
        <w:t>All material was dried at 105</w:t>
      </w:r>
      <w:r w:rsidR="000F48D3">
        <w:rPr>
          <w:bCs/>
          <w:szCs w:val="20"/>
        </w:rPr>
        <w:t> </w:t>
      </w:r>
      <w:r w:rsidRPr="009C53D5">
        <w:rPr>
          <w:bCs/>
          <w:szCs w:val="20"/>
        </w:rPr>
        <w:t xml:space="preserve">ºC to a constant mass, then de-oiled with repeated washes of acetone to achieve a constant mass.  </w:t>
      </w:r>
      <w:r w:rsidR="00DA1A26">
        <w:rPr>
          <w:szCs w:val="20"/>
        </w:rPr>
        <w:t>At Highland Valley Copper, all material was screen-classified to pass a 53</w:t>
      </w:r>
      <w:r w:rsidR="000F48D3">
        <w:rPr>
          <w:szCs w:val="20"/>
        </w:rPr>
        <w:t> </w:t>
      </w:r>
      <w:r w:rsidR="00DA1A26">
        <w:rPr>
          <w:szCs w:val="20"/>
        </w:rPr>
        <w:t>μm (270</w:t>
      </w:r>
      <w:r w:rsidR="000F48D3">
        <w:rPr>
          <w:szCs w:val="20"/>
        </w:rPr>
        <w:t> </w:t>
      </w:r>
      <w:r w:rsidR="00DA1A26">
        <w:rPr>
          <w:szCs w:val="20"/>
        </w:rPr>
        <w:t>mesh) sieve with all oversize material removed.</w:t>
      </w:r>
      <w:r w:rsidRPr="009C53D5">
        <w:rPr>
          <w:bCs/>
          <w:szCs w:val="20"/>
        </w:rPr>
        <w:t xml:space="preserve">  Dry, </w:t>
      </w:r>
      <w:r w:rsidR="00EC3EE9" w:rsidRPr="009C53D5">
        <w:rPr>
          <w:bCs/>
          <w:szCs w:val="20"/>
        </w:rPr>
        <w:t>volatiles</w:t>
      </w:r>
      <w:r w:rsidR="00EC3EE9">
        <w:rPr>
          <w:bCs/>
          <w:szCs w:val="20"/>
        </w:rPr>
        <w:t>-</w:t>
      </w:r>
      <w:r w:rsidRPr="009C53D5">
        <w:rPr>
          <w:bCs/>
          <w:szCs w:val="20"/>
        </w:rPr>
        <w:t>free material was blended and sealed in foil-covered plastic pouches to maintain future integrity of the materials.  Measurements for homogeneity testing of SRM</w:t>
      </w:r>
      <w:r w:rsidR="000F48D3">
        <w:rPr>
          <w:bCs/>
          <w:szCs w:val="20"/>
        </w:rPr>
        <w:t> </w:t>
      </w:r>
      <w:r w:rsidR="00EC3EE9">
        <w:rPr>
          <w:bCs/>
          <w:szCs w:val="20"/>
        </w:rPr>
        <w:t>333a</w:t>
      </w:r>
      <w:r w:rsidR="00EC3EE9" w:rsidRPr="009C53D5">
        <w:rPr>
          <w:bCs/>
          <w:szCs w:val="20"/>
        </w:rPr>
        <w:t xml:space="preserve"> </w:t>
      </w:r>
      <w:r w:rsidRPr="009C53D5">
        <w:rPr>
          <w:bCs/>
          <w:szCs w:val="20"/>
        </w:rPr>
        <w:t xml:space="preserve">were performed at NIST using X-ray fluorescence spectrometry.  Determinations for value assignments were provided by </w:t>
      </w:r>
      <w:r w:rsidR="00D777EA">
        <w:rPr>
          <w:bCs/>
          <w:szCs w:val="20"/>
        </w:rPr>
        <w:t xml:space="preserve">NIST and by </w:t>
      </w:r>
      <w:r w:rsidRPr="009C53D5">
        <w:rPr>
          <w:bCs/>
          <w:szCs w:val="20"/>
        </w:rPr>
        <w:t>the collaborating laboratories listed in Appendix</w:t>
      </w:r>
      <w:r w:rsidR="00007441">
        <w:rPr>
          <w:bCs/>
          <w:szCs w:val="20"/>
        </w:rPr>
        <w:t> </w:t>
      </w:r>
      <w:r w:rsidRPr="009C53D5">
        <w:rPr>
          <w:bCs/>
          <w:szCs w:val="20"/>
        </w:rPr>
        <w:t>A.</w:t>
      </w:r>
    </w:p>
    <w:p w:rsidR="0074720D" w:rsidRPr="0074720D" w:rsidRDefault="0074720D">
      <w:pPr>
        <w:widowControl/>
        <w:tabs>
          <w:tab w:val="left" w:pos="583"/>
        </w:tabs>
        <w:spacing w:line="238" w:lineRule="exact"/>
        <w:rPr>
          <w:bCs/>
          <w:szCs w:val="20"/>
        </w:rPr>
      </w:pPr>
    </w:p>
    <w:p w:rsidR="001D2934" w:rsidRPr="00051629" w:rsidRDefault="001D2934">
      <w:pPr>
        <w:pStyle w:val="TxBrc5"/>
        <w:widowControl/>
        <w:tabs>
          <w:tab w:val="left" w:pos="583"/>
          <w:tab w:val="left" w:pos="3960"/>
        </w:tabs>
        <w:spacing w:line="240" w:lineRule="auto"/>
        <w:rPr>
          <w:szCs w:val="20"/>
        </w:rPr>
      </w:pPr>
      <w:r w:rsidRPr="00051629">
        <w:rPr>
          <w:szCs w:val="20"/>
        </w:rPr>
        <w:t>Table 1.</w:t>
      </w:r>
      <w:r>
        <w:rPr>
          <w:szCs w:val="20"/>
        </w:rPr>
        <w:t xml:space="preserve"> </w:t>
      </w:r>
      <w:r w:rsidRPr="00051629">
        <w:rPr>
          <w:szCs w:val="20"/>
        </w:rPr>
        <w:t xml:space="preserve"> Certified </w:t>
      </w:r>
      <w:r w:rsidR="009E6468">
        <w:rPr>
          <w:szCs w:val="20"/>
        </w:rPr>
        <w:t xml:space="preserve">Mass Fraction </w:t>
      </w:r>
      <w:r w:rsidRPr="00051629">
        <w:rPr>
          <w:szCs w:val="20"/>
        </w:rPr>
        <w:t xml:space="preserve">Values for SRM </w:t>
      </w:r>
      <w:r w:rsidR="00ED5A61">
        <w:rPr>
          <w:szCs w:val="20"/>
        </w:rPr>
        <w:t>333</w:t>
      </w:r>
      <w:r w:rsidRPr="00051629">
        <w:rPr>
          <w:szCs w:val="20"/>
        </w:rPr>
        <w:t>a</w:t>
      </w:r>
    </w:p>
    <w:p w:rsidR="00981FCE" w:rsidRDefault="00981FCE">
      <w:pPr>
        <w:pStyle w:val="TxBrp6"/>
        <w:widowControl/>
        <w:tabs>
          <w:tab w:val="clear" w:pos="583"/>
          <w:tab w:val="left" w:pos="6120"/>
        </w:tabs>
        <w:spacing w:line="238" w:lineRule="exact"/>
        <w:ind w:left="0"/>
        <w:rPr>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330"/>
      </w:tblGrid>
      <w:tr w:rsidR="00981FCE" w:rsidTr="00981FCE">
        <w:trPr>
          <w:cantSplit/>
          <w:jc w:val="center"/>
        </w:trPr>
        <w:tc>
          <w:tcPr>
            <w:tcW w:w="2515" w:type="dxa"/>
          </w:tcPr>
          <w:p w:rsidR="00981FCE" w:rsidRDefault="00981FCE">
            <w:pPr>
              <w:pStyle w:val="TxBrp6"/>
              <w:widowControl/>
              <w:tabs>
                <w:tab w:val="clear" w:pos="583"/>
                <w:tab w:val="left" w:pos="6120"/>
              </w:tabs>
              <w:spacing w:line="238" w:lineRule="exact"/>
              <w:ind w:left="0"/>
              <w:rPr>
                <w:szCs w:val="20"/>
              </w:rPr>
            </w:pPr>
            <w:r w:rsidRPr="00051629">
              <w:rPr>
                <w:szCs w:val="20"/>
              </w:rPr>
              <w:t>Constituent</w:t>
            </w:r>
          </w:p>
        </w:tc>
        <w:tc>
          <w:tcPr>
            <w:tcW w:w="3330" w:type="dxa"/>
          </w:tcPr>
          <w:p w:rsidR="00981FCE" w:rsidRDefault="00981FCE">
            <w:pPr>
              <w:pStyle w:val="TxBrp6"/>
              <w:widowControl/>
              <w:tabs>
                <w:tab w:val="clear" w:pos="583"/>
                <w:tab w:val="left" w:pos="6120"/>
              </w:tabs>
              <w:spacing w:line="238" w:lineRule="exact"/>
              <w:ind w:left="0"/>
              <w:jc w:val="center"/>
              <w:rPr>
                <w:szCs w:val="20"/>
              </w:rPr>
            </w:pPr>
            <w:r w:rsidRPr="00051629">
              <w:rPr>
                <w:szCs w:val="20"/>
              </w:rPr>
              <w:t>Mass Fraction</w:t>
            </w:r>
            <w:r>
              <w:rPr>
                <w:szCs w:val="20"/>
              </w:rPr>
              <w:br/>
            </w:r>
            <w:r w:rsidRPr="00051629">
              <w:rPr>
                <w:szCs w:val="20"/>
              </w:rPr>
              <w:t>(%)</w:t>
            </w:r>
          </w:p>
        </w:tc>
      </w:tr>
      <w:tr w:rsidR="00981FCE" w:rsidTr="00981FCE">
        <w:trPr>
          <w:cantSplit/>
          <w:jc w:val="center"/>
        </w:trPr>
        <w:tc>
          <w:tcPr>
            <w:tcW w:w="2515" w:type="dxa"/>
          </w:tcPr>
          <w:p w:rsidR="00981FCE" w:rsidRDefault="00981FCE" w:rsidP="009A60F7">
            <w:pPr>
              <w:pStyle w:val="TxBrp6"/>
              <w:widowControl/>
              <w:tabs>
                <w:tab w:val="clear" w:pos="583"/>
                <w:tab w:val="left" w:pos="6120"/>
              </w:tabs>
              <w:spacing w:line="238" w:lineRule="exact"/>
              <w:ind w:left="0"/>
              <w:rPr>
                <w:szCs w:val="20"/>
              </w:rPr>
            </w:pPr>
            <w:r>
              <w:rPr>
                <w:iCs/>
                <w:szCs w:val="20"/>
              </w:rPr>
              <w:t>Copper (Cu)</w:t>
            </w:r>
            <w:r w:rsidRPr="00B41B70">
              <w:rPr>
                <w:iCs/>
                <w:szCs w:val="20"/>
                <w:vertAlign w:val="superscript"/>
              </w:rPr>
              <w:t>(a)</w:t>
            </w:r>
          </w:p>
        </w:tc>
        <w:tc>
          <w:tcPr>
            <w:tcW w:w="3330" w:type="dxa"/>
          </w:tcPr>
          <w:p w:rsidR="00981FCE" w:rsidRDefault="00981FCE">
            <w:pPr>
              <w:pStyle w:val="TxBrp6"/>
              <w:widowControl/>
              <w:tabs>
                <w:tab w:val="clear" w:pos="583"/>
                <w:tab w:val="decimal" w:pos="882"/>
                <w:tab w:val="center" w:pos="1602"/>
                <w:tab w:val="decimal" w:pos="1962"/>
              </w:tabs>
              <w:spacing w:line="238" w:lineRule="exact"/>
              <w:ind w:left="0"/>
              <w:rPr>
                <w:szCs w:val="20"/>
              </w:rPr>
            </w:pPr>
            <w:r>
              <w:rPr>
                <w:iCs/>
                <w:szCs w:val="20"/>
              </w:rPr>
              <w:tab/>
              <w:t>0.0600</w:t>
            </w:r>
            <w:r>
              <w:rPr>
                <w:iCs/>
                <w:szCs w:val="20"/>
              </w:rPr>
              <w:tab/>
            </w:r>
            <w:r>
              <w:rPr>
                <w:szCs w:val="20"/>
                <w:lang w:val="it-IT"/>
              </w:rPr>
              <w:sym w:font="Symbol" w:char="F0B1"/>
            </w:r>
            <w:r>
              <w:rPr>
                <w:iCs/>
                <w:szCs w:val="20"/>
              </w:rPr>
              <w:tab/>
              <w:t>0.0036</w:t>
            </w:r>
          </w:p>
        </w:tc>
      </w:tr>
      <w:tr w:rsidR="00981FCE" w:rsidTr="00981FCE">
        <w:trPr>
          <w:cantSplit/>
          <w:jc w:val="center"/>
        </w:trPr>
        <w:tc>
          <w:tcPr>
            <w:tcW w:w="2515" w:type="dxa"/>
          </w:tcPr>
          <w:p w:rsidR="00981FCE" w:rsidRDefault="00981FCE" w:rsidP="009A60F7">
            <w:pPr>
              <w:pStyle w:val="TxBrp6"/>
              <w:widowControl/>
              <w:tabs>
                <w:tab w:val="clear" w:pos="583"/>
                <w:tab w:val="left" w:pos="6120"/>
              </w:tabs>
              <w:spacing w:line="238" w:lineRule="exact"/>
              <w:ind w:left="0"/>
              <w:rPr>
                <w:szCs w:val="20"/>
              </w:rPr>
            </w:pPr>
            <w:r>
              <w:rPr>
                <w:szCs w:val="20"/>
                <w:lang w:val="it-IT"/>
              </w:rPr>
              <w:t>Molybdenum (Mo)</w:t>
            </w:r>
            <w:r w:rsidRPr="00B41B70">
              <w:rPr>
                <w:szCs w:val="20"/>
                <w:vertAlign w:val="superscript"/>
                <w:lang w:val="it-IT"/>
              </w:rPr>
              <w:t>(b)</w:t>
            </w:r>
          </w:p>
        </w:tc>
        <w:tc>
          <w:tcPr>
            <w:tcW w:w="3330" w:type="dxa"/>
          </w:tcPr>
          <w:p w:rsidR="00981FCE" w:rsidRDefault="00981FCE">
            <w:pPr>
              <w:pStyle w:val="TxBrp6"/>
              <w:widowControl/>
              <w:tabs>
                <w:tab w:val="clear" w:pos="583"/>
                <w:tab w:val="decimal" w:pos="882"/>
                <w:tab w:val="center" w:pos="1602"/>
                <w:tab w:val="decimal" w:pos="1962"/>
              </w:tabs>
              <w:spacing w:line="238" w:lineRule="exact"/>
              <w:ind w:left="0"/>
              <w:rPr>
                <w:szCs w:val="20"/>
              </w:rPr>
            </w:pPr>
            <w:r w:rsidRPr="00D4091D">
              <w:rPr>
                <w:szCs w:val="20"/>
                <w:lang w:val="it-IT"/>
              </w:rPr>
              <w:tab/>
            </w:r>
            <w:r>
              <w:rPr>
                <w:szCs w:val="20"/>
                <w:lang w:val="it-IT"/>
              </w:rPr>
              <w:t>54.86</w:t>
            </w:r>
            <w:r>
              <w:rPr>
                <w:szCs w:val="20"/>
                <w:lang w:val="it-IT"/>
              </w:rPr>
              <w:tab/>
            </w:r>
            <w:r>
              <w:rPr>
                <w:szCs w:val="20"/>
                <w:lang w:val="it-IT"/>
              </w:rPr>
              <w:sym w:font="Symbol" w:char="F0B1"/>
            </w:r>
            <w:r w:rsidRPr="00D4091D">
              <w:rPr>
                <w:szCs w:val="20"/>
                <w:lang w:val="it-IT"/>
              </w:rPr>
              <w:tab/>
              <w:t>0.</w:t>
            </w:r>
            <w:r>
              <w:rPr>
                <w:szCs w:val="20"/>
                <w:lang w:val="it-IT"/>
              </w:rPr>
              <w:t>13</w:t>
            </w:r>
          </w:p>
        </w:tc>
      </w:tr>
    </w:tbl>
    <w:p w:rsidR="00B41B70" w:rsidRPr="00B41B70" w:rsidRDefault="00B41B70" w:rsidP="009A60F7">
      <w:pPr>
        <w:pStyle w:val="BodyText"/>
        <w:widowControl/>
        <w:tabs>
          <w:tab w:val="left" w:pos="180"/>
        </w:tabs>
        <w:spacing w:before="120"/>
        <w:ind w:left="180" w:hanging="180"/>
        <w:rPr>
          <w:sz w:val="18"/>
          <w:szCs w:val="18"/>
        </w:rPr>
      </w:pPr>
      <w:r w:rsidRPr="00B41B70">
        <w:rPr>
          <w:sz w:val="18"/>
          <w:szCs w:val="18"/>
          <w:vertAlign w:val="superscript"/>
        </w:rPr>
        <w:t>(a)</w:t>
      </w:r>
      <w:r>
        <w:rPr>
          <w:sz w:val="18"/>
          <w:szCs w:val="18"/>
        </w:rPr>
        <w:tab/>
      </w:r>
      <w:r w:rsidRPr="00B41B70">
        <w:rPr>
          <w:sz w:val="18"/>
          <w:szCs w:val="18"/>
        </w:rPr>
        <w:t xml:space="preserve">The </w:t>
      </w:r>
      <w:r w:rsidR="000F48D3">
        <w:rPr>
          <w:sz w:val="18"/>
          <w:szCs w:val="18"/>
        </w:rPr>
        <w:t xml:space="preserve">copper </w:t>
      </w:r>
      <w:r w:rsidRPr="00B41B70">
        <w:rPr>
          <w:sz w:val="18"/>
          <w:szCs w:val="18"/>
        </w:rPr>
        <w:t xml:space="preserve">value is the median of a set of results obtained by the collaborating laboratories using the test methods listed in </w:t>
      </w:r>
      <w:r w:rsidR="005B14CA">
        <w:rPr>
          <w:sz w:val="18"/>
          <w:szCs w:val="18"/>
        </w:rPr>
        <w:t>Table 4</w:t>
      </w:r>
      <w:r w:rsidRPr="00B41B70">
        <w:rPr>
          <w:sz w:val="18"/>
          <w:szCs w:val="18"/>
        </w:rPr>
        <w:t xml:space="preserve">.  The uncertainty of the value is expressed as an expanded uncertainty, </w:t>
      </w:r>
      <w:r w:rsidRPr="00B41B70">
        <w:rPr>
          <w:i/>
          <w:sz w:val="18"/>
          <w:szCs w:val="18"/>
        </w:rPr>
        <w:t>U</w:t>
      </w:r>
      <w:r w:rsidRPr="00B41B70">
        <w:rPr>
          <w:sz w:val="18"/>
          <w:szCs w:val="18"/>
        </w:rPr>
        <w:t>, and is calculated according to the method described in the ISO</w:t>
      </w:r>
      <w:r w:rsidR="0001193F">
        <w:rPr>
          <w:sz w:val="18"/>
          <w:szCs w:val="18"/>
        </w:rPr>
        <w:t>/JCGM</w:t>
      </w:r>
      <w:r w:rsidRPr="00B41B70">
        <w:rPr>
          <w:sz w:val="18"/>
          <w:szCs w:val="18"/>
        </w:rPr>
        <w:t xml:space="preserve"> Guide</w:t>
      </w:r>
      <w:r w:rsidR="0001193F">
        <w:rPr>
          <w:sz w:val="18"/>
          <w:szCs w:val="18"/>
        </w:rPr>
        <w:t> </w:t>
      </w:r>
      <w:r w:rsidRPr="00B41B70">
        <w:rPr>
          <w:sz w:val="18"/>
          <w:szCs w:val="18"/>
        </w:rPr>
        <w:t>[3].</w:t>
      </w:r>
      <w:r w:rsidR="0001193F">
        <w:rPr>
          <w:sz w:val="18"/>
          <w:szCs w:val="18"/>
        </w:rPr>
        <w:t xml:space="preserve"> </w:t>
      </w:r>
      <w:r w:rsidRPr="00B41B70">
        <w:rPr>
          <w:sz w:val="18"/>
          <w:szCs w:val="18"/>
        </w:rPr>
        <w:t xml:space="preserve"> The expanded uncertainty is calculated as </w:t>
      </w:r>
      <w:r w:rsidRPr="00B41B70">
        <w:rPr>
          <w:i/>
          <w:sz w:val="18"/>
          <w:szCs w:val="18"/>
        </w:rPr>
        <w:t>U</w:t>
      </w:r>
      <w:r w:rsidR="001E3BEE">
        <w:rPr>
          <w:sz w:val="18"/>
          <w:szCs w:val="18"/>
        </w:rPr>
        <w:t> </w:t>
      </w:r>
      <w:r w:rsidRPr="00B41B70">
        <w:rPr>
          <w:sz w:val="18"/>
          <w:szCs w:val="18"/>
        </w:rPr>
        <w:t>=</w:t>
      </w:r>
      <w:r w:rsidR="001E3BEE">
        <w:rPr>
          <w:sz w:val="18"/>
          <w:szCs w:val="18"/>
        </w:rPr>
        <w:t> </w:t>
      </w:r>
      <w:r w:rsidRPr="00B41B70">
        <w:rPr>
          <w:i/>
          <w:sz w:val="18"/>
          <w:szCs w:val="18"/>
        </w:rPr>
        <w:t>ku</w:t>
      </w:r>
      <w:r w:rsidRPr="00B41B70">
        <w:rPr>
          <w:sz w:val="18"/>
          <w:szCs w:val="18"/>
          <w:vertAlign w:val="subscript"/>
        </w:rPr>
        <w:t>c</w:t>
      </w:r>
      <w:r w:rsidRPr="00B41B70">
        <w:rPr>
          <w:sz w:val="18"/>
          <w:szCs w:val="18"/>
        </w:rPr>
        <w:t xml:space="preserve">, where </w:t>
      </w:r>
      <w:r w:rsidRPr="00B41B70">
        <w:rPr>
          <w:i/>
          <w:sz w:val="18"/>
          <w:szCs w:val="18"/>
        </w:rPr>
        <w:t>u</w:t>
      </w:r>
      <w:r w:rsidRPr="00B41B70">
        <w:rPr>
          <w:sz w:val="18"/>
          <w:szCs w:val="18"/>
          <w:vertAlign w:val="subscript"/>
        </w:rPr>
        <w:t>c</w:t>
      </w:r>
      <w:r w:rsidRPr="00B41B70">
        <w:rPr>
          <w:sz w:val="18"/>
          <w:szCs w:val="18"/>
        </w:rPr>
        <w:t xml:space="preserve"> is calculated, at the level of one standard deviation, by combining a between-method variance, estimated from the median absolute deviation of the laboratory results from the median, with the pooled standard deviation of the laboratory means.  The median absolute deviation was expanded by a factor of 1.483 in recognition of the fact that it underestimates the true standard uncertainty of a data set.  The coverage factor, </w:t>
      </w:r>
      <w:r w:rsidRPr="00B41B70">
        <w:rPr>
          <w:i/>
          <w:sz w:val="18"/>
          <w:szCs w:val="18"/>
        </w:rPr>
        <w:t>k</w:t>
      </w:r>
      <w:r w:rsidRPr="00B41B70">
        <w:rPr>
          <w:sz w:val="18"/>
          <w:szCs w:val="18"/>
        </w:rPr>
        <w:t> = 2, was chosen to approximate a 95</w:t>
      </w:r>
      <w:r w:rsidR="001E3BEE">
        <w:rPr>
          <w:sz w:val="18"/>
          <w:szCs w:val="18"/>
        </w:rPr>
        <w:t> </w:t>
      </w:r>
      <w:r w:rsidRPr="00B41B70">
        <w:rPr>
          <w:sz w:val="18"/>
          <w:szCs w:val="18"/>
        </w:rPr>
        <w:t>% confidence level</w:t>
      </w:r>
      <w:r w:rsidR="005B14CA">
        <w:rPr>
          <w:sz w:val="18"/>
          <w:szCs w:val="18"/>
        </w:rPr>
        <w:t> </w:t>
      </w:r>
      <w:r w:rsidRPr="00B41B70">
        <w:rPr>
          <w:sz w:val="18"/>
          <w:szCs w:val="18"/>
        </w:rPr>
        <w:t>[4].</w:t>
      </w:r>
    </w:p>
    <w:p w:rsidR="00981FCE" w:rsidRDefault="00B41B70">
      <w:pPr>
        <w:pStyle w:val="BodyText"/>
        <w:widowControl/>
        <w:tabs>
          <w:tab w:val="left" w:pos="180"/>
        </w:tabs>
        <w:ind w:left="180" w:hanging="180"/>
        <w:rPr>
          <w:sz w:val="18"/>
          <w:szCs w:val="18"/>
        </w:rPr>
      </w:pPr>
      <w:r w:rsidRPr="00B41B70">
        <w:rPr>
          <w:sz w:val="18"/>
          <w:szCs w:val="18"/>
          <w:vertAlign w:val="superscript"/>
        </w:rPr>
        <w:t>(b)</w:t>
      </w:r>
      <w:r>
        <w:rPr>
          <w:sz w:val="18"/>
          <w:szCs w:val="18"/>
        </w:rPr>
        <w:tab/>
      </w:r>
      <w:r w:rsidRPr="00B41B70">
        <w:rPr>
          <w:sz w:val="18"/>
          <w:szCs w:val="18"/>
        </w:rPr>
        <w:t>The</w:t>
      </w:r>
      <w:r w:rsidR="000F48D3">
        <w:rPr>
          <w:sz w:val="18"/>
          <w:szCs w:val="18"/>
        </w:rPr>
        <w:t xml:space="preserve"> molybdenum</w:t>
      </w:r>
      <w:r w:rsidRPr="00B41B70">
        <w:rPr>
          <w:sz w:val="18"/>
          <w:szCs w:val="18"/>
        </w:rPr>
        <w:t xml:space="preserve"> value is the weighted mean of a set of results obtained using the test methods listed in </w:t>
      </w:r>
      <w:r w:rsidR="005B14CA">
        <w:rPr>
          <w:sz w:val="18"/>
          <w:szCs w:val="18"/>
        </w:rPr>
        <w:t>Table 4 </w:t>
      </w:r>
      <w:r w:rsidRPr="00B41B70">
        <w:rPr>
          <w:sz w:val="18"/>
          <w:szCs w:val="18"/>
        </w:rPr>
        <w:t xml:space="preserve">[5].  The uncertainty of the value is expressed as an expanded uncertainty, </w:t>
      </w:r>
      <w:r w:rsidRPr="00B41B70">
        <w:rPr>
          <w:i/>
          <w:sz w:val="18"/>
          <w:szCs w:val="18"/>
        </w:rPr>
        <w:t>U</w:t>
      </w:r>
      <w:r w:rsidRPr="00B41B70">
        <w:rPr>
          <w:sz w:val="18"/>
          <w:szCs w:val="18"/>
        </w:rPr>
        <w:t>, and is calculated according to the method described in the ISO</w:t>
      </w:r>
      <w:r w:rsidR="0001193F">
        <w:rPr>
          <w:sz w:val="18"/>
          <w:szCs w:val="18"/>
        </w:rPr>
        <w:t>/JCGM</w:t>
      </w:r>
      <w:r w:rsidRPr="00B41B70">
        <w:rPr>
          <w:sz w:val="18"/>
          <w:szCs w:val="18"/>
        </w:rPr>
        <w:t xml:space="preserve"> Guide</w:t>
      </w:r>
      <w:r w:rsidR="0001193F">
        <w:rPr>
          <w:sz w:val="18"/>
          <w:szCs w:val="18"/>
        </w:rPr>
        <w:t> </w:t>
      </w:r>
      <w:r w:rsidRPr="00B41B70">
        <w:rPr>
          <w:sz w:val="18"/>
          <w:szCs w:val="18"/>
        </w:rPr>
        <w:t xml:space="preserve">[3].  The expanded uncertainty is calculated as </w:t>
      </w:r>
      <w:r w:rsidRPr="00B41B70">
        <w:rPr>
          <w:i/>
          <w:sz w:val="18"/>
          <w:szCs w:val="18"/>
        </w:rPr>
        <w:t>U</w:t>
      </w:r>
      <w:r>
        <w:rPr>
          <w:sz w:val="18"/>
          <w:szCs w:val="18"/>
        </w:rPr>
        <w:t> </w:t>
      </w:r>
      <w:r w:rsidRPr="00B41B70">
        <w:rPr>
          <w:sz w:val="18"/>
          <w:szCs w:val="18"/>
        </w:rPr>
        <w:t>=</w:t>
      </w:r>
      <w:r>
        <w:rPr>
          <w:sz w:val="18"/>
          <w:szCs w:val="18"/>
        </w:rPr>
        <w:t> </w:t>
      </w:r>
      <w:r w:rsidRPr="00B41B70">
        <w:rPr>
          <w:i/>
          <w:sz w:val="18"/>
          <w:szCs w:val="18"/>
        </w:rPr>
        <w:t>ku</w:t>
      </w:r>
      <w:r w:rsidRPr="00B41B70">
        <w:rPr>
          <w:sz w:val="18"/>
          <w:szCs w:val="18"/>
          <w:vertAlign w:val="subscript"/>
        </w:rPr>
        <w:t>c</w:t>
      </w:r>
      <w:r w:rsidRPr="00B41B70">
        <w:rPr>
          <w:sz w:val="18"/>
          <w:szCs w:val="18"/>
        </w:rPr>
        <w:t xml:space="preserve">, where </w:t>
      </w:r>
      <w:r w:rsidRPr="00B41B70">
        <w:rPr>
          <w:i/>
          <w:sz w:val="18"/>
          <w:szCs w:val="18"/>
        </w:rPr>
        <w:t>u</w:t>
      </w:r>
      <w:r w:rsidRPr="00B41B70">
        <w:rPr>
          <w:sz w:val="18"/>
          <w:szCs w:val="18"/>
          <w:vertAlign w:val="subscript"/>
        </w:rPr>
        <w:t>c</w:t>
      </w:r>
      <w:r w:rsidRPr="00B41B70">
        <w:rPr>
          <w:sz w:val="18"/>
          <w:szCs w:val="18"/>
        </w:rPr>
        <w:t xml:space="preserve"> is calculated, at the level of one standard deviation, by combining a between-method variance and a pooled, within-method variance.  The coverage factor, </w:t>
      </w:r>
      <w:r w:rsidRPr="00B41B70">
        <w:rPr>
          <w:i/>
          <w:sz w:val="18"/>
          <w:szCs w:val="18"/>
        </w:rPr>
        <w:t>k</w:t>
      </w:r>
      <w:r w:rsidRPr="00B41B70">
        <w:rPr>
          <w:sz w:val="18"/>
          <w:szCs w:val="18"/>
        </w:rPr>
        <w:t> = 2, was chosen to approximate a 95 % confidence level</w:t>
      </w:r>
      <w:r w:rsidR="001E3BEE">
        <w:rPr>
          <w:sz w:val="18"/>
          <w:szCs w:val="18"/>
        </w:rPr>
        <w:t> </w:t>
      </w:r>
      <w:r w:rsidRPr="00B41B70">
        <w:rPr>
          <w:sz w:val="18"/>
          <w:szCs w:val="18"/>
        </w:rPr>
        <w:t>[4].</w:t>
      </w:r>
    </w:p>
    <w:p w:rsidR="0001193F" w:rsidRDefault="0001193F">
      <w:pPr>
        <w:pStyle w:val="BodyText"/>
        <w:widowControl/>
        <w:tabs>
          <w:tab w:val="left" w:pos="180"/>
        </w:tabs>
        <w:ind w:left="180" w:hanging="180"/>
        <w:rPr>
          <w:sz w:val="18"/>
          <w:szCs w:val="18"/>
        </w:rPr>
      </w:pPr>
    </w:p>
    <w:p w:rsidR="0001193F" w:rsidRPr="0001193F" w:rsidRDefault="0001193F">
      <w:pPr>
        <w:pStyle w:val="BodyText"/>
        <w:widowControl/>
        <w:tabs>
          <w:tab w:val="left" w:pos="180"/>
        </w:tabs>
        <w:ind w:left="180" w:hanging="180"/>
        <w:rPr>
          <w:sz w:val="18"/>
          <w:szCs w:val="18"/>
        </w:rPr>
      </w:pPr>
    </w:p>
    <w:p w:rsidR="001D2934" w:rsidRPr="000F48D3" w:rsidRDefault="001D2934">
      <w:pPr>
        <w:pStyle w:val="TxBrc5"/>
        <w:widowControl/>
        <w:tabs>
          <w:tab w:val="left" w:pos="583"/>
          <w:tab w:val="left" w:pos="3960"/>
        </w:tabs>
        <w:spacing w:line="240" w:lineRule="auto"/>
        <w:rPr>
          <w:szCs w:val="20"/>
        </w:rPr>
      </w:pPr>
      <w:r>
        <w:rPr>
          <w:szCs w:val="20"/>
        </w:rPr>
        <w:t>Table 2</w:t>
      </w:r>
      <w:r w:rsidRPr="00051629">
        <w:rPr>
          <w:szCs w:val="20"/>
        </w:rPr>
        <w:t xml:space="preserve">. </w:t>
      </w:r>
      <w:r>
        <w:rPr>
          <w:szCs w:val="20"/>
        </w:rPr>
        <w:t xml:space="preserve"> Reference</w:t>
      </w:r>
      <w:r w:rsidRPr="00051629">
        <w:rPr>
          <w:szCs w:val="20"/>
        </w:rPr>
        <w:t xml:space="preserve"> </w:t>
      </w:r>
      <w:r w:rsidR="009E6468">
        <w:rPr>
          <w:szCs w:val="20"/>
        </w:rPr>
        <w:t xml:space="preserve">Mass Fraction </w:t>
      </w:r>
      <w:r w:rsidRPr="00051629">
        <w:rPr>
          <w:szCs w:val="20"/>
        </w:rPr>
        <w:t xml:space="preserve">Values for SRM </w:t>
      </w:r>
      <w:r w:rsidR="00ED5A61">
        <w:rPr>
          <w:szCs w:val="20"/>
        </w:rPr>
        <w:t>333</w:t>
      </w:r>
      <w:r w:rsidRPr="00051629">
        <w:rPr>
          <w:szCs w:val="20"/>
        </w:rPr>
        <w:t>a</w:t>
      </w:r>
    </w:p>
    <w:p w:rsidR="001D2934" w:rsidRPr="00ED4A40" w:rsidRDefault="001D2934">
      <w:pPr>
        <w:pStyle w:val="TxBrp6"/>
        <w:widowControl/>
        <w:tabs>
          <w:tab w:val="clear" w:pos="583"/>
          <w:tab w:val="left" w:pos="6120"/>
        </w:tabs>
        <w:spacing w:line="240" w:lineRule="auto"/>
        <w:ind w:left="0"/>
        <w:rPr>
          <w:szCs w:val="20"/>
          <w:lang w:val="fr-F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3420"/>
      </w:tblGrid>
      <w:tr w:rsidR="005B14CA" w:rsidTr="000F48D3">
        <w:trPr>
          <w:trHeight w:val="576"/>
          <w:jc w:val="center"/>
        </w:trPr>
        <w:tc>
          <w:tcPr>
            <w:tcW w:w="2965" w:type="dxa"/>
          </w:tcPr>
          <w:p w:rsidR="005B14CA" w:rsidRDefault="005B14CA">
            <w:pPr>
              <w:pStyle w:val="TxBrt2"/>
              <w:widowControl/>
              <w:tabs>
                <w:tab w:val="decimal" w:pos="4529"/>
                <w:tab w:val="left" w:pos="5555"/>
                <w:tab w:val="decimal" w:pos="6088"/>
              </w:tabs>
              <w:spacing w:line="238" w:lineRule="exact"/>
              <w:rPr>
                <w:szCs w:val="20"/>
                <w:lang w:val="fr-FR"/>
              </w:rPr>
            </w:pPr>
            <w:r w:rsidRPr="00ED4A40">
              <w:rPr>
                <w:szCs w:val="20"/>
                <w:lang w:val="fr-FR"/>
              </w:rPr>
              <w:t>Constituent</w:t>
            </w:r>
          </w:p>
        </w:tc>
        <w:tc>
          <w:tcPr>
            <w:tcW w:w="3420" w:type="dxa"/>
          </w:tcPr>
          <w:p w:rsidR="005B14CA" w:rsidRDefault="005B14CA">
            <w:pPr>
              <w:pStyle w:val="TxBrt2"/>
              <w:widowControl/>
              <w:tabs>
                <w:tab w:val="decimal" w:pos="4529"/>
                <w:tab w:val="left" w:pos="5555"/>
                <w:tab w:val="decimal" w:pos="6088"/>
              </w:tabs>
              <w:spacing w:line="238" w:lineRule="exact"/>
              <w:jc w:val="center"/>
              <w:rPr>
                <w:szCs w:val="20"/>
                <w:lang w:val="fr-FR"/>
              </w:rPr>
            </w:pPr>
            <w:r w:rsidRPr="00ED4A40">
              <w:rPr>
                <w:szCs w:val="20"/>
                <w:lang w:val="fr-FR"/>
              </w:rPr>
              <w:t>Mass Fraction</w:t>
            </w:r>
            <w:r>
              <w:rPr>
                <w:szCs w:val="20"/>
                <w:lang w:val="fr-FR"/>
              </w:rPr>
              <w:br/>
            </w:r>
            <w:r w:rsidRPr="00ED4A40">
              <w:rPr>
                <w:szCs w:val="20"/>
                <w:lang w:val="fr-FR"/>
              </w:rPr>
              <w:t>(%)</w:t>
            </w:r>
          </w:p>
        </w:tc>
      </w:tr>
      <w:tr w:rsidR="005B14CA" w:rsidTr="000F48D3">
        <w:trPr>
          <w:jc w:val="center"/>
        </w:trPr>
        <w:tc>
          <w:tcPr>
            <w:tcW w:w="2965" w:type="dxa"/>
          </w:tcPr>
          <w:p w:rsidR="005B14CA" w:rsidRDefault="000F48D3" w:rsidP="009A60F7">
            <w:pPr>
              <w:pStyle w:val="TxBrt2"/>
              <w:widowControl/>
              <w:tabs>
                <w:tab w:val="decimal" w:pos="4529"/>
                <w:tab w:val="left" w:pos="5555"/>
                <w:tab w:val="decimal" w:pos="6088"/>
              </w:tabs>
              <w:spacing w:line="238" w:lineRule="exact"/>
              <w:rPr>
                <w:szCs w:val="20"/>
                <w:lang w:val="fr-FR"/>
              </w:rPr>
            </w:pPr>
            <w:r>
              <w:rPr>
                <w:szCs w:val="20"/>
                <w:lang w:val="it-IT"/>
              </w:rPr>
              <w:t>Iron (</w:t>
            </w:r>
            <w:r w:rsidR="005B14CA">
              <w:rPr>
                <w:szCs w:val="20"/>
                <w:lang w:val="it-IT"/>
              </w:rPr>
              <w:t>Fe</w:t>
            </w:r>
            <w:r>
              <w:rPr>
                <w:szCs w:val="20"/>
                <w:lang w:val="it-IT"/>
              </w:rPr>
              <w:t>)</w:t>
            </w:r>
            <w:r w:rsidR="005B14CA" w:rsidRPr="00816A01">
              <w:rPr>
                <w:szCs w:val="20"/>
                <w:vertAlign w:val="superscript"/>
                <w:lang w:val="fr-FR"/>
              </w:rPr>
              <w:t>(</w:t>
            </w:r>
            <w:r w:rsidR="005B14CA">
              <w:rPr>
                <w:szCs w:val="20"/>
                <w:vertAlign w:val="superscript"/>
                <w:lang w:val="fr-FR"/>
              </w:rPr>
              <w:t>a)</w:t>
            </w:r>
          </w:p>
        </w:tc>
        <w:tc>
          <w:tcPr>
            <w:tcW w:w="3420" w:type="dxa"/>
          </w:tcPr>
          <w:p w:rsidR="005B14CA" w:rsidRDefault="005B14CA">
            <w:pPr>
              <w:pStyle w:val="TxBrt2"/>
              <w:widowControl/>
              <w:tabs>
                <w:tab w:val="decimal" w:pos="972"/>
                <w:tab w:val="center" w:pos="1602"/>
                <w:tab w:val="decimal" w:pos="1962"/>
              </w:tabs>
              <w:spacing w:line="238" w:lineRule="exact"/>
              <w:rPr>
                <w:szCs w:val="20"/>
                <w:lang w:val="fr-FR"/>
              </w:rPr>
            </w:pPr>
            <w:r>
              <w:rPr>
                <w:szCs w:val="20"/>
                <w:lang w:val="it-IT"/>
              </w:rPr>
              <w:tab/>
              <w:t>1.022</w:t>
            </w:r>
            <w:r>
              <w:rPr>
                <w:szCs w:val="20"/>
                <w:lang w:val="it-IT"/>
              </w:rPr>
              <w:tab/>
            </w:r>
            <w:r>
              <w:rPr>
                <w:szCs w:val="20"/>
                <w:lang w:val="it-IT"/>
              </w:rPr>
              <w:sym w:font="Symbol" w:char="F0B1"/>
            </w:r>
            <w:r>
              <w:rPr>
                <w:iCs/>
                <w:szCs w:val="20"/>
                <w:lang w:val="it-IT"/>
              </w:rPr>
              <w:tab/>
              <w:t>0.047</w:t>
            </w:r>
          </w:p>
        </w:tc>
      </w:tr>
      <w:tr w:rsidR="005B14CA" w:rsidTr="000F48D3">
        <w:trPr>
          <w:jc w:val="center"/>
        </w:trPr>
        <w:tc>
          <w:tcPr>
            <w:tcW w:w="2965" w:type="dxa"/>
          </w:tcPr>
          <w:p w:rsidR="005B14CA" w:rsidRDefault="000F48D3" w:rsidP="009A60F7">
            <w:pPr>
              <w:pStyle w:val="TxBrt2"/>
              <w:widowControl/>
              <w:tabs>
                <w:tab w:val="decimal" w:pos="4529"/>
                <w:tab w:val="left" w:pos="5555"/>
                <w:tab w:val="decimal" w:pos="6088"/>
              </w:tabs>
              <w:spacing w:line="238" w:lineRule="exact"/>
              <w:rPr>
                <w:szCs w:val="20"/>
                <w:lang w:val="fr-FR"/>
              </w:rPr>
            </w:pPr>
            <w:r>
              <w:rPr>
                <w:iCs/>
                <w:szCs w:val="20"/>
                <w:lang w:val="it-IT"/>
              </w:rPr>
              <w:t>Lead (</w:t>
            </w:r>
            <w:r w:rsidR="005B14CA">
              <w:rPr>
                <w:iCs/>
                <w:szCs w:val="20"/>
                <w:lang w:val="it-IT"/>
              </w:rPr>
              <w:t>Pb</w:t>
            </w:r>
            <w:r>
              <w:rPr>
                <w:iCs/>
                <w:szCs w:val="20"/>
                <w:lang w:val="it-IT"/>
              </w:rPr>
              <w:t>)</w:t>
            </w:r>
            <w:r w:rsidR="005B14CA" w:rsidRPr="00816A01">
              <w:rPr>
                <w:szCs w:val="20"/>
                <w:vertAlign w:val="superscript"/>
                <w:lang w:val="fr-FR"/>
              </w:rPr>
              <w:t>(</w:t>
            </w:r>
            <w:r w:rsidR="005B14CA">
              <w:rPr>
                <w:szCs w:val="20"/>
                <w:vertAlign w:val="superscript"/>
                <w:lang w:val="fr-FR"/>
              </w:rPr>
              <w:t>a)</w:t>
            </w:r>
          </w:p>
        </w:tc>
        <w:tc>
          <w:tcPr>
            <w:tcW w:w="3420" w:type="dxa"/>
          </w:tcPr>
          <w:p w:rsidR="005B14CA" w:rsidRDefault="005B14CA">
            <w:pPr>
              <w:pStyle w:val="TxBrt2"/>
              <w:widowControl/>
              <w:tabs>
                <w:tab w:val="decimal" w:pos="972"/>
                <w:tab w:val="center" w:pos="1602"/>
                <w:tab w:val="decimal" w:pos="1962"/>
              </w:tabs>
              <w:spacing w:line="238" w:lineRule="exact"/>
              <w:rPr>
                <w:szCs w:val="20"/>
                <w:lang w:val="fr-FR"/>
              </w:rPr>
            </w:pPr>
            <w:r>
              <w:rPr>
                <w:iCs/>
                <w:szCs w:val="20"/>
                <w:lang w:val="it-IT"/>
              </w:rPr>
              <w:tab/>
              <w:t>0.0111</w:t>
            </w:r>
            <w:r>
              <w:rPr>
                <w:iCs/>
                <w:szCs w:val="20"/>
                <w:lang w:val="it-IT"/>
              </w:rPr>
              <w:tab/>
            </w:r>
            <w:r>
              <w:rPr>
                <w:szCs w:val="20"/>
                <w:lang w:val="it-IT"/>
              </w:rPr>
              <w:sym w:font="Symbol" w:char="F0B1"/>
            </w:r>
            <w:r>
              <w:rPr>
                <w:iCs/>
                <w:szCs w:val="20"/>
                <w:lang w:val="it-IT"/>
              </w:rPr>
              <w:tab/>
              <w:t>0.0027</w:t>
            </w:r>
          </w:p>
        </w:tc>
      </w:tr>
      <w:tr w:rsidR="005B14CA" w:rsidTr="000F48D3">
        <w:trPr>
          <w:jc w:val="center"/>
        </w:trPr>
        <w:tc>
          <w:tcPr>
            <w:tcW w:w="2965" w:type="dxa"/>
          </w:tcPr>
          <w:p w:rsidR="005B14CA" w:rsidRDefault="000F48D3" w:rsidP="009A60F7">
            <w:pPr>
              <w:pStyle w:val="TxBrt2"/>
              <w:widowControl/>
              <w:tabs>
                <w:tab w:val="decimal" w:pos="4529"/>
                <w:tab w:val="left" w:pos="5555"/>
                <w:tab w:val="decimal" w:pos="6088"/>
              </w:tabs>
              <w:spacing w:line="238" w:lineRule="exact"/>
              <w:rPr>
                <w:szCs w:val="20"/>
                <w:lang w:val="fr-FR"/>
              </w:rPr>
            </w:pPr>
            <w:r>
              <w:rPr>
                <w:szCs w:val="20"/>
                <w:lang w:val="it-IT"/>
              </w:rPr>
              <w:t>Rhenium (</w:t>
            </w:r>
            <w:r w:rsidR="005B14CA">
              <w:rPr>
                <w:szCs w:val="20"/>
                <w:lang w:val="it-IT"/>
              </w:rPr>
              <w:t>Re</w:t>
            </w:r>
            <w:r>
              <w:rPr>
                <w:szCs w:val="20"/>
                <w:lang w:val="it-IT"/>
              </w:rPr>
              <w:t>)</w:t>
            </w:r>
            <w:r w:rsidR="005B14CA" w:rsidRPr="00F43EBA">
              <w:rPr>
                <w:szCs w:val="20"/>
                <w:vertAlign w:val="superscript"/>
                <w:lang w:val="it-IT"/>
              </w:rPr>
              <w:t>(b)</w:t>
            </w:r>
          </w:p>
        </w:tc>
        <w:tc>
          <w:tcPr>
            <w:tcW w:w="3420" w:type="dxa"/>
          </w:tcPr>
          <w:p w:rsidR="005B14CA" w:rsidRDefault="005B14CA">
            <w:pPr>
              <w:pStyle w:val="TxBrt2"/>
              <w:widowControl/>
              <w:tabs>
                <w:tab w:val="decimal" w:pos="972"/>
                <w:tab w:val="center" w:pos="1602"/>
                <w:tab w:val="decimal" w:pos="1962"/>
              </w:tabs>
              <w:spacing w:line="238" w:lineRule="exact"/>
              <w:rPr>
                <w:szCs w:val="20"/>
                <w:lang w:val="fr-FR"/>
              </w:rPr>
            </w:pPr>
            <w:r w:rsidRPr="00D4091D">
              <w:rPr>
                <w:szCs w:val="20"/>
                <w:lang w:val="it-IT"/>
              </w:rPr>
              <w:tab/>
              <w:t>0.0</w:t>
            </w:r>
            <w:r>
              <w:rPr>
                <w:szCs w:val="20"/>
                <w:lang w:val="it-IT"/>
              </w:rPr>
              <w:t>35</w:t>
            </w:r>
            <w:r w:rsidRPr="00D4091D">
              <w:rPr>
                <w:szCs w:val="20"/>
                <w:lang w:val="it-IT"/>
              </w:rPr>
              <w:tab/>
            </w:r>
            <w:r>
              <w:rPr>
                <w:szCs w:val="20"/>
                <w:lang w:val="it-IT"/>
              </w:rPr>
              <w:sym w:font="Symbol" w:char="F0B1"/>
            </w:r>
            <w:r w:rsidRPr="00D4091D">
              <w:rPr>
                <w:szCs w:val="20"/>
                <w:lang w:val="it-IT"/>
              </w:rPr>
              <w:tab/>
              <w:t>0.0</w:t>
            </w:r>
            <w:r>
              <w:rPr>
                <w:szCs w:val="20"/>
                <w:lang w:val="it-IT"/>
              </w:rPr>
              <w:t>18</w:t>
            </w:r>
          </w:p>
        </w:tc>
      </w:tr>
      <w:tr w:rsidR="005B14CA" w:rsidTr="000F48D3">
        <w:trPr>
          <w:jc w:val="center"/>
        </w:trPr>
        <w:tc>
          <w:tcPr>
            <w:tcW w:w="2965" w:type="dxa"/>
          </w:tcPr>
          <w:p w:rsidR="005B14CA" w:rsidRDefault="005B14CA" w:rsidP="009A60F7">
            <w:pPr>
              <w:pStyle w:val="TxBrt2"/>
              <w:widowControl/>
              <w:tabs>
                <w:tab w:val="decimal" w:pos="4529"/>
                <w:tab w:val="left" w:pos="5555"/>
                <w:tab w:val="decimal" w:pos="6088"/>
              </w:tabs>
              <w:spacing w:line="238" w:lineRule="exact"/>
              <w:rPr>
                <w:szCs w:val="20"/>
                <w:lang w:val="fr-FR"/>
              </w:rPr>
            </w:pPr>
            <w:r>
              <w:rPr>
                <w:szCs w:val="20"/>
                <w:lang w:val="it-IT"/>
              </w:rPr>
              <w:t>Acid-Insoluble Residue</w:t>
            </w:r>
            <w:r w:rsidRPr="00816A01">
              <w:rPr>
                <w:szCs w:val="20"/>
                <w:vertAlign w:val="superscript"/>
                <w:lang w:val="fr-FR"/>
              </w:rPr>
              <w:t>(</w:t>
            </w:r>
            <w:r>
              <w:rPr>
                <w:szCs w:val="20"/>
                <w:vertAlign w:val="superscript"/>
                <w:lang w:val="fr-FR"/>
              </w:rPr>
              <w:t>b)</w:t>
            </w:r>
          </w:p>
        </w:tc>
        <w:tc>
          <w:tcPr>
            <w:tcW w:w="3420" w:type="dxa"/>
          </w:tcPr>
          <w:p w:rsidR="005B14CA" w:rsidRDefault="005B14CA">
            <w:pPr>
              <w:pStyle w:val="TxBrt2"/>
              <w:widowControl/>
              <w:tabs>
                <w:tab w:val="decimal" w:pos="972"/>
                <w:tab w:val="center" w:pos="1602"/>
                <w:tab w:val="decimal" w:pos="1962"/>
              </w:tabs>
              <w:spacing w:line="238" w:lineRule="exact"/>
              <w:rPr>
                <w:szCs w:val="20"/>
                <w:lang w:val="fr-FR"/>
              </w:rPr>
            </w:pPr>
            <w:r w:rsidRPr="00D4091D">
              <w:rPr>
                <w:szCs w:val="20"/>
                <w:lang w:val="it-IT"/>
              </w:rPr>
              <w:tab/>
            </w:r>
            <w:r>
              <w:rPr>
                <w:szCs w:val="20"/>
                <w:lang w:val="it-IT"/>
              </w:rPr>
              <w:t>3</w:t>
            </w:r>
            <w:r w:rsidRPr="00D4091D">
              <w:rPr>
                <w:szCs w:val="20"/>
                <w:lang w:val="it-IT"/>
              </w:rPr>
              <w:t>.</w:t>
            </w:r>
            <w:r>
              <w:rPr>
                <w:szCs w:val="20"/>
                <w:lang w:val="it-IT"/>
              </w:rPr>
              <w:t>767</w:t>
            </w:r>
            <w:r w:rsidRPr="00D4091D">
              <w:rPr>
                <w:szCs w:val="20"/>
                <w:lang w:val="it-IT"/>
              </w:rPr>
              <w:tab/>
            </w:r>
            <w:r>
              <w:rPr>
                <w:szCs w:val="20"/>
                <w:lang w:val="it-IT"/>
              </w:rPr>
              <w:sym w:font="Symbol" w:char="F0B1"/>
            </w:r>
            <w:r w:rsidRPr="00D4091D">
              <w:rPr>
                <w:szCs w:val="20"/>
                <w:lang w:val="it-IT"/>
              </w:rPr>
              <w:tab/>
              <w:t>0.0</w:t>
            </w:r>
            <w:r>
              <w:rPr>
                <w:szCs w:val="20"/>
                <w:lang w:val="it-IT"/>
              </w:rPr>
              <w:t>58</w:t>
            </w:r>
          </w:p>
        </w:tc>
      </w:tr>
    </w:tbl>
    <w:p w:rsidR="00B41B70" w:rsidRPr="00B41B70" w:rsidRDefault="007D70C5" w:rsidP="009A60F7">
      <w:pPr>
        <w:pStyle w:val="BodyText"/>
        <w:widowControl/>
        <w:tabs>
          <w:tab w:val="left" w:pos="180"/>
        </w:tabs>
        <w:spacing w:before="120"/>
        <w:ind w:left="180" w:hanging="180"/>
        <w:rPr>
          <w:sz w:val="18"/>
          <w:szCs w:val="18"/>
        </w:rPr>
      </w:pPr>
      <w:r>
        <w:rPr>
          <w:sz w:val="18"/>
          <w:szCs w:val="18"/>
          <w:vertAlign w:val="superscript"/>
        </w:rPr>
        <w:t>(a</w:t>
      </w:r>
      <w:r w:rsidR="00B41B70" w:rsidRPr="00B41B70">
        <w:rPr>
          <w:sz w:val="18"/>
          <w:szCs w:val="18"/>
          <w:vertAlign w:val="superscript"/>
        </w:rPr>
        <w:t>)</w:t>
      </w:r>
      <w:r w:rsidR="00B41B70">
        <w:rPr>
          <w:sz w:val="18"/>
          <w:szCs w:val="18"/>
        </w:rPr>
        <w:tab/>
      </w:r>
      <w:r w:rsidR="00B41B70" w:rsidRPr="00B41B70">
        <w:rPr>
          <w:sz w:val="18"/>
          <w:szCs w:val="18"/>
        </w:rPr>
        <w:t xml:space="preserve">Each assigned value is the median of a set of results obtained by the collaborating laboratories using the test methods listed in </w:t>
      </w:r>
      <w:r w:rsidR="005B14CA">
        <w:rPr>
          <w:sz w:val="18"/>
          <w:szCs w:val="18"/>
        </w:rPr>
        <w:t>Table</w:t>
      </w:r>
      <w:r w:rsidR="000F48D3">
        <w:rPr>
          <w:sz w:val="18"/>
          <w:szCs w:val="18"/>
        </w:rPr>
        <w:t> </w:t>
      </w:r>
      <w:r w:rsidR="005B14CA">
        <w:rPr>
          <w:sz w:val="18"/>
          <w:szCs w:val="18"/>
        </w:rPr>
        <w:t>4</w:t>
      </w:r>
      <w:r w:rsidR="00B41B70" w:rsidRPr="00B41B70">
        <w:rPr>
          <w:sz w:val="18"/>
          <w:szCs w:val="18"/>
        </w:rPr>
        <w:t xml:space="preserve">.  The uncertainty of the value is expressed as an expanded uncertainty, </w:t>
      </w:r>
      <w:r w:rsidR="00B41B70" w:rsidRPr="00B41B70">
        <w:rPr>
          <w:i/>
          <w:sz w:val="18"/>
          <w:szCs w:val="18"/>
        </w:rPr>
        <w:t>U</w:t>
      </w:r>
      <w:r w:rsidR="00B41B70" w:rsidRPr="00B41B70">
        <w:rPr>
          <w:sz w:val="18"/>
          <w:szCs w:val="18"/>
        </w:rPr>
        <w:t>, and is calculated according to the method described in the ISO</w:t>
      </w:r>
      <w:r w:rsidR="005B14CA">
        <w:rPr>
          <w:sz w:val="18"/>
          <w:szCs w:val="18"/>
        </w:rPr>
        <w:t>/JCGM</w:t>
      </w:r>
      <w:r w:rsidR="00B41B70" w:rsidRPr="00B41B70">
        <w:rPr>
          <w:sz w:val="18"/>
          <w:szCs w:val="18"/>
        </w:rPr>
        <w:t xml:space="preserve"> Guide</w:t>
      </w:r>
      <w:r w:rsidR="005B14CA">
        <w:rPr>
          <w:sz w:val="18"/>
          <w:szCs w:val="18"/>
        </w:rPr>
        <w:t> </w:t>
      </w:r>
      <w:r w:rsidR="00B41B70" w:rsidRPr="00B41B70">
        <w:rPr>
          <w:sz w:val="18"/>
          <w:szCs w:val="18"/>
        </w:rPr>
        <w:t xml:space="preserve">[3]. </w:t>
      </w:r>
      <w:r w:rsidR="005B14CA">
        <w:rPr>
          <w:sz w:val="18"/>
          <w:szCs w:val="18"/>
        </w:rPr>
        <w:t xml:space="preserve"> </w:t>
      </w:r>
      <w:r w:rsidR="00B41B70" w:rsidRPr="00B41B70">
        <w:rPr>
          <w:sz w:val="18"/>
          <w:szCs w:val="18"/>
        </w:rPr>
        <w:t xml:space="preserve">The expanded uncertainty is calculated as </w:t>
      </w:r>
      <w:r w:rsidR="00B41B70" w:rsidRPr="00B41B70">
        <w:rPr>
          <w:i/>
          <w:sz w:val="18"/>
          <w:szCs w:val="18"/>
        </w:rPr>
        <w:t>U</w:t>
      </w:r>
      <w:r w:rsidR="001E3BEE">
        <w:rPr>
          <w:sz w:val="18"/>
          <w:szCs w:val="18"/>
        </w:rPr>
        <w:t> </w:t>
      </w:r>
      <w:r w:rsidR="00B41B70" w:rsidRPr="00B41B70">
        <w:rPr>
          <w:sz w:val="18"/>
          <w:szCs w:val="18"/>
        </w:rPr>
        <w:t>=</w:t>
      </w:r>
      <w:r w:rsidR="001E3BEE">
        <w:rPr>
          <w:sz w:val="18"/>
          <w:szCs w:val="18"/>
        </w:rPr>
        <w:t> </w:t>
      </w:r>
      <w:r w:rsidR="00B41B70" w:rsidRPr="00B41B70">
        <w:rPr>
          <w:i/>
          <w:sz w:val="18"/>
          <w:szCs w:val="18"/>
        </w:rPr>
        <w:t>ku</w:t>
      </w:r>
      <w:r w:rsidR="00B41B70" w:rsidRPr="00B41B70">
        <w:rPr>
          <w:sz w:val="18"/>
          <w:szCs w:val="18"/>
          <w:vertAlign w:val="subscript"/>
        </w:rPr>
        <w:t>c</w:t>
      </w:r>
      <w:r w:rsidR="00B41B70" w:rsidRPr="00B41B70">
        <w:rPr>
          <w:sz w:val="18"/>
          <w:szCs w:val="18"/>
        </w:rPr>
        <w:t xml:space="preserve">, where </w:t>
      </w:r>
      <w:r w:rsidR="00B41B70" w:rsidRPr="00B41B70">
        <w:rPr>
          <w:i/>
          <w:sz w:val="18"/>
          <w:szCs w:val="18"/>
        </w:rPr>
        <w:t>u</w:t>
      </w:r>
      <w:r w:rsidR="00B41B70" w:rsidRPr="00B41B70">
        <w:rPr>
          <w:sz w:val="18"/>
          <w:szCs w:val="18"/>
          <w:vertAlign w:val="subscript"/>
        </w:rPr>
        <w:t>c</w:t>
      </w:r>
      <w:r w:rsidR="00B41B70" w:rsidRPr="00B41B70">
        <w:rPr>
          <w:sz w:val="18"/>
          <w:szCs w:val="18"/>
        </w:rPr>
        <w:t xml:space="preserve"> is calculated, at the level of one standard deviation, by combining a between-method variance, estimated from the median absolute deviation of the laboratory mean results from the median, with the pooled standard deviations of the laboratory means.  The median absolute deviation was expanded by a factor of 1.483 in recognition of the fact that it underestimates the true standard uncertainty of a data set.  The coverage factor, </w:t>
      </w:r>
      <w:r w:rsidR="00B41B70" w:rsidRPr="00B41B70">
        <w:rPr>
          <w:i/>
          <w:sz w:val="18"/>
          <w:szCs w:val="18"/>
        </w:rPr>
        <w:t>k</w:t>
      </w:r>
      <w:r w:rsidR="00B41B70" w:rsidRPr="00B41B70">
        <w:rPr>
          <w:sz w:val="18"/>
          <w:szCs w:val="18"/>
        </w:rPr>
        <w:t> = 2, was chosen to approximate a 95</w:t>
      </w:r>
      <w:r w:rsidR="001E3BEE">
        <w:rPr>
          <w:sz w:val="18"/>
          <w:szCs w:val="18"/>
        </w:rPr>
        <w:t> </w:t>
      </w:r>
      <w:r w:rsidR="00B41B70" w:rsidRPr="00B41B70">
        <w:rPr>
          <w:sz w:val="18"/>
          <w:szCs w:val="18"/>
        </w:rPr>
        <w:t>% confidence level</w:t>
      </w:r>
      <w:r w:rsidR="005B14CA">
        <w:rPr>
          <w:sz w:val="18"/>
          <w:szCs w:val="18"/>
        </w:rPr>
        <w:t> </w:t>
      </w:r>
      <w:r w:rsidR="00B41B70" w:rsidRPr="00B41B70">
        <w:rPr>
          <w:sz w:val="18"/>
          <w:szCs w:val="18"/>
        </w:rPr>
        <w:t>[4].</w:t>
      </w:r>
    </w:p>
    <w:p w:rsidR="00B41B70" w:rsidRDefault="00B41B70">
      <w:pPr>
        <w:pStyle w:val="BodyText"/>
        <w:widowControl/>
        <w:tabs>
          <w:tab w:val="left" w:pos="180"/>
        </w:tabs>
        <w:ind w:left="180" w:hanging="180"/>
        <w:rPr>
          <w:sz w:val="18"/>
          <w:szCs w:val="18"/>
        </w:rPr>
      </w:pPr>
      <w:r>
        <w:rPr>
          <w:sz w:val="18"/>
          <w:szCs w:val="18"/>
          <w:vertAlign w:val="superscript"/>
        </w:rPr>
        <w:t>(</w:t>
      </w:r>
      <w:r w:rsidR="007D70C5">
        <w:rPr>
          <w:sz w:val="18"/>
          <w:szCs w:val="18"/>
          <w:vertAlign w:val="superscript"/>
        </w:rPr>
        <w:t>b</w:t>
      </w:r>
      <w:r w:rsidRPr="00B41B70">
        <w:rPr>
          <w:sz w:val="18"/>
          <w:szCs w:val="18"/>
          <w:vertAlign w:val="superscript"/>
        </w:rPr>
        <w:t>)</w:t>
      </w:r>
      <w:r>
        <w:rPr>
          <w:sz w:val="18"/>
          <w:szCs w:val="18"/>
        </w:rPr>
        <w:tab/>
      </w:r>
      <w:r w:rsidRPr="00B41B70">
        <w:rPr>
          <w:sz w:val="18"/>
          <w:szCs w:val="18"/>
        </w:rPr>
        <w:t xml:space="preserve">Each </w:t>
      </w:r>
      <w:r w:rsidR="001E3BEE" w:rsidRPr="001E3BEE">
        <w:rPr>
          <w:sz w:val="18"/>
          <w:szCs w:val="18"/>
        </w:rPr>
        <w:t xml:space="preserve">assigned </w:t>
      </w:r>
      <w:r w:rsidRPr="00B41B70">
        <w:rPr>
          <w:sz w:val="18"/>
          <w:szCs w:val="18"/>
        </w:rPr>
        <w:t xml:space="preserve">value is the unweighted mean of a set of results obtained using the test methods listed in </w:t>
      </w:r>
      <w:r w:rsidR="005B14CA">
        <w:rPr>
          <w:sz w:val="18"/>
          <w:szCs w:val="18"/>
        </w:rPr>
        <w:t>Table 4</w:t>
      </w:r>
      <w:r w:rsidRPr="00B41B70">
        <w:rPr>
          <w:sz w:val="18"/>
          <w:szCs w:val="18"/>
        </w:rPr>
        <w:t xml:space="preserve">.  The uncertainty of the value is expressed as an expanded uncertainty, </w:t>
      </w:r>
      <w:r w:rsidRPr="00B41B70">
        <w:rPr>
          <w:i/>
          <w:sz w:val="18"/>
          <w:szCs w:val="18"/>
        </w:rPr>
        <w:t>U</w:t>
      </w:r>
      <w:r w:rsidRPr="00B41B70">
        <w:rPr>
          <w:sz w:val="18"/>
          <w:szCs w:val="18"/>
        </w:rPr>
        <w:t>, and is calculated according to the method described in the ISO</w:t>
      </w:r>
      <w:r w:rsidR="005B14CA">
        <w:rPr>
          <w:sz w:val="18"/>
          <w:szCs w:val="18"/>
        </w:rPr>
        <w:t>/JCGM</w:t>
      </w:r>
      <w:r w:rsidRPr="00B41B70">
        <w:rPr>
          <w:sz w:val="18"/>
          <w:szCs w:val="18"/>
        </w:rPr>
        <w:t xml:space="preserve"> Guide</w:t>
      </w:r>
      <w:r w:rsidR="005B14CA">
        <w:rPr>
          <w:sz w:val="18"/>
          <w:szCs w:val="18"/>
        </w:rPr>
        <w:t> </w:t>
      </w:r>
      <w:r w:rsidRPr="00B41B70">
        <w:rPr>
          <w:sz w:val="18"/>
          <w:szCs w:val="18"/>
        </w:rPr>
        <w:t xml:space="preserve">[3].  The expanded uncertainty is calculated as </w:t>
      </w:r>
      <w:r w:rsidRPr="00B41B70">
        <w:rPr>
          <w:i/>
          <w:sz w:val="18"/>
          <w:szCs w:val="18"/>
        </w:rPr>
        <w:t>U</w:t>
      </w:r>
      <w:r w:rsidR="001E3BEE">
        <w:rPr>
          <w:sz w:val="18"/>
          <w:szCs w:val="18"/>
        </w:rPr>
        <w:t> </w:t>
      </w:r>
      <w:r w:rsidRPr="00B41B70">
        <w:rPr>
          <w:sz w:val="18"/>
          <w:szCs w:val="18"/>
        </w:rPr>
        <w:t>=</w:t>
      </w:r>
      <w:r w:rsidR="001E3BEE">
        <w:rPr>
          <w:sz w:val="18"/>
          <w:szCs w:val="18"/>
        </w:rPr>
        <w:t> </w:t>
      </w:r>
      <w:r w:rsidRPr="00B41B70">
        <w:rPr>
          <w:i/>
          <w:sz w:val="18"/>
          <w:szCs w:val="18"/>
        </w:rPr>
        <w:t>ku</w:t>
      </w:r>
      <w:r w:rsidRPr="00B41B70">
        <w:rPr>
          <w:sz w:val="18"/>
          <w:szCs w:val="18"/>
          <w:vertAlign w:val="subscript"/>
        </w:rPr>
        <w:t>c</w:t>
      </w:r>
      <w:r w:rsidRPr="00B41B70">
        <w:rPr>
          <w:sz w:val="18"/>
          <w:szCs w:val="18"/>
        </w:rPr>
        <w:t xml:space="preserve">, where </w:t>
      </w:r>
      <w:r w:rsidRPr="00B41B70">
        <w:rPr>
          <w:i/>
          <w:sz w:val="18"/>
          <w:szCs w:val="18"/>
        </w:rPr>
        <w:t>u</w:t>
      </w:r>
      <w:r w:rsidRPr="00B41B70">
        <w:rPr>
          <w:sz w:val="18"/>
          <w:szCs w:val="18"/>
          <w:vertAlign w:val="subscript"/>
        </w:rPr>
        <w:t>c</w:t>
      </w:r>
      <w:r w:rsidRPr="00B41B70">
        <w:rPr>
          <w:sz w:val="18"/>
          <w:szCs w:val="18"/>
        </w:rPr>
        <w:t xml:space="preserve"> is calculated, at the level of one standard deviation, by combining a between-method variance and a pooled, within-method variance.  The coverage factor, </w:t>
      </w:r>
      <w:r w:rsidRPr="00B41B70">
        <w:rPr>
          <w:i/>
          <w:sz w:val="18"/>
          <w:szCs w:val="18"/>
        </w:rPr>
        <w:t>k</w:t>
      </w:r>
      <w:r w:rsidRPr="00B41B70">
        <w:rPr>
          <w:sz w:val="18"/>
          <w:szCs w:val="18"/>
        </w:rPr>
        <w:t> = 2, was chosen to approximate a 95</w:t>
      </w:r>
      <w:r w:rsidR="001E3BEE">
        <w:rPr>
          <w:sz w:val="18"/>
          <w:szCs w:val="18"/>
        </w:rPr>
        <w:t> </w:t>
      </w:r>
      <w:r w:rsidRPr="00B41B70">
        <w:rPr>
          <w:sz w:val="18"/>
          <w:szCs w:val="18"/>
        </w:rPr>
        <w:t>% confidence level</w:t>
      </w:r>
      <w:r w:rsidR="005B14CA">
        <w:rPr>
          <w:sz w:val="18"/>
          <w:szCs w:val="18"/>
        </w:rPr>
        <w:t> </w:t>
      </w:r>
      <w:r w:rsidRPr="00B41B70">
        <w:rPr>
          <w:sz w:val="18"/>
          <w:szCs w:val="18"/>
        </w:rPr>
        <w:t>[4].</w:t>
      </w:r>
    </w:p>
    <w:p w:rsidR="0001193F" w:rsidRDefault="0001193F">
      <w:pPr>
        <w:pStyle w:val="BodyText"/>
        <w:widowControl/>
        <w:tabs>
          <w:tab w:val="left" w:pos="180"/>
        </w:tabs>
        <w:ind w:left="180" w:hanging="180"/>
        <w:rPr>
          <w:sz w:val="18"/>
          <w:szCs w:val="18"/>
        </w:rPr>
      </w:pPr>
    </w:p>
    <w:p w:rsidR="0001193F" w:rsidRPr="0001193F" w:rsidRDefault="0001193F">
      <w:pPr>
        <w:widowControl/>
        <w:rPr>
          <w:szCs w:val="20"/>
        </w:rPr>
      </w:pPr>
      <w:r w:rsidRPr="0001193F">
        <w:rPr>
          <w:b/>
          <w:szCs w:val="20"/>
        </w:rPr>
        <w:lastRenderedPageBreak/>
        <w:t>Information Values:</w:t>
      </w:r>
      <w:r>
        <w:rPr>
          <w:szCs w:val="20"/>
        </w:rPr>
        <w:t xml:space="preserve">  Sulfur was determined using combustion with infrared detection.  The remaining information values were determined by laboratories using either flame atomic absorption spectrometry</w:t>
      </w:r>
      <w:r w:rsidR="001E3BEE">
        <w:rPr>
          <w:szCs w:val="20"/>
        </w:rPr>
        <w:t> </w:t>
      </w:r>
      <w:r w:rsidR="005B14CA">
        <w:rPr>
          <w:szCs w:val="20"/>
        </w:rPr>
        <w:t xml:space="preserve">(AA) </w:t>
      </w:r>
      <w:r>
        <w:rPr>
          <w:szCs w:val="20"/>
        </w:rPr>
        <w:t>or i</w:t>
      </w:r>
      <w:r w:rsidRPr="0074720D">
        <w:rPr>
          <w:szCs w:val="20"/>
        </w:rPr>
        <w:t>nductively coupled plasma optical emission</w:t>
      </w:r>
      <w:r>
        <w:rPr>
          <w:szCs w:val="20"/>
        </w:rPr>
        <w:t xml:space="preserve"> spectrometry</w:t>
      </w:r>
      <w:r w:rsidR="005B14CA">
        <w:rPr>
          <w:szCs w:val="20"/>
        </w:rPr>
        <w:t> (ICP-OES)</w:t>
      </w:r>
      <w:r>
        <w:rPr>
          <w:szCs w:val="20"/>
        </w:rPr>
        <w:t>.</w:t>
      </w:r>
      <w:r w:rsidR="00FB00A4">
        <w:rPr>
          <w:szCs w:val="20"/>
        </w:rPr>
        <w:t xml:space="preserve">  </w:t>
      </w:r>
    </w:p>
    <w:p w:rsidR="0001193F" w:rsidRDefault="0001193F">
      <w:pPr>
        <w:pStyle w:val="BodyText"/>
        <w:widowControl/>
        <w:tabs>
          <w:tab w:val="left" w:pos="180"/>
        </w:tabs>
        <w:ind w:left="180" w:hanging="180"/>
        <w:rPr>
          <w:szCs w:val="20"/>
        </w:rPr>
      </w:pPr>
    </w:p>
    <w:p w:rsidR="001D2934" w:rsidRPr="00051629" w:rsidRDefault="001D2934">
      <w:pPr>
        <w:pStyle w:val="TxBrc5"/>
        <w:widowControl/>
        <w:tabs>
          <w:tab w:val="left" w:pos="583"/>
          <w:tab w:val="left" w:pos="3960"/>
        </w:tabs>
        <w:spacing w:line="240" w:lineRule="auto"/>
        <w:rPr>
          <w:szCs w:val="20"/>
        </w:rPr>
      </w:pPr>
      <w:r>
        <w:rPr>
          <w:szCs w:val="20"/>
        </w:rPr>
        <w:t>Table 3</w:t>
      </w:r>
      <w:r w:rsidRPr="00051629">
        <w:rPr>
          <w:szCs w:val="20"/>
        </w:rPr>
        <w:t xml:space="preserve">. </w:t>
      </w:r>
      <w:r>
        <w:rPr>
          <w:szCs w:val="20"/>
        </w:rPr>
        <w:t xml:space="preserve"> Information </w:t>
      </w:r>
      <w:r w:rsidR="009E6468">
        <w:rPr>
          <w:szCs w:val="20"/>
        </w:rPr>
        <w:t xml:space="preserve">Mass Fraction </w:t>
      </w:r>
      <w:r>
        <w:rPr>
          <w:szCs w:val="20"/>
        </w:rPr>
        <w:t>Values</w:t>
      </w:r>
      <w:r w:rsidRPr="00051629">
        <w:rPr>
          <w:szCs w:val="20"/>
        </w:rPr>
        <w:t xml:space="preserve"> for SRM </w:t>
      </w:r>
      <w:r w:rsidR="00ED5A61">
        <w:rPr>
          <w:szCs w:val="20"/>
        </w:rPr>
        <w:t>333</w:t>
      </w:r>
      <w:r w:rsidRPr="00051629">
        <w:rPr>
          <w:szCs w:val="20"/>
        </w:rPr>
        <w:t>a</w:t>
      </w:r>
    </w:p>
    <w:p w:rsidR="001D2934" w:rsidRPr="008C0C35" w:rsidRDefault="001D2934">
      <w:pPr>
        <w:widowControl/>
        <w:tabs>
          <w:tab w:val="left" w:pos="583"/>
        </w:tabs>
        <w:rPr>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250"/>
      </w:tblGrid>
      <w:tr w:rsidR="0001193F" w:rsidRPr="0001193F" w:rsidTr="0001193F">
        <w:trPr>
          <w:cantSplit/>
          <w:trHeight w:val="576"/>
          <w:jc w:val="center"/>
        </w:trPr>
        <w:tc>
          <w:tcPr>
            <w:tcW w:w="3505" w:type="dxa"/>
          </w:tcPr>
          <w:p w:rsidR="0001193F" w:rsidRPr="0001193F" w:rsidRDefault="0001193F">
            <w:pPr>
              <w:widowControl/>
              <w:rPr>
                <w:szCs w:val="20"/>
              </w:rPr>
            </w:pPr>
            <w:r w:rsidRPr="008C0C35">
              <w:rPr>
                <w:szCs w:val="20"/>
              </w:rPr>
              <w:t>Constituent</w:t>
            </w:r>
          </w:p>
        </w:tc>
        <w:tc>
          <w:tcPr>
            <w:tcW w:w="2250" w:type="dxa"/>
          </w:tcPr>
          <w:p w:rsidR="0001193F" w:rsidRPr="0001193F" w:rsidRDefault="0001193F">
            <w:pPr>
              <w:widowControl/>
              <w:jc w:val="center"/>
              <w:rPr>
                <w:szCs w:val="20"/>
              </w:rPr>
            </w:pPr>
            <w:r w:rsidRPr="008C0C35">
              <w:rPr>
                <w:szCs w:val="20"/>
              </w:rPr>
              <w:t>Mass Fraction</w:t>
            </w:r>
            <w:r>
              <w:rPr>
                <w:szCs w:val="20"/>
              </w:rPr>
              <w:br/>
            </w:r>
            <w:r w:rsidRPr="008C0C35">
              <w:rPr>
                <w:szCs w:val="20"/>
              </w:rPr>
              <w:t>(%)</w:t>
            </w:r>
          </w:p>
        </w:tc>
      </w:tr>
      <w:tr w:rsidR="00626398" w:rsidRPr="0001193F" w:rsidTr="0001193F">
        <w:trPr>
          <w:cantSplit/>
          <w:jc w:val="center"/>
        </w:trPr>
        <w:tc>
          <w:tcPr>
            <w:tcW w:w="3505" w:type="dxa"/>
          </w:tcPr>
          <w:p w:rsidR="00626398" w:rsidRPr="0001193F" w:rsidRDefault="00626398" w:rsidP="009A60F7">
            <w:pPr>
              <w:widowControl/>
              <w:rPr>
                <w:szCs w:val="20"/>
              </w:rPr>
            </w:pPr>
            <w:bookmarkStart w:id="1" w:name="OLE_LINK1"/>
            <w:r>
              <w:rPr>
                <w:szCs w:val="20"/>
              </w:rPr>
              <w:t>Antimony (</w:t>
            </w:r>
            <w:r w:rsidRPr="0001193F">
              <w:rPr>
                <w:szCs w:val="20"/>
              </w:rPr>
              <w:t>Sb</w:t>
            </w:r>
            <w:r>
              <w:rPr>
                <w:szCs w:val="20"/>
              </w:rPr>
              <w:t>)</w:t>
            </w:r>
          </w:p>
        </w:tc>
        <w:tc>
          <w:tcPr>
            <w:tcW w:w="2250" w:type="dxa"/>
          </w:tcPr>
          <w:p w:rsidR="00626398" w:rsidRPr="0001193F" w:rsidRDefault="00626398">
            <w:pPr>
              <w:widowControl/>
              <w:tabs>
                <w:tab w:val="decimal" w:pos="882"/>
              </w:tabs>
              <w:jc w:val="left"/>
              <w:rPr>
                <w:szCs w:val="20"/>
              </w:rPr>
            </w:pPr>
            <w:r w:rsidRPr="0001193F">
              <w:rPr>
                <w:szCs w:val="20"/>
              </w:rPr>
              <w:t>0.001</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Arsenic (</w:t>
            </w:r>
            <w:r w:rsidRPr="0001193F">
              <w:rPr>
                <w:szCs w:val="20"/>
              </w:rPr>
              <w:t>As</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0.015</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Bismuth (</w:t>
            </w:r>
            <w:r w:rsidRPr="0001193F">
              <w:rPr>
                <w:szCs w:val="20"/>
              </w:rPr>
              <w:t>Bi</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0.003</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Calcium (</w:t>
            </w:r>
            <w:r w:rsidRPr="0001193F">
              <w:rPr>
                <w:szCs w:val="20"/>
              </w:rPr>
              <w:t>Ca</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0.12</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Chromium (</w:t>
            </w:r>
            <w:r w:rsidRPr="0001193F">
              <w:rPr>
                <w:szCs w:val="20"/>
              </w:rPr>
              <w:t>Cr</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0.005</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Potassium (</w:t>
            </w:r>
            <w:r w:rsidRPr="0001193F">
              <w:rPr>
                <w:szCs w:val="20"/>
              </w:rPr>
              <w:t>K</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0.06</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Magnesium (</w:t>
            </w:r>
            <w:r w:rsidRPr="0001193F">
              <w:rPr>
                <w:szCs w:val="20"/>
              </w:rPr>
              <w:t>Mg</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0.02</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Manganese (</w:t>
            </w:r>
            <w:proofErr w:type="spellStart"/>
            <w:r w:rsidRPr="0001193F">
              <w:rPr>
                <w:szCs w:val="20"/>
              </w:rPr>
              <w:t>Mn</w:t>
            </w:r>
            <w:proofErr w:type="spellEnd"/>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0.002</w:t>
            </w:r>
          </w:p>
        </w:tc>
      </w:tr>
      <w:tr w:rsidR="00626398" w:rsidRPr="0001193F" w:rsidTr="0001193F">
        <w:trPr>
          <w:cantSplit/>
          <w:jc w:val="center"/>
        </w:trPr>
        <w:tc>
          <w:tcPr>
            <w:tcW w:w="3505" w:type="dxa"/>
          </w:tcPr>
          <w:p w:rsidR="00626398" w:rsidRPr="0001193F" w:rsidRDefault="00626398" w:rsidP="009A60F7">
            <w:pPr>
              <w:widowControl/>
              <w:rPr>
                <w:szCs w:val="20"/>
              </w:rPr>
            </w:pPr>
            <w:r>
              <w:rPr>
                <w:szCs w:val="20"/>
              </w:rPr>
              <w:t>Silver (</w:t>
            </w:r>
            <w:r w:rsidRPr="0001193F">
              <w:rPr>
                <w:szCs w:val="20"/>
              </w:rPr>
              <w:t>Ag</w:t>
            </w:r>
            <w:r>
              <w:rPr>
                <w:szCs w:val="20"/>
              </w:rPr>
              <w:t>)</w:t>
            </w:r>
          </w:p>
        </w:tc>
        <w:tc>
          <w:tcPr>
            <w:tcW w:w="2250" w:type="dxa"/>
          </w:tcPr>
          <w:p w:rsidR="00626398" w:rsidRPr="0001193F" w:rsidRDefault="00626398">
            <w:pPr>
              <w:widowControl/>
              <w:tabs>
                <w:tab w:val="decimal" w:pos="882"/>
              </w:tabs>
              <w:jc w:val="left"/>
              <w:rPr>
                <w:szCs w:val="20"/>
              </w:rPr>
            </w:pPr>
            <w:r w:rsidRPr="0001193F">
              <w:rPr>
                <w:szCs w:val="20"/>
              </w:rPr>
              <w:t>0.0013</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Sodium (</w:t>
            </w:r>
            <w:r w:rsidRPr="0001193F">
              <w:rPr>
                <w:szCs w:val="20"/>
              </w:rPr>
              <w:t>Na</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0.01</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Sulfur (</w:t>
            </w:r>
            <w:r w:rsidRPr="0001193F">
              <w:rPr>
                <w:szCs w:val="20"/>
              </w:rPr>
              <w:t>S</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37.7</w:t>
            </w:r>
          </w:p>
        </w:tc>
      </w:tr>
      <w:tr w:rsidR="0001193F" w:rsidRPr="0001193F" w:rsidTr="0001193F">
        <w:trPr>
          <w:cantSplit/>
          <w:jc w:val="center"/>
        </w:trPr>
        <w:tc>
          <w:tcPr>
            <w:tcW w:w="3505" w:type="dxa"/>
          </w:tcPr>
          <w:p w:rsidR="0001193F" w:rsidRPr="0001193F" w:rsidRDefault="0001193F" w:rsidP="009A60F7">
            <w:pPr>
              <w:widowControl/>
              <w:rPr>
                <w:szCs w:val="20"/>
              </w:rPr>
            </w:pPr>
            <w:r w:rsidRPr="0001193F">
              <w:rPr>
                <w:szCs w:val="20"/>
              </w:rPr>
              <w:t>V</w:t>
            </w:r>
            <w:r>
              <w:rPr>
                <w:szCs w:val="20"/>
              </w:rPr>
              <w:t>anadium (V)</w:t>
            </w:r>
          </w:p>
        </w:tc>
        <w:tc>
          <w:tcPr>
            <w:tcW w:w="2250" w:type="dxa"/>
          </w:tcPr>
          <w:p w:rsidR="0001193F" w:rsidRPr="0001193F" w:rsidRDefault="0001193F">
            <w:pPr>
              <w:widowControl/>
              <w:tabs>
                <w:tab w:val="decimal" w:pos="882"/>
              </w:tabs>
              <w:jc w:val="left"/>
              <w:rPr>
                <w:szCs w:val="20"/>
              </w:rPr>
            </w:pPr>
            <w:r w:rsidRPr="0001193F">
              <w:rPr>
                <w:szCs w:val="20"/>
              </w:rPr>
              <w:t>0.0014</w:t>
            </w:r>
          </w:p>
        </w:tc>
      </w:tr>
      <w:tr w:rsidR="0001193F" w:rsidRPr="0001193F" w:rsidTr="0001193F">
        <w:trPr>
          <w:cantSplit/>
          <w:jc w:val="center"/>
        </w:trPr>
        <w:tc>
          <w:tcPr>
            <w:tcW w:w="3505" w:type="dxa"/>
          </w:tcPr>
          <w:p w:rsidR="0001193F" w:rsidRPr="0001193F" w:rsidRDefault="0001193F" w:rsidP="009A60F7">
            <w:pPr>
              <w:widowControl/>
              <w:rPr>
                <w:szCs w:val="20"/>
              </w:rPr>
            </w:pPr>
            <w:r>
              <w:rPr>
                <w:szCs w:val="20"/>
              </w:rPr>
              <w:t>Zinc (</w:t>
            </w:r>
            <w:r w:rsidRPr="0001193F">
              <w:rPr>
                <w:szCs w:val="20"/>
              </w:rPr>
              <w:t>Zn</w:t>
            </w:r>
            <w:r>
              <w:rPr>
                <w:szCs w:val="20"/>
              </w:rPr>
              <w:t>)</w:t>
            </w:r>
          </w:p>
        </w:tc>
        <w:tc>
          <w:tcPr>
            <w:tcW w:w="2250" w:type="dxa"/>
          </w:tcPr>
          <w:p w:rsidR="0001193F" w:rsidRPr="0001193F" w:rsidRDefault="0001193F">
            <w:pPr>
              <w:widowControl/>
              <w:tabs>
                <w:tab w:val="decimal" w:pos="882"/>
              </w:tabs>
              <w:jc w:val="left"/>
              <w:rPr>
                <w:szCs w:val="20"/>
              </w:rPr>
            </w:pPr>
            <w:r w:rsidRPr="0001193F">
              <w:rPr>
                <w:szCs w:val="20"/>
              </w:rPr>
              <w:t>0.002</w:t>
            </w:r>
          </w:p>
        </w:tc>
      </w:tr>
      <w:bookmarkEnd w:id="1"/>
    </w:tbl>
    <w:p w:rsidR="0001193F" w:rsidRDefault="0001193F" w:rsidP="009A60F7">
      <w:pPr>
        <w:widowControl/>
        <w:rPr>
          <w:szCs w:val="20"/>
        </w:rPr>
      </w:pPr>
    </w:p>
    <w:p w:rsidR="0001193F" w:rsidRPr="000F48D3" w:rsidRDefault="0001193F">
      <w:pPr>
        <w:widowControl/>
        <w:rPr>
          <w:szCs w:val="20"/>
        </w:rPr>
      </w:pPr>
    </w:p>
    <w:p w:rsidR="0001193F" w:rsidRPr="000F48D3" w:rsidRDefault="000F48D3">
      <w:pPr>
        <w:widowControl/>
        <w:jc w:val="center"/>
        <w:rPr>
          <w:szCs w:val="20"/>
        </w:rPr>
      </w:pPr>
      <w:r w:rsidRPr="000F48D3">
        <w:rPr>
          <w:szCs w:val="20"/>
        </w:rPr>
        <w:t xml:space="preserve">Table 4.  </w:t>
      </w:r>
      <w:r w:rsidR="0001193F" w:rsidRPr="000F48D3">
        <w:rPr>
          <w:szCs w:val="20"/>
        </w:rPr>
        <w:t xml:space="preserve">Test Methods </w:t>
      </w:r>
      <w:r w:rsidRPr="000F48D3">
        <w:rPr>
          <w:szCs w:val="20"/>
        </w:rPr>
        <w:t>for Certified and Reference Values</w:t>
      </w:r>
    </w:p>
    <w:p w:rsidR="0001193F" w:rsidRPr="000F48D3" w:rsidRDefault="0001193F">
      <w:pPr>
        <w:widowControl/>
        <w:rPr>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430"/>
      </w:tblGrid>
      <w:tr w:rsidR="000F48D3" w:rsidRPr="000F48D3" w:rsidTr="000F48D3">
        <w:trPr>
          <w:trHeight w:val="432"/>
          <w:jc w:val="center"/>
        </w:trPr>
        <w:tc>
          <w:tcPr>
            <w:tcW w:w="6300" w:type="dxa"/>
          </w:tcPr>
          <w:p w:rsidR="000F48D3" w:rsidRPr="000F48D3" w:rsidRDefault="000F48D3">
            <w:pPr>
              <w:widowControl/>
              <w:rPr>
                <w:szCs w:val="20"/>
                <w:lang w:val="it-IT"/>
              </w:rPr>
            </w:pPr>
            <w:r>
              <w:rPr>
                <w:szCs w:val="20"/>
                <w:lang w:val="it-IT"/>
              </w:rPr>
              <w:t>Method</w:t>
            </w:r>
          </w:p>
        </w:tc>
        <w:tc>
          <w:tcPr>
            <w:tcW w:w="2430" w:type="dxa"/>
          </w:tcPr>
          <w:p w:rsidR="000F48D3" w:rsidRPr="000F48D3" w:rsidRDefault="000F48D3">
            <w:pPr>
              <w:widowControl/>
              <w:rPr>
                <w:szCs w:val="20"/>
                <w:lang w:val="it-IT"/>
              </w:rPr>
            </w:pPr>
            <w:r>
              <w:rPr>
                <w:szCs w:val="20"/>
                <w:lang w:val="it-IT"/>
              </w:rPr>
              <w:t>Constituent</w:t>
            </w:r>
          </w:p>
        </w:tc>
      </w:tr>
      <w:tr w:rsidR="000F48D3" w:rsidRPr="000F48D3" w:rsidTr="000F48D3">
        <w:trPr>
          <w:jc w:val="center"/>
        </w:trPr>
        <w:tc>
          <w:tcPr>
            <w:tcW w:w="6300" w:type="dxa"/>
          </w:tcPr>
          <w:p w:rsidR="000F48D3" w:rsidRPr="000F48D3" w:rsidRDefault="000F48D3" w:rsidP="009A60F7">
            <w:pPr>
              <w:widowControl/>
              <w:rPr>
                <w:szCs w:val="20"/>
                <w:lang w:val="it-IT"/>
              </w:rPr>
            </w:pPr>
            <w:r w:rsidRPr="000F48D3">
              <w:rPr>
                <w:szCs w:val="20"/>
                <w:lang w:val="it-IT"/>
              </w:rPr>
              <w:t>Gravimetry by the PbMoO</w:t>
            </w:r>
            <w:r w:rsidRPr="000F48D3">
              <w:rPr>
                <w:szCs w:val="20"/>
                <w:vertAlign w:val="subscript"/>
                <w:lang w:val="it-IT"/>
              </w:rPr>
              <w:t>4</w:t>
            </w:r>
          </w:p>
        </w:tc>
        <w:tc>
          <w:tcPr>
            <w:tcW w:w="2430" w:type="dxa"/>
          </w:tcPr>
          <w:p w:rsidR="000F48D3" w:rsidRPr="000F48D3" w:rsidRDefault="000F48D3">
            <w:pPr>
              <w:widowControl/>
              <w:rPr>
                <w:szCs w:val="20"/>
                <w:lang w:val="it-IT"/>
              </w:rPr>
            </w:pPr>
            <w:r w:rsidRPr="000F48D3">
              <w:rPr>
                <w:szCs w:val="20"/>
                <w:lang w:val="it-IT"/>
              </w:rPr>
              <w:t>Mo</w:t>
            </w:r>
          </w:p>
        </w:tc>
      </w:tr>
      <w:tr w:rsidR="000F48D3" w:rsidRPr="000F48D3" w:rsidTr="000F48D3">
        <w:trPr>
          <w:jc w:val="center"/>
        </w:trPr>
        <w:tc>
          <w:tcPr>
            <w:tcW w:w="6300" w:type="dxa"/>
          </w:tcPr>
          <w:p w:rsidR="000F48D3" w:rsidRPr="000F48D3" w:rsidRDefault="000F48D3" w:rsidP="009A60F7">
            <w:pPr>
              <w:widowControl/>
              <w:rPr>
                <w:szCs w:val="20"/>
                <w:lang w:val="it-IT"/>
              </w:rPr>
            </w:pPr>
            <w:r w:rsidRPr="000F48D3">
              <w:rPr>
                <w:szCs w:val="20"/>
                <w:lang w:val="it-IT"/>
              </w:rPr>
              <w:t xml:space="preserve">Gravimetry by the </w:t>
            </w:r>
            <w:r w:rsidRPr="000F48D3">
              <w:rPr>
                <w:rFonts w:ascii="Symbol" w:hAnsi="Symbol"/>
                <w:szCs w:val="20"/>
                <w:lang w:val="it-IT"/>
              </w:rPr>
              <w:t></w:t>
            </w:r>
            <w:r w:rsidRPr="000F48D3">
              <w:rPr>
                <w:szCs w:val="20"/>
                <w:lang w:val="it-IT"/>
              </w:rPr>
              <w:t>-benzoin oxime</w:t>
            </w:r>
          </w:p>
        </w:tc>
        <w:tc>
          <w:tcPr>
            <w:tcW w:w="2430" w:type="dxa"/>
          </w:tcPr>
          <w:p w:rsidR="000F48D3" w:rsidRPr="000F48D3" w:rsidRDefault="000F48D3">
            <w:pPr>
              <w:widowControl/>
              <w:rPr>
                <w:szCs w:val="20"/>
                <w:lang w:val="it-IT"/>
              </w:rPr>
            </w:pPr>
            <w:r w:rsidRPr="000F48D3">
              <w:rPr>
                <w:szCs w:val="20"/>
                <w:lang w:val="it-IT"/>
              </w:rPr>
              <w:t>Mo</w:t>
            </w:r>
          </w:p>
        </w:tc>
      </w:tr>
      <w:tr w:rsidR="000F48D3" w:rsidRPr="000F48D3" w:rsidTr="000F48D3">
        <w:trPr>
          <w:jc w:val="center"/>
        </w:trPr>
        <w:tc>
          <w:tcPr>
            <w:tcW w:w="6300" w:type="dxa"/>
          </w:tcPr>
          <w:p w:rsidR="000F48D3" w:rsidRPr="000F48D3" w:rsidRDefault="000F48D3" w:rsidP="009A60F7">
            <w:pPr>
              <w:widowControl/>
              <w:rPr>
                <w:szCs w:val="20"/>
              </w:rPr>
            </w:pPr>
            <w:proofErr w:type="spellStart"/>
            <w:r w:rsidRPr="000F48D3">
              <w:rPr>
                <w:szCs w:val="20"/>
              </w:rPr>
              <w:t>Titrimetry</w:t>
            </w:r>
            <w:proofErr w:type="spellEnd"/>
            <w:r w:rsidRPr="000F48D3">
              <w:rPr>
                <w:szCs w:val="20"/>
              </w:rPr>
              <w:t xml:space="preserve"> by the KMnO</w:t>
            </w:r>
            <w:r w:rsidRPr="000F48D3">
              <w:rPr>
                <w:szCs w:val="20"/>
                <w:vertAlign w:val="subscript"/>
              </w:rPr>
              <w:t>4</w:t>
            </w:r>
            <w:r w:rsidRPr="000F48D3">
              <w:rPr>
                <w:szCs w:val="20"/>
              </w:rPr>
              <w:t xml:space="preserve"> method after reduction to Mo</w:t>
            </w:r>
            <w:r w:rsidRPr="000F48D3">
              <w:rPr>
                <w:szCs w:val="20"/>
                <w:vertAlign w:val="superscript"/>
              </w:rPr>
              <w:t>+2</w:t>
            </w:r>
          </w:p>
        </w:tc>
        <w:tc>
          <w:tcPr>
            <w:tcW w:w="2430" w:type="dxa"/>
          </w:tcPr>
          <w:p w:rsidR="000F48D3" w:rsidRPr="000F48D3" w:rsidRDefault="000F48D3">
            <w:pPr>
              <w:widowControl/>
              <w:rPr>
                <w:szCs w:val="20"/>
              </w:rPr>
            </w:pPr>
            <w:r w:rsidRPr="000F48D3">
              <w:rPr>
                <w:szCs w:val="20"/>
                <w:lang w:val="it-IT"/>
              </w:rPr>
              <w:t>Mo</w:t>
            </w:r>
          </w:p>
        </w:tc>
      </w:tr>
      <w:tr w:rsidR="000F48D3" w:rsidRPr="000F48D3" w:rsidTr="000F48D3">
        <w:trPr>
          <w:jc w:val="center"/>
        </w:trPr>
        <w:tc>
          <w:tcPr>
            <w:tcW w:w="6300" w:type="dxa"/>
          </w:tcPr>
          <w:p w:rsidR="000F48D3" w:rsidRPr="000F48D3" w:rsidRDefault="000F48D3" w:rsidP="009A60F7">
            <w:pPr>
              <w:widowControl/>
              <w:rPr>
                <w:szCs w:val="20"/>
              </w:rPr>
            </w:pPr>
            <w:r w:rsidRPr="000F48D3">
              <w:rPr>
                <w:szCs w:val="20"/>
              </w:rPr>
              <w:t>X-ray fluorescence spectrometry (X</w:t>
            </w:r>
            <w:r w:rsidR="00626398">
              <w:rPr>
                <w:szCs w:val="20"/>
              </w:rPr>
              <w:t>R</w:t>
            </w:r>
            <w:r w:rsidRPr="000F48D3">
              <w:rPr>
                <w:szCs w:val="20"/>
              </w:rPr>
              <w:t>F)</w:t>
            </w:r>
          </w:p>
        </w:tc>
        <w:tc>
          <w:tcPr>
            <w:tcW w:w="2430" w:type="dxa"/>
          </w:tcPr>
          <w:p w:rsidR="000F48D3" w:rsidRPr="000F48D3" w:rsidRDefault="000F48D3">
            <w:pPr>
              <w:widowControl/>
              <w:rPr>
                <w:szCs w:val="20"/>
              </w:rPr>
            </w:pPr>
            <w:r w:rsidRPr="000F48D3">
              <w:rPr>
                <w:szCs w:val="20"/>
              </w:rPr>
              <w:t>Fe, Cu, Mo, Re, Pb</w:t>
            </w:r>
          </w:p>
        </w:tc>
      </w:tr>
      <w:tr w:rsidR="000F48D3" w:rsidRPr="000F48D3" w:rsidTr="000F48D3">
        <w:trPr>
          <w:jc w:val="center"/>
        </w:trPr>
        <w:tc>
          <w:tcPr>
            <w:tcW w:w="6300" w:type="dxa"/>
          </w:tcPr>
          <w:p w:rsidR="000F48D3" w:rsidRPr="000F48D3" w:rsidRDefault="000F48D3" w:rsidP="009A60F7">
            <w:pPr>
              <w:widowControl/>
              <w:rPr>
                <w:szCs w:val="20"/>
              </w:rPr>
            </w:pPr>
            <w:r w:rsidRPr="000F48D3">
              <w:rPr>
                <w:szCs w:val="20"/>
              </w:rPr>
              <w:t>Inductively coupled plasma optical emission spectrometry (ICP-OES)</w:t>
            </w:r>
          </w:p>
        </w:tc>
        <w:tc>
          <w:tcPr>
            <w:tcW w:w="2430" w:type="dxa"/>
          </w:tcPr>
          <w:p w:rsidR="000F48D3" w:rsidRPr="000F48D3" w:rsidRDefault="000F48D3">
            <w:pPr>
              <w:widowControl/>
              <w:rPr>
                <w:szCs w:val="20"/>
              </w:rPr>
            </w:pPr>
            <w:r w:rsidRPr="000F48D3">
              <w:rPr>
                <w:szCs w:val="20"/>
              </w:rPr>
              <w:t>Fe, Cu, Re, Pb</w:t>
            </w:r>
          </w:p>
        </w:tc>
      </w:tr>
      <w:tr w:rsidR="000F48D3" w:rsidRPr="000F48D3" w:rsidTr="000F48D3">
        <w:trPr>
          <w:jc w:val="center"/>
        </w:trPr>
        <w:tc>
          <w:tcPr>
            <w:tcW w:w="6300" w:type="dxa"/>
          </w:tcPr>
          <w:p w:rsidR="000F48D3" w:rsidRPr="000F48D3" w:rsidRDefault="000F48D3" w:rsidP="009A60F7">
            <w:pPr>
              <w:widowControl/>
              <w:rPr>
                <w:szCs w:val="20"/>
              </w:rPr>
            </w:pPr>
            <w:r>
              <w:rPr>
                <w:szCs w:val="20"/>
              </w:rPr>
              <w:t>H</w:t>
            </w:r>
            <w:r w:rsidRPr="000F48D3">
              <w:rPr>
                <w:szCs w:val="20"/>
              </w:rPr>
              <w:t>Cl</w:t>
            </w:r>
          </w:p>
        </w:tc>
        <w:tc>
          <w:tcPr>
            <w:tcW w:w="2430" w:type="dxa"/>
          </w:tcPr>
          <w:p w:rsidR="000F48D3" w:rsidRPr="000F48D3" w:rsidRDefault="000F48D3">
            <w:pPr>
              <w:widowControl/>
              <w:rPr>
                <w:szCs w:val="20"/>
              </w:rPr>
            </w:pPr>
            <w:r w:rsidRPr="000F48D3">
              <w:rPr>
                <w:szCs w:val="20"/>
              </w:rPr>
              <w:t>Acid-insoluble residue</w:t>
            </w:r>
          </w:p>
        </w:tc>
      </w:tr>
    </w:tbl>
    <w:p w:rsidR="0001193F" w:rsidRPr="0074720D" w:rsidRDefault="0001193F" w:rsidP="009A60F7">
      <w:pPr>
        <w:widowControl/>
        <w:rPr>
          <w:szCs w:val="20"/>
        </w:rPr>
      </w:pPr>
    </w:p>
    <w:p w:rsidR="0001193F" w:rsidRDefault="0001193F">
      <w:pPr>
        <w:widowControl/>
        <w:rPr>
          <w:szCs w:val="20"/>
        </w:rPr>
      </w:pPr>
    </w:p>
    <w:p w:rsidR="00E52C3B" w:rsidRPr="00644D59" w:rsidRDefault="00E52C3B">
      <w:pPr>
        <w:widowControl/>
        <w:jc w:val="center"/>
        <w:rPr>
          <w:szCs w:val="20"/>
        </w:rPr>
      </w:pPr>
      <w:r w:rsidRPr="00644D59">
        <w:rPr>
          <w:szCs w:val="20"/>
        </w:rPr>
        <w:t>REFERENCES</w:t>
      </w:r>
    </w:p>
    <w:p w:rsidR="00E52C3B" w:rsidRPr="00644D59" w:rsidRDefault="00E52C3B">
      <w:pPr>
        <w:widowControl/>
        <w:rPr>
          <w:szCs w:val="20"/>
        </w:rPr>
      </w:pPr>
    </w:p>
    <w:p w:rsidR="00644D59" w:rsidRPr="00644D59" w:rsidRDefault="000F48D3">
      <w:pPr>
        <w:widowControl/>
        <w:tabs>
          <w:tab w:val="left" w:pos="400"/>
        </w:tabs>
        <w:ind w:left="400" w:hanging="400"/>
        <w:rPr>
          <w:szCs w:val="20"/>
        </w:rPr>
      </w:pPr>
      <w:r>
        <w:rPr>
          <w:szCs w:val="20"/>
        </w:rPr>
        <w:t>[1]</w:t>
      </w:r>
      <w:r>
        <w:rPr>
          <w:szCs w:val="20"/>
        </w:rPr>
        <w:tab/>
      </w:r>
      <w:r w:rsidRPr="00A64CFB">
        <w:t xml:space="preserve">Thompson, A.; Taylor, B.N.; </w:t>
      </w:r>
      <w:r w:rsidRPr="00A64CFB">
        <w:rPr>
          <w:i/>
        </w:rPr>
        <w:t>Guide for the Use of the International System of Units</w:t>
      </w:r>
      <w:r>
        <w:rPr>
          <w:i/>
        </w:rPr>
        <w:t> </w:t>
      </w:r>
      <w:r w:rsidRPr="00A64CFB">
        <w:rPr>
          <w:i/>
        </w:rPr>
        <w:t>(SI)</w:t>
      </w:r>
      <w:r w:rsidRPr="00A64CFB">
        <w:t xml:space="preserve">; NIST Special Publication 811; U.S. Government Printing Office: Washington, DC (2008); available at </w:t>
      </w:r>
      <w:hyperlink r:id="rId10" w:history="1">
        <w:r w:rsidR="009279B2" w:rsidRPr="009279B2">
          <w:rPr>
            <w:rStyle w:val="Hyperlink"/>
          </w:rPr>
          <w:t>https://www.nist.gov/pml/pubs/sp811/index.cfm</w:t>
        </w:r>
      </w:hyperlink>
      <w:r w:rsidRPr="00A64CFB">
        <w:t xml:space="preserve"> (accessed </w:t>
      </w:r>
      <w:r w:rsidR="009279B2">
        <w:t>Feb 2018</w:t>
      </w:r>
      <w:r w:rsidRPr="00A64CFB">
        <w:t>)</w:t>
      </w:r>
      <w:r w:rsidR="000B27B4">
        <w:t>.</w:t>
      </w:r>
    </w:p>
    <w:p w:rsidR="00644D59" w:rsidRPr="00644D59" w:rsidRDefault="00644D59">
      <w:pPr>
        <w:widowControl/>
        <w:tabs>
          <w:tab w:val="left" w:pos="400"/>
        </w:tabs>
        <w:ind w:left="400" w:hanging="400"/>
        <w:rPr>
          <w:kern w:val="2"/>
          <w:szCs w:val="20"/>
        </w:rPr>
      </w:pPr>
      <w:r w:rsidRPr="00644D59">
        <w:rPr>
          <w:szCs w:val="20"/>
        </w:rPr>
        <w:t>[2]</w:t>
      </w:r>
      <w:r w:rsidRPr="00644D59">
        <w:rPr>
          <w:szCs w:val="20"/>
        </w:rPr>
        <w:tab/>
      </w:r>
      <w:r w:rsidR="000F48D3" w:rsidRPr="00A64CFB">
        <w:rPr>
          <w:kern w:val="2"/>
        </w:rPr>
        <w:t xml:space="preserve">May, W.; Parris, R.; Beck II, C.; </w:t>
      </w:r>
      <w:proofErr w:type="spellStart"/>
      <w:r w:rsidR="000F48D3" w:rsidRPr="00A64CFB">
        <w:rPr>
          <w:kern w:val="2"/>
        </w:rPr>
        <w:t>Fassett</w:t>
      </w:r>
      <w:proofErr w:type="spellEnd"/>
      <w:r w:rsidR="000F48D3" w:rsidRPr="00A64CFB">
        <w:rPr>
          <w:kern w:val="2"/>
        </w:rPr>
        <w:t xml:space="preserve">, J.; Greenberg, R.; Guenther, F.; Kramer, G.; Wise, S.; Gills, T.; Colbert, J.; </w:t>
      </w:r>
      <w:proofErr w:type="spellStart"/>
      <w:r w:rsidR="000F48D3" w:rsidRPr="00A64CFB">
        <w:rPr>
          <w:kern w:val="2"/>
        </w:rPr>
        <w:t>Gettings</w:t>
      </w:r>
      <w:proofErr w:type="spellEnd"/>
      <w:r w:rsidR="000F48D3" w:rsidRPr="00A64CFB">
        <w:rPr>
          <w:kern w:val="2"/>
        </w:rPr>
        <w:t xml:space="preserve">, R.; MacDonald, B.; </w:t>
      </w:r>
      <w:r w:rsidR="000F48D3" w:rsidRPr="00A64CFB">
        <w:rPr>
          <w:i/>
          <w:kern w:val="2"/>
        </w:rPr>
        <w:t>Definition of Terms and Modes Used at NIST for Value</w:t>
      </w:r>
      <w:r w:rsidR="000F48D3" w:rsidRPr="00A64CFB">
        <w:rPr>
          <w:i/>
          <w:kern w:val="2"/>
        </w:rPr>
        <w:noBreakHyphen/>
        <w:t xml:space="preserve">Assignment </w:t>
      </w:r>
      <w:r w:rsidR="000F48D3" w:rsidRPr="00334EED">
        <w:rPr>
          <w:i/>
          <w:kern w:val="2"/>
        </w:rPr>
        <w:t>of Reference Materials for Chemical Measurements</w:t>
      </w:r>
      <w:r w:rsidR="000F48D3" w:rsidRPr="00334EED">
        <w:rPr>
          <w:kern w:val="2"/>
        </w:rPr>
        <w:t>; NIST Special Publication 260</w:t>
      </w:r>
      <w:r w:rsidR="000F48D3" w:rsidRPr="00334EED">
        <w:rPr>
          <w:kern w:val="2"/>
        </w:rPr>
        <w:noBreakHyphen/>
        <w:t xml:space="preserve">136 </w:t>
      </w:r>
      <w:r w:rsidR="000F48D3" w:rsidRPr="00BC6C4C">
        <w:rPr>
          <w:kern w:val="2"/>
        </w:rPr>
        <w:t xml:space="preserve">U.S. Government Printing Office: Washington, DC </w:t>
      </w:r>
      <w:r w:rsidR="000F48D3" w:rsidRPr="00334EED">
        <w:rPr>
          <w:kern w:val="2"/>
        </w:rPr>
        <w:t xml:space="preserve">(2000); available at </w:t>
      </w:r>
      <w:hyperlink r:id="rId11" w:history="1">
        <w:r w:rsidR="009279B2" w:rsidRPr="009279B2">
          <w:rPr>
            <w:rStyle w:val="Hyperlink"/>
            <w:kern w:val="2"/>
          </w:rPr>
          <w:t>https://www.nist.gov/srm/upload/SP260-136.PDF</w:t>
        </w:r>
      </w:hyperlink>
      <w:r w:rsidR="000F48D3" w:rsidRPr="00334EED">
        <w:rPr>
          <w:kern w:val="2"/>
        </w:rPr>
        <w:t xml:space="preserve"> (accessed </w:t>
      </w:r>
      <w:r w:rsidR="009279B2">
        <w:t>Feb 2018</w:t>
      </w:r>
      <w:r w:rsidR="000F48D3" w:rsidRPr="00334EED">
        <w:rPr>
          <w:kern w:val="2"/>
        </w:rPr>
        <w:t>)</w:t>
      </w:r>
      <w:r w:rsidRPr="00644D59">
        <w:rPr>
          <w:szCs w:val="20"/>
        </w:rPr>
        <w:t>.</w:t>
      </w:r>
    </w:p>
    <w:p w:rsidR="009E6468" w:rsidRDefault="00644D59">
      <w:pPr>
        <w:widowControl/>
        <w:tabs>
          <w:tab w:val="left" w:pos="400"/>
        </w:tabs>
        <w:ind w:left="400" w:hanging="400"/>
        <w:rPr>
          <w:szCs w:val="20"/>
        </w:rPr>
      </w:pPr>
      <w:r w:rsidRPr="00644D59">
        <w:rPr>
          <w:szCs w:val="20"/>
        </w:rPr>
        <w:t>[3]</w:t>
      </w:r>
      <w:r w:rsidRPr="00644D59">
        <w:rPr>
          <w:szCs w:val="20"/>
        </w:rPr>
        <w:tab/>
      </w:r>
      <w:r w:rsidR="000F48D3" w:rsidRPr="00C654DA">
        <w:rPr>
          <w:rFonts w:eastAsia="Calibri"/>
        </w:rPr>
        <w:t xml:space="preserve">JCGM 100:2008; </w:t>
      </w:r>
      <w:r w:rsidR="000F48D3" w:rsidRPr="00C654DA">
        <w:rPr>
          <w:rFonts w:eastAsia="Calibri"/>
          <w:i/>
          <w:iCs/>
        </w:rPr>
        <w:t>Evaluation of Measurement Data - Guide to the Expression of Uncertainty in Measuremen</w:t>
      </w:r>
      <w:r w:rsidR="000F48D3" w:rsidRPr="008A7D58">
        <w:rPr>
          <w:rFonts w:eastAsia="Calibri"/>
          <w:i/>
          <w:iCs/>
        </w:rPr>
        <w:t>t</w:t>
      </w:r>
      <w:r w:rsidR="000F48D3" w:rsidRPr="008A7D58">
        <w:rPr>
          <w:rFonts w:eastAsia="Calibri"/>
        </w:rPr>
        <w:t xml:space="preserve">; (GUM 1995 with Minor Corrections), Joint Committee for Guides in </w:t>
      </w:r>
      <w:r w:rsidR="000F48D3" w:rsidRPr="008A7D58">
        <w:t>Metrology (JCGM)</w:t>
      </w:r>
      <w:r w:rsidR="000F48D3" w:rsidRPr="008A7D58">
        <w:rPr>
          <w:rFonts w:eastAsia="Calibri"/>
        </w:rPr>
        <w:t xml:space="preserve"> (2008); available</w:t>
      </w:r>
      <w:r w:rsidR="000F48D3" w:rsidRPr="001B581C">
        <w:rPr>
          <w:rFonts w:eastAsia="Calibri"/>
        </w:rPr>
        <w:t xml:space="preserve"> at </w:t>
      </w:r>
      <w:hyperlink r:id="rId12" w:history="1">
        <w:r w:rsidR="000F48D3" w:rsidRPr="001B581C">
          <w:rPr>
            <w:rFonts w:eastAsia="Calibri"/>
          </w:rPr>
          <w:t>http://www.bipm.org/utils/common/documents/jcgm/JCGM_100_2008_E.pdf</w:t>
        </w:r>
      </w:hyperlink>
      <w:r w:rsidR="000F48D3" w:rsidRPr="001B581C">
        <w:rPr>
          <w:rFonts w:eastAsia="Calibri"/>
        </w:rPr>
        <w:t xml:space="preserve"> (accessed </w:t>
      </w:r>
      <w:r w:rsidR="009279B2">
        <w:t>Feb 2018</w:t>
      </w:r>
      <w:r w:rsidR="000F48D3" w:rsidRPr="001B581C">
        <w:rPr>
          <w:rFonts w:eastAsia="Calibri"/>
        </w:rPr>
        <w:t xml:space="preserve">); see also Taylor, B.N.; Kuyatt, C.E.; </w:t>
      </w:r>
      <w:r w:rsidR="000F48D3" w:rsidRPr="001B581C">
        <w:rPr>
          <w:rFonts w:eastAsia="Calibri"/>
          <w:i/>
          <w:iCs/>
        </w:rPr>
        <w:t xml:space="preserve">Guidelines for Evaluating and Expressing the Uncertainty of </w:t>
      </w:r>
      <w:r w:rsidR="000F48D3" w:rsidRPr="00334EED">
        <w:rPr>
          <w:rFonts w:eastAsia="Calibri"/>
          <w:i/>
          <w:iCs/>
        </w:rPr>
        <w:t>NIST Measurement Results</w:t>
      </w:r>
      <w:r w:rsidR="000F48D3" w:rsidRPr="00334EED">
        <w:rPr>
          <w:rFonts w:eastAsia="Calibri"/>
        </w:rPr>
        <w:t xml:space="preserve">; NIST Technical Note 1297, U.S. Government Printing Office: Washington, DC (1994); available at </w:t>
      </w:r>
      <w:hyperlink r:id="rId13" w:history="1">
        <w:r w:rsidR="009279B2" w:rsidRPr="00CC3CA2">
          <w:rPr>
            <w:rStyle w:val="Hyperlink"/>
            <w:rFonts w:eastAsia="Calibri"/>
          </w:rPr>
          <w:t>https://www.nist.gov/pml/pubs/index.cfm</w:t>
        </w:r>
      </w:hyperlink>
      <w:r w:rsidR="000F48D3" w:rsidRPr="00334EED">
        <w:rPr>
          <w:rFonts w:eastAsia="Calibri"/>
        </w:rPr>
        <w:t xml:space="preserve"> (accessed </w:t>
      </w:r>
      <w:r w:rsidR="009279B2">
        <w:t>Feb 2018</w:t>
      </w:r>
      <w:r w:rsidR="000F48D3" w:rsidRPr="00334EED">
        <w:rPr>
          <w:rFonts w:eastAsia="Calibri"/>
        </w:rPr>
        <w:t>)</w:t>
      </w:r>
      <w:r w:rsidR="000F48D3">
        <w:rPr>
          <w:rFonts w:eastAsia="Calibri"/>
        </w:rPr>
        <w:t>.</w:t>
      </w:r>
    </w:p>
    <w:p w:rsidR="00644D59" w:rsidRPr="00644D59" w:rsidRDefault="00644D59">
      <w:pPr>
        <w:widowControl/>
        <w:tabs>
          <w:tab w:val="left" w:pos="400"/>
        </w:tabs>
        <w:ind w:left="400" w:hanging="400"/>
        <w:rPr>
          <w:szCs w:val="20"/>
        </w:rPr>
      </w:pPr>
      <w:r w:rsidRPr="00644D59">
        <w:rPr>
          <w:szCs w:val="20"/>
        </w:rPr>
        <w:t>[4]</w:t>
      </w:r>
      <w:r w:rsidRPr="00644D59">
        <w:rPr>
          <w:szCs w:val="20"/>
        </w:rPr>
        <w:tab/>
      </w:r>
      <w:r>
        <w:rPr>
          <w:szCs w:val="20"/>
        </w:rPr>
        <w:t>Hahn,</w:t>
      </w:r>
      <w:r w:rsidR="000F48D3">
        <w:rPr>
          <w:szCs w:val="20"/>
        </w:rPr>
        <w:t> </w:t>
      </w:r>
      <w:r>
        <w:rPr>
          <w:szCs w:val="20"/>
        </w:rPr>
        <w:t xml:space="preserve">G.J.; </w:t>
      </w:r>
      <w:r w:rsidRPr="00644D59">
        <w:rPr>
          <w:szCs w:val="20"/>
        </w:rPr>
        <w:t>Meeker,</w:t>
      </w:r>
      <w:r w:rsidR="000F48D3">
        <w:rPr>
          <w:szCs w:val="20"/>
        </w:rPr>
        <w:t> </w:t>
      </w:r>
      <w:r w:rsidRPr="00644D59">
        <w:rPr>
          <w:szCs w:val="20"/>
        </w:rPr>
        <w:t>W.</w:t>
      </w:r>
      <w:r>
        <w:rPr>
          <w:szCs w:val="20"/>
        </w:rPr>
        <w:t xml:space="preserve">Q.; </w:t>
      </w:r>
      <w:r w:rsidRPr="00644D59">
        <w:rPr>
          <w:i/>
          <w:szCs w:val="20"/>
        </w:rPr>
        <w:t>Statistical Intervals:  A Guide for Practitioners</w:t>
      </w:r>
      <w:r w:rsidR="00DA173F">
        <w:rPr>
          <w:szCs w:val="20"/>
        </w:rPr>
        <w:t>;</w:t>
      </w:r>
      <w:r w:rsidRPr="00644D59">
        <w:rPr>
          <w:szCs w:val="20"/>
        </w:rPr>
        <w:t xml:space="preserve"> John Wiley &amp; Sons, Inc., </w:t>
      </w:r>
      <w:smartTag w:uri="urn:schemas-microsoft-com:office:smarttags" w:element="place">
        <w:smartTag w:uri="urn:schemas-microsoft-com:office:smarttags" w:element="State">
          <w:r w:rsidRPr="00644D59">
            <w:rPr>
              <w:szCs w:val="20"/>
            </w:rPr>
            <w:t>New York</w:t>
          </w:r>
        </w:smartTag>
      </w:smartTag>
      <w:r w:rsidRPr="00644D59">
        <w:rPr>
          <w:szCs w:val="20"/>
        </w:rPr>
        <w:t xml:space="preserve"> (1991).</w:t>
      </w:r>
    </w:p>
    <w:p w:rsidR="005C190C" w:rsidRDefault="00B41B70">
      <w:pPr>
        <w:pStyle w:val="HTMLBody"/>
        <w:tabs>
          <w:tab w:val="left" w:pos="450"/>
        </w:tabs>
        <w:ind w:left="450" w:hanging="450"/>
        <w:jc w:val="both"/>
      </w:pPr>
      <w:r>
        <w:t>[5]</w:t>
      </w:r>
      <w:r>
        <w:tab/>
      </w:r>
      <w:proofErr w:type="spellStart"/>
      <w:r>
        <w:t>Vangel</w:t>
      </w:r>
      <w:proofErr w:type="spellEnd"/>
      <w:r>
        <w:t>,</w:t>
      </w:r>
      <w:r w:rsidR="000F48D3">
        <w:t> </w:t>
      </w:r>
      <w:r>
        <w:t xml:space="preserve">M.G.; </w:t>
      </w:r>
      <w:proofErr w:type="spellStart"/>
      <w:r>
        <w:t>Rukhin</w:t>
      </w:r>
      <w:proofErr w:type="spellEnd"/>
      <w:r>
        <w:t>,</w:t>
      </w:r>
      <w:r w:rsidR="000F48D3">
        <w:t> </w:t>
      </w:r>
      <w:r>
        <w:t xml:space="preserve">A.L.; </w:t>
      </w:r>
      <w:r>
        <w:rPr>
          <w:i/>
        </w:rPr>
        <w:t xml:space="preserve">Maximum </w:t>
      </w:r>
      <w:r w:rsidR="000F48D3">
        <w:rPr>
          <w:i/>
        </w:rPr>
        <w:t>L</w:t>
      </w:r>
      <w:r>
        <w:rPr>
          <w:i/>
        </w:rPr>
        <w:t>ikelihood Analysis for Heteroscedastic One-Way Random Effects ANOVA in Interlaboratory Studies</w:t>
      </w:r>
      <w:r>
        <w:t>; Biometrics, Vol.</w:t>
      </w:r>
      <w:r w:rsidR="000F48D3">
        <w:t> </w:t>
      </w:r>
      <w:r>
        <w:t>55, No.</w:t>
      </w:r>
      <w:r w:rsidR="000F48D3">
        <w:t> </w:t>
      </w:r>
      <w:r>
        <w:t>1, pp.</w:t>
      </w:r>
      <w:r w:rsidR="000F48D3">
        <w:t> </w:t>
      </w:r>
      <w:r>
        <w:t>129</w:t>
      </w:r>
      <w:r w:rsidR="000F48D3">
        <w:t>–</w:t>
      </w:r>
      <w:r>
        <w:t>136 (1999).</w:t>
      </w:r>
    </w:p>
    <w:p w:rsidR="000F48D3" w:rsidRPr="00B41B70" w:rsidRDefault="000F48D3">
      <w:pPr>
        <w:pStyle w:val="HTMLBody"/>
        <w:tabs>
          <w:tab w:val="left" w:pos="450"/>
        </w:tabs>
        <w:ind w:left="450" w:hanging="450"/>
        <w:jc w:val="both"/>
      </w:pPr>
    </w:p>
    <w:tbl>
      <w:tblPr>
        <w:tblStyle w:val="TableGrid"/>
        <w:tblW w:w="0" w:type="auto"/>
        <w:tblLook w:val="04A0" w:firstRow="1" w:lastRow="0" w:firstColumn="1" w:lastColumn="0" w:noHBand="0" w:noVBand="1"/>
      </w:tblPr>
      <w:tblGrid>
        <w:gridCol w:w="9350"/>
      </w:tblGrid>
      <w:tr w:rsidR="000F48D3" w:rsidTr="000F48D3">
        <w:tc>
          <w:tcPr>
            <w:tcW w:w="9350" w:type="dxa"/>
          </w:tcPr>
          <w:p w:rsidR="000F48D3" w:rsidRPr="000F48D3" w:rsidRDefault="000F48D3">
            <w:pPr>
              <w:pStyle w:val="HTMLBody"/>
              <w:rPr>
                <w:sz w:val="16"/>
                <w:szCs w:val="16"/>
              </w:rPr>
            </w:pPr>
            <w:r w:rsidRPr="00FB00A4">
              <w:rPr>
                <w:b/>
                <w:sz w:val="16"/>
                <w:szCs w:val="16"/>
              </w:rPr>
              <w:t>Certificate Revision History:</w:t>
            </w:r>
            <w:r>
              <w:rPr>
                <w:sz w:val="16"/>
                <w:szCs w:val="16"/>
              </w:rPr>
              <w:t xml:space="preserve">  </w:t>
            </w:r>
            <w:r w:rsidR="00236CC4">
              <w:rPr>
                <w:sz w:val="16"/>
                <w:szCs w:val="16"/>
              </w:rPr>
              <w:t>1</w:t>
            </w:r>
            <w:r w:rsidR="00236CC4">
              <w:rPr>
                <w:sz w:val="16"/>
                <w:szCs w:val="16"/>
              </w:rPr>
              <w:t>6</w:t>
            </w:r>
            <w:r w:rsidR="00236CC4">
              <w:rPr>
                <w:sz w:val="16"/>
                <w:szCs w:val="16"/>
              </w:rPr>
              <w:t xml:space="preserve"> </w:t>
            </w:r>
            <w:r w:rsidR="009279B2">
              <w:rPr>
                <w:sz w:val="16"/>
                <w:szCs w:val="16"/>
              </w:rPr>
              <w:t xml:space="preserve">February 2018 (Updated unit size; editorial changes); </w:t>
            </w:r>
            <w:r w:rsidR="00EB2009">
              <w:rPr>
                <w:sz w:val="16"/>
                <w:szCs w:val="16"/>
              </w:rPr>
              <w:t>11</w:t>
            </w:r>
            <w:r w:rsidR="000B27B4">
              <w:rPr>
                <w:sz w:val="16"/>
                <w:szCs w:val="16"/>
              </w:rPr>
              <w:t> </w:t>
            </w:r>
            <w:r w:rsidR="00082ACF">
              <w:rPr>
                <w:sz w:val="16"/>
                <w:szCs w:val="16"/>
              </w:rPr>
              <w:t>September</w:t>
            </w:r>
            <w:r>
              <w:rPr>
                <w:sz w:val="16"/>
                <w:szCs w:val="16"/>
              </w:rPr>
              <w:t> 2014 (</w:t>
            </w:r>
            <w:r w:rsidR="00563AB0">
              <w:rPr>
                <w:sz w:val="16"/>
                <w:szCs w:val="16"/>
              </w:rPr>
              <w:t xml:space="preserve">Extended </w:t>
            </w:r>
            <w:r>
              <w:rPr>
                <w:sz w:val="16"/>
                <w:szCs w:val="16"/>
              </w:rPr>
              <w:t xml:space="preserve">certification period; editorial changes); </w:t>
            </w:r>
            <w:r w:rsidR="00FB00A4">
              <w:rPr>
                <w:sz w:val="16"/>
                <w:szCs w:val="16"/>
              </w:rPr>
              <w:t>17 February 2010 (Original certificate date).</w:t>
            </w:r>
          </w:p>
        </w:tc>
      </w:tr>
    </w:tbl>
    <w:p w:rsidR="005C190C" w:rsidRDefault="005C190C" w:rsidP="009A60F7">
      <w:pPr>
        <w:pStyle w:val="HTMLBody"/>
      </w:pPr>
    </w:p>
    <w:p w:rsidR="000F48D3" w:rsidRPr="009279B2" w:rsidRDefault="000F48D3" w:rsidP="00236CC4">
      <w:pPr>
        <w:widowControl/>
        <w:rPr>
          <w:i/>
        </w:rPr>
      </w:pPr>
      <w:r w:rsidRPr="00A64CFB">
        <w:rPr>
          <w:i/>
          <w:iCs/>
        </w:rPr>
        <w:t>Use</w:t>
      </w:r>
      <w:r w:rsidRPr="009279B2">
        <w:rPr>
          <w:i/>
          <w:iCs/>
        </w:rPr>
        <w:t>rs of this SRM should ensure that the Certificate of Analysis in their possession is current.  This can be accomplished by contacting the SRM Program: telephone (301) 975</w:t>
      </w:r>
      <w:r w:rsidRPr="009279B2">
        <w:rPr>
          <w:i/>
          <w:iCs/>
        </w:rPr>
        <w:noBreakHyphen/>
        <w:t>2200; fax (301) 948</w:t>
      </w:r>
      <w:r w:rsidRPr="009279B2">
        <w:rPr>
          <w:i/>
          <w:iCs/>
        </w:rPr>
        <w:noBreakHyphen/>
        <w:t>3730; e</w:t>
      </w:r>
      <w:r w:rsidRPr="009279B2">
        <w:rPr>
          <w:i/>
          <w:iCs/>
        </w:rPr>
        <w:noBreakHyphen/>
        <w:t>mail </w:t>
      </w:r>
      <w:hyperlink r:id="rId14" w:history="1">
        <w:r w:rsidRPr="009279B2">
          <w:rPr>
            <w:rStyle w:val="Hyperlink"/>
            <w:i/>
          </w:rPr>
          <w:t>srminfo@nist.gov</w:t>
        </w:r>
      </w:hyperlink>
      <w:r w:rsidRPr="009279B2">
        <w:rPr>
          <w:i/>
          <w:iCs/>
        </w:rPr>
        <w:t xml:space="preserve">; or via the Internet at </w:t>
      </w:r>
      <w:hyperlink r:id="rId15" w:history="1">
        <w:r w:rsidR="009279B2" w:rsidRPr="009279B2">
          <w:rPr>
            <w:rStyle w:val="Hyperlink"/>
            <w:i/>
          </w:rPr>
          <w:t>https://www.nist.gov/srm</w:t>
        </w:r>
      </w:hyperlink>
      <w:r w:rsidRPr="009279B2">
        <w:rPr>
          <w:i/>
        </w:rPr>
        <w:t>.</w:t>
      </w:r>
    </w:p>
    <w:p w:rsidR="0074720D" w:rsidRPr="0074720D" w:rsidRDefault="0074720D">
      <w:pPr>
        <w:widowControl/>
        <w:jc w:val="center"/>
        <w:rPr>
          <w:bCs/>
          <w:szCs w:val="20"/>
        </w:rPr>
      </w:pPr>
      <w:r>
        <w:rPr>
          <w:szCs w:val="20"/>
        </w:rPr>
        <w:br w:type="page"/>
      </w:r>
      <w:r w:rsidRPr="0074720D">
        <w:rPr>
          <w:bCs/>
          <w:szCs w:val="20"/>
        </w:rPr>
        <w:lastRenderedPageBreak/>
        <w:t>APPENDIX A</w:t>
      </w:r>
    </w:p>
    <w:p w:rsidR="0074720D" w:rsidRPr="0074720D" w:rsidRDefault="0074720D">
      <w:pPr>
        <w:widowControl/>
        <w:rPr>
          <w:bCs/>
          <w:szCs w:val="20"/>
        </w:rPr>
      </w:pPr>
    </w:p>
    <w:p w:rsidR="0074720D" w:rsidRPr="00D65748" w:rsidRDefault="0074720D">
      <w:pPr>
        <w:widowControl/>
        <w:rPr>
          <w:b/>
          <w:szCs w:val="20"/>
        </w:rPr>
      </w:pPr>
      <w:r w:rsidRPr="00D65748">
        <w:rPr>
          <w:b/>
          <w:bCs/>
          <w:szCs w:val="20"/>
        </w:rPr>
        <w:t>Collaborating Laboratories</w:t>
      </w:r>
    </w:p>
    <w:p w:rsidR="00030A8C" w:rsidRDefault="00030A8C">
      <w:pPr>
        <w:widowControl/>
        <w:rPr>
          <w:szCs w:val="20"/>
        </w:rPr>
      </w:pPr>
    </w:p>
    <w:p w:rsidR="0074720D" w:rsidRDefault="0074720D">
      <w:pPr>
        <w:widowControl/>
        <w:rPr>
          <w:szCs w:val="20"/>
        </w:rPr>
      </w:pPr>
      <w:r w:rsidRPr="0074720D">
        <w:rPr>
          <w:szCs w:val="20"/>
        </w:rPr>
        <w:t xml:space="preserve">Analytical determinations for </w:t>
      </w:r>
      <w:r w:rsidR="00030A8C">
        <w:rPr>
          <w:szCs w:val="20"/>
        </w:rPr>
        <w:t xml:space="preserve">value assignments </w:t>
      </w:r>
      <w:r w:rsidRPr="0074720D">
        <w:rPr>
          <w:szCs w:val="20"/>
        </w:rPr>
        <w:t xml:space="preserve">of the SRM </w:t>
      </w:r>
      <w:r w:rsidR="00ED5A61">
        <w:rPr>
          <w:szCs w:val="20"/>
        </w:rPr>
        <w:t>333</w:t>
      </w:r>
      <w:r w:rsidR="00030A8C">
        <w:rPr>
          <w:szCs w:val="20"/>
        </w:rPr>
        <w:t>a</w:t>
      </w:r>
      <w:r w:rsidRPr="0074720D">
        <w:rPr>
          <w:szCs w:val="20"/>
        </w:rPr>
        <w:t xml:space="preserve"> were performed by the following laboratories:</w:t>
      </w:r>
    </w:p>
    <w:p w:rsidR="00EC3EE9" w:rsidRPr="0074720D" w:rsidRDefault="00EC3EE9">
      <w:pPr>
        <w:widowControl/>
        <w:rPr>
          <w:szCs w:val="20"/>
        </w:rPr>
      </w:pPr>
    </w:p>
    <w:p w:rsidR="00C22A7E" w:rsidRDefault="00030A8C">
      <w:pPr>
        <w:widowControl/>
        <w:ind w:left="288" w:hanging="288"/>
        <w:rPr>
          <w:szCs w:val="20"/>
        </w:rPr>
      </w:pPr>
      <w:r w:rsidRPr="00030A8C">
        <w:rPr>
          <w:szCs w:val="20"/>
        </w:rPr>
        <w:t xml:space="preserve">Highland Valley Copper, Logan Lake, </w:t>
      </w:r>
      <w:r w:rsidR="00713BDC">
        <w:rPr>
          <w:szCs w:val="20"/>
        </w:rPr>
        <w:t>British Columbia</w:t>
      </w:r>
      <w:r>
        <w:rPr>
          <w:szCs w:val="20"/>
        </w:rPr>
        <w:t>,</w:t>
      </w:r>
      <w:r w:rsidRPr="00030A8C">
        <w:rPr>
          <w:szCs w:val="20"/>
        </w:rPr>
        <w:t xml:space="preserve"> C</w:t>
      </w:r>
      <w:r w:rsidR="00E33ED1">
        <w:rPr>
          <w:szCs w:val="20"/>
        </w:rPr>
        <w:t>anada;</w:t>
      </w:r>
      <w:r>
        <w:rPr>
          <w:szCs w:val="20"/>
        </w:rPr>
        <w:t xml:space="preserve"> D.</w:t>
      </w:r>
      <w:r w:rsidR="00FB00A4">
        <w:rPr>
          <w:szCs w:val="20"/>
        </w:rPr>
        <w:t> </w:t>
      </w:r>
      <w:r>
        <w:rPr>
          <w:szCs w:val="20"/>
        </w:rPr>
        <w:t>Lincoln</w:t>
      </w:r>
      <w:r w:rsidR="00C22A7E">
        <w:rPr>
          <w:szCs w:val="20"/>
        </w:rPr>
        <w:t xml:space="preserve">, </w:t>
      </w:r>
      <w:r w:rsidR="00C22A7E" w:rsidRPr="00C22A7E">
        <w:rPr>
          <w:szCs w:val="20"/>
        </w:rPr>
        <w:t>P</w:t>
      </w:r>
      <w:r w:rsidR="00C22A7E">
        <w:rPr>
          <w:szCs w:val="20"/>
        </w:rPr>
        <w:t>.</w:t>
      </w:r>
      <w:r w:rsidR="00FB00A4">
        <w:rPr>
          <w:szCs w:val="20"/>
        </w:rPr>
        <w:t> </w:t>
      </w:r>
      <w:r w:rsidR="00C22A7E" w:rsidRPr="00C22A7E">
        <w:rPr>
          <w:szCs w:val="20"/>
        </w:rPr>
        <w:t>Martin</w:t>
      </w:r>
      <w:r w:rsidR="00C22A7E">
        <w:rPr>
          <w:szCs w:val="20"/>
        </w:rPr>
        <w:t xml:space="preserve">, </w:t>
      </w:r>
      <w:r w:rsidR="00C22A7E" w:rsidRPr="00C22A7E">
        <w:rPr>
          <w:szCs w:val="20"/>
        </w:rPr>
        <w:t>D</w:t>
      </w:r>
      <w:r w:rsidR="00C22A7E">
        <w:rPr>
          <w:szCs w:val="20"/>
        </w:rPr>
        <w:t>.</w:t>
      </w:r>
      <w:r w:rsidR="00FB00A4">
        <w:rPr>
          <w:szCs w:val="20"/>
        </w:rPr>
        <w:t> </w:t>
      </w:r>
      <w:r w:rsidR="00C22A7E" w:rsidRPr="00C22A7E">
        <w:rPr>
          <w:szCs w:val="20"/>
        </w:rPr>
        <w:t>Enders</w:t>
      </w:r>
      <w:r w:rsidR="00C22A7E">
        <w:rPr>
          <w:szCs w:val="20"/>
        </w:rPr>
        <w:t xml:space="preserve">, </w:t>
      </w:r>
      <w:r w:rsidR="00C22A7E" w:rsidRPr="00C22A7E">
        <w:rPr>
          <w:szCs w:val="20"/>
        </w:rPr>
        <w:t>T</w:t>
      </w:r>
      <w:r w:rsidR="00C22A7E">
        <w:rPr>
          <w:szCs w:val="20"/>
        </w:rPr>
        <w:t>.</w:t>
      </w:r>
      <w:r w:rsidR="00FB00A4">
        <w:rPr>
          <w:szCs w:val="20"/>
        </w:rPr>
        <w:t> </w:t>
      </w:r>
      <w:r w:rsidR="00C22A7E" w:rsidRPr="00C22A7E">
        <w:rPr>
          <w:szCs w:val="20"/>
        </w:rPr>
        <w:t>Havers</w:t>
      </w:r>
      <w:r w:rsidR="00C22A7E">
        <w:rPr>
          <w:szCs w:val="20"/>
        </w:rPr>
        <w:t xml:space="preserve">, </w:t>
      </w:r>
      <w:r w:rsidR="00C22A7E" w:rsidRPr="00C22A7E">
        <w:rPr>
          <w:szCs w:val="20"/>
        </w:rPr>
        <w:t>D</w:t>
      </w:r>
      <w:r w:rsidR="00EC3EE9">
        <w:rPr>
          <w:szCs w:val="20"/>
        </w:rPr>
        <w:t>. </w:t>
      </w:r>
      <w:r w:rsidR="00C22A7E" w:rsidRPr="00C22A7E">
        <w:rPr>
          <w:szCs w:val="20"/>
        </w:rPr>
        <w:t>Howard</w:t>
      </w:r>
      <w:r w:rsidR="00C22A7E">
        <w:rPr>
          <w:szCs w:val="20"/>
        </w:rPr>
        <w:t xml:space="preserve">, </w:t>
      </w:r>
      <w:r w:rsidR="00C22A7E" w:rsidRPr="00C22A7E">
        <w:rPr>
          <w:szCs w:val="20"/>
        </w:rPr>
        <w:t>K</w:t>
      </w:r>
      <w:r w:rsidR="00C22A7E">
        <w:rPr>
          <w:szCs w:val="20"/>
        </w:rPr>
        <w:t>.</w:t>
      </w:r>
      <w:r w:rsidR="00FB00A4">
        <w:rPr>
          <w:szCs w:val="20"/>
        </w:rPr>
        <w:t> </w:t>
      </w:r>
      <w:r w:rsidR="00C22A7E" w:rsidRPr="00C22A7E">
        <w:rPr>
          <w:szCs w:val="20"/>
        </w:rPr>
        <w:t>Heaton</w:t>
      </w:r>
      <w:r w:rsidR="00C22A7E">
        <w:rPr>
          <w:szCs w:val="20"/>
        </w:rPr>
        <w:t xml:space="preserve">, </w:t>
      </w:r>
      <w:r w:rsidR="00C22A7E" w:rsidRPr="00C22A7E">
        <w:rPr>
          <w:szCs w:val="20"/>
        </w:rPr>
        <w:t>N</w:t>
      </w:r>
      <w:r w:rsidR="00C22A7E">
        <w:rPr>
          <w:szCs w:val="20"/>
        </w:rPr>
        <w:t>.</w:t>
      </w:r>
      <w:r w:rsidR="00FB00A4">
        <w:rPr>
          <w:szCs w:val="20"/>
        </w:rPr>
        <w:t> </w:t>
      </w:r>
      <w:r w:rsidR="00C22A7E" w:rsidRPr="00C22A7E">
        <w:rPr>
          <w:szCs w:val="20"/>
        </w:rPr>
        <w:t>Woods</w:t>
      </w:r>
      <w:r w:rsidR="00C22A7E">
        <w:rPr>
          <w:szCs w:val="20"/>
        </w:rPr>
        <w:t xml:space="preserve">, </w:t>
      </w:r>
      <w:r w:rsidR="00C22A7E" w:rsidRPr="00C22A7E">
        <w:rPr>
          <w:szCs w:val="20"/>
        </w:rPr>
        <w:t>J</w:t>
      </w:r>
      <w:r w:rsidR="00C22A7E">
        <w:rPr>
          <w:szCs w:val="20"/>
        </w:rPr>
        <w:t>.</w:t>
      </w:r>
      <w:r w:rsidR="00FB00A4">
        <w:rPr>
          <w:szCs w:val="20"/>
        </w:rPr>
        <w:t> </w:t>
      </w:r>
      <w:proofErr w:type="spellStart"/>
      <w:r w:rsidR="00C22A7E" w:rsidRPr="00C22A7E">
        <w:rPr>
          <w:szCs w:val="20"/>
        </w:rPr>
        <w:t>Mihalech</w:t>
      </w:r>
      <w:proofErr w:type="spellEnd"/>
      <w:r w:rsidR="00C22A7E">
        <w:rPr>
          <w:szCs w:val="20"/>
        </w:rPr>
        <w:t xml:space="preserve">, </w:t>
      </w:r>
      <w:r w:rsidR="00C22A7E" w:rsidRPr="00C22A7E">
        <w:rPr>
          <w:szCs w:val="20"/>
        </w:rPr>
        <w:t>D</w:t>
      </w:r>
      <w:r w:rsidR="00C22A7E">
        <w:rPr>
          <w:szCs w:val="20"/>
        </w:rPr>
        <w:t>.</w:t>
      </w:r>
      <w:r w:rsidR="00FB00A4">
        <w:rPr>
          <w:szCs w:val="20"/>
        </w:rPr>
        <w:t> </w:t>
      </w:r>
      <w:r w:rsidR="00C22A7E" w:rsidRPr="00C22A7E">
        <w:rPr>
          <w:szCs w:val="20"/>
        </w:rPr>
        <w:t>Arbuckle</w:t>
      </w:r>
      <w:r w:rsidR="00C22A7E">
        <w:rPr>
          <w:szCs w:val="20"/>
        </w:rPr>
        <w:t xml:space="preserve">, </w:t>
      </w:r>
      <w:r w:rsidR="00C22A7E" w:rsidRPr="00C22A7E">
        <w:rPr>
          <w:szCs w:val="20"/>
        </w:rPr>
        <w:t>D</w:t>
      </w:r>
      <w:r w:rsidR="00C22A7E">
        <w:rPr>
          <w:szCs w:val="20"/>
        </w:rPr>
        <w:t>.</w:t>
      </w:r>
      <w:r w:rsidR="00FB00A4">
        <w:rPr>
          <w:szCs w:val="20"/>
        </w:rPr>
        <w:t> </w:t>
      </w:r>
      <w:r w:rsidR="00C22A7E" w:rsidRPr="00C22A7E">
        <w:rPr>
          <w:szCs w:val="20"/>
        </w:rPr>
        <w:t>Leavitt</w:t>
      </w:r>
      <w:r w:rsidR="00C22A7E">
        <w:rPr>
          <w:szCs w:val="20"/>
        </w:rPr>
        <w:t xml:space="preserve">, </w:t>
      </w:r>
      <w:r w:rsidR="00C22A7E" w:rsidRPr="00C22A7E">
        <w:rPr>
          <w:szCs w:val="20"/>
        </w:rPr>
        <w:t>M</w:t>
      </w:r>
      <w:r w:rsidR="00C22A7E">
        <w:rPr>
          <w:szCs w:val="20"/>
        </w:rPr>
        <w:t>.</w:t>
      </w:r>
      <w:r w:rsidR="00FB00A4">
        <w:rPr>
          <w:szCs w:val="20"/>
        </w:rPr>
        <w:t> </w:t>
      </w:r>
      <w:proofErr w:type="spellStart"/>
      <w:r w:rsidR="00C22A7E" w:rsidRPr="00C22A7E">
        <w:rPr>
          <w:szCs w:val="20"/>
        </w:rPr>
        <w:t>Desjardine</w:t>
      </w:r>
      <w:proofErr w:type="spellEnd"/>
      <w:r w:rsidR="00C22A7E">
        <w:rPr>
          <w:szCs w:val="20"/>
        </w:rPr>
        <w:t xml:space="preserve">, </w:t>
      </w:r>
      <w:r w:rsidR="00C22A7E" w:rsidRPr="00C22A7E">
        <w:rPr>
          <w:szCs w:val="20"/>
        </w:rPr>
        <w:t>D</w:t>
      </w:r>
      <w:r w:rsidR="00C22A7E">
        <w:rPr>
          <w:szCs w:val="20"/>
        </w:rPr>
        <w:t>.</w:t>
      </w:r>
      <w:r w:rsidR="00FB00A4">
        <w:rPr>
          <w:szCs w:val="20"/>
        </w:rPr>
        <w:t> </w:t>
      </w:r>
      <w:r w:rsidR="00C22A7E" w:rsidRPr="00C22A7E">
        <w:rPr>
          <w:szCs w:val="20"/>
        </w:rPr>
        <w:t>Comte</w:t>
      </w:r>
      <w:r w:rsidR="00FB00A4">
        <w:rPr>
          <w:szCs w:val="20"/>
        </w:rPr>
        <w:t>.</w:t>
      </w:r>
    </w:p>
    <w:p w:rsidR="00E33ED1" w:rsidRDefault="00E33ED1">
      <w:pPr>
        <w:widowControl/>
        <w:rPr>
          <w:szCs w:val="20"/>
        </w:rPr>
      </w:pPr>
      <w:r>
        <w:rPr>
          <w:szCs w:val="20"/>
        </w:rPr>
        <w:t xml:space="preserve">Roca Mines, Inc., </w:t>
      </w:r>
      <w:smartTag w:uri="urn:schemas-microsoft-com:office:smarttags" w:element="place">
        <w:smartTag w:uri="urn:schemas-microsoft-com:office:smarttags" w:element="City">
          <w:r>
            <w:rPr>
              <w:szCs w:val="20"/>
            </w:rPr>
            <w:t>Trout Lake</w:t>
          </w:r>
        </w:smartTag>
        <w:r>
          <w:rPr>
            <w:szCs w:val="20"/>
          </w:rPr>
          <w:t xml:space="preserve">, </w:t>
        </w:r>
        <w:smartTag w:uri="urn:schemas-microsoft-com:office:smarttags" w:element="State">
          <w:r w:rsidR="00713BDC">
            <w:rPr>
              <w:szCs w:val="20"/>
            </w:rPr>
            <w:t>British Columbia</w:t>
          </w:r>
        </w:smartTag>
        <w:r>
          <w:rPr>
            <w:szCs w:val="20"/>
          </w:rPr>
          <w:t xml:space="preserve">, </w:t>
        </w:r>
        <w:smartTag w:uri="urn:schemas-microsoft-com:office:smarttags" w:element="country-region">
          <w:r>
            <w:rPr>
              <w:szCs w:val="20"/>
            </w:rPr>
            <w:t>Canada</w:t>
          </w:r>
        </w:smartTag>
      </w:smartTag>
      <w:r>
        <w:rPr>
          <w:szCs w:val="20"/>
        </w:rPr>
        <w:t>; R</w:t>
      </w:r>
      <w:r w:rsidR="00FB00A4">
        <w:rPr>
          <w:szCs w:val="20"/>
        </w:rPr>
        <w:t>. </w:t>
      </w:r>
      <w:r>
        <w:rPr>
          <w:szCs w:val="20"/>
        </w:rPr>
        <w:t>Fraser, K</w:t>
      </w:r>
      <w:r w:rsidR="00FB00A4">
        <w:rPr>
          <w:szCs w:val="20"/>
        </w:rPr>
        <w:t>. </w:t>
      </w:r>
      <w:r>
        <w:rPr>
          <w:szCs w:val="20"/>
        </w:rPr>
        <w:t>Alexander</w:t>
      </w:r>
    </w:p>
    <w:p w:rsidR="00E33ED1" w:rsidRDefault="00E33ED1">
      <w:pPr>
        <w:widowControl/>
        <w:ind w:left="288" w:hanging="288"/>
        <w:rPr>
          <w:szCs w:val="20"/>
        </w:rPr>
      </w:pPr>
      <w:r w:rsidRPr="00E33ED1">
        <w:rPr>
          <w:szCs w:val="20"/>
        </w:rPr>
        <w:t>Alfred H</w:t>
      </w:r>
      <w:r w:rsidR="00FB00A4">
        <w:rPr>
          <w:szCs w:val="20"/>
        </w:rPr>
        <w:t>. </w:t>
      </w:r>
      <w:r w:rsidRPr="00E33ED1">
        <w:rPr>
          <w:szCs w:val="20"/>
        </w:rPr>
        <w:t>Knight International Ltd.</w:t>
      </w:r>
      <w:r>
        <w:rPr>
          <w:szCs w:val="20"/>
        </w:rPr>
        <w:t xml:space="preserve">, </w:t>
      </w:r>
      <w:r w:rsidRPr="00E33ED1">
        <w:rPr>
          <w:szCs w:val="20"/>
        </w:rPr>
        <w:t>St</w:t>
      </w:r>
      <w:r w:rsidR="00FB00A4">
        <w:rPr>
          <w:szCs w:val="20"/>
        </w:rPr>
        <w:t>. </w:t>
      </w:r>
      <w:r w:rsidRPr="00E33ED1">
        <w:rPr>
          <w:szCs w:val="20"/>
        </w:rPr>
        <w:t>Helens</w:t>
      </w:r>
      <w:r>
        <w:rPr>
          <w:szCs w:val="20"/>
        </w:rPr>
        <w:t xml:space="preserve">, </w:t>
      </w:r>
      <w:r w:rsidRPr="00E33ED1">
        <w:rPr>
          <w:szCs w:val="20"/>
        </w:rPr>
        <w:t>United Kingdom</w:t>
      </w:r>
      <w:r>
        <w:rPr>
          <w:szCs w:val="20"/>
        </w:rPr>
        <w:t xml:space="preserve">; </w:t>
      </w:r>
      <w:r w:rsidRPr="00E33ED1">
        <w:rPr>
          <w:szCs w:val="20"/>
        </w:rPr>
        <w:t>N</w:t>
      </w:r>
      <w:r w:rsidR="00FB00A4">
        <w:rPr>
          <w:szCs w:val="20"/>
        </w:rPr>
        <w:t>. </w:t>
      </w:r>
      <w:r w:rsidRPr="00E33ED1">
        <w:rPr>
          <w:szCs w:val="20"/>
        </w:rPr>
        <w:t>Hampson</w:t>
      </w:r>
      <w:r>
        <w:rPr>
          <w:szCs w:val="20"/>
        </w:rPr>
        <w:t xml:space="preserve">, </w:t>
      </w:r>
      <w:r w:rsidRPr="00E33ED1">
        <w:rPr>
          <w:szCs w:val="20"/>
        </w:rPr>
        <w:t>N</w:t>
      </w:r>
      <w:r w:rsidR="00FB00A4">
        <w:rPr>
          <w:szCs w:val="20"/>
        </w:rPr>
        <w:t>. </w:t>
      </w:r>
      <w:proofErr w:type="spellStart"/>
      <w:r w:rsidRPr="00E33ED1">
        <w:rPr>
          <w:szCs w:val="20"/>
        </w:rPr>
        <w:t>Golborne</w:t>
      </w:r>
      <w:proofErr w:type="spellEnd"/>
      <w:r>
        <w:rPr>
          <w:szCs w:val="20"/>
        </w:rPr>
        <w:t xml:space="preserve">, </w:t>
      </w:r>
      <w:r w:rsidRPr="00E33ED1">
        <w:rPr>
          <w:szCs w:val="20"/>
        </w:rPr>
        <w:t>P</w:t>
      </w:r>
      <w:r w:rsidR="00FB00A4">
        <w:rPr>
          <w:szCs w:val="20"/>
        </w:rPr>
        <w:t>. </w:t>
      </w:r>
      <w:proofErr w:type="spellStart"/>
      <w:r w:rsidRPr="00E33ED1">
        <w:rPr>
          <w:szCs w:val="20"/>
        </w:rPr>
        <w:t>Ritson</w:t>
      </w:r>
      <w:proofErr w:type="spellEnd"/>
      <w:r>
        <w:rPr>
          <w:szCs w:val="20"/>
        </w:rPr>
        <w:t xml:space="preserve">, </w:t>
      </w:r>
      <w:r w:rsidRPr="00E33ED1">
        <w:rPr>
          <w:szCs w:val="20"/>
        </w:rPr>
        <w:t>G</w:t>
      </w:r>
      <w:r w:rsidR="00FB00A4">
        <w:rPr>
          <w:szCs w:val="20"/>
        </w:rPr>
        <w:t>. </w:t>
      </w:r>
      <w:r w:rsidRPr="00E33ED1">
        <w:rPr>
          <w:szCs w:val="20"/>
        </w:rPr>
        <w:t>Smith</w:t>
      </w:r>
      <w:r>
        <w:rPr>
          <w:szCs w:val="20"/>
        </w:rPr>
        <w:t xml:space="preserve">, </w:t>
      </w:r>
      <w:r w:rsidRPr="00E33ED1">
        <w:rPr>
          <w:szCs w:val="20"/>
        </w:rPr>
        <w:t>T</w:t>
      </w:r>
      <w:r w:rsidR="00FB00A4">
        <w:rPr>
          <w:szCs w:val="20"/>
        </w:rPr>
        <w:t>. </w:t>
      </w:r>
      <w:r w:rsidRPr="00E33ED1">
        <w:rPr>
          <w:szCs w:val="20"/>
        </w:rPr>
        <w:t>Sutcliffe</w:t>
      </w:r>
      <w:r>
        <w:rPr>
          <w:szCs w:val="20"/>
        </w:rPr>
        <w:t>, S</w:t>
      </w:r>
      <w:r w:rsidR="00FB00A4">
        <w:rPr>
          <w:szCs w:val="20"/>
        </w:rPr>
        <w:t>. </w:t>
      </w:r>
      <w:r w:rsidRPr="00E33ED1">
        <w:rPr>
          <w:szCs w:val="20"/>
        </w:rPr>
        <w:t>Williams</w:t>
      </w:r>
    </w:p>
    <w:p w:rsidR="00E33ED1" w:rsidRDefault="00E33ED1">
      <w:pPr>
        <w:widowControl/>
        <w:rPr>
          <w:szCs w:val="20"/>
        </w:rPr>
      </w:pPr>
      <w:r>
        <w:rPr>
          <w:szCs w:val="20"/>
        </w:rPr>
        <w:t>Alex Stewart Assayers, Ltd</w:t>
      </w:r>
      <w:r w:rsidR="00713BDC">
        <w:rPr>
          <w:szCs w:val="20"/>
        </w:rPr>
        <w:t>.</w:t>
      </w:r>
      <w:r>
        <w:rPr>
          <w:szCs w:val="20"/>
        </w:rPr>
        <w:t xml:space="preserve">, </w:t>
      </w:r>
      <w:smartTag w:uri="urn:schemas-microsoft-com:office:smarttags" w:element="place">
        <w:smartTag w:uri="urn:schemas-microsoft-com:office:smarttags" w:element="City">
          <w:r>
            <w:rPr>
              <w:szCs w:val="20"/>
            </w:rPr>
            <w:t>Liverpool</w:t>
          </w:r>
        </w:smartTag>
        <w:r>
          <w:rPr>
            <w:szCs w:val="20"/>
          </w:rPr>
          <w:t xml:space="preserve">, </w:t>
        </w:r>
        <w:smartTag w:uri="urn:schemas-microsoft-com:office:smarttags" w:element="country-region">
          <w:r>
            <w:rPr>
              <w:szCs w:val="20"/>
            </w:rPr>
            <w:t>United Kingdom</w:t>
          </w:r>
        </w:smartTag>
      </w:smartTag>
      <w:r w:rsidR="00EC3EE9">
        <w:rPr>
          <w:szCs w:val="20"/>
        </w:rPr>
        <w:t xml:space="preserve">; </w:t>
      </w:r>
      <w:r w:rsidR="007533E4" w:rsidRPr="007533E4">
        <w:rPr>
          <w:szCs w:val="20"/>
        </w:rPr>
        <w:t>D</w:t>
      </w:r>
      <w:r w:rsidR="00FB00A4">
        <w:rPr>
          <w:szCs w:val="20"/>
        </w:rPr>
        <w:t>. </w:t>
      </w:r>
      <w:r w:rsidR="007533E4" w:rsidRPr="007533E4">
        <w:rPr>
          <w:szCs w:val="20"/>
        </w:rPr>
        <w:t>Court</w:t>
      </w:r>
    </w:p>
    <w:p w:rsidR="00E33ED1" w:rsidRDefault="00E33ED1">
      <w:pPr>
        <w:widowControl/>
        <w:ind w:left="288" w:hanging="288"/>
        <w:rPr>
          <w:szCs w:val="20"/>
        </w:rPr>
      </w:pPr>
      <w:r w:rsidRPr="00E33ED1">
        <w:rPr>
          <w:szCs w:val="20"/>
        </w:rPr>
        <w:t>Andrew S</w:t>
      </w:r>
      <w:r w:rsidR="00FB00A4">
        <w:rPr>
          <w:szCs w:val="20"/>
        </w:rPr>
        <w:t>. </w:t>
      </w:r>
      <w:proofErr w:type="spellStart"/>
      <w:r w:rsidRPr="00E33ED1">
        <w:rPr>
          <w:szCs w:val="20"/>
        </w:rPr>
        <w:t>McCreath</w:t>
      </w:r>
      <w:proofErr w:type="spellEnd"/>
      <w:r w:rsidRPr="00E33ED1">
        <w:rPr>
          <w:szCs w:val="20"/>
        </w:rPr>
        <w:t xml:space="preserve"> and Son, Inc.</w:t>
      </w:r>
      <w:r>
        <w:rPr>
          <w:szCs w:val="20"/>
        </w:rPr>
        <w:t xml:space="preserve">, </w:t>
      </w:r>
      <w:r w:rsidRPr="00E33ED1">
        <w:rPr>
          <w:szCs w:val="20"/>
        </w:rPr>
        <w:t>Harrisburg</w:t>
      </w:r>
      <w:r>
        <w:rPr>
          <w:szCs w:val="20"/>
        </w:rPr>
        <w:t xml:space="preserve">, </w:t>
      </w:r>
      <w:r w:rsidR="00EC3EE9">
        <w:rPr>
          <w:szCs w:val="20"/>
        </w:rPr>
        <w:t>P</w:t>
      </w:r>
      <w:r w:rsidRPr="00E33ED1">
        <w:rPr>
          <w:szCs w:val="20"/>
        </w:rPr>
        <w:t>A</w:t>
      </w:r>
      <w:r>
        <w:rPr>
          <w:szCs w:val="20"/>
        </w:rPr>
        <w:t xml:space="preserve">; </w:t>
      </w:r>
      <w:r w:rsidRPr="00E33ED1">
        <w:rPr>
          <w:szCs w:val="20"/>
        </w:rPr>
        <w:t>L</w:t>
      </w:r>
      <w:r w:rsidR="00FB00A4">
        <w:rPr>
          <w:szCs w:val="20"/>
        </w:rPr>
        <w:t>. </w:t>
      </w:r>
      <w:r w:rsidRPr="00E33ED1">
        <w:rPr>
          <w:szCs w:val="20"/>
        </w:rPr>
        <w:t>Longacre</w:t>
      </w:r>
      <w:r>
        <w:rPr>
          <w:szCs w:val="20"/>
        </w:rPr>
        <w:t xml:space="preserve">, </w:t>
      </w:r>
      <w:r w:rsidRPr="00E33ED1">
        <w:rPr>
          <w:szCs w:val="20"/>
        </w:rPr>
        <w:t>P</w:t>
      </w:r>
      <w:r w:rsidR="00FB00A4">
        <w:rPr>
          <w:szCs w:val="20"/>
        </w:rPr>
        <w:t>. </w:t>
      </w:r>
      <w:r w:rsidRPr="00E33ED1">
        <w:rPr>
          <w:szCs w:val="20"/>
        </w:rPr>
        <w:t>Schubert</w:t>
      </w:r>
      <w:r>
        <w:rPr>
          <w:szCs w:val="20"/>
        </w:rPr>
        <w:t xml:space="preserve">, </w:t>
      </w:r>
      <w:r w:rsidRPr="00E33ED1">
        <w:rPr>
          <w:szCs w:val="20"/>
        </w:rPr>
        <w:t>M</w:t>
      </w:r>
      <w:r w:rsidR="00FB00A4">
        <w:rPr>
          <w:szCs w:val="20"/>
        </w:rPr>
        <w:t>. </w:t>
      </w:r>
      <w:r w:rsidRPr="00E33ED1">
        <w:rPr>
          <w:szCs w:val="20"/>
        </w:rPr>
        <w:t>Souder</w:t>
      </w:r>
      <w:r>
        <w:rPr>
          <w:szCs w:val="20"/>
        </w:rPr>
        <w:t xml:space="preserve">, </w:t>
      </w:r>
      <w:r w:rsidRPr="00E33ED1">
        <w:rPr>
          <w:szCs w:val="20"/>
        </w:rPr>
        <w:t>N</w:t>
      </w:r>
      <w:r w:rsidR="00FB00A4">
        <w:rPr>
          <w:szCs w:val="20"/>
        </w:rPr>
        <w:t>. </w:t>
      </w:r>
      <w:proofErr w:type="spellStart"/>
      <w:r>
        <w:rPr>
          <w:szCs w:val="20"/>
        </w:rPr>
        <w:t>Eppley</w:t>
      </w:r>
      <w:proofErr w:type="spellEnd"/>
      <w:r>
        <w:rPr>
          <w:szCs w:val="20"/>
        </w:rPr>
        <w:t xml:space="preserve">, </w:t>
      </w:r>
      <w:r w:rsidRPr="00E33ED1">
        <w:rPr>
          <w:szCs w:val="20"/>
        </w:rPr>
        <w:t>R</w:t>
      </w:r>
      <w:r w:rsidR="00FB00A4">
        <w:rPr>
          <w:szCs w:val="20"/>
        </w:rPr>
        <w:t>. </w:t>
      </w:r>
      <w:r w:rsidRPr="00E33ED1">
        <w:rPr>
          <w:szCs w:val="20"/>
        </w:rPr>
        <w:t>Eakin</w:t>
      </w:r>
      <w:r>
        <w:rPr>
          <w:szCs w:val="20"/>
        </w:rPr>
        <w:t xml:space="preserve">, </w:t>
      </w:r>
      <w:r w:rsidRPr="00E33ED1">
        <w:rPr>
          <w:szCs w:val="20"/>
        </w:rPr>
        <w:t>J</w:t>
      </w:r>
      <w:r w:rsidR="00FB00A4">
        <w:rPr>
          <w:szCs w:val="20"/>
        </w:rPr>
        <w:t>. </w:t>
      </w:r>
      <w:r w:rsidRPr="00E33ED1">
        <w:rPr>
          <w:szCs w:val="20"/>
        </w:rPr>
        <w:t>Davies</w:t>
      </w:r>
    </w:p>
    <w:p w:rsidR="00C22A7E" w:rsidRPr="00D334DA" w:rsidRDefault="00C22A7E">
      <w:pPr>
        <w:widowControl/>
        <w:ind w:left="288" w:hanging="288"/>
        <w:rPr>
          <w:szCs w:val="20"/>
        </w:rPr>
      </w:pPr>
      <w:proofErr w:type="spellStart"/>
      <w:r w:rsidRPr="00D334DA">
        <w:rPr>
          <w:szCs w:val="20"/>
        </w:rPr>
        <w:t>Endako</w:t>
      </w:r>
      <w:proofErr w:type="spellEnd"/>
      <w:r w:rsidRPr="00D334DA">
        <w:rPr>
          <w:szCs w:val="20"/>
        </w:rPr>
        <w:t xml:space="preserve"> Mines, Fraser Lake, B</w:t>
      </w:r>
      <w:r w:rsidR="00FD614F" w:rsidRPr="00D334DA">
        <w:rPr>
          <w:szCs w:val="20"/>
        </w:rPr>
        <w:t xml:space="preserve">ritish </w:t>
      </w:r>
      <w:r w:rsidRPr="00D334DA">
        <w:rPr>
          <w:szCs w:val="20"/>
        </w:rPr>
        <w:t>C</w:t>
      </w:r>
      <w:r w:rsidR="00FD614F" w:rsidRPr="00D334DA">
        <w:rPr>
          <w:szCs w:val="20"/>
        </w:rPr>
        <w:t>olumbia</w:t>
      </w:r>
      <w:r w:rsidRPr="00D334DA">
        <w:rPr>
          <w:szCs w:val="20"/>
        </w:rPr>
        <w:t>, Canada; B</w:t>
      </w:r>
      <w:r w:rsidR="00FB00A4">
        <w:rPr>
          <w:szCs w:val="20"/>
        </w:rPr>
        <w:t>. </w:t>
      </w:r>
      <w:r w:rsidRPr="00D334DA">
        <w:rPr>
          <w:szCs w:val="20"/>
        </w:rPr>
        <w:t>Minor, K</w:t>
      </w:r>
      <w:r w:rsidR="00FB00A4">
        <w:rPr>
          <w:szCs w:val="20"/>
        </w:rPr>
        <w:t>. </w:t>
      </w:r>
      <w:r w:rsidRPr="00D334DA">
        <w:rPr>
          <w:szCs w:val="20"/>
        </w:rPr>
        <w:t>Campo, J</w:t>
      </w:r>
      <w:r w:rsidR="00FB00A4">
        <w:rPr>
          <w:szCs w:val="20"/>
        </w:rPr>
        <w:t>. </w:t>
      </w:r>
      <w:r w:rsidRPr="00D334DA">
        <w:rPr>
          <w:szCs w:val="20"/>
        </w:rPr>
        <w:t xml:space="preserve">Lynch </w:t>
      </w:r>
    </w:p>
    <w:p w:rsidR="00C22A7E" w:rsidRPr="00D334DA" w:rsidRDefault="00C22A7E">
      <w:pPr>
        <w:widowControl/>
        <w:ind w:left="288" w:hanging="288"/>
        <w:rPr>
          <w:szCs w:val="20"/>
        </w:rPr>
      </w:pPr>
      <w:r w:rsidRPr="00D334DA">
        <w:rPr>
          <w:szCs w:val="20"/>
        </w:rPr>
        <w:t>Ersa Global Mex, S.A</w:t>
      </w:r>
      <w:r w:rsidR="00FB00A4">
        <w:rPr>
          <w:szCs w:val="20"/>
        </w:rPr>
        <w:t>. </w:t>
      </w:r>
      <w:r w:rsidRPr="00D334DA">
        <w:rPr>
          <w:szCs w:val="20"/>
        </w:rPr>
        <w:t xml:space="preserve">de C.V., </w:t>
      </w:r>
      <w:proofErr w:type="spellStart"/>
      <w:r w:rsidRPr="00D334DA">
        <w:rPr>
          <w:szCs w:val="20"/>
        </w:rPr>
        <w:t>Torreón</w:t>
      </w:r>
      <w:proofErr w:type="spellEnd"/>
      <w:r w:rsidRPr="00D334DA">
        <w:rPr>
          <w:szCs w:val="20"/>
        </w:rPr>
        <w:t>, Coah</w:t>
      </w:r>
      <w:r w:rsidR="001E5FE6" w:rsidRPr="00D334DA">
        <w:rPr>
          <w:szCs w:val="20"/>
        </w:rPr>
        <w:t xml:space="preserve">uila, </w:t>
      </w:r>
      <w:r w:rsidRPr="00D334DA">
        <w:rPr>
          <w:szCs w:val="20"/>
        </w:rPr>
        <w:t>M</w:t>
      </w:r>
      <w:r w:rsidR="001E5FE6" w:rsidRPr="00D334DA">
        <w:rPr>
          <w:szCs w:val="20"/>
        </w:rPr>
        <w:t xml:space="preserve">exico; </w:t>
      </w:r>
      <w:r w:rsidRPr="00D334DA">
        <w:rPr>
          <w:szCs w:val="20"/>
        </w:rPr>
        <w:t>A</w:t>
      </w:r>
      <w:r w:rsidR="00FB00A4">
        <w:rPr>
          <w:szCs w:val="20"/>
        </w:rPr>
        <w:t>. </w:t>
      </w:r>
      <w:proofErr w:type="spellStart"/>
      <w:r w:rsidRPr="00D334DA">
        <w:rPr>
          <w:szCs w:val="20"/>
        </w:rPr>
        <w:t>Iniestra</w:t>
      </w:r>
      <w:proofErr w:type="spellEnd"/>
      <w:r w:rsidRPr="00D334DA">
        <w:rPr>
          <w:szCs w:val="20"/>
        </w:rPr>
        <w:t xml:space="preserve"> Ramírez</w:t>
      </w:r>
      <w:r w:rsidR="001E5FE6" w:rsidRPr="00D334DA">
        <w:rPr>
          <w:szCs w:val="20"/>
        </w:rPr>
        <w:t xml:space="preserve">, </w:t>
      </w:r>
      <w:r w:rsidRPr="00D334DA">
        <w:rPr>
          <w:szCs w:val="20"/>
        </w:rPr>
        <w:t>S</w:t>
      </w:r>
      <w:r w:rsidR="00FB00A4">
        <w:rPr>
          <w:szCs w:val="20"/>
        </w:rPr>
        <w:t>. </w:t>
      </w:r>
      <w:r w:rsidRPr="00D334DA">
        <w:rPr>
          <w:szCs w:val="20"/>
        </w:rPr>
        <w:t>Rodríguez Salas</w:t>
      </w:r>
      <w:r w:rsidR="001E5FE6" w:rsidRPr="00D334DA">
        <w:rPr>
          <w:szCs w:val="20"/>
        </w:rPr>
        <w:t xml:space="preserve">, </w:t>
      </w:r>
      <w:r w:rsidRPr="00D334DA">
        <w:rPr>
          <w:szCs w:val="20"/>
        </w:rPr>
        <w:t>G</w:t>
      </w:r>
      <w:r w:rsidR="00FB00A4">
        <w:rPr>
          <w:szCs w:val="20"/>
        </w:rPr>
        <w:t>. </w:t>
      </w:r>
      <w:r w:rsidR="00EC3EE9" w:rsidRPr="00D334DA">
        <w:rPr>
          <w:szCs w:val="20"/>
        </w:rPr>
        <w:t>Morales </w:t>
      </w:r>
      <w:r w:rsidRPr="00D334DA">
        <w:rPr>
          <w:szCs w:val="20"/>
        </w:rPr>
        <w:t>Martínez</w:t>
      </w:r>
      <w:r w:rsidR="001E5FE6" w:rsidRPr="00D334DA">
        <w:rPr>
          <w:szCs w:val="20"/>
        </w:rPr>
        <w:t xml:space="preserve">, </w:t>
      </w:r>
      <w:r w:rsidRPr="00D334DA">
        <w:rPr>
          <w:szCs w:val="20"/>
        </w:rPr>
        <w:t>F</w:t>
      </w:r>
      <w:r w:rsidR="00FB00A4">
        <w:rPr>
          <w:szCs w:val="20"/>
        </w:rPr>
        <w:t>. </w:t>
      </w:r>
      <w:r w:rsidRPr="00D334DA">
        <w:rPr>
          <w:szCs w:val="20"/>
        </w:rPr>
        <w:t>Hernández Martínez</w:t>
      </w:r>
    </w:p>
    <w:p w:rsidR="00023C28" w:rsidRDefault="005D1D36">
      <w:pPr>
        <w:widowControl/>
        <w:rPr>
          <w:szCs w:val="20"/>
        </w:rPr>
      </w:pPr>
      <w:smartTag w:uri="urn:schemas-microsoft-com:office:smarttags" w:element="PlaceName">
        <w:r w:rsidRPr="005D1D36">
          <w:rPr>
            <w:szCs w:val="20"/>
          </w:rPr>
          <w:t>Freeport</w:t>
        </w:r>
      </w:smartTag>
      <w:r w:rsidRPr="005D1D36">
        <w:rPr>
          <w:szCs w:val="20"/>
        </w:rPr>
        <w:t xml:space="preserve"> </w:t>
      </w:r>
      <w:proofErr w:type="spellStart"/>
      <w:smartTag w:uri="urn:schemas-microsoft-com:office:smarttags" w:element="PlaceName">
        <w:r w:rsidRPr="005D1D36">
          <w:rPr>
            <w:szCs w:val="20"/>
          </w:rPr>
          <w:t>McMoRan</w:t>
        </w:r>
      </w:smartTag>
      <w:proofErr w:type="spellEnd"/>
      <w:r w:rsidRPr="005D1D36">
        <w:rPr>
          <w:szCs w:val="20"/>
        </w:rPr>
        <w:t xml:space="preserve"> </w:t>
      </w:r>
      <w:smartTag w:uri="urn:schemas-microsoft-com:office:smarttags" w:element="PlaceName">
        <w:r w:rsidRPr="005D1D36">
          <w:rPr>
            <w:szCs w:val="20"/>
          </w:rPr>
          <w:t>Process</w:t>
        </w:r>
      </w:smartTag>
      <w:r w:rsidRPr="005D1D36">
        <w:rPr>
          <w:szCs w:val="20"/>
        </w:rPr>
        <w:t xml:space="preserve"> Tech</w:t>
      </w:r>
      <w:r w:rsidR="00FB00A4">
        <w:rPr>
          <w:szCs w:val="20"/>
        </w:rPr>
        <w:t>. </w:t>
      </w:r>
      <w:r w:rsidRPr="005D1D36">
        <w:rPr>
          <w:szCs w:val="20"/>
        </w:rPr>
        <w:t>Center</w:t>
      </w:r>
      <w:r>
        <w:rPr>
          <w:szCs w:val="20"/>
        </w:rPr>
        <w:t xml:space="preserve">, </w:t>
      </w:r>
      <w:r w:rsidRPr="005D1D36">
        <w:rPr>
          <w:szCs w:val="20"/>
        </w:rPr>
        <w:t>Safford</w:t>
      </w:r>
      <w:r w:rsidR="00FD614F">
        <w:rPr>
          <w:szCs w:val="20"/>
        </w:rPr>
        <w:t>, A</w:t>
      </w:r>
      <w:r w:rsidR="00FB00A4">
        <w:rPr>
          <w:szCs w:val="20"/>
        </w:rPr>
        <w:t>Z</w:t>
      </w:r>
      <w:r w:rsidR="00EC3EE9">
        <w:rPr>
          <w:szCs w:val="20"/>
        </w:rPr>
        <w:t xml:space="preserve">; </w:t>
      </w:r>
      <w:r w:rsidR="004B1D50">
        <w:rPr>
          <w:szCs w:val="20"/>
        </w:rPr>
        <w:t>O</w:t>
      </w:r>
      <w:r w:rsidR="00FB00A4">
        <w:rPr>
          <w:szCs w:val="20"/>
        </w:rPr>
        <w:t>. </w:t>
      </w:r>
      <w:r w:rsidR="004B1D50">
        <w:rPr>
          <w:szCs w:val="20"/>
        </w:rPr>
        <w:t>Baca</w:t>
      </w:r>
    </w:p>
    <w:p w:rsidR="005D1D36" w:rsidRDefault="00FD614F">
      <w:pPr>
        <w:widowControl/>
        <w:rPr>
          <w:szCs w:val="20"/>
        </w:rPr>
      </w:pPr>
      <w:r>
        <w:rPr>
          <w:szCs w:val="20"/>
        </w:rPr>
        <w:t xml:space="preserve">Langeloth Metallurgical, Co., </w:t>
      </w:r>
      <w:proofErr w:type="spellStart"/>
      <w:r>
        <w:rPr>
          <w:szCs w:val="20"/>
        </w:rPr>
        <w:t>Langeloth</w:t>
      </w:r>
      <w:proofErr w:type="spellEnd"/>
      <w:r>
        <w:rPr>
          <w:szCs w:val="20"/>
        </w:rPr>
        <w:t>, PA; F</w:t>
      </w:r>
      <w:r w:rsidR="00FB00A4">
        <w:rPr>
          <w:szCs w:val="20"/>
        </w:rPr>
        <w:t>. </w:t>
      </w:r>
      <w:proofErr w:type="spellStart"/>
      <w:r>
        <w:rPr>
          <w:szCs w:val="20"/>
        </w:rPr>
        <w:t>Liberato</w:t>
      </w:r>
      <w:proofErr w:type="spellEnd"/>
      <w:r>
        <w:rPr>
          <w:szCs w:val="20"/>
        </w:rPr>
        <w:t>, D</w:t>
      </w:r>
      <w:r w:rsidR="00FB00A4">
        <w:rPr>
          <w:szCs w:val="20"/>
        </w:rPr>
        <w:t>. </w:t>
      </w:r>
      <w:proofErr w:type="spellStart"/>
      <w:r>
        <w:rPr>
          <w:szCs w:val="20"/>
        </w:rPr>
        <w:t>Porchiran</w:t>
      </w:r>
      <w:proofErr w:type="spellEnd"/>
    </w:p>
    <w:p w:rsidR="00FD614F" w:rsidRDefault="00FD614F">
      <w:pPr>
        <w:widowControl/>
        <w:rPr>
          <w:szCs w:val="20"/>
        </w:rPr>
      </w:pPr>
      <w:r w:rsidRPr="00FD614F">
        <w:rPr>
          <w:szCs w:val="20"/>
        </w:rPr>
        <w:t>Montana Resources, LLP</w:t>
      </w:r>
      <w:r>
        <w:rPr>
          <w:szCs w:val="20"/>
        </w:rPr>
        <w:t xml:space="preserve">, </w:t>
      </w:r>
      <w:r w:rsidRPr="00FD614F">
        <w:rPr>
          <w:szCs w:val="20"/>
        </w:rPr>
        <w:t>Butte, M</w:t>
      </w:r>
      <w:r w:rsidR="00FB00A4">
        <w:rPr>
          <w:szCs w:val="20"/>
        </w:rPr>
        <w:t>T</w:t>
      </w:r>
      <w:r>
        <w:rPr>
          <w:szCs w:val="20"/>
        </w:rPr>
        <w:t xml:space="preserve">; </w:t>
      </w:r>
      <w:r w:rsidRPr="00FD614F">
        <w:rPr>
          <w:szCs w:val="20"/>
        </w:rPr>
        <w:t>V</w:t>
      </w:r>
      <w:r w:rsidR="00FB00A4">
        <w:rPr>
          <w:szCs w:val="20"/>
        </w:rPr>
        <w:t>. </w:t>
      </w:r>
      <w:r w:rsidRPr="00FD614F">
        <w:rPr>
          <w:szCs w:val="20"/>
        </w:rPr>
        <w:t>Gilman</w:t>
      </w:r>
      <w:r>
        <w:rPr>
          <w:szCs w:val="20"/>
        </w:rPr>
        <w:t xml:space="preserve">, </w:t>
      </w:r>
      <w:r w:rsidRPr="00FD614F">
        <w:rPr>
          <w:szCs w:val="20"/>
        </w:rPr>
        <w:t>J</w:t>
      </w:r>
      <w:r w:rsidR="00FB00A4">
        <w:rPr>
          <w:szCs w:val="20"/>
        </w:rPr>
        <w:t>. </w:t>
      </w:r>
      <w:proofErr w:type="spellStart"/>
      <w:r w:rsidRPr="00FD614F">
        <w:rPr>
          <w:szCs w:val="20"/>
        </w:rPr>
        <w:t>Gress</w:t>
      </w:r>
      <w:proofErr w:type="spellEnd"/>
      <w:r>
        <w:rPr>
          <w:szCs w:val="20"/>
        </w:rPr>
        <w:t xml:space="preserve">, </w:t>
      </w:r>
      <w:r w:rsidRPr="00FD614F">
        <w:rPr>
          <w:szCs w:val="20"/>
        </w:rPr>
        <w:t>R</w:t>
      </w:r>
      <w:r w:rsidR="00FB00A4">
        <w:rPr>
          <w:szCs w:val="20"/>
        </w:rPr>
        <w:t>. </w:t>
      </w:r>
      <w:r w:rsidRPr="00FD614F">
        <w:rPr>
          <w:szCs w:val="20"/>
        </w:rPr>
        <w:t>Ball</w:t>
      </w:r>
      <w:r>
        <w:rPr>
          <w:szCs w:val="20"/>
        </w:rPr>
        <w:t xml:space="preserve">, </w:t>
      </w:r>
      <w:r w:rsidRPr="00FD614F">
        <w:rPr>
          <w:szCs w:val="20"/>
        </w:rPr>
        <w:t>B</w:t>
      </w:r>
      <w:r w:rsidR="00FB00A4">
        <w:rPr>
          <w:szCs w:val="20"/>
        </w:rPr>
        <w:t>. </w:t>
      </w:r>
      <w:r w:rsidRPr="00FD614F">
        <w:rPr>
          <w:szCs w:val="20"/>
        </w:rPr>
        <w:t>McGee</w:t>
      </w:r>
    </w:p>
    <w:p w:rsidR="00713BDC" w:rsidRDefault="00713BDC">
      <w:pPr>
        <w:widowControl/>
        <w:ind w:left="288" w:hanging="288"/>
        <w:rPr>
          <w:szCs w:val="20"/>
        </w:rPr>
      </w:pPr>
      <w:r w:rsidRPr="00713BDC">
        <w:rPr>
          <w:szCs w:val="20"/>
        </w:rPr>
        <w:t>Robinson Nevada Mining Company</w:t>
      </w:r>
      <w:r>
        <w:rPr>
          <w:szCs w:val="20"/>
        </w:rPr>
        <w:t>, Ruth, N</w:t>
      </w:r>
      <w:r w:rsidR="00FB00A4">
        <w:rPr>
          <w:szCs w:val="20"/>
        </w:rPr>
        <w:t>V</w:t>
      </w:r>
      <w:r>
        <w:rPr>
          <w:szCs w:val="20"/>
        </w:rPr>
        <w:t xml:space="preserve">; </w:t>
      </w:r>
      <w:r w:rsidRPr="00713BDC">
        <w:rPr>
          <w:szCs w:val="20"/>
        </w:rPr>
        <w:t>C</w:t>
      </w:r>
      <w:r w:rsidR="00FB00A4">
        <w:rPr>
          <w:szCs w:val="20"/>
        </w:rPr>
        <w:t>. </w:t>
      </w:r>
      <w:r w:rsidRPr="00713BDC">
        <w:rPr>
          <w:szCs w:val="20"/>
        </w:rPr>
        <w:t>Whipple</w:t>
      </w:r>
      <w:r>
        <w:rPr>
          <w:szCs w:val="20"/>
        </w:rPr>
        <w:t xml:space="preserve">, </w:t>
      </w:r>
      <w:r w:rsidRPr="00713BDC">
        <w:rPr>
          <w:szCs w:val="20"/>
        </w:rPr>
        <w:t>W</w:t>
      </w:r>
      <w:r w:rsidR="00FB00A4">
        <w:rPr>
          <w:szCs w:val="20"/>
        </w:rPr>
        <w:t>. </w:t>
      </w:r>
      <w:r w:rsidRPr="00713BDC">
        <w:rPr>
          <w:szCs w:val="20"/>
        </w:rPr>
        <w:t>Barragan</w:t>
      </w:r>
      <w:r>
        <w:rPr>
          <w:szCs w:val="20"/>
        </w:rPr>
        <w:t xml:space="preserve">, </w:t>
      </w:r>
      <w:r w:rsidRPr="00713BDC">
        <w:rPr>
          <w:szCs w:val="20"/>
        </w:rPr>
        <w:t>J</w:t>
      </w:r>
      <w:r w:rsidR="00FB00A4">
        <w:rPr>
          <w:szCs w:val="20"/>
        </w:rPr>
        <w:t>. </w:t>
      </w:r>
      <w:proofErr w:type="spellStart"/>
      <w:r w:rsidRPr="00713BDC">
        <w:rPr>
          <w:szCs w:val="20"/>
        </w:rPr>
        <w:t>Margues</w:t>
      </w:r>
      <w:proofErr w:type="spellEnd"/>
      <w:r>
        <w:rPr>
          <w:szCs w:val="20"/>
        </w:rPr>
        <w:t xml:space="preserve">, </w:t>
      </w:r>
      <w:r w:rsidRPr="00713BDC">
        <w:rPr>
          <w:szCs w:val="20"/>
        </w:rPr>
        <w:t>P</w:t>
      </w:r>
      <w:r w:rsidR="00FB00A4">
        <w:rPr>
          <w:szCs w:val="20"/>
        </w:rPr>
        <w:t>. </w:t>
      </w:r>
      <w:r w:rsidRPr="00713BDC">
        <w:rPr>
          <w:szCs w:val="20"/>
        </w:rPr>
        <w:t>Robinson</w:t>
      </w:r>
      <w:r>
        <w:rPr>
          <w:szCs w:val="20"/>
        </w:rPr>
        <w:t xml:space="preserve">, </w:t>
      </w:r>
      <w:r w:rsidRPr="00713BDC">
        <w:rPr>
          <w:szCs w:val="20"/>
        </w:rPr>
        <w:t>T</w:t>
      </w:r>
      <w:r w:rsidR="00FB00A4">
        <w:rPr>
          <w:szCs w:val="20"/>
        </w:rPr>
        <w:t>. </w:t>
      </w:r>
      <w:r>
        <w:rPr>
          <w:szCs w:val="20"/>
        </w:rPr>
        <w:t>Y</w:t>
      </w:r>
      <w:r w:rsidRPr="00713BDC">
        <w:rPr>
          <w:szCs w:val="20"/>
        </w:rPr>
        <w:t>oung</w:t>
      </w:r>
      <w:r>
        <w:rPr>
          <w:szCs w:val="20"/>
        </w:rPr>
        <w:t xml:space="preserve">, </w:t>
      </w:r>
      <w:r w:rsidRPr="00713BDC">
        <w:rPr>
          <w:szCs w:val="20"/>
        </w:rPr>
        <w:t>D</w:t>
      </w:r>
      <w:r w:rsidR="00FB00A4">
        <w:rPr>
          <w:szCs w:val="20"/>
        </w:rPr>
        <w:t>. </w:t>
      </w:r>
      <w:r w:rsidRPr="00713BDC">
        <w:rPr>
          <w:szCs w:val="20"/>
        </w:rPr>
        <w:t>McGhee</w:t>
      </w:r>
      <w:r>
        <w:rPr>
          <w:szCs w:val="20"/>
        </w:rPr>
        <w:t xml:space="preserve">, </w:t>
      </w:r>
      <w:r w:rsidRPr="00713BDC">
        <w:rPr>
          <w:szCs w:val="20"/>
        </w:rPr>
        <w:t>R</w:t>
      </w:r>
      <w:r w:rsidR="00FB00A4">
        <w:rPr>
          <w:szCs w:val="20"/>
        </w:rPr>
        <w:t>. </w:t>
      </w:r>
      <w:proofErr w:type="spellStart"/>
      <w:r w:rsidRPr="00713BDC">
        <w:rPr>
          <w:szCs w:val="20"/>
        </w:rPr>
        <w:t>Lemos</w:t>
      </w:r>
      <w:proofErr w:type="spellEnd"/>
    </w:p>
    <w:p w:rsidR="00EC3EE9" w:rsidRDefault="00EC3EE9">
      <w:pPr>
        <w:widowControl/>
        <w:ind w:left="288" w:hanging="288"/>
        <w:rPr>
          <w:szCs w:val="20"/>
        </w:rPr>
      </w:pPr>
    </w:p>
    <w:p w:rsidR="0074720D" w:rsidRDefault="001875A3">
      <w:pPr>
        <w:widowControl/>
        <w:rPr>
          <w:szCs w:val="20"/>
        </w:rPr>
      </w:pPr>
      <w:r>
        <w:rPr>
          <w:szCs w:val="20"/>
        </w:rPr>
        <w:t xml:space="preserve">Seventeen additional laboratories </w:t>
      </w:r>
      <w:r w:rsidR="00EC3EE9">
        <w:rPr>
          <w:szCs w:val="20"/>
        </w:rPr>
        <w:t xml:space="preserve">provided data for value assignment but </w:t>
      </w:r>
      <w:r>
        <w:rPr>
          <w:szCs w:val="20"/>
        </w:rPr>
        <w:t>declined to be identified.</w:t>
      </w:r>
    </w:p>
    <w:p w:rsidR="001875A3" w:rsidRPr="0074720D" w:rsidRDefault="001875A3">
      <w:pPr>
        <w:widowControl/>
        <w:rPr>
          <w:szCs w:val="20"/>
        </w:rPr>
      </w:pPr>
    </w:p>
    <w:p w:rsidR="0074720D" w:rsidRPr="0074720D" w:rsidRDefault="0074720D">
      <w:pPr>
        <w:widowControl/>
        <w:rPr>
          <w:szCs w:val="20"/>
        </w:rPr>
      </w:pPr>
    </w:p>
    <w:p w:rsidR="008A4EA6" w:rsidRDefault="008A4EA6">
      <w:pPr>
        <w:pStyle w:val="HTMLBody"/>
      </w:pPr>
    </w:p>
    <w:p w:rsidR="005C190C" w:rsidRDefault="005C190C">
      <w:pPr>
        <w:pStyle w:val="HTMLBody"/>
      </w:pPr>
    </w:p>
    <w:sectPr w:rsidR="005C190C" w:rsidSect="0001193F">
      <w:footerReference w:type="default" r:id="rId16"/>
      <w:type w:val="continuous"/>
      <w:pgSz w:w="12240" w:h="15840"/>
      <w:pgMar w:top="720" w:right="1440" w:bottom="720" w:left="144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958" w:rsidRDefault="00C76958">
      <w:r>
        <w:separator/>
      </w:r>
    </w:p>
  </w:endnote>
  <w:endnote w:type="continuationSeparator" w:id="0">
    <w:p w:rsidR="00C76958" w:rsidRDefault="00C7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5C2" w:rsidRDefault="007C05C2">
    <w:pPr>
      <w:pStyle w:val="Footer"/>
      <w:tabs>
        <w:tab w:val="clear" w:pos="8640"/>
        <w:tab w:val="right" w:pos="9360"/>
      </w:tabs>
    </w:pPr>
    <w:r>
      <w:t xml:space="preserve">SRM 333a </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36CC4">
      <w:rPr>
        <w:rStyle w:val="PageNumber"/>
        <w:noProof/>
      </w:rPr>
      <w:t>1</w:t>
    </w:r>
    <w:r>
      <w:rPr>
        <w:rStyle w:val="PageNumber"/>
      </w:rPr>
      <w:fldChar w:fldCharType="end"/>
    </w:r>
    <w:r>
      <w:rPr>
        <w:rStyle w:val="PageNumber"/>
      </w:rPr>
      <w:t xml:space="preserve"> of </w:t>
    </w:r>
    <w:r w:rsidRPr="00662224">
      <w:rPr>
        <w:rStyle w:val="PageNumber"/>
      </w:rPr>
      <w:fldChar w:fldCharType="begin"/>
    </w:r>
    <w:r w:rsidRPr="00662224">
      <w:rPr>
        <w:rStyle w:val="PageNumber"/>
      </w:rPr>
      <w:instrText xml:space="preserve"> NUMPAGES </w:instrText>
    </w:r>
    <w:r w:rsidRPr="00662224">
      <w:rPr>
        <w:rStyle w:val="PageNumber"/>
      </w:rPr>
      <w:fldChar w:fldCharType="separate"/>
    </w:r>
    <w:r w:rsidR="00236CC4">
      <w:rPr>
        <w:rStyle w:val="PageNumber"/>
        <w:noProof/>
      </w:rPr>
      <w:t>4</w:t>
    </w:r>
    <w:r w:rsidRPr="0066222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958" w:rsidRDefault="00C76958">
      <w:r>
        <w:separator/>
      </w:r>
    </w:p>
  </w:footnote>
  <w:footnote w:type="continuationSeparator" w:id="0">
    <w:p w:rsidR="00C76958" w:rsidRDefault="00C76958">
      <w:r>
        <w:continuationSeparator/>
      </w:r>
    </w:p>
  </w:footnote>
  <w:footnote w:id="1">
    <w:p w:rsidR="007C05C2" w:rsidRPr="005B14CA" w:rsidRDefault="005B14CA" w:rsidP="005B14CA">
      <w:pPr>
        <w:pStyle w:val="FootnoteText"/>
        <w:tabs>
          <w:tab w:val="left" w:pos="720"/>
        </w:tabs>
        <w:ind w:firstLine="540"/>
        <w:rPr>
          <w:sz w:val="18"/>
          <w:szCs w:val="18"/>
        </w:rPr>
      </w:pPr>
      <w:r w:rsidRPr="005B14CA">
        <w:rPr>
          <w:sz w:val="18"/>
          <w:szCs w:val="18"/>
          <w:vertAlign w:val="superscript"/>
        </w:rPr>
        <w:t>(</w:t>
      </w:r>
      <w:r w:rsidR="007C05C2" w:rsidRPr="005B14CA">
        <w:rPr>
          <w:rStyle w:val="FootnoteReference"/>
          <w:sz w:val="18"/>
          <w:szCs w:val="18"/>
        </w:rPr>
        <w:footnoteRef/>
      </w:r>
      <w:r w:rsidRPr="005B14CA">
        <w:rPr>
          <w:sz w:val="18"/>
          <w:szCs w:val="18"/>
          <w:vertAlign w:val="superscript"/>
        </w:rPr>
        <w:t>)</w:t>
      </w:r>
      <w:r>
        <w:rPr>
          <w:sz w:val="18"/>
          <w:szCs w:val="18"/>
          <w:vertAlign w:val="superscript"/>
        </w:rPr>
        <w:tab/>
      </w:r>
      <w:r w:rsidR="007C05C2" w:rsidRPr="005B14CA">
        <w:rPr>
          <w:sz w:val="18"/>
          <w:szCs w:val="18"/>
        </w:rPr>
        <w:t xml:space="preserve">Certain organizations, commercial equipment, or materials are identified in this certificate to </w:t>
      </w:r>
      <w:r w:rsidR="0001193F" w:rsidRPr="005B14CA">
        <w:rPr>
          <w:sz w:val="18"/>
          <w:szCs w:val="18"/>
        </w:rPr>
        <w:t xml:space="preserve">adequately </w:t>
      </w:r>
      <w:r w:rsidR="007C05C2" w:rsidRPr="005B14CA">
        <w:rPr>
          <w:sz w:val="18"/>
          <w:szCs w:val="18"/>
        </w:rPr>
        <w:t>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9008B"/>
    <w:multiLevelType w:val="singleLevel"/>
    <w:tmpl w:val="13C839D6"/>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9B"/>
    <w:rsid w:val="00007441"/>
    <w:rsid w:val="00010BDA"/>
    <w:rsid w:val="0001193F"/>
    <w:rsid w:val="000121ED"/>
    <w:rsid w:val="00012454"/>
    <w:rsid w:val="000134D3"/>
    <w:rsid w:val="00017227"/>
    <w:rsid w:val="0001726D"/>
    <w:rsid w:val="00023C28"/>
    <w:rsid w:val="00023C89"/>
    <w:rsid w:val="00024C69"/>
    <w:rsid w:val="0002686B"/>
    <w:rsid w:val="00030A8C"/>
    <w:rsid w:val="00030D83"/>
    <w:rsid w:val="00041432"/>
    <w:rsid w:val="00041D58"/>
    <w:rsid w:val="00046330"/>
    <w:rsid w:val="00051629"/>
    <w:rsid w:val="00060C0A"/>
    <w:rsid w:val="00065523"/>
    <w:rsid w:val="00065F07"/>
    <w:rsid w:val="00067816"/>
    <w:rsid w:val="0007111E"/>
    <w:rsid w:val="000715B1"/>
    <w:rsid w:val="00081676"/>
    <w:rsid w:val="000829E2"/>
    <w:rsid w:val="00082ACF"/>
    <w:rsid w:val="000906F9"/>
    <w:rsid w:val="00095F82"/>
    <w:rsid w:val="000962BE"/>
    <w:rsid w:val="00097256"/>
    <w:rsid w:val="000A015B"/>
    <w:rsid w:val="000A770B"/>
    <w:rsid w:val="000B27B4"/>
    <w:rsid w:val="000C149F"/>
    <w:rsid w:val="000C185A"/>
    <w:rsid w:val="000C65F4"/>
    <w:rsid w:val="000E4A3F"/>
    <w:rsid w:val="000E4A6F"/>
    <w:rsid w:val="000E4AB2"/>
    <w:rsid w:val="000F48D3"/>
    <w:rsid w:val="00103B62"/>
    <w:rsid w:val="0011011F"/>
    <w:rsid w:val="00113A38"/>
    <w:rsid w:val="00137946"/>
    <w:rsid w:val="0014588B"/>
    <w:rsid w:val="00151F68"/>
    <w:rsid w:val="00154C4F"/>
    <w:rsid w:val="00161A70"/>
    <w:rsid w:val="00165538"/>
    <w:rsid w:val="001875A3"/>
    <w:rsid w:val="001A1448"/>
    <w:rsid w:val="001A4628"/>
    <w:rsid w:val="001B1095"/>
    <w:rsid w:val="001B14E5"/>
    <w:rsid w:val="001C78D2"/>
    <w:rsid w:val="001D2934"/>
    <w:rsid w:val="001E3BEE"/>
    <w:rsid w:val="001E5FE6"/>
    <w:rsid w:val="001E6880"/>
    <w:rsid w:val="001E6C12"/>
    <w:rsid w:val="001E7E46"/>
    <w:rsid w:val="001F2CF4"/>
    <w:rsid w:val="0021308F"/>
    <w:rsid w:val="00225129"/>
    <w:rsid w:val="002270E0"/>
    <w:rsid w:val="002361B1"/>
    <w:rsid w:val="00236CC4"/>
    <w:rsid w:val="002449D4"/>
    <w:rsid w:val="00256B48"/>
    <w:rsid w:val="00260DFC"/>
    <w:rsid w:val="0028722F"/>
    <w:rsid w:val="00291FD0"/>
    <w:rsid w:val="0029514F"/>
    <w:rsid w:val="002A0B2C"/>
    <w:rsid w:val="002A5BE0"/>
    <w:rsid w:val="002B5CD0"/>
    <w:rsid w:val="002C12BD"/>
    <w:rsid w:val="002C4EE1"/>
    <w:rsid w:val="002D28AD"/>
    <w:rsid w:val="002D736B"/>
    <w:rsid w:val="002E10C2"/>
    <w:rsid w:val="002E1DB5"/>
    <w:rsid w:val="002E6C77"/>
    <w:rsid w:val="002E6D34"/>
    <w:rsid w:val="003008CF"/>
    <w:rsid w:val="003043B1"/>
    <w:rsid w:val="00335B88"/>
    <w:rsid w:val="0034703F"/>
    <w:rsid w:val="00353DDD"/>
    <w:rsid w:val="0035427D"/>
    <w:rsid w:val="0036278F"/>
    <w:rsid w:val="00367028"/>
    <w:rsid w:val="003675B6"/>
    <w:rsid w:val="00373E43"/>
    <w:rsid w:val="00380342"/>
    <w:rsid w:val="003811EC"/>
    <w:rsid w:val="00396C6A"/>
    <w:rsid w:val="003979A5"/>
    <w:rsid w:val="003A1F25"/>
    <w:rsid w:val="003A7EAE"/>
    <w:rsid w:val="003B04A2"/>
    <w:rsid w:val="003B629D"/>
    <w:rsid w:val="003C7190"/>
    <w:rsid w:val="003D3379"/>
    <w:rsid w:val="003F44BA"/>
    <w:rsid w:val="004030E6"/>
    <w:rsid w:val="00421665"/>
    <w:rsid w:val="0042656F"/>
    <w:rsid w:val="0042758A"/>
    <w:rsid w:val="00427B46"/>
    <w:rsid w:val="00435074"/>
    <w:rsid w:val="004359B9"/>
    <w:rsid w:val="0044131A"/>
    <w:rsid w:val="0045087E"/>
    <w:rsid w:val="00457108"/>
    <w:rsid w:val="00464147"/>
    <w:rsid w:val="0047019D"/>
    <w:rsid w:val="004800E6"/>
    <w:rsid w:val="0048257E"/>
    <w:rsid w:val="00485A8B"/>
    <w:rsid w:val="00485D9B"/>
    <w:rsid w:val="00491239"/>
    <w:rsid w:val="00493E7E"/>
    <w:rsid w:val="004A310A"/>
    <w:rsid w:val="004A592C"/>
    <w:rsid w:val="004B1D50"/>
    <w:rsid w:val="004B6AFD"/>
    <w:rsid w:val="004C667B"/>
    <w:rsid w:val="004D1A08"/>
    <w:rsid w:val="004D45A9"/>
    <w:rsid w:val="004D5988"/>
    <w:rsid w:val="004E1076"/>
    <w:rsid w:val="004E3ABD"/>
    <w:rsid w:val="004F0C13"/>
    <w:rsid w:val="004F2DAA"/>
    <w:rsid w:val="004F73DF"/>
    <w:rsid w:val="004F7E29"/>
    <w:rsid w:val="00503EE2"/>
    <w:rsid w:val="00511C1F"/>
    <w:rsid w:val="00512A0E"/>
    <w:rsid w:val="005220C3"/>
    <w:rsid w:val="0054179E"/>
    <w:rsid w:val="00544AF6"/>
    <w:rsid w:val="00550624"/>
    <w:rsid w:val="00563AB0"/>
    <w:rsid w:val="00566D34"/>
    <w:rsid w:val="00572CEC"/>
    <w:rsid w:val="00575E2B"/>
    <w:rsid w:val="00592D91"/>
    <w:rsid w:val="00594626"/>
    <w:rsid w:val="00595327"/>
    <w:rsid w:val="005A2739"/>
    <w:rsid w:val="005A3030"/>
    <w:rsid w:val="005B1240"/>
    <w:rsid w:val="005B14CA"/>
    <w:rsid w:val="005B6888"/>
    <w:rsid w:val="005C190C"/>
    <w:rsid w:val="005C3994"/>
    <w:rsid w:val="005D02B2"/>
    <w:rsid w:val="005D1D36"/>
    <w:rsid w:val="005E02E3"/>
    <w:rsid w:val="005F17EF"/>
    <w:rsid w:val="0062471F"/>
    <w:rsid w:val="00626398"/>
    <w:rsid w:val="00635AAE"/>
    <w:rsid w:val="00637E8D"/>
    <w:rsid w:val="00644D59"/>
    <w:rsid w:val="00662224"/>
    <w:rsid w:val="00673853"/>
    <w:rsid w:val="006844CA"/>
    <w:rsid w:val="00696774"/>
    <w:rsid w:val="006B64EF"/>
    <w:rsid w:val="006C4CD1"/>
    <w:rsid w:val="006D0511"/>
    <w:rsid w:val="006D0CEC"/>
    <w:rsid w:val="006E6A5B"/>
    <w:rsid w:val="006E7AE8"/>
    <w:rsid w:val="00704D87"/>
    <w:rsid w:val="00707A9D"/>
    <w:rsid w:val="00713BDC"/>
    <w:rsid w:val="007152C0"/>
    <w:rsid w:val="00733B93"/>
    <w:rsid w:val="00740D4E"/>
    <w:rsid w:val="00747041"/>
    <w:rsid w:val="0074720D"/>
    <w:rsid w:val="00751215"/>
    <w:rsid w:val="007533E4"/>
    <w:rsid w:val="00766A3A"/>
    <w:rsid w:val="00770036"/>
    <w:rsid w:val="00776609"/>
    <w:rsid w:val="00785B82"/>
    <w:rsid w:val="00797B94"/>
    <w:rsid w:val="007B750D"/>
    <w:rsid w:val="007C05C2"/>
    <w:rsid w:val="007C7C0A"/>
    <w:rsid w:val="007D5B5C"/>
    <w:rsid w:val="007D70C5"/>
    <w:rsid w:val="007E2DD6"/>
    <w:rsid w:val="007E5AE6"/>
    <w:rsid w:val="007F5D85"/>
    <w:rsid w:val="0080125E"/>
    <w:rsid w:val="008100C1"/>
    <w:rsid w:val="00816A01"/>
    <w:rsid w:val="008206F0"/>
    <w:rsid w:val="00820776"/>
    <w:rsid w:val="00827F4C"/>
    <w:rsid w:val="008376A2"/>
    <w:rsid w:val="00841185"/>
    <w:rsid w:val="008614B0"/>
    <w:rsid w:val="008642C8"/>
    <w:rsid w:val="00867145"/>
    <w:rsid w:val="008817EF"/>
    <w:rsid w:val="008A4EA6"/>
    <w:rsid w:val="008B0CC8"/>
    <w:rsid w:val="008B1731"/>
    <w:rsid w:val="008C0C35"/>
    <w:rsid w:val="008D113C"/>
    <w:rsid w:val="008D2629"/>
    <w:rsid w:val="008D4D08"/>
    <w:rsid w:val="008E0D05"/>
    <w:rsid w:val="008F33BE"/>
    <w:rsid w:val="00906BD2"/>
    <w:rsid w:val="009279B2"/>
    <w:rsid w:val="00937C9A"/>
    <w:rsid w:val="00945DA4"/>
    <w:rsid w:val="009528B5"/>
    <w:rsid w:val="00971ADC"/>
    <w:rsid w:val="009754ED"/>
    <w:rsid w:val="00977830"/>
    <w:rsid w:val="00981FCE"/>
    <w:rsid w:val="00987635"/>
    <w:rsid w:val="00995459"/>
    <w:rsid w:val="009962DD"/>
    <w:rsid w:val="009A60F7"/>
    <w:rsid w:val="009C53D5"/>
    <w:rsid w:val="009C5885"/>
    <w:rsid w:val="009D1804"/>
    <w:rsid w:val="009D28C2"/>
    <w:rsid w:val="009D5E03"/>
    <w:rsid w:val="009E03AF"/>
    <w:rsid w:val="009E37A0"/>
    <w:rsid w:val="009E6468"/>
    <w:rsid w:val="009E65FC"/>
    <w:rsid w:val="009F172F"/>
    <w:rsid w:val="009F4AF0"/>
    <w:rsid w:val="009F75C6"/>
    <w:rsid w:val="00A10751"/>
    <w:rsid w:val="00A11979"/>
    <w:rsid w:val="00A21CBC"/>
    <w:rsid w:val="00A26D52"/>
    <w:rsid w:val="00A44D05"/>
    <w:rsid w:val="00A47EF2"/>
    <w:rsid w:val="00A57604"/>
    <w:rsid w:val="00A6487D"/>
    <w:rsid w:val="00A70143"/>
    <w:rsid w:val="00A725AA"/>
    <w:rsid w:val="00A930E6"/>
    <w:rsid w:val="00AA23BA"/>
    <w:rsid w:val="00AA4991"/>
    <w:rsid w:val="00AC3095"/>
    <w:rsid w:val="00AD6E56"/>
    <w:rsid w:val="00AF6673"/>
    <w:rsid w:val="00B10F1C"/>
    <w:rsid w:val="00B41B70"/>
    <w:rsid w:val="00B42FCC"/>
    <w:rsid w:val="00B55494"/>
    <w:rsid w:val="00B721BC"/>
    <w:rsid w:val="00B75AAD"/>
    <w:rsid w:val="00B76D3C"/>
    <w:rsid w:val="00B8387E"/>
    <w:rsid w:val="00B96CC6"/>
    <w:rsid w:val="00BA7197"/>
    <w:rsid w:val="00BB20C1"/>
    <w:rsid w:val="00BB2AA3"/>
    <w:rsid w:val="00BB37BF"/>
    <w:rsid w:val="00BD0785"/>
    <w:rsid w:val="00BD11AE"/>
    <w:rsid w:val="00BE2E4E"/>
    <w:rsid w:val="00BF63AC"/>
    <w:rsid w:val="00C07106"/>
    <w:rsid w:val="00C137CE"/>
    <w:rsid w:val="00C13C8A"/>
    <w:rsid w:val="00C171CE"/>
    <w:rsid w:val="00C22A7E"/>
    <w:rsid w:val="00C25794"/>
    <w:rsid w:val="00C266A2"/>
    <w:rsid w:val="00C33D52"/>
    <w:rsid w:val="00C35C88"/>
    <w:rsid w:val="00C360F2"/>
    <w:rsid w:val="00C40171"/>
    <w:rsid w:val="00C50D82"/>
    <w:rsid w:val="00C543E9"/>
    <w:rsid w:val="00C5586D"/>
    <w:rsid w:val="00C55D69"/>
    <w:rsid w:val="00C578B8"/>
    <w:rsid w:val="00C64E76"/>
    <w:rsid w:val="00C71ED5"/>
    <w:rsid w:val="00C729A1"/>
    <w:rsid w:val="00C734F8"/>
    <w:rsid w:val="00C76958"/>
    <w:rsid w:val="00C819D7"/>
    <w:rsid w:val="00C874E5"/>
    <w:rsid w:val="00CA44A0"/>
    <w:rsid w:val="00CA57B9"/>
    <w:rsid w:val="00CA671D"/>
    <w:rsid w:val="00CA7ED4"/>
    <w:rsid w:val="00CB0721"/>
    <w:rsid w:val="00CB1FD9"/>
    <w:rsid w:val="00CB7920"/>
    <w:rsid w:val="00CC40DA"/>
    <w:rsid w:val="00CC4D35"/>
    <w:rsid w:val="00CD57F2"/>
    <w:rsid w:val="00CD6421"/>
    <w:rsid w:val="00D00DD9"/>
    <w:rsid w:val="00D0143C"/>
    <w:rsid w:val="00D11FFB"/>
    <w:rsid w:val="00D124B0"/>
    <w:rsid w:val="00D21D88"/>
    <w:rsid w:val="00D232C1"/>
    <w:rsid w:val="00D30B6E"/>
    <w:rsid w:val="00D334DA"/>
    <w:rsid w:val="00D36B0E"/>
    <w:rsid w:val="00D3741A"/>
    <w:rsid w:val="00D40017"/>
    <w:rsid w:val="00D4091D"/>
    <w:rsid w:val="00D43C8D"/>
    <w:rsid w:val="00D517EC"/>
    <w:rsid w:val="00D52F25"/>
    <w:rsid w:val="00D61995"/>
    <w:rsid w:val="00D65748"/>
    <w:rsid w:val="00D657AB"/>
    <w:rsid w:val="00D75492"/>
    <w:rsid w:val="00D777EA"/>
    <w:rsid w:val="00D85F78"/>
    <w:rsid w:val="00D866C8"/>
    <w:rsid w:val="00D94B82"/>
    <w:rsid w:val="00D970A1"/>
    <w:rsid w:val="00DA173F"/>
    <w:rsid w:val="00DA1A26"/>
    <w:rsid w:val="00DA3946"/>
    <w:rsid w:val="00DB0AD8"/>
    <w:rsid w:val="00DB3F28"/>
    <w:rsid w:val="00DB4084"/>
    <w:rsid w:val="00DB44FB"/>
    <w:rsid w:val="00DC71A2"/>
    <w:rsid w:val="00DD0692"/>
    <w:rsid w:val="00DD7818"/>
    <w:rsid w:val="00DE053F"/>
    <w:rsid w:val="00DE26EB"/>
    <w:rsid w:val="00DE5C46"/>
    <w:rsid w:val="00DF6C9E"/>
    <w:rsid w:val="00DF6E41"/>
    <w:rsid w:val="00DF78EF"/>
    <w:rsid w:val="00E14D0D"/>
    <w:rsid w:val="00E21405"/>
    <w:rsid w:val="00E24DB2"/>
    <w:rsid w:val="00E275FB"/>
    <w:rsid w:val="00E33ED1"/>
    <w:rsid w:val="00E37396"/>
    <w:rsid w:val="00E44CDA"/>
    <w:rsid w:val="00E45F35"/>
    <w:rsid w:val="00E52C3B"/>
    <w:rsid w:val="00E61380"/>
    <w:rsid w:val="00E65BA8"/>
    <w:rsid w:val="00E914A4"/>
    <w:rsid w:val="00E92186"/>
    <w:rsid w:val="00E94D15"/>
    <w:rsid w:val="00EA1CEF"/>
    <w:rsid w:val="00EB2009"/>
    <w:rsid w:val="00EB2E96"/>
    <w:rsid w:val="00EC3EE9"/>
    <w:rsid w:val="00ED0574"/>
    <w:rsid w:val="00ED07F9"/>
    <w:rsid w:val="00ED4A40"/>
    <w:rsid w:val="00ED5A61"/>
    <w:rsid w:val="00EE0A02"/>
    <w:rsid w:val="00EF0C04"/>
    <w:rsid w:val="00EF64E8"/>
    <w:rsid w:val="00F16121"/>
    <w:rsid w:val="00F2261C"/>
    <w:rsid w:val="00F24DAC"/>
    <w:rsid w:val="00F276B1"/>
    <w:rsid w:val="00F3211D"/>
    <w:rsid w:val="00F32924"/>
    <w:rsid w:val="00F33EE4"/>
    <w:rsid w:val="00F43EBA"/>
    <w:rsid w:val="00F454A8"/>
    <w:rsid w:val="00F96E0E"/>
    <w:rsid w:val="00FB00A4"/>
    <w:rsid w:val="00FB18F4"/>
    <w:rsid w:val="00FB69E7"/>
    <w:rsid w:val="00FC42FD"/>
    <w:rsid w:val="00FD2F9A"/>
    <w:rsid w:val="00FD513C"/>
    <w:rsid w:val="00FD614F"/>
    <w:rsid w:val="00FE5BE3"/>
    <w:rsid w:val="00FE6F53"/>
    <w:rsid w:val="00FF2C04"/>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stockticker"/>
  <w:shapeDefaults>
    <o:shapedefaults v:ext="edit" spidmax="1028"/>
    <o:shapelayout v:ext="edit">
      <o:idmap v:ext="edit" data="1"/>
    </o:shapelayout>
  </w:shapeDefaults>
  <w:decimalSymbol w:val="."/>
  <w:listSeparator w:val=","/>
  <w14:docId w14:val="6D7C8E9E"/>
  <w15:chartTrackingRefBased/>
  <w15:docId w15:val="{E94466CD-A379-4951-9EFA-DA15F88D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1FCE"/>
    <w:pPr>
      <w:widowControl w:val="0"/>
      <w:autoSpaceDE w:val="0"/>
      <w:autoSpaceDN w:val="0"/>
      <w:adjustRightInd w:val="0"/>
      <w:jc w:val="both"/>
    </w:pPr>
    <w:rPr>
      <w:szCs w:val="24"/>
    </w:rPr>
  </w:style>
  <w:style w:type="paragraph" w:styleId="Heading1">
    <w:name w:val="heading 1"/>
    <w:basedOn w:val="Normal"/>
    <w:next w:val="Normal"/>
    <w:qFormat/>
    <w:pPr>
      <w:keepNext/>
      <w:outlineLvl w:val="0"/>
    </w:pPr>
    <w:rPr>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0">
    <w:name w:val="TxBr_p0"/>
    <w:basedOn w:val="Normal"/>
    <w:pPr>
      <w:tabs>
        <w:tab w:val="left" w:pos="204"/>
      </w:tabs>
      <w:spacing w:line="240" w:lineRule="atLeast"/>
    </w:pPr>
  </w:style>
  <w:style w:type="paragraph" w:customStyle="1" w:styleId="TxBrt1">
    <w:name w:val="TxBr_t1"/>
    <w:basedOn w:val="Normal"/>
    <w:pPr>
      <w:spacing w:line="240" w:lineRule="atLeast"/>
    </w:pPr>
  </w:style>
  <w:style w:type="paragraph" w:customStyle="1" w:styleId="TxBrt2">
    <w:name w:val="TxBr_t2"/>
    <w:basedOn w:val="Normal"/>
    <w:pPr>
      <w:spacing w:line="238" w:lineRule="atLeast"/>
    </w:pPr>
  </w:style>
  <w:style w:type="paragraph" w:customStyle="1" w:styleId="TxBrt3">
    <w:name w:val="TxBr_t3"/>
    <w:basedOn w:val="Normal"/>
    <w:pPr>
      <w:spacing w:line="238" w:lineRule="atLeast"/>
    </w:pPr>
  </w:style>
  <w:style w:type="paragraph" w:customStyle="1" w:styleId="TxBrc4">
    <w:name w:val="TxBr_c4"/>
    <w:basedOn w:val="Normal"/>
    <w:pPr>
      <w:spacing w:line="240" w:lineRule="atLeast"/>
      <w:jc w:val="center"/>
    </w:pPr>
  </w:style>
  <w:style w:type="paragraph" w:customStyle="1" w:styleId="TxBrc5">
    <w:name w:val="TxBr_c5"/>
    <w:basedOn w:val="Normal"/>
    <w:pPr>
      <w:spacing w:line="240" w:lineRule="atLeast"/>
      <w:jc w:val="center"/>
    </w:pPr>
  </w:style>
  <w:style w:type="paragraph" w:customStyle="1" w:styleId="TxBrp6">
    <w:name w:val="TxBr_p6"/>
    <w:basedOn w:val="Normal"/>
    <w:pPr>
      <w:tabs>
        <w:tab w:val="left" w:pos="583"/>
      </w:tabs>
      <w:spacing w:line="238" w:lineRule="atLeast"/>
      <w:ind w:left="566"/>
    </w:pPr>
  </w:style>
  <w:style w:type="paragraph" w:customStyle="1" w:styleId="TxBrp7">
    <w:name w:val="TxBr_p7"/>
    <w:basedOn w:val="Normal"/>
    <w:pPr>
      <w:tabs>
        <w:tab w:val="left" w:pos="583"/>
        <w:tab w:val="left" w:pos="1071"/>
      </w:tabs>
      <w:spacing w:line="238" w:lineRule="atLeast"/>
      <w:ind w:left="566"/>
    </w:pPr>
  </w:style>
  <w:style w:type="paragraph" w:customStyle="1" w:styleId="TxBrp8">
    <w:name w:val="TxBr_p8"/>
    <w:basedOn w:val="Normal"/>
    <w:pPr>
      <w:tabs>
        <w:tab w:val="left" w:pos="204"/>
      </w:tabs>
      <w:spacing w:line="238" w:lineRule="atLeast"/>
    </w:pPr>
  </w:style>
  <w:style w:type="paragraph" w:customStyle="1" w:styleId="TxBrp9">
    <w:name w:val="TxBr_p9"/>
    <w:basedOn w:val="Normal"/>
    <w:pPr>
      <w:tabs>
        <w:tab w:val="left" w:pos="204"/>
      </w:tabs>
      <w:spacing w:line="243" w:lineRule="atLeast"/>
    </w:pPr>
  </w:style>
  <w:style w:type="paragraph" w:customStyle="1" w:styleId="TxBrp10">
    <w:name w:val="TxBr_p10"/>
    <w:basedOn w:val="Normal"/>
    <w:pPr>
      <w:tabs>
        <w:tab w:val="left" w:pos="204"/>
      </w:tabs>
      <w:spacing w:line="240" w:lineRule="atLeast"/>
    </w:pPr>
  </w:style>
  <w:style w:type="paragraph" w:customStyle="1" w:styleId="TxBrc11">
    <w:name w:val="TxBr_c11"/>
    <w:basedOn w:val="Normal"/>
    <w:pPr>
      <w:spacing w:line="240" w:lineRule="atLeast"/>
      <w:jc w:val="center"/>
    </w:pPr>
  </w:style>
  <w:style w:type="paragraph" w:customStyle="1" w:styleId="TxBrt12">
    <w:name w:val="TxBr_t12"/>
    <w:basedOn w:val="Normal"/>
    <w:pPr>
      <w:spacing w:line="240" w:lineRule="atLeast"/>
    </w:pPr>
  </w:style>
  <w:style w:type="paragraph" w:customStyle="1" w:styleId="TxBrt13">
    <w:name w:val="TxBr_t13"/>
    <w:basedOn w:val="Normal"/>
    <w:pPr>
      <w:spacing w:line="238" w:lineRule="atLeast"/>
    </w:pPr>
  </w:style>
  <w:style w:type="paragraph" w:customStyle="1" w:styleId="TxBrt14">
    <w:name w:val="TxBr_t14"/>
    <w:basedOn w:val="Normal"/>
    <w:pPr>
      <w:spacing w:line="238" w:lineRule="atLeast"/>
    </w:pPr>
  </w:style>
  <w:style w:type="paragraph" w:customStyle="1" w:styleId="TxBrt15">
    <w:name w:val="TxBr_t15"/>
    <w:basedOn w:val="Normal"/>
    <w:pPr>
      <w:spacing w:line="240" w:lineRule="atLeast"/>
    </w:pPr>
  </w:style>
  <w:style w:type="paragraph" w:customStyle="1" w:styleId="TxBrt16">
    <w:name w:val="TxBr_t16"/>
    <w:basedOn w:val="Normal"/>
    <w:pPr>
      <w:spacing w:line="240" w:lineRule="atLeast"/>
    </w:pPr>
  </w:style>
  <w:style w:type="paragraph" w:customStyle="1" w:styleId="TxBrt17">
    <w:name w:val="TxBr_t17"/>
    <w:basedOn w:val="Normal"/>
    <w:pPr>
      <w:spacing w:line="238" w:lineRule="atLeast"/>
    </w:pPr>
  </w:style>
  <w:style w:type="paragraph" w:customStyle="1" w:styleId="TxBrc18">
    <w:name w:val="TxBr_c18"/>
    <w:basedOn w:val="Normal"/>
    <w:pPr>
      <w:spacing w:line="240" w:lineRule="atLeast"/>
      <w:jc w:val="center"/>
    </w:pPr>
  </w:style>
  <w:style w:type="paragraph" w:customStyle="1" w:styleId="TxBrc19">
    <w:name w:val="TxBr_c19"/>
    <w:basedOn w:val="Normal"/>
    <w:pPr>
      <w:spacing w:line="240" w:lineRule="atLeast"/>
      <w:jc w:val="center"/>
    </w:pPr>
  </w:style>
  <w:style w:type="paragraph" w:customStyle="1" w:styleId="TxBrp20">
    <w:name w:val="TxBr_p20"/>
    <w:basedOn w:val="Normal"/>
    <w:pPr>
      <w:tabs>
        <w:tab w:val="left" w:pos="3237"/>
      </w:tabs>
      <w:spacing w:line="240" w:lineRule="atLeast"/>
      <w:ind w:left="2088" w:hanging="3237"/>
    </w:pPr>
  </w:style>
  <w:style w:type="paragraph" w:customStyle="1" w:styleId="TxBrc21">
    <w:name w:val="TxBr_c21"/>
    <w:basedOn w:val="Normal"/>
    <w:pPr>
      <w:spacing w:line="240" w:lineRule="atLeast"/>
      <w:jc w:val="center"/>
    </w:pPr>
  </w:style>
  <w:style w:type="paragraph" w:customStyle="1" w:styleId="TxBrp22">
    <w:name w:val="TxBr_p22"/>
    <w:basedOn w:val="Normal"/>
    <w:pPr>
      <w:spacing w:line="238" w:lineRule="atLeast"/>
      <w:ind w:left="891" w:hanging="2040"/>
    </w:pPr>
  </w:style>
  <w:style w:type="paragraph" w:customStyle="1" w:styleId="TxBrp23">
    <w:name w:val="TxBr_p23"/>
    <w:basedOn w:val="Normal"/>
    <w:pPr>
      <w:spacing w:line="368" w:lineRule="atLeast"/>
    </w:pPr>
  </w:style>
  <w:style w:type="paragraph" w:customStyle="1" w:styleId="TxBrp24">
    <w:name w:val="TxBr_p24"/>
    <w:basedOn w:val="Normal"/>
    <w:pPr>
      <w:spacing w:line="240" w:lineRule="atLeast"/>
    </w:pPr>
  </w:style>
  <w:style w:type="paragraph" w:customStyle="1" w:styleId="TxBrp25">
    <w:name w:val="TxBr_p25"/>
    <w:basedOn w:val="Normal"/>
    <w:pPr>
      <w:tabs>
        <w:tab w:val="left" w:pos="3991"/>
      </w:tabs>
      <w:spacing w:line="240" w:lineRule="atLeast"/>
      <w:ind w:left="2842"/>
    </w:pPr>
  </w:style>
  <w:style w:type="paragraph" w:customStyle="1" w:styleId="TxBrp28">
    <w:name w:val="TxBr_p28"/>
    <w:basedOn w:val="Normal"/>
    <w:pPr>
      <w:tabs>
        <w:tab w:val="left" w:pos="5125"/>
      </w:tabs>
      <w:spacing w:line="240" w:lineRule="atLeast"/>
      <w:ind w:left="3975"/>
    </w:pPr>
  </w:style>
  <w:style w:type="paragraph" w:customStyle="1" w:styleId="TxBrp29">
    <w:name w:val="TxBr_p29"/>
    <w:basedOn w:val="Normal"/>
    <w:pPr>
      <w:spacing w:line="240" w:lineRule="atLeast"/>
      <w:ind w:left="3975"/>
    </w:pPr>
  </w:style>
  <w:style w:type="paragraph" w:customStyle="1" w:styleId="TxBrp30">
    <w:name w:val="TxBr_p30"/>
    <w:basedOn w:val="Normal"/>
    <w:pPr>
      <w:tabs>
        <w:tab w:val="left" w:pos="2040"/>
      </w:tabs>
      <w:spacing w:line="238" w:lineRule="atLeast"/>
      <w:ind w:left="891" w:hanging="2040"/>
    </w:pPr>
  </w:style>
  <w:style w:type="paragraph" w:customStyle="1" w:styleId="TxBrp31">
    <w:name w:val="TxBr_p31"/>
    <w:basedOn w:val="Normal"/>
    <w:pPr>
      <w:spacing w:line="368" w:lineRule="atLeast"/>
    </w:pPr>
  </w:style>
  <w:style w:type="paragraph" w:customStyle="1" w:styleId="TxBrp32">
    <w:name w:val="TxBr_p32"/>
    <w:basedOn w:val="Normal"/>
    <w:pPr>
      <w:spacing w:line="240" w:lineRule="atLeast"/>
    </w:pPr>
  </w:style>
  <w:style w:type="paragraph" w:customStyle="1" w:styleId="TxBrp33">
    <w:name w:val="TxBr_p33"/>
    <w:basedOn w:val="Normal"/>
    <w:pPr>
      <w:tabs>
        <w:tab w:val="left" w:pos="3991"/>
      </w:tabs>
      <w:spacing w:line="240" w:lineRule="atLeast"/>
      <w:ind w:left="2842"/>
    </w:pPr>
  </w:style>
  <w:style w:type="paragraph" w:customStyle="1" w:styleId="TxBrt34">
    <w:name w:val="TxBr_t34"/>
    <w:basedOn w:val="Normal"/>
    <w:pPr>
      <w:spacing w:line="240" w:lineRule="atLeast"/>
    </w:pPr>
  </w:style>
  <w:style w:type="paragraph" w:customStyle="1" w:styleId="TxBrt35">
    <w:name w:val="TxBr_t35"/>
    <w:basedOn w:val="Normal"/>
    <w:pPr>
      <w:spacing w:line="240" w:lineRule="atLeast"/>
    </w:pPr>
  </w:style>
  <w:style w:type="paragraph" w:customStyle="1" w:styleId="TxBrt36">
    <w:name w:val="TxBr_t36"/>
    <w:basedOn w:val="Normal"/>
    <w:pPr>
      <w:spacing w:line="240" w:lineRule="atLeast"/>
    </w:pPr>
  </w:style>
  <w:style w:type="paragraph" w:styleId="Title">
    <w:name w:val="Title"/>
    <w:basedOn w:val="Normal"/>
    <w:qFormat/>
    <w:pPr>
      <w:tabs>
        <w:tab w:val="left" w:pos="900"/>
        <w:tab w:val="center" w:pos="4680"/>
      </w:tabs>
      <w:autoSpaceDE/>
      <w:autoSpaceDN/>
      <w:adjustRightInd/>
      <w:ind w:left="806" w:hanging="806"/>
      <w:jc w:val="center"/>
    </w:pPr>
    <w:rPr>
      <w:rFonts w:ascii="Lincoln" w:hAnsi="Lincoln"/>
      <w:sz w:val="44"/>
      <w:szCs w:val="20"/>
    </w:rPr>
  </w:style>
  <w:style w:type="paragraph" w:styleId="Subtitle">
    <w:name w:val="Subtitle"/>
    <w:basedOn w:val="Normal"/>
    <w:qFormat/>
    <w:pPr>
      <w:widowControl/>
      <w:autoSpaceDE/>
      <w:autoSpaceDN/>
      <w:adjustRightInd/>
      <w:jc w:val="center"/>
    </w:pPr>
    <w:rPr>
      <w:rFonts w:ascii="Lincoln" w:hAnsi="Lincoln"/>
      <w:snapToGrid w:val="0"/>
      <w:sz w:val="6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FB00A4"/>
    <w:rPr>
      <w:color w:val="auto"/>
      <w:u w:val="none"/>
    </w:rPr>
  </w:style>
  <w:style w:type="paragraph" w:styleId="BodyText">
    <w:name w:val="Body Text"/>
    <w:basedOn w:val="Normal"/>
  </w:style>
  <w:style w:type="paragraph" w:styleId="BodyText2">
    <w:name w:val="Body Text 2"/>
    <w:basedOn w:val="Normal"/>
    <w:rPr>
      <w:i/>
    </w:rPr>
  </w:style>
  <w:style w:type="paragraph" w:customStyle="1" w:styleId="HTMLBody">
    <w:name w:val="HTML Body"/>
    <w:rPr>
      <w:snapToGrid w:val="0"/>
    </w:rPr>
  </w:style>
  <w:style w:type="paragraph" w:styleId="BodyTextIndent">
    <w:name w:val="Body Text Indent"/>
    <w:basedOn w:val="Normal"/>
    <w:pPr>
      <w:tabs>
        <w:tab w:val="left" w:pos="360"/>
      </w:tabs>
      <w:ind w:left="360" w:hanging="360"/>
    </w:pPr>
  </w:style>
  <w:style w:type="paragraph" w:styleId="BalloonText">
    <w:name w:val="Balloon Text"/>
    <w:basedOn w:val="Normal"/>
    <w:semiHidden/>
    <w:rsid w:val="008D113C"/>
    <w:rPr>
      <w:rFonts w:ascii="Tahoma" w:hAnsi="Tahoma" w:cs="Tahoma"/>
      <w:sz w:val="16"/>
      <w:szCs w:val="16"/>
    </w:rPr>
  </w:style>
  <w:style w:type="paragraph" w:styleId="FootnoteText">
    <w:name w:val="footnote text"/>
    <w:basedOn w:val="Normal"/>
    <w:semiHidden/>
    <w:rsid w:val="002B5CD0"/>
    <w:rPr>
      <w:szCs w:val="20"/>
    </w:rPr>
  </w:style>
  <w:style w:type="character" w:styleId="FootnoteReference">
    <w:name w:val="footnote reference"/>
    <w:basedOn w:val="DefaultParagraphFont"/>
    <w:semiHidden/>
    <w:rsid w:val="002B5CD0"/>
    <w:rPr>
      <w:vertAlign w:val="superscript"/>
    </w:rPr>
  </w:style>
  <w:style w:type="character" w:styleId="CommentReference">
    <w:name w:val="annotation reference"/>
    <w:basedOn w:val="DefaultParagraphFont"/>
    <w:uiPriority w:val="99"/>
    <w:semiHidden/>
    <w:rsid w:val="00C578B8"/>
    <w:rPr>
      <w:sz w:val="16"/>
      <w:szCs w:val="16"/>
    </w:rPr>
  </w:style>
  <w:style w:type="paragraph" w:styleId="CommentText">
    <w:name w:val="annotation text"/>
    <w:basedOn w:val="Normal"/>
    <w:link w:val="CommentTextChar"/>
    <w:uiPriority w:val="99"/>
    <w:semiHidden/>
    <w:rsid w:val="00C578B8"/>
    <w:rPr>
      <w:szCs w:val="20"/>
    </w:rPr>
  </w:style>
  <w:style w:type="paragraph" w:styleId="CommentSubject">
    <w:name w:val="annotation subject"/>
    <w:basedOn w:val="CommentText"/>
    <w:next w:val="CommentText"/>
    <w:semiHidden/>
    <w:rsid w:val="00C578B8"/>
    <w:rPr>
      <w:b/>
      <w:bCs/>
    </w:rPr>
  </w:style>
  <w:style w:type="character" w:styleId="FollowedHyperlink">
    <w:name w:val="FollowedHyperlink"/>
    <w:basedOn w:val="DefaultParagraphFont"/>
    <w:rsid w:val="00A21CBC"/>
    <w:rPr>
      <w:color w:val="800080"/>
      <w:u w:val="single"/>
    </w:rPr>
  </w:style>
  <w:style w:type="character" w:customStyle="1" w:styleId="CommentTextChar">
    <w:name w:val="Comment Text Char"/>
    <w:basedOn w:val="DefaultParagraphFont"/>
    <w:link w:val="CommentText"/>
    <w:uiPriority w:val="99"/>
    <w:semiHidden/>
    <w:rsid w:val="001D2934"/>
  </w:style>
  <w:style w:type="table" w:styleId="TableGrid">
    <w:name w:val="Table Grid"/>
    <w:basedOn w:val="TableNormal"/>
    <w:rsid w:val="00981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79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nist.gov/pml/pubs/index.cf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srm/upload/SP260-136.PDF" TargetMode="External"/><Relationship Id="rId5" Type="http://schemas.openxmlformats.org/officeDocument/2006/relationships/webSettings" Target="webSettings.xml"/><Relationship Id="rId15" Type="http://schemas.openxmlformats.org/officeDocument/2006/relationships/hyperlink" Target="https://www.nist.gov/srm" TargetMode="External"/><Relationship Id="rId10" Type="http://schemas.openxmlformats.org/officeDocument/2006/relationships/hyperlink" Target="https://www.nist.gov/pml/pubs/sp811/index.cfm" TargetMode="Externa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hyperlink" Target="mailto:srminfo@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E2DBD-E0F7-4E1D-A853-39946A05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1926</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13060</CharactersWithSpaces>
  <SharedDoc>false</SharedDoc>
  <HLinks>
    <vt:vector size="12" baseType="variant">
      <vt:variant>
        <vt:i4>5046337</vt:i4>
      </vt:variant>
      <vt:variant>
        <vt:i4>3</vt:i4>
      </vt:variant>
      <vt:variant>
        <vt:i4>0</vt:i4>
      </vt:variant>
      <vt:variant>
        <vt:i4>5</vt:i4>
      </vt:variant>
      <vt:variant>
        <vt:lpwstr>http://physics.nist.gov/Pubs/</vt:lpwstr>
      </vt:variant>
      <vt:variant>
        <vt:lpwstr/>
      </vt:variant>
      <vt:variant>
        <vt:i4>6029431</vt:i4>
      </vt:variant>
      <vt:variant>
        <vt:i4>0</vt:i4>
      </vt:variant>
      <vt:variant>
        <vt:i4>0</vt:i4>
      </vt:variant>
      <vt:variant>
        <vt:i4>5</vt:i4>
      </vt:variant>
      <vt:variant>
        <vt:lpwstr>http://www.bipm.org/utils/common/documents/jcgm/JCGM_100_2008_E.pdf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Benkstein, Jennifer (Fed)</cp:lastModifiedBy>
  <cp:revision>4</cp:revision>
  <cp:lastPrinted>2014-09-11T13:32:00Z</cp:lastPrinted>
  <dcterms:created xsi:type="dcterms:W3CDTF">2018-02-16T14:44:00Z</dcterms:created>
  <dcterms:modified xsi:type="dcterms:W3CDTF">2018-02-16T15:49:00Z</dcterms:modified>
</cp:coreProperties>
</file>