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C13" w:rsidRDefault="00E9560A" w:rsidP="00B94238">
      <w:pPr>
        <w:pStyle w:val="Title"/>
        <w:widowControl/>
        <w:tabs>
          <w:tab w:val="clear" w:pos="0"/>
          <w:tab w:val="clear" w:pos="94"/>
          <w:tab w:val="clear" w:pos="3874"/>
          <w:tab w:val="clear" w:pos="4234"/>
          <w:tab w:val="clear" w:pos="4954"/>
          <w:tab w:val="clear" w:pos="5674"/>
          <w:tab w:val="clear" w:pos="6394"/>
          <w:tab w:val="clear" w:pos="7114"/>
          <w:tab w:val="clear" w:pos="7834"/>
          <w:tab w:val="clear" w:pos="8554"/>
        </w:tabs>
        <w:rPr>
          <w:rFonts w:ascii="Linotext" w:hAnsi="Linotext"/>
        </w:rPr>
      </w:pPr>
      <w:r>
        <w:rPr>
          <w:rFonts w:ascii="Linotext" w:hAnsi="Linotext"/>
          <w:noProof/>
          <w:snapToGrid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36pt;margin-top:-19.2pt;width:96pt;height:63.75pt;z-index:-251658240" fillcolor="window">
            <v:imagedata r:id="rId9" o:title=""/>
          </v:shape>
          <o:OLEObject Type="Embed" ProgID="Word.Document.8" ShapeID="_x0000_s1028" DrawAspect="Content" ObjectID="_1427018844" r:id="rId10">
            <o:FieldCodes>\s</o:FieldCodes>
          </o:OLEObject>
        </w:pict>
      </w:r>
      <w:r>
        <w:rPr>
          <w:rFonts w:ascii="Linotext" w:hAnsi="Linotext"/>
          <w:noProof/>
        </w:rPr>
        <w:pict>
          <v:shape id="_x0000_s1027" type="#_x0000_t75" style="position:absolute;left:0;text-align:left;margin-left:-36pt;margin-top:-21.6pt;width:96pt;height:63.75pt;z-index:-251659264" o:allowincell="f" fillcolor="window">
            <v:imagedata r:id="rId9" o:title=""/>
          </v:shape>
          <o:OLEObject Type="Embed" ProgID="Word.Document.8" ShapeID="_x0000_s1027" DrawAspect="Content" ObjectID="_1427018845" r:id="rId11">
            <o:FieldCodes>\s</o:FieldCodes>
          </o:OLEObject>
        </w:pict>
      </w:r>
      <w:r w:rsidR="00CE1C13">
        <w:rPr>
          <w:rFonts w:ascii="Linotext" w:hAnsi="Linotext"/>
        </w:rPr>
        <w:t>National Institute of Standards &amp; Technology</w:t>
      </w:r>
    </w:p>
    <w:p w:rsidR="000F5E6D" w:rsidRPr="000F5E6D" w:rsidRDefault="000F5E6D" w:rsidP="00B94238">
      <w:pPr>
        <w:pStyle w:val="Title"/>
        <w:widowControl/>
        <w:tabs>
          <w:tab w:val="clear" w:pos="0"/>
          <w:tab w:val="clear" w:pos="94"/>
          <w:tab w:val="clear" w:pos="3874"/>
          <w:tab w:val="clear" w:pos="4234"/>
          <w:tab w:val="clear" w:pos="4954"/>
          <w:tab w:val="clear" w:pos="5674"/>
          <w:tab w:val="clear" w:pos="6394"/>
          <w:tab w:val="clear" w:pos="7114"/>
          <w:tab w:val="clear" w:pos="7834"/>
          <w:tab w:val="clear" w:pos="8554"/>
        </w:tabs>
        <w:ind w:left="0" w:firstLine="5"/>
        <w:rPr>
          <w:rFonts w:ascii="Linotext" w:hAnsi="Linotext"/>
          <w:sz w:val="20"/>
        </w:rPr>
      </w:pPr>
    </w:p>
    <w:p w:rsidR="00CE1C13" w:rsidRDefault="00CE1C13" w:rsidP="00B94238">
      <w:pPr>
        <w:pStyle w:val="Subtitle"/>
        <w:widowControl/>
        <w:rPr>
          <w:rFonts w:ascii="Linotext" w:hAnsi="Linotext"/>
        </w:rPr>
      </w:pPr>
      <w:r>
        <w:rPr>
          <w:rFonts w:ascii="Linotext" w:hAnsi="Linotext"/>
        </w:rPr>
        <w:t>Report of Investigation</w:t>
      </w:r>
    </w:p>
    <w:p w:rsidR="00CE1C13" w:rsidRPr="000F5E6D" w:rsidRDefault="00CE1C13" w:rsidP="00B94238">
      <w:pPr>
        <w:widowControl/>
        <w:jc w:val="center"/>
        <w:rPr>
          <w:sz w:val="20"/>
        </w:rPr>
      </w:pPr>
    </w:p>
    <w:p w:rsidR="00CE1C13" w:rsidRDefault="00E3793B" w:rsidP="00B94238">
      <w:pPr>
        <w:widowControl/>
        <w:jc w:val="center"/>
        <w:rPr>
          <w:sz w:val="36"/>
        </w:rPr>
      </w:pPr>
      <w:r>
        <w:rPr>
          <w:sz w:val="36"/>
        </w:rPr>
        <w:t>Reference Material</w:t>
      </w:r>
      <w:r w:rsidR="00AD262C">
        <w:rPr>
          <w:sz w:val="36"/>
        </w:rPr>
        <w:t> </w:t>
      </w:r>
      <w:r w:rsidR="00BE6FF6">
        <w:rPr>
          <w:sz w:val="36"/>
        </w:rPr>
        <w:t>8543</w:t>
      </w:r>
    </w:p>
    <w:p w:rsidR="000B1A75" w:rsidRPr="006243A7" w:rsidRDefault="000B1A75" w:rsidP="00B94238">
      <w:pPr>
        <w:widowControl/>
        <w:jc w:val="center"/>
        <w:rPr>
          <w:sz w:val="20"/>
        </w:rPr>
      </w:pPr>
    </w:p>
    <w:p w:rsidR="00E3793B" w:rsidRDefault="00BE6FF6" w:rsidP="00B94238">
      <w:pPr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NBS</w:t>
      </w:r>
      <w:r w:rsidR="002D451A">
        <w:rPr>
          <w:sz w:val="28"/>
          <w:szCs w:val="28"/>
        </w:rPr>
        <w:t> </w:t>
      </w:r>
      <w:r>
        <w:rPr>
          <w:sz w:val="28"/>
          <w:szCs w:val="28"/>
        </w:rPr>
        <w:t>18</w:t>
      </w:r>
    </w:p>
    <w:p w:rsidR="00BB384B" w:rsidRPr="001972A5" w:rsidRDefault="00BB384B" w:rsidP="00B94238">
      <w:pPr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(Carbon Isotopes in </w:t>
      </w:r>
      <w:proofErr w:type="spellStart"/>
      <w:r w:rsidR="000258AF">
        <w:rPr>
          <w:sz w:val="28"/>
          <w:szCs w:val="28"/>
        </w:rPr>
        <w:t>Carbonatite</w:t>
      </w:r>
      <w:proofErr w:type="spellEnd"/>
      <w:r>
        <w:rPr>
          <w:sz w:val="28"/>
          <w:szCs w:val="28"/>
        </w:rPr>
        <w:t>)</w:t>
      </w:r>
    </w:p>
    <w:p w:rsidR="00CE1C13" w:rsidRDefault="00CE1C13" w:rsidP="00B94238">
      <w:pPr>
        <w:widowControl/>
        <w:jc w:val="both"/>
        <w:rPr>
          <w:color w:val="000000"/>
          <w:sz w:val="20"/>
        </w:rPr>
      </w:pPr>
    </w:p>
    <w:p w:rsidR="004D081F" w:rsidRDefault="000258AF" w:rsidP="003059BC">
      <w:pPr>
        <w:pStyle w:val="BodyText"/>
        <w:widowControl/>
        <w:tabs>
          <w:tab w:val="left" w:pos="0"/>
          <w:tab w:val="left" w:pos="244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color w:val="000000"/>
          <w:sz w:val="20"/>
        </w:rPr>
      </w:pPr>
      <w:r>
        <w:rPr>
          <w:color w:val="000000"/>
          <w:sz w:val="20"/>
        </w:rPr>
        <w:t>This Reference Material</w:t>
      </w:r>
      <w:r w:rsidR="0025739B">
        <w:rPr>
          <w:color w:val="000000"/>
          <w:sz w:val="20"/>
        </w:rPr>
        <w:t> </w:t>
      </w:r>
      <w:r>
        <w:rPr>
          <w:color w:val="000000"/>
          <w:sz w:val="20"/>
        </w:rPr>
        <w:t xml:space="preserve">(RM) is intended for use in developing and validating methods for </w:t>
      </w:r>
      <w:r w:rsidRPr="000E0937">
        <w:rPr>
          <w:color w:val="000000"/>
          <w:sz w:val="20"/>
        </w:rPr>
        <w:t xml:space="preserve">measuring relative differences in </w:t>
      </w:r>
      <w:r>
        <w:rPr>
          <w:color w:val="000000"/>
          <w:sz w:val="20"/>
        </w:rPr>
        <w:t>carbon</w:t>
      </w:r>
      <w:r w:rsidRPr="000E0937">
        <w:rPr>
          <w:color w:val="000000"/>
          <w:sz w:val="20"/>
        </w:rPr>
        <w:t> (</w:t>
      </w:r>
      <w:r>
        <w:rPr>
          <w:color w:val="000000"/>
          <w:sz w:val="20"/>
        </w:rPr>
        <w:t>C</w:t>
      </w:r>
      <w:r w:rsidRPr="000E0937">
        <w:rPr>
          <w:color w:val="000000"/>
          <w:sz w:val="20"/>
        </w:rPr>
        <w:t>) isotope</w:t>
      </w:r>
      <w:r w:rsidRPr="000E0937">
        <w:rPr>
          <w:color w:val="000000"/>
          <w:sz w:val="20"/>
        </w:rPr>
        <w:noBreakHyphen/>
        <w:t xml:space="preserve">number ratios, </w:t>
      </w:r>
      <w:proofErr w:type="gramStart"/>
      <w:r w:rsidRPr="000E0937">
        <w:rPr>
          <w:i/>
          <w:color w:val="000000"/>
          <w:sz w:val="20"/>
        </w:rPr>
        <w:t>R</w:t>
      </w:r>
      <w:r w:rsidRPr="000E0937">
        <w:rPr>
          <w:color w:val="000000"/>
          <w:sz w:val="20"/>
        </w:rPr>
        <w:t>(</w:t>
      </w:r>
      <w:proofErr w:type="gramEnd"/>
      <w:r>
        <w:rPr>
          <w:color w:val="000000"/>
          <w:sz w:val="20"/>
          <w:vertAlign w:val="superscript"/>
        </w:rPr>
        <w:t>13</w:t>
      </w:r>
      <w:r>
        <w:rPr>
          <w:color w:val="000000"/>
          <w:sz w:val="20"/>
        </w:rPr>
        <w:t>C</w:t>
      </w:r>
      <w:r w:rsidRPr="000E0937">
        <w:rPr>
          <w:color w:val="000000"/>
          <w:sz w:val="20"/>
        </w:rPr>
        <w:t>/</w:t>
      </w:r>
      <w:r>
        <w:rPr>
          <w:color w:val="000000"/>
          <w:sz w:val="20"/>
          <w:vertAlign w:val="superscript"/>
        </w:rPr>
        <w:t>12</w:t>
      </w:r>
      <w:r>
        <w:rPr>
          <w:color w:val="000000"/>
          <w:sz w:val="20"/>
        </w:rPr>
        <w:t>C</w:t>
      </w:r>
      <w:r w:rsidRPr="000E0937">
        <w:rPr>
          <w:color w:val="000000"/>
          <w:sz w:val="20"/>
        </w:rPr>
        <w:t>)</w:t>
      </w:r>
      <w:r w:rsidR="0025739B">
        <w:rPr>
          <w:color w:val="000000"/>
          <w:sz w:val="20"/>
        </w:rPr>
        <w:t> </w:t>
      </w:r>
      <w:r>
        <w:rPr>
          <w:color w:val="000000"/>
          <w:sz w:val="20"/>
        </w:rPr>
        <w:t>[1].  Even though the value for this RM is a reference value and not certified</w:t>
      </w:r>
      <w:r w:rsidR="00977169">
        <w:rPr>
          <w:color w:val="000000"/>
          <w:sz w:val="20"/>
        </w:rPr>
        <w:t> </w:t>
      </w:r>
      <w:r>
        <w:rPr>
          <w:color w:val="000000"/>
          <w:sz w:val="20"/>
        </w:rPr>
        <w:t>[2], its use will improve the comparability of data from different laboratories.  The equivalent name for this RM as used by the International Atomic Energy Agency</w:t>
      </w:r>
      <w:r w:rsidR="0025739B">
        <w:rPr>
          <w:color w:val="000000"/>
          <w:sz w:val="20"/>
        </w:rPr>
        <w:t> </w:t>
      </w:r>
      <w:r>
        <w:rPr>
          <w:color w:val="000000"/>
          <w:sz w:val="20"/>
        </w:rPr>
        <w:t>(IAEA) and the U.S. Geological Survey</w:t>
      </w:r>
      <w:r w:rsidR="0025739B">
        <w:rPr>
          <w:color w:val="000000"/>
          <w:sz w:val="20"/>
        </w:rPr>
        <w:t> </w:t>
      </w:r>
      <w:r>
        <w:rPr>
          <w:color w:val="000000"/>
          <w:sz w:val="20"/>
        </w:rPr>
        <w:t xml:space="preserve">(USGS) is </w:t>
      </w:r>
      <w:r w:rsidR="00BE6FF6">
        <w:rPr>
          <w:color w:val="000000"/>
          <w:sz w:val="20"/>
        </w:rPr>
        <w:t>NBS</w:t>
      </w:r>
      <w:r w:rsidR="0025739B">
        <w:rPr>
          <w:color w:val="000000"/>
          <w:sz w:val="20"/>
        </w:rPr>
        <w:t> </w:t>
      </w:r>
      <w:r w:rsidR="00BE6FF6">
        <w:rPr>
          <w:color w:val="000000"/>
          <w:sz w:val="20"/>
        </w:rPr>
        <w:t>18</w:t>
      </w:r>
      <w:r>
        <w:rPr>
          <w:color w:val="000000"/>
          <w:sz w:val="20"/>
        </w:rPr>
        <w:t>.</w:t>
      </w:r>
      <w:r w:rsidR="006B0F81">
        <w:rPr>
          <w:color w:val="000000"/>
          <w:sz w:val="20"/>
        </w:rPr>
        <w:t xml:space="preserve"> </w:t>
      </w:r>
      <w:r w:rsidR="002027A8">
        <w:rPr>
          <w:color w:val="000000"/>
          <w:sz w:val="20"/>
        </w:rPr>
        <w:t xml:space="preserve"> </w:t>
      </w:r>
      <w:r w:rsidR="00CE1C13">
        <w:rPr>
          <w:color w:val="000000"/>
          <w:sz w:val="20"/>
        </w:rPr>
        <w:t>A unit of RM</w:t>
      </w:r>
      <w:r w:rsidR="00AD262C">
        <w:rPr>
          <w:color w:val="000000"/>
          <w:sz w:val="20"/>
        </w:rPr>
        <w:t> </w:t>
      </w:r>
      <w:r w:rsidR="00BE6FF6">
        <w:rPr>
          <w:color w:val="000000"/>
          <w:sz w:val="20"/>
        </w:rPr>
        <w:t>8543</w:t>
      </w:r>
      <w:r w:rsidR="00CE1C13">
        <w:rPr>
          <w:color w:val="000000"/>
          <w:sz w:val="20"/>
        </w:rPr>
        <w:t xml:space="preserve"> consists of one bottle containing approximately </w:t>
      </w:r>
      <w:r w:rsidR="00D44DC4">
        <w:rPr>
          <w:color w:val="000000"/>
          <w:sz w:val="20"/>
        </w:rPr>
        <w:t>0.4</w:t>
      </w:r>
      <w:r w:rsidR="00AD262C">
        <w:rPr>
          <w:color w:val="000000"/>
          <w:sz w:val="20"/>
        </w:rPr>
        <w:t> </w:t>
      </w:r>
      <w:r w:rsidR="00CE1C13">
        <w:rPr>
          <w:color w:val="000000"/>
          <w:sz w:val="20"/>
        </w:rPr>
        <w:t xml:space="preserve">g of </w:t>
      </w:r>
      <w:r>
        <w:rPr>
          <w:color w:val="000000"/>
          <w:sz w:val="20"/>
        </w:rPr>
        <w:t>igneous calcium carbonate</w:t>
      </w:r>
      <w:r w:rsidR="00CE1C13">
        <w:rPr>
          <w:color w:val="000000"/>
          <w:sz w:val="20"/>
        </w:rPr>
        <w:t>.</w:t>
      </w:r>
    </w:p>
    <w:p w:rsidR="0084718F" w:rsidRDefault="008263C4" w:rsidP="00AC32B9">
      <w:pPr>
        <w:keepNext/>
        <w:keepLines/>
        <w:widowControl/>
        <w:tabs>
          <w:tab w:val="right" w:pos="9360"/>
        </w:tabs>
        <w:spacing w:before="120" w:line="230" w:lineRule="auto"/>
        <w:ind w:left="-180" w:right="-162"/>
        <w:jc w:val="center"/>
        <w:rPr>
          <w:color w:val="000000"/>
          <w:sz w:val="20"/>
        </w:rPr>
      </w:pPr>
      <w:r w:rsidRPr="00927F4D">
        <w:rPr>
          <w:color w:val="000000"/>
          <w:sz w:val="20"/>
        </w:rPr>
        <w:t>Table</w:t>
      </w:r>
      <w:r w:rsidR="00243EED">
        <w:rPr>
          <w:color w:val="000000"/>
          <w:sz w:val="20"/>
        </w:rPr>
        <w:t> </w:t>
      </w:r>
      <w:r w:rsidRPr="00927F4D">
        <w:rPr>
          <w:color w:val="000000"/>
          <w:sz w:val="20"/>
        </w:rPr>
        <w:t xml:space="preserve">1. </w:t>
      </w:r>
      <w:r w:rsidR="004952A1">
        <w:rPr>
          <w:color w:val="000000"/>
          <w:sz w:val="20"/>
        </w:rPr>
        <w:t xml:space="preserve"> </w:t>
      </w:r>
      <w:r w:rsidRPr="00927F4D">
        <w:rPr>
          <w:color w:val="000000"/>
          <w:sz w:val="20"/>
        </w:rPr>
        <w:t xml:space="preserve">Reference </w:t>
      </w:r>
      <w:proofErr w:type="gramStart"/>
      <w:r w:rsidR="00B371E6">
        <w:rPr>
          <w:color w:val="000000"/>
          <w:sz w:val="20"/>
        </w:rPr>
        <w:t>V</w:t>
      </w:r>
      <w:r w:rsidRPr="00927F4D">
        <w:rPr>
          <w:color w:val="000000"/>
          <w:sz w:val="20"/>
        </w:rPr>
        <w:t>alue</w:t>
      </w:r>
      <w:r w:rsidRPr="00927F4D">
        <w:rPr>
          <w:color w:val="000000"/>
          <w:sz w:val="20"/>
          <w:vertAlign w:val="superscript"/>
        </w:rPr>
        <w:t>(</w:t>
      </w:r>
      <w:proofErr w:type="gramEnd"/>
      <w:r w:rsidRPr="00927F4D">
        <w:rPr>
          <w:color w:val="000000"/>
          <w:sz w:val="20"/>
          <w:vertAlign w:val="superscript"/>
        </w:rPr>
        <w:t>a)</w:t>
      </w:r>
      <w:r w:rsidRPr="00927F4D">
        <w:rPr>
          <w:color w:val="000000"/>
          <w:sz w:val="20"/>
        </w:rPr>
        <w:t xml:space="preserve"> and </w:t>
      </w:r>
      <w:r w:rsidR="00B371E6">
        <w:rPr>
          <w:color w:val="000000"/>
          <w:sz w:val="20"/>
        </w:rPr>
        <w:t>E</w:t>
      </w:r>
      <w:r w:rsidRPr="00927F4D">
        <w:rPr>
          <w:color w:val="000000"/>
          <w:sz w:val="20"/>
        </w:rPr>
        <w:t xml:space="preserve">xpanded </w:t>
      </w:r>
      <w:r w:rsidR="00B371E6">
        <w:rPr>
          <w:color w:val="000000"/>
          <w:sz w:val="20"/>
        </w:rPr>
        <w:t>U</w:t>
      </w:r>
      <w:r w:rsidRPr="00927F4D">
        <w:rPr>
          <w:color w:val="000000"/>
          <w:sz w:val="20"/>
        </w:rPr>
        <w:t>ncertaint</w:t>
      </w:r>
      <w:r w:rsidR="00D44DC4">
        <w:rPr>
          <w:color w:val="000000"/>
          <w:sz w:val="20"/>
        </w:rPr>
        <w:t>y</w:t>
      </w:r>
      <w:r w:rsidRPr="00927F4D">
        <w:rPr>
          <w:color w:val="000000"/>
          <w:sz w:val="20"/>
        </w:rPr>
        <w:t xml:space="preserve"> </w:t>
      </w:r>
    </w:p>
    <w:p w:rsidR="0084718F" w:rsidRDefault="008263C4" w:rsidP="00AC32B9">
      <w:pPr>
        <w:keepNext/>
        <w:keepLines/>
        <w:widowControl/>
        <w:tabs>
          <w:tab w:val="right" w:pos="9360"/>
        </w:tabs>
        <w:spacing w:after="120" w:line="230" w:lineRule="auto"/>
        <w:ind w:left="-180" w:right="-162"/>
        <w:jc w:val="center"/>
        <w:rPr>
          <w:color w:val="000000"/>
          <w:sz w:val="18"/>
        </w:rPr>
      </w:pPr>
      <w:proofErr w:type="gramStart"/>
      <w:r w:rsidRPr="00927F4D">
        <w:rPr>
          <w:color w:val="000000"/>
          <w:sz w:val="20"/>
        </w:rPr>
        <w:t>for</w:t>
      </w:r>
      <w:proofErr w:type="gramEnd"/>
      <w:r w:rsidRPr="00927F4D">
        <w:rPr>
          <w:color w:val="000000"/>
          <w:sz w:val="20"/>
        </w:rPr>
        <w:t xml:space="preserve"> the </w:t>
      </w:r>
      <w:r w:rsidR="00B371E6">
        <w:rPr>
          <w:color w:val="000000"/>
          <w:sz w:val="20"/>
        </w:rPr>
        <w:t>R</w:t>
      </w:r>
      <w:r w:rsidRPr="00927F4D">
        <w:rPr>
          <w:color w:val="000000"/>
          <w:sz w:val="20"/>
        </w:rPr>
        <w:t xml:space="preserve">elative C </w:t>
      </w:r>
      <w:r w:rsidR="00B371E6">
        <w:rPr>
          <w:color w:val="000000"/>
          <w:sz w:val="20"/>
        </w:rPr>
        <w:t>I</w:t>
      </w:r>
      <w:r w:rsidRPr="00927F4D">
        <w:rPr>
          <w:color w:val="000000"/>
          <w:sz w:val="20"/>
        </w:rPr>
        <w:t>sotope</w:t>
      </w:r>
      <w:r w:rsidR="00B371E6">
        <w:rPr>
          <w:color w:val="000000"/>
          <w:sz w:val="20"/>
        </w:rPr>
        <w:noBreakHyphen/>
        <w:t>N</w:t>
      </w:r>
      <w:r w:rsidRPr="00927F4D">
        <w:rPr>
          <w:color w:val="000000"/>
          <w:sz w:val="20"/>
        </w:rPr>
        <w:t xml:space="preserve">umber </w:t>
      </w:r>
      <w:r w:rsidR="00B371E6">
        <w:rPr>
          <w:color w:val="000000"/>
          <w:sz w:val="20"/>
        </w:rPr>
        <w:t>R</w:t>
      </w:r>
      <w:r w:rsidRPr="00927F4D">
        <w:rPr>
          <w:color w:val="000000"/>
          <w:sz w:val="20"/>
        </w:rPr>
        <w:t xml:space="preserve">atio </w:t>
      </w:r>
      <w:r w:rsidR="00B371E6">
        <w:rPr>
          <w:color w:val="000000"/>
          <w:sz w:val="20"/>
        </w:rPr>
        <w:t>D</w:t>
      </w:r>
      <w:r w:rsidRPr="00927F4D">
        <w:rPr>
          <w:color w:val="000000"/>
          <w:sz w:val="20"/>
        </w:rPr>
        <w:t>ifferences of RM 854</w:t>
      </w:r>
      <w:r>
        <w:rPr>
          <w:color w:val="000000"/>
          <w:sz w:val="20"/>
        </w:rPr>
        <w:t>3</w:t>
      </w:r>
    </w:p>
    <w:tbl>
      <w:tblPr>
        <w:tblW w:w="0" w:type="auto"/>
        <w:jc w:val="center"/>
        <w:tblInd w:w="-9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37"/>
        <w:gridCol w:w="2070"/>
        <w:gridCol w:w="2087"/>
        <w:gridCol w:w="2087"/>
      </w:tblGrid>
      <w:tr w:rsidR="00BE6FF6" w:rsidTr="00AE4F07">
        <w:trPr>
          <w:trHeight w:val="307"/>
          <w:jc w:val="center"/>
        </w:trPr>
        <w:tc>
          <w:tcPr>
            <w:tcW w:w="1637" w:type="dxa"/>
            <w:vAlign w:val="center"/>
          </w:tcPr>
          <w:p w:rsidR="00BE6FF6" w:rsidRDefault="00BE6FF6" w:rsidP="00B94238">
            <w:pPr>
              <w:keepNext/>
              <w:keepLines/>
              <w:widowControl/>
              <w:spacing w:after="60"/>
              <w:jc w:val="center"/>
              <w:rPr>
                <w:snapToGrid/>
                <w:color w:val="000000"/>
                <w:sz w:val="20"/>
              </w:rPr>
            </w:pPr>
            <w:r>
              <w:rPr>
                <w:sz w:val="20"/>
              </w:rPr>
              <w:t>RM Number</w:t>
            </w:r>
          </w:p>
        </w:tc>
        <w:tc>
          <w:tcPr>
            <w:tcW w:w="2070" w:type="dxa"/>
            <w:vAlign w:val="center"/>
          </w:tcPr>
          <w:p w:rsidR="00BE6FF6" w:rsidRDefault="00BE6FF6" w:rsidP="00B94238">
            <w:pPr>
              <w:keepNext/>
              <w:keepLines/>
              <w:widowControl/>
              <w:spacing w:after="60"/>
              <w:jc w:val="center"/>
              <w:rPr>
                <w:color w:val="000000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2087" w:type="dxa"/>
            <w:vAlign w:val="center"/>
          </w:tcPr>
          <w:p w:rsidR="00825EA0" w:rsidRDefault="00825EA0" w:rsidP="00B94238">
            <w:pPr>
              <w:keepNext/>
              <w:keepLines/>
              <w:widowControl/>
              <w:spacing w:before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 Value</w:t>
            </w:r>
          </w:p>
          <w:p w:rsidR="00BE6FF6" w:rsidRPr="00D32D48" w:rsidRDefault="00BE6FF6" w:rsidP="00B94238">
            <w:pPr>
              <w:keepNext/>
              <w:keepLines/>
              <w:widowControl/>
              <w:spacing w:before="40"/>
              <w:jc w:val="center"/>
              <w:rPr>
                <w:color w:val="000000"/>
                <w:sz w:val="20"/>
              </w:rPr>
            </w:pPr>
            <w:r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  <w:vertAlign w:val="superscript"/>
              </w:rPr>
              <w:t>3</w:t>
            </w:r>
            <w:r>
              <w:rPr>
                <w:sz w:val="18"/>
                <w:szCs w:val="18"/>
              </w:rPr>
              <w:t> </w:t>
            </w:r>
            <w:r>
              <w:rPr>
                <w:i/>
                <w:iCs/>
                <w:sz w:val="18"/>
                <w:szCs w:val="18"/>
              </w:rPr>
              <w:t xml:space="preserve">δ </w:t>
            </w:r>
            <w:r>
              <w:rPr>
                <w:sz w:val="18"/>
                <w:szCs w:val="18"/>
                <w:vertAlign w:val="superscript"/>
              </w:rPr>
              <w:t>13</w:t>
            </w:r>
            <w:r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  <w:vertAlign w:val="subscript"/>
              </w:rPr>
              <w:t>VPDB-LSVEC</w:t>
            </w:r>
            <w:r w:rsidRPr="00D32D48">
              <w:rPr>
                <w:iCs/>
                <w:sz w:val="18"/>
                <w:szCs w:val="18"/>
                <w:vertAlign w:val="superscript"/>
              </w:rPr>
              <w:t>(</w:t>
            </w:r>
            <w:r>
              <w:rPr>
                <w:iCs/>
                <w:sz w:val="18"/>
                <w:szCs w:val="18"/>
                <w:vertAlign w:val="superscript"/>
              </w:rPr>
              <w:t>b</w:t>
            </w:r>
            <w:r w:rsidRPr="00D32D48">
              <w:rPr>
                <w:iCs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2087" w:type="dxa"/>
            <w:vAlign w:val="center"/>
          </w:tcPr>
          <w:p w:rsidR="00BE6FF6" w:rsidRDefault="00BE6FF6" w:rsidP="00B94238">
            <w:pPr>
              <w:keepNext/>
              <w:keepLines/>
              <w:widowControl/>
              <w:spacing w:before="40" w:after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Expanded Uncertainty</w:t>
            </w:r>
          </w:p>
          <w:p w:rsidR="00BE6FF6" w:rsidRPr="00336ACE" w:rsidRDefault="00BE6FF6" w:rsidP="00B94238">
            <w:pPr>
              <w:keepNext/>
              <w:keepLines/>
              <w:widowControl/>
              <w:spacing w:after="40"/>
              <w:jc w:val="center"/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  <w:vertAlign w:val="superscript"/>
              </w:rPr>
              <w:t>3  </w:t>
            </w:r>
            <w:r>
              <w:rPr>
                <w:i/>
                <w:iCs/>
                <w:sz w:val="18"/>
                <w:szCs w:val="18"/>
              </w:rPr>
              <w:t xml:space="preserve">δ </w:t>
            </w:r>
            <w:r>
              <w:rPr>
                <w:sz w:val="18"/>
                <w:szCs w:val="18"/>
                <w:vertAlign w:val="superscript"/>
              </w:rPr>
              <w:t>13</w:t>
            </w:r>
            <w:r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  <w:vertAlign w:val="subscript"/>
              </w:rPr>
              <w:t>VPDB-LSVEC</w:t>
            </w:r>
            <w:r w:rsidRPr="00D32D48">
              <w:rPr>
                <w:iCs/>
                <w:sz w:val="18"/>
                <w:szCs w:val="18"/>
                <w:vertAlign w:val="superscript"/>
              </w:rPr>
              <w:t>(</w:t>
            </w:r>
            <w:r>
              <w:rPr>
                <w:iCs/>
                <w:sz w:val="18"/>
                <w:szCs w:val="18"/>
                <w:vertAlign w:val="superscript"/>
              </w:rPr>
              <w:t>b</w:t>
            </w:r>
            <w:r w:rsidRPr="00D32D48">
              <w:rPr>
                <w:iCs/>
                <w:sz w:val="18"/>
                <w:szCs w:val="18"/>
                <w:vertAlign w:val="superscript"/>
              </w:rPr>
              <w:t>)</w:t>
            </w:r>
          </w:p>
        </w:tc>
      </w:tr>
      <w:tr w:rsidR="00BE6FF6" w:rsidTr="00367C7D">
        <w:trPr>
          <w:trHeight w:val="307"/>
          <w:jc w:val="center"/>
        </w:trPr>
        <w:tc>
          <w:tcPr>
            <w:tcW w:w="1637" w:type="dxa"/>
            <w:vAlign w:val="center"/>
          </w:tcPr>
          <w:p w:rsidR="00BE6FF6" w:rsidRDefault="00BE6FF6" w:rsidP="003059BC">
            <w:pPr>
              <w:pStyle w:val="Heading4"/>
              <w:keepLines/>
              <w:ind w:firstLine="0"/>
              <w:rPr>
                <w:b w:val="0"/>
                <w:bCs/>
                <w:color w:val="000000"/>
                <w:sz w:val="20"/>
              </w:rPr>
            </w:pPr>
            <w:r>
              <w:rPr>
                <w:b w:val="0"/>
                <w:bCs/>
                <w:sz w:val="20"/>
              </w:rPr>
              <w:t>8543</w:t>
            </w:r>
          </w:p>
        </w:tc>
        <w:tc>
          <w:tcPr>
            <w:tcW w:w="2070" w:type="dxa"/>
            <w:vAlign w:val="center"/>
          </w:tcPr>
          <w:p w:rsidR="00BE6FF6" w:rsidRDefault="00BE6FF6" w:rsidP="00B94238">
            <w:pPr>
              <w:keepNext/>
              <w:keepLines/>
              <w:widowControl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NBS</w:t>
            </w:r>
            <w:r w:rsidR="00B371E6">
              <w:rPr>
                <w:color w:val="000000"/>
                <w:sz w:val="20"/>
              </w:rPr>
              <w:t> </w:t>
            </w:r>
            <w:r>
              <w:rPr>
                <w:color w:val="000000"/>
                <w:sz w:val="20"/>
              </w:rPr>
              <w:t>18</w:t>
            </w:r>
          </w:p>
        </w:tc>
        <w:tc>
          <w:tcPr>
            <w:tcW w:w="2087" w:type="dxa"/>
            <w:vAlign w:val="center"/>
          </w:tcPr>
          <w:p w:rsidR="00BE6FF6" w:rsidRDefault="00BE6FF6" w:rsidP="00B94238">
            <w:pPr>
              <w:keepNext/>
              <w:keepLines/>
              <w:widowControl/>
              <w:jc w:val="center"/>
              <w:rPr>
                <w:color w:val="000000"/>
                <w:sz w:val="20"/>
              </w:rPr>
            </w:pPr>
            <w:r>
              <w:rPr>
                <w:sz w:val="20"/>
              </w:rPr>
              <w:t>–</w:t>
            </w:r>
            <w:r w:rsidR="00D44DC4">
              <w:rPr>
                <w:sz w:val="20"/>
              </w:rPr>
              <w:t>5.0</w:t>
            </w:r>
            <w:r w:rsidR="007A5941">
              <w:rPr>
                <w:sz w:val="20"/>
              </w:rPr>
              <w:t>1</w:t>
            </w:r>
            <w:r>
              <w:rPr>
                <w:sz w:val="20"/>
              </w:rPr>
              <w:t> </w:t>
            </w:r>
          </w:p>
        </w:tc>
        <w:tc>
          <w:tcPr>
            <w:tcW w:w="2087" w:type="dxa"/>
          </w:tcPr>
          <w:p w:rsidR="00BE6FF6" w:rsidRDefault="000258AF" w:rsidP="00B94238">
            <w:pPr>
              <w:keepNext/>
              <w:keepLines/>
              <w:widowControl/>
              <w:jc w:val="center"/>
              <w:rPr>
                <w:sz w:val="20"/>
              </w:rPr>
            </w:pPr>
            <w:r>
              <w:rPr>
                <w:sz w:val="20"/>
              </w:rPr>
              <w:sym w:font="Symbol" w:char="F0B1"/>
            </w:r>
            <w:r>
              <w:rPr>
                <w:sz w:val="20"/>
              </w:rPr>
              <w:t> </w:t>
            </w:r>
            <w:r>
              <w:rPr>
                <w:color w:val="000000"/>
                <w:sz w:val="20"/>
              </w:rPr>
              <w:t>0.07</w:t>
            </w:r>
          </w:p>
        </w:tc>
      </w:tr>
    </w:tbl>
    <w:p w:rsidR="00BE6FF6" w:rsidRPr="00634DF1" w:rsidRDefault="00BE6FF6" w:rsidP="00E66FF1">
      <w:pPr>
        <w:pStyle w:val="BodyText2"/>
        <w:numPr>
          <w:ilvl w:val="0"/>
          <w:numId w:val="1"/>
        </w:numPr>
        <w:tabs>
          <w:tab w:val="clear" w:pos="540"/>
          <w:tab w:val="clear" w:pos="1260"/>
          <w:tab w:val="clear" w:pos="1980"/>
          <w:tab w:val="clear" w:pos="2700"/>
          <w:tab w:val="clear" w:pos="3420"/>
          <w:tab w:val="clear" w:pos="4140"/>
          <w:tab w:val="clear" w:pos="4860"/>
          <w:tab w:val="clear" w:pos="5580"/>
          <w:tab w:val="clear" w:pos="6300"/>
          <w:tab w:val="clear" w:pos="7020"/>
          <w:tab w:val="clear" w:pos="7740"/>
          <w:tab w:val="clear" w:pos="8460"/>
          <w:tab w:val="left" w:pos="9360"/>
        </w:tabs>
        <w:spacing w:before="60"/>
        <w:ind w:left="270" w:hanging="270"/>
        <w:rPr>
          <w:spacing w:val="4"/>
          <w:sz w:val="18"/>
          <w:szCs w:val="18"/>
        </w:rPr>
      </w:pPr>
      <w:r w:rsidRPr="00634DF1">
        <w:rPr>
          <w:sz w:val="18"/>
          <w:szCs w:val="18"/>
        </w:rPr>
        <w:t>A reference value is a non</w:t>
      </w:r>
      <w:r w:rsidRPr="00634DF1">
        <w:rPr>
          <w:sz w:val="18"/>
          <w:szCs w:val="18"/>
        </w:rPr>
        <w:noBreakHyphen/>
        <w:t>certified value that is the best estimate of the true value; however, the value may reflect only the measurement precision and may not include all sources of uncertainty [2].</w:t>
      </w:r>
    </w:p>
    <w:p w:rsidR="00BE6FF6" w:rsidRPr="00634DF1" w:rsidRDefault="00BE6FF6" w:rsidP="00E66FF1">
      <w:pPr>
        <w:pStyle w:val="BodyText2"/>
        <w:numPr>
          <w:ilvl w:val="0"/>
          <w:numId w:val="1"/>
        </w:numPr>
        <w:tabs>
          <w:tab w:val="clear" w:pos="540"/>
          <w:tab w:val="clear" w:pos="1260"/>
          <w:tab w:val="clear" w:pos="1980"/>
          <w:tab w:val="clear" w:pos="2700"/>
          <w:tab w:val="clear" w:pos="3420"/>
          <w:tab w:val="clear" w:pos="4140"/>
          <w:tab w:val="clear" w:pos="4860"/>
          <w:tab w:val="clear" w:pos="5580"/>
          <w:tab w:val="clear" w:pos="6300"/>
          <w:tab w:val="clear" w:pos="7020"/>
          <w:tab w:val="clear" w:pos="7740"/>
          <w:tab w:val="clear" w:pos="8460"/>
          <w:tab w:val="left" w:pos="9360"/>
        </w:tabs>
        <w:ind w:left="270" w:hanging="270"/>
        <w:rPr>
          <w:spacing w:val="4"/>
          <w:sz w:val="18"/>
          <w:szCs w:val="18"/>
        </w:rPr>
      </w:pPr>
      <w:r w:rsidRPr="00634DF1">
        <w:rPr>
          <w:sz w:val="18"/>
          <w:szCs w:val="18"/>
        </w:rPr>
        <w:t xml:space="preserve">The </w:t>
      </w:r>
      <w:r w:rsidRPr="00634DF1">
        <w:rPr>
          <w:i/>
          <w:iCs/>
          <w:sz w:val="18"/>
          <w:szCs w:val="18"/>
        </w:rPr>
        <w:t>δ</w:t>
      </w:r>
      <w:r w:rsidRPr="00634DF1">
        <w:rPr>
          <w:sz w:val="18"/>
          <w:szCs w:val="18"/>
          <w:vertAlign w:val="superscript"/>
        </w:rPr>
        <w:t>13</w:t>
      </w:r>
      <w:r w:rsidRPr="00634DF1">
        <w:rPr>
          <w:sz w:val="18"/>
          <w:szCs w:val="18"/>
        </w:rPr>
        <w:t xml:space="preserve">C value is expressed as a mean </w:t>
      </w:r>
      <w:r w:rsidRPr="00634DF1">
        <w:rPr>
          <w:rFonts w:eastAsia="SymbolMT"/>
          <w:sz w:val="18"/>
          <w:szCs w:val="18"/>
        </w:rPr>
        <w:t xml:space="preserve">and an </w:t>
      </w:r>
      <w:r w:rsidRPr="00634DF1">
        <w:rPr>
          <w:sz w:val="18"/>
          <w:szCs w:val="18"/>
        </w:rPr>
        <w:t xml:space="preserve">expanded uncertainty.  An expanded uncertainty is equal to </w:t>
      </w:r>
      <w:r w:rsidRPr="00634DF1">
        <w:rPr>
          <w:i/>
          <w:iCs/>
          <w:sz w:val="18"/>
          <w:szCs w:val="18"/>
        </w:rPr>
        <w:t>U</w:t>
      </w:r>
      <w:r w:rsidRPr="006243A7">
        <w:rPr>
          <w:iCs/>
          <w:sz w:val="18"/>
          <w:szCs w:val="18"/>
        </w:rPr>
        <w:t> = </w:t>
      </w:r>
      <w:r w:rsidRPr="00634DF1">
        <w:rPr>
          <w:i/>
          <w:iCs/>
          <w:sz w:val="18"/>
          <w:szCs w:val="18"/>
        </w:rPr>
        <w:t>ku</w:t>
      </w:r>
      <w:r w:rsidRPr="00634DF1">
        <w:rPr>
          <w:sz w:val="18"/>
          <w:szCs w:val="18"/>
          <w:vertAlign w:val="subscript"/>
        </w:rPr>
        <w:t>c</w:t>
      </w:r>
      <w:r w:rsidRPr="00634DF1">
        <w:rPr>
          <w:sz w:val="18"/>
          <w:szCs w:val="18"/>
        </w:rPr>
        <w:t xml:space="preserve">, where </w:t>
      </w:r>
      <w:r w:rsidRPr="00634DF1">
        <w:rPr>
          <w:i/>
          <w:iCs/>
          <w:sz w:val="18"/>
          <w:szCs w:val="18"/>
        </w:rPr>
        <w:t>u</w:t>
      </w:r>
      <w:r w:rsidRPr="00634DF1">
        <w:rPr>
          <w:sz w:val="18"/>
          <w:szCs w:val="18"/>
          <w:vertAlign w:val="subscript"/>
        </w:rPr>
        <w:t>c</w:t>
      </w:r>
      <w:r w:rsidRPr="00634DF1">
        <w:rPr>
          <w:sz w:val="18"/>
          <w:szCs w:val="18"/>
        </w:rPr>
        <w:t xml:space="preserve"> is the combined standard uncertainty as defined by the </w:t>
      </w:r>
      <w:r w:rsidR="00FC7B2F">
        <w:rPr>
          <w:sz w:val="18"/>
          <w:szCs w:val="18"/>
        </w:rPr>
        <w:t>JCGM</w:t>
      </w:r>
      <w:r w:rsidR="00FC7B2F" w:rsidRPr="00634DF1">
        <w:rPr>
          <w:sz w:val="18"/>
          <w:szCs w:val="18"/>
        </w:rPr>
        <w:t xml:space="preserve"> </w:t>
      </w:r>
      <w:r w:rsidRPr="00634DF1">
        <w:rPr>
          <w:sz w:val="18"/>
          <w:szCs w:val="18"/>
        </w:rPr>
        <w:t xml:space="preserve">Guide [3] and </w:t>
      </w:r>
      <w:r w:rsidRPr="00634DF1">
        <w:rPr>
          <w:i/>
          <w:iCs/>
          <w:sz w:val="18"/>
          <w:szCs w:val="18"/>
        </w:rPr>
        <w:t>k</w:t>
      </w:r>
      <w:r w:rsidRPr="00634DF1">
        <w:rPr>
          <w:iCs/>
          <w:sz w:val="18"/>
          <w:szCs w:val="18"/>
        </w:rPr>
        <w:t xml:space="preserve"> </w:t>
      </w:r>
      <w:r w:rsidRPr="00634DF1">
        <w:rPr>
          <w:sz w:val="18"/>
          <w:szCs w:val="18"/>
        </w:rPr>
        <w:t xml:space="preserve">is the coverage factor. </w:t>
      </w:r>
      <w:r w:rsidR="000D1572">
        <w:rPr>
          <w:sz w:val="18"/>
          <w:szCs w:val="18"/>
        </w:rPr>
        <w:t xml:space="preserve"> </w:t>
      </w:r>
      <w:r w:rsidRPr="00634DF1">
        <w:rPr>
          <w:snapToGrid/>
          <w:sz w:val="18"/>
          <w:szCs w:val="18"/>
        </w:rPr>
        <w:t xml:space="preserve">The value of the consensus mean and the associated combined standard uncertainty were calculated using a multivariate Bayesian approach [4].  The combined standard uncertainty is intended to represent, at the level of one standard deviation, </w:t>
      </w:r>
      <w:r w:rsidR="00634DF1" w:rsidRPr="00B0798A">
        <w:rPr>
          <w:sz w:val="18"/>
          <w:szCs w:val="18"/>
        </w:rPr>
        <w:t xml:space="preserve">the </w:t>
      </w:r>
      <w:r w:rsidR="00AA63B4">
        <w:rPr>
          <w:sz w:val="18"/>
          <w:szCs w:val="18"/>
        </w:rPr>
        <w:t xml:space="preserve">combined </w:t>
      </w:r>
      <w:r w:rsidR="00634DF1" w:rsidRPr="00B0798A">
        <w:rPr>
          <w:sz w:val="18"/>
          <w:szCs w:val="18"/>
        </w:rPr>
        <w:t>effect</w:t>
      </w:r>
      <w:r w:rsidR="00AA63B4">
        <w:rPr>
          <w:sz w:val="18"/>
          <w:szCs w:val="18"/>
        </w:rPr>
        <w:t>s</w:t>
      </w:r>
      <w:r w:rsidR="00634DF1" w:rsidRPr="00B0798A">
        <w:rPr>
          <w:sz w:val="18"/>
          <w:szCs w:val="18"/>
        </w:rPr>
        <w:t xml:space="preserve"> of </w:t>
      </w:r>
      <w:r w:rsidR="00AA63B4">
        <w:rPr>
          <w:sz w:val="18"/>
          <w:szCs w:val="18"/>
        </w:rPr>
        <w:t>uncertainty sources evaluated by both Type A and B methods.</w:t>
      </w:r>
      <w:r w:rsidRPr="00634DF1">
        <w:rPr>
          <w:snapToGrid/>
          <w:sz w:val="18"/>
          <w:szCs w:val="18"/>
        </w:rPr>
        <w:t xml:space="preserve">  </w:t>
      </w:r>
      <w:r w:rsidR="00634DF1" w:rsidRPr="00B0798A">
        <w:rPr>
          <w:sz w:val="18"/>
          <w:szCs w:val="18"/>
        </w:rPr>
        <w:t>Any uncertainty due to biases in the methods is not included in the expanded uncertainty.</w:t>
      </w:r>
      <w:r w:rsidRPr="00634DF1">
        <w:rPr>
          <w:snapToGrid/>
          <w:sz w:val="18"/>
          <w:szCs w:val="18"/>
        </w:rPr>
        <w:t xml:space="preserve">  The coverage factor, </w:t>
      </w:r>
      <w:r w:rsidRPr="00634DF1">
        <w:rPr>
          <w:i/>
          <w:iCs/>
          <w:snapToGrid/>
          <w:sz w:val="18"/>
          <w:szCs w:val="18"/>
        </w:rPr>
        <w:t>k</w:t>
      </w:r>
      <w:r w:rsidRPr="006243A7">
        <w:rPr>
          <w:iCs/>
          <w:snapToGrid/>
          <w:sz w:val="18"/>
          <w:szCs w:val="18"/>
        </w:rPr>
        <w:t> = </w:t>
      </w:r>
      <w:r w:rsidRPr="00634DF1">
        <w:rPr>
          <w:snapToGrid/>
          <w:sz w:val="18"/>
          <w:szCs w:val="18"/>
        </w:rPr>
        <w:t xml:space="preserve">2, provides an expanded uncertainty interval that has about a 95 % probability of encompassing the consensus mean.  </w:t>
      </w:r>
      <w:r w:rsidRPr="00634DF1">
        <w:rPr>
          <w:spacing w:val="4"/>
          <w:sz w:val="18"/>
          <w:szCs w:val="18"/>
        </w:rPr>
        <w:t xml:space="preserve">The </w:t>
      </w:r>
      <w:r w:rsidRPr="00634DF1">
        <w:rPr>
          <w:i/>
          <w:iCs/>
          <w:sz w:val="18"/>
          <w:szCs w:val="18"/>
        </w:rPr>
        <w:t>δ</w:t>
      </w:r>
      <w:r w:rsidRPr="00634DF1">
        <w:rPr>
          <w:sz w:val="18"/>
          <w:szCs w:val="18"/>
          <w:vertAlign w:val="superscript"/>
        </w:rPr>
        <w:t>13</w:t>
      </w:r>
      <w:r w:rsidRPr="00634DF1">
        <w:rPr>
          <w:sz w:val="18"/>
          <w:szCs w:val="18"/>
        </w:rPr>
        <w:t xml:space="preserve">C value </w:t>
      </w:r>
      <w:r w:rsidRPr="00634DF1">
        <w:rPr>
          <w:spacing w:val="4"/>
          <w:sz w:val="18"/>
          <w:szCs w:val="18"/>
        </w:rPr>
        <w:t xml:space="preserve">and expanded uncertainty are taken from </w:t>
      </w:r>
      <w:r w:rsidR="007A5941" w:rsidRPr="00634DF1">
        <w:rPr>
          <w:spacing w:val="4"/>
          <w:sz w:val="18"/>
          <w:szCs w:val="18"/>
        </w:rPr>
        <w:t>Table S</w:t>
      </w:r>
      <w:r w:rsidR="0025739B" w:rsidRPr="00634DF1">
        <w:rPr>
          <w:spacing w:val="4"/>
          <w:sz w:val="18"/>
          <w:szCs w:val="18"/>
        </w:rPr>
        <w:noBreakHyphen/>
      </w:r>
      <w:r w:rsidR="007A5941" w:rsidRPr="00634DF1">
        <w:rPr>
          <w:spacing w:val="4"/>
          <w:sz w:val="18"/>
          <w:szCs w:val="18"/>
        </w:rPr>
        <w:t>4 (Supporting Info)</w:t>
      </w:r>
      <w:r w:rsidR="0025739B" w:rsidRPr="00634DF1">
        <w:rPr>
          <w:spacing w:val="4"/>
          <w:sz w:val="18"/>
          <w:szCs w:val="18"/>
        </w:rPr>
        <w:t> </w:t>
      </w:r>
      <w:r w:rsidRPr="00634DF1">
        <w:rPr>
          <w:spacing w:val="4"/>
          <w:sz w:val="18"/>
          <w:szCs w:val="18"/>
        </w:rPr>
        <w:t>[4].</w:t>
      </w:r>
      <w:r w:rsidRPr="00634DF1">
        <w:rPr>
          <w:snapToGrid/>
          <w:sz w:val="18"/>
          <w:szCs w:val="18"/>
        </w:rPr>
        <w:t xml:space="preserve"> (VPDB </w:t>
      </w:r>
      <w:r w:rsidR="0025739B" w:rsidRPr="00634DF1">
        <w:rPr>
          <w:snapToGrid/>
          <w:sz w:val="18"/>
          <w:szCs w:val="18"/>
        </w:rPr>
        <w:noBreakHyphen/>
      </w:r>
      <w:r w:rsidRPr="00634DF1">
        <w:rPr>
          <w:snapToGrid/>
          <w:sz w:val="18"/>
          <w:szCs w:val="18"/>
        </w:rPr>
        <w:t> Vienna Pee</w:t>
      </w:r>
      <w:r w:rsidR="00D44DC4" w:rsidRPr="00634DF1">
        <w:rPr>
          <w:snapToGrid/>
          <w:sz w:val="18"/>
          <w:szCs w:val="18"/>
        </w:rPr>
        <w:t>d</w:t>
      </w:r>
      <w:r w:rsidRPr="00634DF1">
        <w:rPr>
          <w:snapToGrid/>
          <w:sz w:val="18"/>
          <w:szCs w:val="18"/>
        </w:rPr>
        <w:t xml:space="preserve">ee </w:t>
      </w:r>
      <w:r w:rsidR="00D44DC4" w:rsidRPr="00634DF1">
        <w:rPr>
          <w:snapToGrid/>
          <w:sz w:val="18"/>
          <w:szCs w:val="18"/>
        </w:rPr>
        <w:t>b</w:t>
      </w:r>
      <w:r w:rsidRPr="00634DF1">
        <w:rPr>
          <w:snapToGrid/>
          <w:sz w:val="18"/>
          <w:szCs w:val="18"/>
        </w:rPr>
        <w:t>elemnite; LSVEC </w:t>
      </w:r>
      <w:r w:rsidR="0025739B" w:rsidRPr="00634DF1">
        <w:rPr>
          <w:snapToGrid/>
          <w:sz w:val="18"/>
          <w:szCs w:val="18"/>
        </w:rPr>
        <w:noBreakHyphen/>
      </w:r>
      <w:r w:rsidRPr="00634DF1">
        <w:rPr>
          <w:snapToGrid/>
          <w:sz w:val="18"/>
          <w:szCs w:val="18"/>
        </w:rPr>
        <w:t> Li Svec (named for H. Svec, formerly of Ames Laboratory, I</w:t>
      </w:r>
      <w:r w:rsidR="00650836" w:rsidRPr="00634DF1">
        <w:rPr>
          <w:snapToGrid/>
          <w:sz w:val="18"/>
          <w:szCs w:val="18"/>
        </w:rPr>
        <w:t>owa</w:t>
      </w:r>
      <w:r w:rsidRPr="00634DF1">
        <w:rPr>
          <w:snapToGrid/>
          <w:sz w:val="18"/>
          <w:szCs w:val="18"/>
        </w:rPr>
        <w:t>)</w:t>
      </w:r>
    </w:p>
    <w:p w:rsidR="000258AF" w:rsidRDefault="000258AF" w:rsidP="00427E85">
      <w:pPr>
        <w:widowControl/>
        <w:tabs>
          <w:tab w:val="left" w:pos="0"/>
          <w:tab w:val="left" w:pos="9360"/>
        </w:tabs>
        <w:spacing w:before="120"/>
        <w:jc w:val="both"/>
        <w:rPr>
          <w:color w:val="000000"/>
          <w:sz w:val="20"/>
        </w:rPr>
      </w:pPr>
      <w:r w:rsidRPr="000D1572">
        <w:rPr>
          <w:b/>
          <w:color w:val="000000"/>
          <w:sz w:val="20"/>
        </w:rPr>
        <w:t>Expiration of Value Assignment:</w:t>
      </w:r>
      <w:r w:rsidRPr="000D1572">
        <w:rPr>
          <w:color w:val="000000"/>
          <w:sz w:val="20"/>
        </w:rPr>
        <w:t xml:space="preserve">  </w:t>
      </w:r>
      <w:r w:rsidRPr="000D1572">
        <w:rPr>
          <w:b/>
          <w:color w:val="000000"/>
          <w:sz w:val="20"/>
        </w:rPr>
        <w:t>RM 8543</w:t>
      </w:r>
      <w:r w:rsidRPr="000D1572">
        <w:rPr>
          <w:color w:val="000000"/>
          <w:sz w:val="20"/>
        </w:rPr>
        <w:t xml:space="preserve"> is valid, within the measurement uncertainty specified, until </w:t>
      </w:r>
      <w:r w:rsidRPr="000D1572">
        <w:rPr>
          <w:b/>
          <w:color w:val="000000"/>
          <w:sz w:val="20"/>
        </w:rPr>
        <w:t>31 December 2020</w:t>
      </w:r>
      <w:r w:rsidRPr="000D1572">
        <w:rPr>
          <w:color w:val="000000"/>
          <w:sz w:val="20"/>
        </w:rPr>
        <w:t>, provided the RM is handled and stored in accordance with instructions given in this Report of Investigation (see “</w:t>
      </w:r>
      <w:r w:rsidRPr="000D1572">
        <w:rPr>
          <w:iCs/>
          <w:color w:val="000000"/>
          <w:sz w:val="20"/>
        </w:rPr>
        <w:t>Instructions for Storage</w:t>
      </w:r>
      <w:r w:rsidR="00AA63B4" w:rsidRPr="00AA63B4">
        <w:rPr>
          <w:iCs/>
          <w:color w:val="000000"/>
          <w:sz w:val="20"/>
        </w:rPr>
        <w:t xml:space="preserve"> </w:t>
      </w:r>
      <w:r w:rsidR="00AA63B4">
        <w:rPr>
          <w:iCs/>
          <w:color w:val="000000"/>
          <w:sz w:val="20"/>
        </w:rPr>
        <w:t>and Handling</w:t>
      </w:r>
      <w:r w:rsidRPr="000D1572">
        <w:rPr>
          <w:iCs/>
          <w:color w:val="000000"/>
          <w:sz w:val="20"/>
        </w:rPr>
        <w:t>”</w:t>
      </w:r>
      <w:r w:rsidRPr="000D1572">
        <w:rPr>
          <w:color w:val="000000"/>
          <w:sz w:val="20"/>
        </w:rPr>
        <w:t>).  This report is nullified if the RM is damaged, contaminated, or otherwise modified.</w:t>
      </w:r>
    </w:p>
    <w:p w:rsidR="00427E85" w:rsidRPr="000D1572" w:rsidRDefault="00427E85" w:rsidP="006243A7">
      <w:pPr>
        <w:widowControl/>
        <w:tabs>
          <w:tab w:val="left" w:pos="0"/>
          <w:tab w:val="left" w:pos="9360"/>
        </w:tabs>
        <w:jc w:val="both"/>
        <w:rPr>
          <w:color w:val="000000"/>
          <w:sz w:val="20"/>
        </w:rPr>
      </w:pPr>
    </w:p>
    <w:p w:rsidR="000258AF" w:rsidRDefault="000258AF" w:rsidP="006243A7">
      <w:pPr>
        <w:widowControl/>
        <w:jc w:val="both"/>
        <w:rPr>
          <w:sz w:val="20"/>
        </w:rPr>
      </w:pPr>
      <w:r w:rsidRPr="00365ADD">
        <w:rPr>
          <w:b/>
          <w:sz w:val="20"/>
        </w:rPr>
        <w:t>Maintenance of RM:</w:t>
      </w:r>
      <w:r w:rsidRPr="00A1241B">
        <w:rPr>
          <w:sz w:val="20"/>
        </w:rPr>
        <w:t xml:space="preserve">  </w:t>
      </w:r>
      <w:r w:rsidRPr="00365ADD">
        <w:rPr>
          <w:sz w:val="20"/>
        </w:rPr>
        <w:t xml:space="preserve">NIST will monitor this RM over the period of its </w:t>
      </w:r>
      <w:r>
        <w:rPr>
          <w:sz w:val="20"/>
        </w:rPr>
        <w:t>validity</w:t>
      </w:r>
      <w:r w:rsidRPr="00365ADD">
        <w:rPr>
          <w:sz w:val="20"/>
        </w:rPr>
        <w:t xml:space="preserve">.  If substantive technical changes occur that affect the </w:t>
      </w:r>
      <w:r>
        <w:rPr>
          <w:sz w:val="20"/>
        </w:rPr>
        <w:t>value assignment</w:t>
      </w:r>
      <w:r w:rsidRPr="00365ADD">
        <w:rPr>
          <w:sz w:val="20"/>
        </w:rPr>
        <w:t xml:space="preserve"> before the expiration of this </w:t>
      </w:r>
      <w:r>
        <w:rPr>
          <w:sz w:val="20"/>
        </w:rPr>
        <w:t>report</w:t>
      </w:r>
      <w:r w:rsidRPr="00365ADD">
        <w:rPr>
          <w:sz w:val="20"/>
        </w:rPr>
        <w:t>, NIST will notify the purchaser.  Registration (see attached sheet) will faci</w:t>
      </w:r>
      <w:r>
        <w:rPr>
          <w:sz w:val="20"/>
        </w:rPr>
        <w:t>li</w:t>
      </w:r>
      <w:r w:rsidRPr="00365ADD">
        <w:rPr>
          <w:sz w:val="20"/>
        </w:rPr>
        <w:t>tate notification.</w:t>
      </w:r>
    </w:p>
    <w:p w:rsidR="00427E85" w:rsidRPr="00365ADD" w:rsidRDefault="00427E85" w:rsidP="006243A7">
      <w:pPr>
        <w:widowControl/>
        <w:jc w:val="both"/>
        <w:rPr>
          <w:sz w:val="20"/>
        </w:rPr>
      </w:pPr>
    </w:p>
    <w:p w:rsidR="000258AF" w:rsidRDefault="000258AF" w:rsidP="006243A7">
      <w:pPr>
        <w:widowControl/>
        <w:spacing w:line="230" w:lineRule="auto"/>
        <w:jc w:val="both"/>
        <w:rPr>
          <w:sz w:val="20"/>
        </w:rPr>
      </w:pPr>
      <w:r w:rsidRPr="0052751C">
        <w:rPr>
          <w:sz w:val="20"/>
        </w:rPr>
        <w:t xml:space="preserve">The </w:t>
      </w:r>
      <w:r>
        <w:rPr>
          <w:sz w:val="20"/>
        </w:rPr>
        <w:t>technical</w:t>
      </w:r>
      <w:r w:rsidRPr="0052751C">
        <w:rPr>
          <w:sz w:val="20"/>
        </w:rPr>
        <w:t xml:space="preserve"> aspects involved in the issuance of th</w:t>
      </w:r>
      <w:r>
        <w:rPr>
          <w:sz w:val="20"/>
        </w:rPr>
        <w:t>is</w:t>
      </w:r>
      <w:r w:rsidRPr="0052751C">
        <w:rPr>
          <w:sz w:val="20"/>
        </w:rPr>
        <w:t xml:space="preserve"> RM were coordinated through the </w:t>
      </w:r>
      <w:r>
        <w:rPr>
          <w:sz w:val="20"/>
        </w:rPr>
        <w:t xml:space="preserve">NIST </w:t>
      </w:r>
      <w:r w:rsidR="00CD3884">
        <w:rPr>
          <w:sz w:val="20"/>
        </w:rPr>
        <w:t>C</w:t>
      </w:r>
      <w:r>
        <w:rPr>
          <w:sz w:val="20"/>
        </w:rPr>
        <w:t>hemi</w:t>
      </w:r>
      <w:r w:rsidR="00CD3884">
        <w:rPr>
          <w:sz w:val="20"/>
        </w:rPr>
        <w:t>cal</w:t>
      </w:r>
      <w:r>
        <w:rPr>
          <w:sz w:val="20"/>
        </w:rPr>
        <w:t xml:space="preserve"> </w:t>
      </w:r>
      <w:r w:rsidR="00CD3884">
        <w:rPr>
          <w:sz w:val="20"/>
        </w:rPr>
        <w:t xml:space="preserve">Sciences </w:t>
      </w:r>
      <w:r>
        <w:rPr>
          <w:sz w:val="20"/>
        </w:rPr>
        <w:t>Division by R.D. Vocke, Jr.</w:t>
      </w:r>
    </w:p>
    <w:p w:rsidR="00427E85" w:rsidRDefault="00427E85" w:rsidP="006243A7">
      <w:pPr>
        <w:widowControl/>
        <w:spacing w:line="230" w:lineRule="auto"/>
        <w:jc w:val="both"/>
        <w:rPr>
          <w:sz w:val="20"/>
        </w:rPr>
      </w:pPr>
    </w:p>
    <w:p w:rsidR="000258AF" w:rsidRDefault="000258AF" w:rsidP="006243A7">
      <w:pPr>
        <w:widowControl/>
        <w:jc w:val="both"/>
        <w:rPr>
          <w:sz w:val="20"/>
        </w:rPr>
      </w:pPr>
      <w:r>
        <w:rPr>
          <w:sz w:val="20"/>
        </w:rPr>
        <w:t>S</w:t>
      </w:r>
      <w:r w:rsidRPr="00A06E9F">
        <w:rPr>
          <w:sz w:val="20"/>
        </w:rPr>
        <w:t xml:space="preserve">upport aspects involved in the issuance of this RM were coordinated through the NIST </w:t>
      </w:r>
      <w:r w:rsidR="00B371E6">
        <w:rPr>
          <w:sz w:val="20"/>
        </w:rPr>
        <w:t>Office of Reference Materials.</w:t>
      </w:r>
    </w:p>
    <w:p w:rsidR="001972A5" w:rsidRDefault="001972A5" w:rsidP="00B94238">
      <w:pPr>
        <w:widowControl/>
        <w:spacing w:line="230" w:lineRule="auto"/>
        <w:jc w:val="both"/>
        <w:rPr>
          <w:sz w:val="20"/>
        </w:rPr>
      </w:pPr>
    </w:p>
    <w:p w:rsidR="000258AF" w:rsidRDefault="000258AF" w:rsidP="00B94238">
      <w:pPr>
        <w:widowControl/>
        <w:spacing w:line="230" w:lineRule="auto"/>
        <w:jc w:val="both"/>
        <w:rPr>
          <w:sz w:val="20"/>
        </w:rPr>
      </w:pPr>
    </w:p>
    <w:p w:rsidR="00037EED" w:rsidRDefault="00037EED" w:rsidP="00B94238">
      <w:pPr>
        <w:widowControl/>
        <w:spacing w:line="230" w:lineRule="auto"/>
        <w:jc w:val="both"/>
        <w:rPr>
          <w:sz w:val="20"/>
        </w:rPr>
      </w:pPr>
    </w:p>
    <w:p w:rsidR="00E3613A" w:rsidRDefault="00243845" w:rsidP="00B94238">
      <w:pPr>
        <w:widowControl/>
        <w:tabs>
          <w:tab w:val="left" w:pos="9360"/>
        </w:tabs>
        <w:spacing w:line="230" w:lineRule="auto"/>
        <w:jc w:val="right"/>
        <w:rPr>
          <w:color w:val="000000"/>
          <w:sz w:val="20"/>
        </w:rPr>
      </w:pPr>
      <w:r>
        <w:rPr>
          <w:color w:val="000000"/>
          <w:sz w:val="20"/>
        </w:rPr>
        <w:t>Carlos </w:t>
      </w:r>
      <w:r w:rsidR="00E3613A">
        <w:rPr>
          <w:color w:val="000000"/>
          <w:sz w:val="20"/>
        </w:rPr>
        <w:t>A.</w:t>
      </w:r>
      <w:r w:rsidR="006B2D43">
        <w:rPr>
          <w:color w:val="000000"/>
          <w:sz w:val="20"/>
        </w:rPr>
        <w:t> </w:t>
      </w:r>
      <w:r>
        <w:rPr>
          <w:color w:val="000000"/>
          <w:sz w:val="20"/>
        </w:rPr>
        <w:t>Gonzalez</w:t>
      </w:r>
      <w:r w:rsidR="00E3613A">
        <w:rPr>
          <w:color w:val="000000"/>
          <w:sz w:val="20"/>
        </w:rPr>
        <w:t>, Chief</w:t>
      </w:r>
    </w:p>
    <w:p w:rsidR="00E3613A" w:rsidRDefault="006B6406" w:rsidP="00B94238">
      <w:pPr>
        <w:widowControl/>
        <w:tabs>
          <w:tab w:val="left" w:pos="9360"/>
        </w:tabs>
        <w:spacing w:line="200" w:lineRule="exact"/>
        <w:jc w:val="right"/>
        <w:rPr>
          <w:color w:val="000000"/>
          <w:sz w:val="20"/>
        </w:rPr>
      </w:pPr>
      <w:r w:rsidRPr="006B6406">
        <w:rPr>
          <w:color w:val="000000"/>
          <w:sz w:val="20"/>
        </w:rPr>
        <w:t>Chemical Sciences Division</w:t>
      </w:r>
    </w:p>
    <w:p w:rsidR="001C11CA" w:rsidRDefault="001C11CA" w:rsidP="00B94238">
      <w:pPr>
        <w:widowControl/>
        <w:spacing w:line="200" w:lineRule="exact"/>
        <w:jc w:val="both"/>
        <w:rPr>
          <w:color w:val="000000"/>
          <w:sz w:val="20"/>
        </w:rPr>
      </w:pPr>
    </w:p>
    <w:p w:rsidR="00E3613A" w:rsidRDefault="00E3613A" w:rsidP="00B94238">
      <w:pPr>
        <w:widowControl/>
        <w:tabs>
          <w:tab w:val="right" w:pos="9360"/>
        </w:tabs>
        <w:spacing w:line="200" w:lineRule="exact"/>
        <w:jc w:val="right"/>
        <w:rPr>
          <w:color w:val="000000"/>
          <w:sz w:val="20"/>
        </w:rPr>
      </w:pPr>
      <w:r>
        <w:rPr>
          <w:color w:val="000000"/>
          <w:sz w:val="20"/>
        </w:rPr>
        <w:t>Gaithersburg,</w:t>
      </w:r>
      <w:r w:rsidR="004952A1">
        <w:rPr>
          <w:color w:val="000000"/>
          <w:sz w:val="20"/>
        </w:rPr>
        <w:t> </w:t>
      </w:r>
      <w:r>
        <w:rPr>
          <w:color w:val="000000"/>
          <w:sz w:val="20"/>
        </w:rPr>
        <w:t>MD</w:t>
      </w:r>
      <w:r w:rsidR="006B2D43">
        <w:rPr>
          <w:color w:val="000000"/>
          <w:sz w:val="20"/>
        </w:rPr>
        <w:t> </w:t>
      </w:r>
      <w:r>
        <w:rPr>
          <w:color w:val="000000"/>
          <w:sz w:val="20"/>
        </w:rPr>
        <w:t>20899</w:t>
      </w:r>
      <w:r>
        <w:rPr>
          <w:color w:val="000000"/>
          <w:sz w:val="20"/>
        </w:rPr>
        <w:tab/>
        <w:t>Robert</w:t>
      </w:r>
      <w:r w:rsidR="006B2D43">
        <w:rPr>
          <w:color w:val="000000"/>
          <w:sz w:val="20"/>
        </w:rPr>
        <w:t> </w:t>
      </w:r>
      <w:r>
        <w:rPr>
          <w:color w:val="000000"/>
          <w:sz w:val="20"/>
        </w:rPr>
        <w:t>L.</w:t>
      </w:r>
      <w:r w:rsidR="006B2D43">
        <w:rPr>
          <w:color w:val="000000"/>
          <w:sz w:val="20"/>
        </w:rPr>
        <w:t> </w:t>
      </w:r>
      <w:r>
        <w:rPr>
          <w:color w:val="000000"/>
          <w:sz w:val="20"/>
        </w:rPr>
        <w:t>Watters,</w:t>
      </w:r>
      <w:r w:rsidR="006B2D43">
        <w:rPr>
          <w:color w:val="000000"/>
          <w:sz w:val="20"/>
        </w:rPr>
        <w:t> </w:t>
      </w:r>
      <w:r>
        <w:rPr>
          <w:color w:val="000000"/>
          <w:sz w:val="20"/>
        </w:rPr>
        <w:t xml:space="preserve">Jr., </w:t>
      </w:r>
      <w:r w:rsidR="00B371E6">
        <w:rPr>
          <w:color w:val="000000"/>
          <w:sz w:val="20"/>
        </w:rPr>
        <w:t>Director</w:t>
      </w:r>
    </w:p>
    <w:p w:rsidR="00E3613A" w:rsidRDefault="00E3613A" w:rsidP="00B94238">
      <w:pPr>
        <w:widowControl/>
        <w:tabs>
          <w:tab w:val="right" w:pos="9360"/>
        </w:tabs>
        <w:spacing w:line="200" w:lineRule="exact"/>
        <w:jc w:val="right"/>
        <w:rPr>
          <w:color w:val="000000"/>
          <w:sz w:val="20"/>
        </w:rPr>
      </w:pPr>
      <w:r>
        <w:rPr>
          <w:color w:val="000000"/>
          <w:sz w:val="20"/>
        </w:rPr>
        <w:t xml:space="preserve">Report Issue Date:  </w:t>
      </w:r>
      <w:r w:rsidR="0028083C">
        <w:rPr>
          <w:color w:val="000000"/>
          <w:sz w:val="20"/>
        </w:rPr>
        <w:t>09 April</w:t>
      </w:r>
      <w:r w:rsidR="00B371E6">
        <w:rPr>
          <w:color w:val="000000"/>
          <w:sz w:val="20"/>
        </w:rPr>
        <w:t> 2013</w:t>
      </w:r>
      <w:r>
        <w:rPr>
          <w:color w:val="000000"/>
          <w:sz w:val="20"/>
        </w:rPr>
        <w:tab/>
      </w:r>
      <w:r w:rsidR="00B371E6">
        <w:rPr>
          <w:color w:val="000000"/>
          <w:sz w:val="20"/>
        </w:rPr>
        <w:t>Office of Reference Materials</w:t>
      </w:r>
    </w:p>
    <w:p w:rsidR="003415E5" w:rsidRPr="00412FBA" w:rsidRDefault="003415E5" w:rsidP="00B94238">
      <w:pPr>
        <w:pStyle w:val="Heading3"/>
        <w:widowControl/>
        <w:tabs>
          <w:tab w:val="right" w:pos="9360"/>
        </w:tabs>
        <w:jc w:val="left"/>
        <w:rPr>
          <w:i/>
          <w:sz w:val="16"/>
          <w:szCs w:val="16"/>
        </w:rPr>
      </w:pPr>
      <w:r>
        <w:rPr>
          <w:i/>
          <w:sz w:val="16"/>
          <w:szCs w:val="16"/>
        </w:rPr>
        <w:t>Report</w:t>
      </w:r>
      <w:r w:rsidRPr="00412FBA">
        <w:rPr>
          <w:i/>
          <w:sz w:val="16"/>
          <w:szCs w:val="16"/>
        </w:rPr>
        <w:t xml:space="preserve"> Revision History on Last Page</w:t>
      </w:r>
    </w:p>
    <w:p w:rsidR="0084718F" w:rsidRDefault="00CE1C13" w:rsidP="00AC32B9">
      <w:pPr>
        <w:pStyle w:val="BodyText2"/>
        <w:tabs>
          <w:tab w:val="clear" w:pos="540"/>
          <w:tab w:val="clear" w:pos="1260"/>
          <w:tab w:val="clear" w:pos="1980"/>
          <w:tab w:val="clear" w:pos="2700"/>
          <w:tab w:val="clear" w:pos="3420"/>
          <w:tab w:val="clear" w:pos="4140"/>
          <w:tab w:val="clear" w:pos="4860"/>
          <w:tab w:val="clear" w:pos="5580"/>
          <w:tab w:val="clear" w:pos="6300"/>
          <w:tab w:val="clear" w:pos="7020"/>
          <w:tab w:val="clear" w:pos="7740"/>
          <w:tab w:val="clear" w:pos="8460"/>
        </w:tabs>
        <w:spacing w:after="120"/>
      </w:pPr>
      <w:r>
        <w:br w:type="page"/>
      </w:r>
      <w:r w:rsidR="000258AF" w:rsidRPr="00462A05">
        <w:rPr>
          <w:b/>
          <w:spacing w:val="4"/>
        </w:rPr>
        <w:lastRenderedPageBreak/>
        <w:t>Reference Difference in Isotope</w:t>
      </w:r>
      <w:r w:rsidR="002E5504">
        <w:rPr>
          <w:b/>
          <w:spacing w:val="4"/>
        </w:rPr>
        <w:noBreakHyphen/>
      </w:r>
      <w:r w:rsidR="000258AF">
        <w:rPr>
          <w:b/>
          <w:spacing w:val="4"/>
        </w:rPr>
        <w:t>Number</w:t>
      </w:r>
      <w:r w:rsidR="000258AF" w:rsidRPr="00462A05">
        <w:rPr>
          <w:b/>
          <w:spacing w:val="4"/>
        </w:rPr>
        <w:t xml:space="preserve"> Ratio Values:</w:t>
      </w:r>
      <w:r w:rsidR="000258AF">
        <w:rPr>
          <w:spacing w:val="4"/>
        </w:rPr>
        <w:t xml:space="preserve">  </w:t>
      </w:r>
      <w:r w:rsidR="000258AF">
        <w:t xml:space="preserve">The differences in </w:t>
      </w:r>
      <w:r w:rsidR="000258AF" w:rsidRPr="00065711">
        <w:rPr>
          <w:spacing w:val="4"/>
        </w:rPr>
        <w:t>measured</w:t>
      </w:r>
      <w:r w:rsidR="000258AF" w:rsidRPr="00065711">
        <w:t xml:space="preserve"> isotope-</w:t>
      </w:r>
      <w:r w:rsidR="000258AF">
        <w:t>number</w:t>
      </w:r>
      <w:r w:rsidR="000258AF" w:rsidRPr="00065711">
        <w:t xml:space="preserve"> ratios of stable </w:t>
      </w:r>
      <w:r w:rsidR="000258AF">
        <w:t>carbon</w:t>
      </w:r>
      <w:r w:rsidR="000258AF" w:rsidRPr="00065711">
        <w:t xml:space="preserve"> isotopes</w:t>
      </w:r>
      <w:r w:rsidR="000258AF">
        <w:t xml:space="preserve"> in substance P, </w:t>
      </w:r>
      <w:proofErr w:type="gramStart"/>
      <w:r w:rsidR="000258AF" w:rsidRPr="00372361">
        <w:rPr>
          <w:i/>
        </w:rPr>
        <w:t>R</w:t>
      </w:r>
      <w:r w:rsidR="000258AF">
        <w:t>(</w:t>
      </w:r>
      <w:proofErr w:type="gramEnd"/>
      <w:r w:rsidR="000258AF" w:rsidRPr="00037EED">
        <w:rPr>
          <w:vertAlign w:val="superscript"/>
        </w:rPr>
        <w:t>13</w:t>
      </w:r>
      <w:r w:rsidR="000258AF" w:rsidRPr="00037EED">
        <w:t>C/</w:t>
      </w:r>
      <w:r w:rsidR="000258AF" w:rsidRPr="00037EED">
        <w:rPr>
          <w:vertAlign w:val="superscript"/>
        </w:rPr>
        <w:t>12</w:t>
      </w:r>
      <w:r w:rsidR="000258AF" w:rsidRPr="00037EED">
        <w:t>C</w:t>
      </w:r>
      <w:r w:rsidR="000258AF">
        <w:t>)</w:t>
      </w:r>
      <w:r w:rsidR="000258AF">
        <w:rPr>
          <w:vertAlign w:val="subscript"/>
        </w:rPr>
        <w:t>P</w:t>
      </w:r>
      <w:r w:rsidR="00F23A8E">
        <w:t> </w:t>
      </w:r>
      <w:r w:rsidR="000258AF">
        <w:t>=</w:t>
      </w:r>
      <w:r w:rsidR="00F23A8E">
        <w:t> </w:t>
      </w:r>
      <w:r w:rsidR="000258AF" w:rsidRPr="00065711">
        <w:t>[</w:t>
      </w:r>
      <w:r w:rsidR="000258AF">
        <w:rPr>
          <w:i/>
        </w:rPr>
        <w:t>N</w:t>
      </w:r>
      <w:r w:rsidR="000258AF" w:rsidRPr="00065711">
        <w:t>(</w:t>
      </w:r>
      <w:r w:rsidR="000258AF">
        <w:rPr>
          <w:vertAlign w:val="superscript"/>
        </w:rPr>
        <w:t>13</w:t>
      </w:r>
      <w:r w:rsidR="000258AF">
        <w:t>C</w:t>
      </w:r>
      <w:r w:rsidR="000258AF" w:rsidRPr="00065711">
        <w:t>)</w:t>
      </w:r>
      <w:r w:rsidR="000258AF">
        <w:rPr>
          <w:vertAlign w:val="subscript"/>
        </w:rPr>
        <w:t>P</w:t>
      </w:r>
      <w:r w:rsidR="00F23A8E">
        <w:t> </w:t>
      </w:r>
      <w:r w:rsidR="000258AF" w:rsidRPr="00065711">
        <w:t>/</w:t>
      </w:r>
      <w:r w:rsidR="000258AF">
        <w:t> </w:t>
      </w:r>
      <w:r w:rsidR="000258AF">
        <w:rPr>
          <w:i/>
        </w:rPr>
        <w:t>N</w:t>
      </w:r>
      <w:r w:rsidR="000258AF" w:rsidRPr="00065711">
        <w:t>(</w:t>
      </w:r>
      <w:r w:rsidR="000258AF">
        <w:rPr>
          <w:vertAlign w:val="superscript"/>
        </w:rPr>
        <w:t>12</w:t>
      </w:r>
      <w:r w:rsidR="000258AF">
        <w:t>C</w:t>
      </w:r>
      <w:r w:rsidR="000258AF" w:rsidRPr="00065711">
        <w:t>)</w:t>
      </w:r>
      <w:r w:rsidR="000258AF">
        <w:rPr>
          <w:vertAlign w:val="subscript"/>
        </w:rPr>
        <w:t>P</w:t>
      </w:r>
      <w:r w:rsidR="000258AF">
        <w:t xml:space="preserve">], </w:t>
      </w:r>
      <w:r w:rsidR="000258AF" w:rsidRPr="00065711">
        <w:t xml:space="preserve">are reported as </w:t>
      </w:r>
      <w:r w:rsidR="000258AF" w:rsidRPr="00065711">
        <w:rPr>
          <w:i/>
          <w:iCs/>
        </w:rPr>
        <w:t>δ</w:t>
      </w:r>
      <w:r w:rsidR="000258AF">
        <w:rPr>
          <w:vertAlign w:val="superscript"/>
        </w:rPr>
        <w:t>13</w:t>
      </w:r>
      <w:r w:rsidR="000258AF">
        <w:t>C</w:t>
      </w:r>
      <w:r w:rsidR="000258AF" w:rsidRPr="003C340A">
        <w:rPr>
          <w:snapToGrid/>
        </w:rPr>
        <w:t xml:space="preserve"> values</w:t>
      </w:r>
      <w:r w:rsidR="00F23A8E">
        <w:rPr>
          <w:snapToGrid/>
        </w:rPr>
        <w:t> </w:t>
      </w:r>
      <w:r w:rsidR="000258AF">
        <w:rPr>
          <w:snapToGrid/>
        </w:rPr>
        <w:t>[</w:t>
      </w:r>
      <w:r w:rsidR="00650836">
        <w:rPr>
          <w:snapToGrid/>
        </w:rPr>
        <w:t>5</w:t>
      </w:r>
      <w:r w:rsidR="000258AF">
        <w:rPr>
          <w:snapToGrid/>
        </w:rPr>
        <w:t xml:space="preserve">].  </w:t>
      </w:r>
      <w:r w:rsidR="000258AF">
        <w:t>The relative differences in isotope-number ratios for carbon are referenced to VPDB, where:</w:t>
      </w:r>
    </w:p>
    <w:p w:rsidR="0084718F" w:rsidRDefault="000258AF" w:rsidP="00AC32B9">
      <w:pPr>
        <w:widowControl/>
        <w:tabs>
          <w:tab w:val="right" w:pos="9360"/>
        </w:tabs>
        <w:autoSpaceDE w:val="0"/>
        <w:autoSpaceDN w:val="0"/>
        <w:adjustRightInd w:val="0"/>
        <w:spacing w:after="120"/>
        <w:ind w:firstLine="2700"/>
        <w:rPr>
          <w:snapToGrid/>
          <w:sz w:val="20"/>
        </w:rPr>
      </w:pPr>
      <w:r w:rsidRPr="00065711">
        <w:rPr>
          <w:i/>
          <w:iCs/>
        </w:rPr>
        <w:t>δ</w:t>
      </w:r>
      <w:r>
        <w:rPr>
          <w:vertAlign w:val="superscript"/>
        </w:rPr>
        <w:t>13</w:t>
      </w:r>
      <w:r>
        <w:t>C = [</w:t>
      </w:r>
      <w:proofErr w:type="gramStart"/>
      <w:r>
        <w:rPr>
          <w:i/>
        </w:rPr>
        <w:t>R</w:t>
      </w:r>
      <w:r w:rsidRPr="00065711">
        <w:t>(</w:t>
      </w:r>
      <w:proofErr w:type="gramEnd"/>
      <w:r w:rsidRPr="00A201A7">
        <w:rPr>
          <w:vertAlign w:val="superscript"/>
        </w:rPr>
        <w:t>13</w:t>
      </w:r>
      <w:r>
        <w:t>C</w:t>
      </w:r>
      <w:r w:rsidRPr="00065711">
        <w:t>/</w:t>
      </w:r>
      <w:r>
        <w:rPr>
          <w:vertAlign w:val="superscript"/>
        </w:rPr>
        <w:t>12</w:t>
      </w:r>
      <w:r>
        <w:t>C</w:t>
      </w:r>
      <w:r w:rsidRPr="00065711">
        <w:t>)</w:t>
      </w:r>
      <w:r w:rsidRPr="00065711">
        <w:rPr>
          <w:vertAlign w:val="subscript"/>
        </w:rPr>
        <w:t>sample</w:t>
      </w:r>
      <w:r w:rsidR="00F23A8E">
        <w:t> </w:t>
      </w:r>
      <w:r>
        <w:t>/ </w:t>
      </w:r>
      <w:r>
        <w:rPr>
          <w:i/>
        </w:rPr>
        <w:t>R</w:t>
      </w:r>
      <w:r w:rsidRPr="00065711">
        <w:t>(</w:t>
      </w:r>
      <w:r>
        <w:rPr>
          <w:vertAlign w:val="superscript"/>
        </w:rPr>
        <w:t>13</w:t>
      </w:r>
      <w:r>
        <w:t>C</w:t>
      </w:r>
      <w:r w:rsidRPr="00065711">
        <w:t>/</w:t>
      </w:r>
      <w:r>
        <w:rPr>
          <w:vertAlign w:val="superscript"/>
        </w:rPr>
        <w:t>12</w:t>
      </w:r>
      <w:r>
        <w:t>C</w:t>
      </w:r>
      <w:r w:rsidRPr="00065711">
        <w:t>)</w:t>
      </w:r>
      <w:r>
        <w:rPr>
          <w:vertAlign w:val="subscript"/>
        </w:rPr>
        <w:t>VPDB-LSVEC</w:t>
      </w:r>
      <w:r>
        <w:t>] </w:t>
      </w:r>
      <w:r w:rsidRPr="00C74A9E">
        <w:t>– 1</w:t>
      </w:r>
      <w:r w:rsidR="002E5504" w:rsidRPr="00F35DAC">
        <w:rPr>
          <w:snapToGrid/>
          <w:sz w:val="20"/>
        </w:rPr>
        <w:tab/>
        <w:t>(</w:t>
      </w:r>
      <w:r w:rsidR="002E5504">
        <w:rPr>
          <w:snapToGrid/>
          <w:sz w:val="20"/>
        </w:rPr>
        <w:t>1</w:t>
      </w:r>
      <w:r w:rsidR="002E5504" w:rsidRPr="00F35DAC">
        <w:rPr>
          <w:snapToGrid/>
          <w:sz w:val="20"/>
        </w:rPr>
        <w:t>)</w:t>
      </w:r>
    </w:p>
    <w:p w:rsidR="000258AF" w:rsidRDefault="000258AF" w:rsidP="006243A7">
      <w:pPr>
        <w:pStyle w:val="BodyText2"/>
        <w:tabs>
          <w:tab w:val="clear" w:pos="540"/>
          <w:tab w:val="clear" w:pos="1260"/>
          <w:tab w:val="clear" w:pos="1980"/>
          <w:tab w:val="clear" w:pos="2700"/>
          <w:tab w:val="clear" w:pos="3420"/>
          <w:tab w:val="clear" w:pos="4140"/>
          <w:tab w:val="clear" w:pos="4860"/>
          <w:tab w:val="clear" w:pos="5580"/>
          <w:tab w:val="clear" w:pos="6300"/>
          <w:tab w:val="clear" w:pos="7020"/>
          <w:tab w:val="clear" w:pos="7740"/>
          <w:tab w:val="clear" w:pos="8460"/>
        </w:tabs>
      </w:pPr>
      <w:r w:rsidRPr="00065711">
        <w:t>V</w:t>
      </w:r>
      <w:r>
        <w:t>PDB</w:t>
      </w:r>
      <w:r>
        <w:noBreakHyphen/>
        <w:t>LSVEC</w:t>
      </w:r>
      <w:r w:rsidRPr="00065711">
        <w:t xml:space="preserve"> refers to the Vienna </w:t>
      </w:r>
      <w:r>
        <w:t>PDB</w:t>
      </w:r>
      <w:r>
        <w:noBreakHyphen/>
        <w:t>LSVEC</w:t>
      </w:r>
      <w:r w:rsidRPr="00065711">
        <w:t xml:space="preserve"> </w:t>
      </w:r>
      <w:r>
        <w:t>scale</w:t>
      </w:r>
      <w:r w:rsidRPr="00065711">
        <w:t xml:space="preserve"> which </w:t>
      </w:r>
      <w:r>
        <w:t>is</w:t>
      </w:r>
      <w:r w:rsidRPr="00065711">
        <w:t xml:space="preserve"> </w:t>
      </w:r>
      <w:r>
        <w:t>defined</w:t>
      </w:r>
      <w:r w:rsidRPr="00065711">
        <w:t xml:space="preserve"> by assigning </w:t>
      </w:r>
      <w:r>
        <w:t xml:space="preserve">a </w:t>
      </w:r>
      <w:r w:rsidRPr="00065711">
        <w:rPr>
          <w:i/>
          <w:iCs/>
        </w:rPr>
        <w:t>δ</w:t>
      </w:r>
      <w:r>
        <w:rPr>
          <w:vertAlign w:val="superscript"/>
        </w:rPr>
        <w:t>13</w:t>
      </w:r>
      <w:r>
        <w:t>C</w:t>
      </w:r>
      <w:r w:rsidRPr="00065711">
        <w:t xml:space="preserve"> </w:t>
      </w:r>
      <w:r>
        <w:t xml:space="preserve">value </w:t>
      </w:r>
      <w:r w:rsidRPr="00065711">
        <w:t xml:space="preserve">of </w:t>
      </w:r>
      <w:r>
        <w:t>+1.95 </w:t>
      </w:r>
      <w:r w:rsidRPr="00065711">
        <w:t>‰</w:t>
      </w:r>
      <w:r>
        <w:t xml:space="preserve"> </w:t>
      </w:r>
      <w:r w:rsidRPr="00065711">
        <w:t xml:space="preserve">to </w:t>
      </w:r>
      <w:r>
        <w:t>NBS</w:t>
      </w:r>
      <w:r w:rsidR="00037EED">
        <w:t> </w:t>
      </w:r>
      <w:r>
        <w:t>19</w:t>
      </w:r>
      <w:r w:rsidR="00B371E6">
        <w:t> </w:t>
      </w:r>
      <w:r>
        <w:t>(RM 8544) and a consensus value of –46.6 </w:t>
      </w:r>
      <w:r w:rsidRPr="00065711">
        <w:t xml:space="preserve">‰ </w:t>
      </w:r>
      <w:r>
        <w:t>to LSVEC</w:t>
      </w:r>
      <w:r w:rsidR="00B371E6">
        <w:t> </w:t>
      </w:r>
      <w:r>
        <w:t>(RM 8545)</w:t>
      </w:r>
      <w:r w:rsidR="00B371E6">
        <w:t> </w:t>
      </w:r>
      <w:r>
        <w:t>[</w:t>
      </w:r>
      <w:r w:rsidR="00650836">
        <w:t>6</w:t>
      </w:r>
      <w:r>
        <w:t xml:space="preserve">] </w:t>
      </w:r>
      <w:r w:rsidRPr="004621EB">
        <w:t>for the purpose of norma</w:t>
      </w:r>
      <w:r>
        <w:t>liz</w:t>
      </w:r>
      <w:r w:rsidRPr="004621EB">
        <w:t xml:space="preserve">ing stable </w:t>
      </w:r>
      <w:r>
        <w:t>carbon</w:t>
      </w:r>
      <w:r w:rsidRPr="004621EB">
        <w:t xml:space="preserve"> isotop</w:t>
      </w:r>
      <w:r>
        <w:t>ic</w:t>
      </w:r>
      <w:r w:rsidRPr="004621EB">
        <w:t xml:space="preserve"> measurements</w:t>
      </w:r>
      <w:r>
        <w:t xml:space="preserve"> (see </w:t>
      </w:r>
      <w:r w:rsidRPr="00A201A7">
        <w:rPr>
          <w:i/>
        </w:rPr>
        <w:t>Normalization</w:t>
      </w:r>
      <w:r w:rsidR="00B371E6">
        <w:rPr>
          <w:i/>
        </w:rPr>
        <w:t> </w:t>
      </w:r>
      <w:r w:rsidRPr="000642B6">
        <w:t>[</w:t>
      </w:r>
      <w:r w:rsidR="00650836">
        <w:t>5</w:t>
      </w:r>
      <w:r>
        <w:t>,</w:t>
      </w:r>
      <w:r w:rsidR="00650836">
        <w:t>6</w:t>
      </w:r>
      <w:r w:rsidRPr="000642B6">
        <w:t>]</w:t>
      </w:r>
      <w:r>
        <w:t>).  The symbol</w:t>
      </w:r>
      <w:r w:rsidR="00296AD4">
        <w:t> </w:t>
      </w:r>
      <w:r w:rsidRPr="00065711">
        <w:t>‰</w:t>
      </w:r>
      <w:r>
        <w:t xml:space="preserve"> is part per thousand and is equal to</w:t>
      </w:r>
      <w:r w:rsidR="00296AD4">
        <w:t> </w:t>
      </w:r>
      <w:r>
        <w:t>0.001.</w:t>
      </w:r>
    </w:p>
    <w:p w:rsidR="00F54488" w:rsidRDefault="00F54488" w:rsidP="006243A7">
      <w:pPr>
        <w:pStyle w:val="BodyText2"/>
        <w:tabs>
          <w:tab w:val="clear" w:pos="540"/>
          <w:tab w:val="clear" w:pos="1260"/>
          <w:tab w:val="clear" w:pos="1980"/>
          <w:tab w:val="clear" w:pos="2700"/>
          <w:tab w:val="clear" w:pos="3420"/>
          <w:tab w:val="clear" w:pos="4140"/>
          <w:tab w:val="clear" w:pos="4860"/>
          <w:tab w:val="clear" w:pos="5580"/>
          <w:tab w:val="clear" w:pos="6300"/>
          <w:tab w:val="clear" w:pos="7020"/>
          <w:tab w:val="clear" w:pos="7740"/>
          <w:tab w:val="clear" w:pos="8460"/>
        </w:tabs>
      </w:pPr>
    </w:p>
    <w:p w:rsidR="0084718F" w:rsidRDefault="000258AF" w:rsidP="00AC32B9">
      <w:pPr>
        <w:widowControl/>
        <w:tabs>
          <w:tab w:val="left" w:pos="0"/>
          <w:tab w:val="left" w:pos="9360"/>
        </w:tabs>
        <w:spacing w:after="120"/>
        <w:jc w:val="both"/>
        <w:rPr>
          <w:b/>
          <w:color w:val="000000"/>
          <w:sz w:val="20"/>
        </w:rPr>
      </w:pPr>
      <w:r>
        <w:rPr>
          <w:b/>
          <w:color w:val="000000"/>
          <w:sz w:val="20"/>
        </w:rPr>
        <w:t>INSTRUCTIONS FOR STORAGE</w:t>
      </w:r>
      <w:r w:rsidR="00AA63B4" w:rsidRPr="00AA63B4">
        <w:rPr>
          <w:b/>
          <w:color w:val="000000"/>
          <w:sz w:val="20"/>
        </w:rPr>
        <w:t xml:space="preserve"> </w:t>
      </w:r>
      <w:r w:rsidR="00D81765">
        <w:rPr>
          <w:b/>
          <w:color w:val="000000"/>
          <w:sz w:val="20"/>
        </w:rPr>
        <w:t>AND HANDLING</w:t>
      </w:r>
    </w:p>
    <w:p w:rsidR="000258AF" w:rsidRDefault="000258AF" w:rsidP="00AC32B9">
      <w:pPr>
        <w:widowControl/>
        <w:tabs>
          <w:tab w:val="left" w:pos="0"/>
          <w:tab w:val="left" w:pos="9360"/>
        </w:tabs>
        <w:jc w:val="both"/>
        <w:rPr>
          <w:sz w:val="20"/>
        </w:rPr>
      </w:pPr>
      <w:r>
        <w:rPr>
          <w:b/>
          <w:color w:val="000000"/>
          <w:sz w:val="20"/>
        </w:rPr>
        <w:t>Storage</w:t>
      </w:r>
      <w:r w:rsidR="00AA63B4" w:rsidRPr="00AA63B4">
        <w:rPr>
          <w:b/>
          <w:color w:val="000000"/>
          <w:sz w:val="20"/>
        </w:rPr>
        <w:t xml:space="preserve"> and </w:t>
      </w:r>
      <w:r w:rsidR="00AA63B4">
        <w:rPr>
          <w:b/>
          <w:color w:val="000000"/>
          <w:sz w:val="20"/>
        </w:rPr>
        <w:t>Handling</w:t>
      </w:r>
      <w:r>
        <w:rPr>
          <w:b/>
          <w:color w:val="000000"/>
          <w:sz w:val="20"/>
        </w:rPr>
        <w:t>:</w:t>
      </w:r>
      <w:r w:rsidRPr="00A1241B">
        <w:rPr>
          <w:color w:val="000000"/>
          <w:sz w:val="20"/>
        </w:rPr>
        <w:t xml:space="preserve">  </w:t>
      </w:r>
      <w:r>
        <w:rPr>
          <w:sz w:val="20"/>
        </w:rPr>
        <w:t>RM </w:t>
      </w:r>
      <w:r w:rsidR="00686078">
        <w:rPr>
          <w:sz w:val="20"/>
        </w:rPr>
        <w:t>8543</w:t>
      </w:r>
      <w:r>
        <w:rPr>
          <w:sz w:val="20"/>
        </w:rPr>
        <w:t xml:space="preserve"> is stable at normal room temperatures.</w:t>
      </w:r>
      <w:r w:rsidR="00E66FF1">
        <w:rPr>
          <w:sz w:val="20"/>
        </w:rPr>
        <w:t xml:space="preserve">  To minimize the potential for contamination, it is recommended that this RM be stored in the container in which it is supplied.</w:t>
      </w:r>
      <w:bookmarkStart w:id="0" w:name="_GoBack"/>
      <w:bookmarkEnd w:id="0"/>
    </w:p>
    <w:p w:rsidR="00E66FF1" w:rsidRDefault="00E66FF1" w:rsidP="00E66FF1">
      <w:pPr>
        <w:widowControl/>
        <w:tabs>
          <w:tab w:val="left" w:pos="0"/>
          <w:tab w:val="left" w:pos="9360"/>
        </w:tabs>
        <w:jc w:val="both"/>
        <w:rPr>
          <w:b/>
          <w:color w:val="000000"/>
          <w:sz w:val="20"/>
        </w:rPr>
      </w:pPr>
      <w:bookmarkStart w:id="1" w:name="OLE_LINK3"/>
    </w:p>
    <w:p w:rsidR="00E66FF1" w:rsidRDefault="00E66FF1" w:rsidP="00E66FF1">
      <w:pPr>
        <w:widowControl/>
        <w:tabs>
          <w:tab w:val="left" w:pos="0"/>
          <w:tab w:val="left" w:pos="9360"/>
        </w:tabs>
        <w:jc w:val="both"/>
        <w:rPr>
          <w:color w:val="000000"/>
          <w:sz w:val="20"/>
        </w:rPr>
      </w:pPr>
      <w:r>
        <w:rPr>
          <w:b/>
          <w:color w:val="000000"/>
          <w:sz w:val="20"/>
        </w:rPr>
        <w:t>Distribution:</w:t>
      </w:r>
      <w:r w:rsidRPr="00A1241B">
        <w:rPr>
          <w:color w:val="000000"/>
          <w:sz w:val="20"/>
        </w:rPr>
        <w:t xml:space="preserve">  </w:t>
      </w:r>
      <w:r>
        <w:rPr>
          <w:sz w:val="20"/>
        </w:rPr>
        <w:t>The distribution of RM 8543 (</w:t>
      </w:r>
      <w:r>
        <w:rPr>
          <w:color w:val="000000"/>
          <w:sz w:val="20"/>
        </w:rPr>
        <w:t>NBS 18</w:t>
      </w:r>
      <w:r>
        <w:rPr>
          <w:sz w:val="20"/>
        </w:rPr>
        <w:t>) is limited to one unit per customer per three</w:t>
      </w:r>
      <w:r>
        <w:rPr>
          <w:sz w:val="20"/>
        </w:rPr>
        <w:noBreakHyphen/>
        <w:t>year period of time.</w:t>
      </w:r>
    </w:p>
    <w:p w:rsidR="00F54488" w:rsidRPr="006243A7" w:rsidRDefault="00F54488" w:rsidP="006243A7">
      <w:pPr>
        <w:widowControl/>
        <w:tabs>
          <w:tab w:val="left" w:pos="9360"/>
        </w:tabs>
        <w:jc w:val="both"/>
        <w:rPr>
          <w:bCs/>
          <w:snapToGrid/>
          <w:sz w:val="20"/>
        </w:rPr>
      </w:pPr>
    </w:p>
    <w:p w:rsidR="000258AF" w:rsidRPr="00CE2081" w:rsidRDefault="000258AF" w:rsidP="006243A7">
      <w:pPr>
        <w:widowControl/>
        <w:tabs>
          <w:tab w:val="left" w:pos="9360"/>
        </w:tabs>
        <w:jc w:val="both"/>
        <w:rPr>
          <w:b/>
          <w:bCs/>
          <w:snapToGrid/>
          <w:sz w:val="20"/>
        </w:rPr>
      </w:pPr>
      <w:r w:rsidRPr="00CE2081">
        <w:rPr>
          <w:b/>
          <w:bCs/>
          <w:snapToGrid/>
          <w:sz w:val="20"/>
        </w:rPr>
        <w:t>PREP</w:t>
      </w:r>
      <w:r w:rsidR="00AA63B4">
        <w:rPr>
          <w:b/>
          <w:bCs/>
          <w:snapToGrid/>
          <w:sz w:val="20"/>
        </w:rPr>
        <w:t>A</w:t>
      </w:r>
      <w:r w:rsidRPr="00CE2081">
        <w:rPr>
          <w:b/>
          <w:bCs/>
          <w:snapToGrid/>
          <w:sz w:val="20"/>
        </w:rPr>
        <w:t>RATION AND ANALYSIS</w:t>
      </w:r>
    </w:p>
    <w:p w:rsidR="00F54488" w:rsidRPr="006243A7" w:rsidRDefault="00F54488" w:rsidP="006243A7">
      <w:pPr>
        <w:pStyle w:val="BodyText"/>
        <w:widowControl/>
        <w:spacing w:line="230" w:lineRule="auto"/>
        <w:rPr>
          <w:bCs/>
          <w:snapToGrid/>
          <w:sz w:val="20"/>
          <w:lang w:val="de-DE"/>
        </w:rPr>
      </w:pPr>
    </w:p>
    <w:p w:rsidR="000258AF" w:rsidRPr="002642F1" w:rsidRDefault="000258AF" w:rsidP="006243A7">
      <w:pPr>
        <w:pStyle w:val="BodyText"/>
        <w:widowControl/>
        <w:spacing w:line="230" w:lineRule="auto"/>
        <w:rPr>
          <w:snapToGrid/>
          <w:sz w:val="20"/>
          <w:lang w:val="de-DE"/>
        </w:rPr>
      </w:pPr>
      <w:r w:rsidRPr="002642F1">
        <w:rPr>
          <w:b/>
          <w:bCs/>
          <w:snapToGrid/>
          <w:sz w:val="20"/>
          <w:lang w:val="de-DE"/>
        </w:rPr>
        <w:t>Sample Preparation:</w:t>
      </w:r>
      <w:r w:rsidRPr="00A1241B">
        <w:rPr>
          <w:bCs/>
          <w:snapToGrid/>
          <w:sz w:val="20"/>
          <w:lang w:val="de-DE"/>
        </w:rPr>
        <w:t xml:space="preserve">  </w:t>
      </w:r>
      <w:r w:rsidRPr="002642F1">
        <w:rPr>
          <w:snapToGrid/>
          <w:sz w:val="20"/>
          <w:lang w:val="de-DE"/>
        </w:rPr>
        <w:t>RM</w:t>
      </w:r>
      <w:r>
        <w:rPr>
          <w:snapToGrid/>
          <w:sz w:val="20"/>
          <w:lang w:val="de-DE"/>
        </w:rPr>
        <w:t> </w:t>
      </w:r>
      <w:r w:rsidR="00686078">
        <w:rPr>
          <w:snapToGrid/>
          <w:sz w:val="20"/>
          <w:lang w:val="de-DE"/>
        </w:rPr>
        <w:t>8543</w:t>
      </w:r>
      <w:r>
        <w:rPr>
          <w:snapToGrid/>
          <w:sz w:val="20"/>
          <w:lang w:val="de-DE"/>
        </w:rPr>
        <w:t> </w:t>
      </w:r>
      <w:r w:rsidRPr="002642F1">
        <w:rPr>
          <w:snapToGrid/>
          <w:sz w:val="20"/>
          <w:lang w:val="de-DE"/>
        </w:rPr>
        <w:t>(</w:t>
      </w:r>
      <w:r w:rsidR="00686078">
        <w:rPr>
          <w:snapToGrid/>
          <w:sz w:val="20"/>
          <w:lang w:val="de-DE"/>
        </w:rPr>
        <w:t>NBS</w:t>
      </w:r>
      <w:r w:rsidR="00B371E6">
        <w:rPr>
          <w:snapToGrid/>
          <w:sz w:val="20"/>
          <w:lang w:val="de-DE"/>
        </w:rPr>
        <w:t> </w:t>
      </w:r>
      <w:r w:rsidR="00686078">
        <w:rPr>
          <w:snapToGrid/>
          <w:sz w:val="20"/>
          <w:lang w:val="de-DE"/>
        </w:rPr>
        <w:t>18</w:t>
      </w:r>
      <w:r w:rsidRPr="002642F1">
        <w:rPr>
          <w:snapToGrid/>
          <w:sz w:val="20"/>
          <w:lang w:val="de-DE"/>
        </w:rPr>
        <w:t>) was prepared by H.</w:t>
      </w:r>
      <w:r>
        <w:rPr>
          <w:snapToGrid/>
          <w:sz w:val="20"/>
          <w:lang w:val="de-DE"/>
        </w:rPr>
        <w:t> </w:t>
      </w:r>
      <w:r w:rsidRPr="002642F1">
        <w:rPr>
          <w:snapToGrid/>
          <w:sz w:val="20"/>
          <w:lang w:val="de-DE"/>
        </w:rPr>
        <w:t>Gerstenberger and M.</w:t>
      </w:r>
      <w:r>
        <w:rPr>
          <w:snapToGrid/>
          <w:sz w:val="20"/>
          <w:lang w:val="de-DE"/>
        </w:rPr>
        <w:t> </w:t>
      </w:r>
      <w:r w:rsidRPr="002642F1">
        <w:rPr>
          <w:snapToGrid/>
          <w:sz w:val="20"/>
          <w:lang w:val="de-DE"/>
        </w:rPr>
        <w:t>Herrmann, Zentralinstitut f</w:t>
      </w:r>
      <w:r>
        <w:rPr>
          <w:snapToGrid/>
          <w:sz w:val="20"/>
          <w:lang w:val="de-DE"/>
        </w:rPr>
        <w:t>ü</w:t>
      </w:r>
      <w:r w:rsidRPr="002642F1">
        <w:rPr>
          <w:snapToGrid/>
          <w:sz w:val="20"/>
          <w:lang w:val="de-DE"/>
        </w:rPr>
        <w:t xml:space="preserve">r Isotopen und Strahlenforschung, </w:t>
      </w:r>
      <w:r>
        <w:rPr>
          <w:snapToGrid/>
          <w:sz w:val="20"/>
          <w:lang w:val="de-DE"/>
        </w:rPr>
        <w:t>Leipzig</w:t>
      </w:r>
      <w:r w:rsidRPr="002642F1">
        <w:rPr>
          <w:snapToGrid/>
          <w:sz w:val="20"/>
          <w:lang w:val="de-DE"/>
        </w:rPr>
        <w:t>,</w:t>
      </w:r>
      <w:r>
        <w:rPr>
          <w:snapToGrid/>
          <w:sz w:val="20"/>
          <w:lang w:val="de-DE"/>
        </w:rPr>
        <w:t> Germany [</w:t>
      </w:r>
      <w:r w:rsidR="00650836">
        <w:rPr>
          <w:snapToGrid/>
          <w:sz w:val="20"/>
          <w:lang w:val="de-DE"/>
        </w:rPr>
        <w:t>7</w:t>
      </w:r>
      <w:r>
        <w:rPr>
          <w:snapToGrid/>
          <w:sz w:val="20"/>
          <w:lang w:val="de-DE"/>
        </w:rPr>
        <w:t>,</w:t>
      </w:r>
      <w:r w:rsidR="00650836">
        <w:rPr>
          <w:snapToGrid/>
          <w:sz w:val="20"/>
          <w:lang w:val="de-DE"/>
        </w:rPr>
        <w:t>8</w:t>
      </w:r>
      <w:r>
        <w:rPr>
          <w:snapToGrid/>
          <w:sz w:val="20"/>
          <w:lang w:val="de-DE"/>
        </w:rPr>
        <w:t>]</w:t>
      </w:r>
      <w:r w:rsidRPr="002642F1">
        <w:rPr>
          <w:snapToGrid/>
          <w:sz w:val="20"/>
          <w:lang w:val="de-DE"/>
        </w:rPr>
        <w:t>.</w:t>
      </w:r>
    </w:p>
    <w:p w:rsidR="00F54488" w:rsidRPr="006243A7" w:rsidRDefault="00F54488" w:rsidP="006243A7">
      <w:pPr>
        <w:widowControl/>
        <w:autoSpaceDE w:val="0"/>
        <w:autoSpaceDN w:val="0"/>
        <w:adjustRightInd w:val="0"/>
        <w:jc w:val="both"/>
        <w:rPr>
          <w:color w:val="000000"/>
          <w:sz w:val="20"/>
        </w:rPr>
      </w:pPr>
    </w:p>
    <w:p w:rsidR="000258AF" w:rsidRDefault="000258AF" w:rsidP="006243A7">
      <w:pPr>
        <w:widowControl/>
        <w:autoSpaceDE w:val="0"/>
        <w:autoSpaceDN w:val="0"/>
        <w:adjustRightInd w:val="0"/>
        <w:jc w:val="both"/>
        <w:rPr>
          <w:snapToGrid/>
          <w:sz w:val="20"/>
          <w:lang w:val="nl-NL"/>
        </w:rPr>
      </w:pPr>
      <w:r w:rsidRPr="001471DE">
        <w:rPr>
          <w:b/>
          <w:color w:val="000000"/>
          <w:sz w:val="20"/>
        </w:rPr>
        <w:t>Analytical Methods:</w:t>
      </w:r>
      <w:r w:rsidRPr="001471DE">
        <w:rPr>
          <w:bCs/>
          <w:color w:val="000000"/>
          <w:sz w:val="20"/>
        </w:rPr>
        <w:t xml:space="preserve"> </w:t>
      </w:r>
      <w:r>
        <w:rPr>
          <w:bCs/>
          <w:color w:val="000000"/>
          <w:sz w:val="20"/>
        </w:rPr>
        <w:t xml:space="preserve"> </w:t>
      </w:r>
      <w:r w:rsidRPr="00A83889">
        <w:rPr>
          <w:bCs/>
          <w:color w:val="000000"/>
          <w:sz w:val="20"/>
        </w:rPr>
        <w:t xml:space="preserve">The </w:t>
      </w:r>
      <w:r w:rsidRPr="00A83889">
        <w:rPr>
          <w:i/>
          <w:iCs/>
          <w:sz w:val="20"/>
        </w:rPr>
        <w:t>δ</w:t>
      </w:r>
      <w:r w:rsidRPr="00A83889">
        <w:rPr>
          <w:sz w:val="20"/>
          <w:vertAlign w:val="superscript"/>
        </w:rPr>
        <w:t>13</w:t>
      </w:r>
      <w:r w:rsidRPr="00A83889">
        <w:rPr>
          <w:sz w:val="20"/>
        </w:rPr>
        <w:t>C</w:t>
      </w:r>
      <w:r w:rsidRPr="00A83889">
        <w:rPr>
          <w:bCs/>
          <w:color w:val="000000"/>
          <w:sz w:val="20"/>
        </w:rPr>
        <w:t xml:space="preserve"> value</w:t>
      </w:r>
      <w:r>
        <w:rPr>
          <w:bCs/>
          <w:color w:val="000000"/>
          <w:sz w:val="20"/>
        </w:rPr>
        <w:t xml:space="preserve"> and expanded uncertainty reported in </w:t>
      </w:r>
      <w:r w:rsidR="002E5504">
        <w:rPr>
          <w:bCs/>
          <w:color w:val="000000"/>
          <w:sz w:val="20"/>
        </w:rPr>
        <w:t>Table </w:t>
      </w:r>
      <w:r>
        <w:rPr>
          <w:bCs/>
          <w:color w:val="000000"/>
          <w:sz w:val="20"/>
        </w:rPr>
        <w:t>1</w:t>
      </w:r>
      <w:r w:rsidRPr="00A83889">
        <w:rPr>
          <w:bCs/>
          <w:color w:val="000000"/>
          <w:sz w:val="20"/>
        </w:rPr>
        <w:t xml:space="preserve"> </w:t>
      </w:r>
      <w:r>
        <w:rPr>
          <w:snapToGrid/>
          <w:sz w:val="20"/>
        </w:rPr>
        <w:t xml:space="preserve">are taken from results </w:t>
      </w:r>
      <w:r w:rsidRPr="00A83889">
        <w:rPr>
          <w:sz w:val="20"/>
        </w:rPr>
        <w:t>of an inter</w:t>
      </w:r>
      <w:r>
        <w:rPr>
          <w:sz w:val="20"/>
        </w:rPr>
        <w:t>-</w:t>
      </w:r>
      <w:r w:rsidRPr="00A83889">
        <w:rPr>
          <w:sz w:val="20"/>
        </w:rPr>
        <w:t xml:space="preserve">laboratory </w:t>
      </w:r>
      <w:r>
        <w:rPr>
          <w:sz w:val="20"/>
        </w:rPr>
        <w:t>study</w:t>
      </w:r>
      <w:r w:rsidRPr="00A83889">
        <w:rPr>
          <w:sz w:val="20"/>
        </w:rPr>
        <w:t xml:space="preserve"> involving a two point calibration</w:t>
      </w:r>
      <w:r w:rsidR="00B371E6">
        <w:rPr>
          <w:sz w:val="20"/>
        </w:rPr>
        <w:t> </w:t>
      </w:r>
      <w:r>
        <w:rPr>
          <w:sz w:val="20"/>
        </w:rPr>
        <w:t>[4]</w:t>
      </w:r>
      <w:r w:rsidRPr="00A83889">
        <w:rPr>
          <w:sz w:val="20"/>
        </w:rPr>
        <w:t xml:space="preserve">.  </w:t>
      </w:r>
      <w:r>
        <w:rPr>
          <w:sz w:val="20"/>
        </w:rPr>
        <w:t>Results from f</w:t>
      </w:r>
      <w:r w:rsidRPr="00A83889">
        <w:rPr>
          <w:snapToGrid/>
          <w:sz w:val="20"/>
          <w:lang w:val="nl-NL"/>
        </w:rPr>
        <w:t>our expert laboratories (Centrum voor Isotopen Onderzoek, Rijksuniversiteit Groningen, Groningen, Netherlands; Max</w:t>
      </w:r>
      <w:r>
        <w:rPr>
          <w:snapToGrid/>
          <w:sz w:val="20"/>
          <w:lang w:val="nl-NL"/>
        </w:rPr>
        <w:noBreakHyphen/>
      </w:r>
      <w:r w:rsidRPr="00A83889">
        <w:rPr>
          <w:snapToGrid/>
          <w:sz w:val="20"/>
          <w:lang w:val="nl-NL"/>
        </w:rPr>
        <w:t>Planck</w:t>
      </w:r>
      <w:r>
        <w:rPr>
          <w:snapToGrid/>
          <w:sz w:val="20"/>
          <w:lang w:val="nl-NL"/>
        </w:rPr>
        <w:noBreakHyphen/>
      </w:r>
      <w:r w:rsidRPr="00A83889">
        <w:rPr>
          <w:snapToGrid/>
          <w:sz w:val="20"/>
          <w:lang w:val="nl-NL"/>
        </w:rPr>
        <w:t>Institute for Biogeochemistry, Jena, Germany; UFZ</w:t>
      </w:r>
      <w:r w:rsidR="00367916">
        <w:rPr>
          <w:snapToGrid/>
          <w:sz w:val="20"/>
          <w:lang w:val="nl-NL"/>
        </w:rPr>
        <w:t> </w:t>
      </w:r>
      <w:r w:rsidRPr="00A83889">
        <w:rPr>
          <w:snapToGrid/>
          <w:sz w:val="20"/>
          <w:lang w:val="nl-NL"/>
        </w:rPr>
        <w:t>(Umweltforschungszentrum) Leipzig</w:t>
      </w:r>
      <w:r>
        <w:rPr>
          <w:snapToGrid/>
          <w:sz w:val="20"/>
          <w:lang w:val="nl-NL"/>
        </w:rPr>
        <w:noBreakHyphen/>
      </w:r>
      <w:r w:rsidRPr="00A83889">
        <w:rPr>
          <w:snapToGrid/>
          <w:sz w:val="20"/>
          <w:lang w:val="nl-NL"/>
        </w:rPr>
        <w:t>Halle GmbH, Leipzig, Germany; U.S.</w:t>
      </w:r>
      <w:r w:rsidR="00B371E6">
        <w:rPr>
          <w:snapToGrid/>
          <w:sz w:val="20"/>
          <w:lang w:val="nl-NL"/>
        </w:rPr>
        <w:t> </w:t>
      </w:r>
      <w:r w:rsidRPr="00A83889">
        <w:rPr>
          <w:snapToGrid/>
          <w:sz w:val="20"/>
          <w:lang w:val="nl-NL"/>
        </w:rPr>
        <w:t>Geological Survey, Reston,</w:t>
      </w:r>
      <w:r>
        <w:rPr>
          <w:snapToGrid/>
          <w:sz w:val="20"/>
          <w:lang w:val="nl-NL"/>
        </w:rPr>
        <w:t> </w:t>
      </w:r>
      <w:r w:rsidRPr="00A83889">
        <w:rPr>
          <w:snapToGrid/>
          <w:sz w:val="20"/>
          <w:lang w:val="nl-NL"/>
        </w:rPr>
        <w:t>V</w:t>
      </w:r>
      <w:r w:rsidR="00650836">
        <w:rPr>
          <w:snapToGrid/>
          <w:sz w:val="20"/>
          <w:lang w:val="nl-NL"/>
        </w:rPr>
        <w:t>irginia</w:t>
      </w:r>
      <w:r w:rsidRPr="00A83889">
        <w:rPr>
          <w:snapToGrid/>
          <w:sz w:val="20"/>
          <w:lang w:val="nl-NL"/>
        </w:rPr>
        <w:t>,</w:t>
      </w:r>
      <w:r>
        <w:rPr>
          <w:snapToGrid/>
          <w:sz w:val="20"/>
          <w:lang w:val="nl-NL"/>
        </w:rPr>
        <w:t> </w:t>
      </w:r>
      <w:r w:rsidRPr="00A83889">
        <w:rPr>
          <w:snapToGrid/>
          <w:sz w:val="20"/>
          <w:lang w:val="nl-NL"/>
        </w:rPr>
        <w:t xml:space="preserve">USA) </w:t>
      </w:r>
      <w:r>
        <w:rPr>
          <w:snapToGrid/>
          <w:sz w:val="20"/>
          <w:lang w:val="nl-NL"/>
        </w:rPr>
        <w:t>using</w:t>
      </w:r>
      <w:r w:rsidRPr="00A83889">
        <w:rPr>
          <w:snapToGrid/>
          <w:sz w:val="20"/>
          <w:lang w:val="nl-NL"/>
        </w:rPr>
        <w:t xml:space="preserve"> </w:t>
      </w:r>
      <w:r w:rsidRPr="00A83889">
        <w:rPr>
          <w:snapToGrid/>
          <w:sz w:val="20"/>
        </w:rPr>
        <w:t>continuous flow elemental</w:t>
      </w:r>
      <w:r>
        <w:rPr>
          <w:snapToGrid/>
          <w:sz w:val="20"/>
        </w:rPr>
        <w:noBreakHyphen/>
      </w:r>
      <w:r w:rsidRPr="00A83889">
        <w:rPr>
          <w:snapToGrid/>
          <w:sz w:val="20"/>
        </w:rPr>
        <w:t>analyzer isotope</w:t>
      </w:r>
      <w:r>
        <w:rPr>
          <w:snapToGrid/>
          <w:sz w:val="20"/>
        </w:rPr>
        <w:noBreakHyphen/>
      </w:r>
      <w:r w:rsidRPr="00A83889">
        <w:rPr>
          <w:snapToGrid/>
          <w:sz w:val="20"/>
        </w:rPr>
        <w:t xml:space="preserve">ratio mass spectrometry </w:t>
      </w:r>
      <w:r>
        <w:rPr>
          <w:snapToGrid/>
          <w:sz w:val="20"/>
        </w:rPr>
        <w:t>and following</w:t>
      </w:r>
      <w:r w:rsidRPr="00A83889">
        <w:rPr>
          <w:snapToGrid/>
          <w:sz w:val="20"/>
        </w:rPr>
        <w:t xml:space="preserve"> the general method of Qi </w:t>
      </w:r>
      <w:r w:rsidRPr="00A34025">
        <w:rPr>
          <w:i/>
          <w:iCs/>
          <w:snapToGrid/>
          <w:sz w:val="20"/>
        </w:rPr>
        <w:t>et al</w:t>
      </w:r>
      <w:r w:rsidRPr="00A34025">
        <w:rPr>
          <w:i/>
          <w:snapToGrid/>
          <w:sz w:val="20"/>
        </w:rPr>
        <w:t>.</w:t>
      </w:r>
      <w:r>
        <w:rPr>
          <w:snapToGrid/>
          <w:sz w:val="20"/>
        </w:rPr>
        <w:t> </w:t>
      </w:r>
      <w:r w:rsidRPr="00A83889">
        <w:rPr>
          <w:snapToGrid/>
          <w:sz w:val="20"/>
          <w:lang w:val="nl-NL"/>
        </w:rPr>
        <w:t>[</w:t>
      </w:r>
      <w:r w:rsidR="00650836">
        <w:rPr>
          <w:snapToGrid/>
          <w:sz w:val="20"/>
          <w:lang w:val="nl-NL"/>
        </w:rPr>
        <w:t>9</w:t>
      </w:r>
      <w:r w:rsidRPr="00A83889">
        <w:rPr>
          <w:snapToGrid/>
          <w:sz w:val="20"/>
          <w:lang w:val="nl-NL"/>
        </w:rPr>
        <w:t>]</w:t>
      </w:r>
      <w:r>
        <w:rPr>
          <w:snapToGrid/>
          <w:sz w:val="20"/>
          <w:lang w:val="nl-NL"/>
        </w:rPr>
        <w:t xml:space="preserve"> were combined using a</w:t>
      </w:r>
      <w:r w:rsidRPr="00A83889">
        <w:rPr>
          <w:snapToGrid/>
          <w:sz w:val="20"/>
          <w:lang w:val="nl-NL"/>
        </w:rPr>
        <w:t xml:space="preserve"> multivariate Bayesian approach for data reduction</w:t>
      </w:r>
      <w:r w:rsidR="00B371E6">
        <w:rPr>
          <w:snapToGrid/>
          <w:sz w:val="20"/>
          <w:lang w:val="nl-NL"/>
        </w:rPr>
        <w:t> </w:t>
      </w:r>
      <w:r w:rsidRPr="00A83889">
        <w:rPr>
          <w:snapToGrid/>
          <w:sz w:val="20"/>
          <w:lang w:val="nl-NL"/>
        </w:rPr>
        <w:t>[</w:t>
      </w:r>
      <w:r>
        <w:rPr>
          <w:snapToGrid/>
          <w:sz w:val="20"/>
          <w:lang w:val="nl-NL"/>
        </w:rPr>
        <w:t>4</w:t>
      </w:r>
      <w:r w:rsidRPr="00A83889">
        <w:rPr>
          <w:snapToGrid/>
          <w:sz w:val="20"/>
          <w:lang w:val="nl-NL"/>
        </w:rPr>
        <w:t>].</w:t>
      </w:r>
    </w:p>
    <w:p w:rsidR="00F54488" w:rsidRDefault="00F54488" w:rsidP="006243A7">
      <w:pPr>
        <w:widowControl/>
        <w:autoSpaceDE w:val="0"/>
        <w:autoSpaceDN w:val="0"/>
        <w:adjustRightInd w:val="0"/>
        <w:jc w:val="both"/>
        <w:rPr>
          <w:bCs/>
          <w:color w:val="000000"/>
          <w:sz w:val="20"/>
        </w:rPr>
      </w:pPr>
    </w:p>
    <w:p w:rsidR="000258AF" w:rsidRPr="00F35DAC" w:rsidRDefault="000258AF" w:rsidP="006243A7">
      <w:pPr>
        <w:widowControl/>
        <w:autoSpaceDE w:val="0"/>
        <w:autoSpaceDN w:val="0"/>
        <w:adjustRightInd w:val="0"/>
        <w:jc w:val="both"/>
        <w:rPr>
          <w:snapToGrid/>
          <w:sz w:val="20"/>
        </w:rPr>
      </w:pPr>
      <w:r w:rsidRPr="00F35DAC">
        <w:rPr>
          <w:bCs/>
          <w:color w:val="000000"/>
          <w:sz w:val="20"/>
        </w:rPr>
        <w:t xml:space="preserve">The </w:t>
      </w:r>
      <w:r w:rsidRPr="00F35DAC">
        <w:rPr>
          <w:i/>
          <w:iCs/>
          <w:sz w:val="20"/>
        </w:rPr>
        <w:t>δ</w:t>
      </w:r>
      <w:r w:rsidRPr="00F35DAC">
        <w:rPr>
          <w:sz w:val="20"/>
          <w:vertAlign w:val="superscript"/>
        </w:rPr>
        <w:t>13</w:t>
      </w:r>
      <w:r w:rsidRPr="00F35DAC">
        <w:rPr>
          <w:sz w:val="20"/>
        </w:rPr>
        <w:t>C</w:t>
      </w:r>
      <w:r w:rsidRPr="00F35DAC">
        <w:rPr>
          <w:snapToGrid/>
          <w:sz w:val="20"/>
        </w:rPr>
        <w:t xml:space="preserve"> </w:t>
      </w:r>
      <w:bookmarkStart w:id="2" w:name="OLE_LINK7"/>
      <w:r w:rsidRPr="00F35DAC">
        <w:rPr>
          <w:snapToGrid/>
          <w:sz w:val="20"/>
        </w:rPr>
        <w:t xml:space="preserve">value </w:t>
      </w:r>
      <w:bookmarkEnd w:id="2"/>
      <w:r w:rsidRPr="00F35DAC">
        <w:rPr>
          <w:snapToGrid/>
          <w:sz w:val="20"/>
        </w:rPr>
        <w:t>and expanded uncertaint</w:t>
      </w:r>
      <w:r w:rsidR="00686078">
        <w:rPr>
          <w:snapToGrid/>
          <w:sz w:val="20"/>
        </w:rPr>
        <w:t>y</w:t>
      </w:r>
      <w:r w:rsidRPr="00F35DAC">
        <w:rPr>
          <w:snapToGrid/>
          <w:sz w:val="20"/>
        </w:rPr>
        <w:t xml:space="preserve"> reported in Table 1 for </w:t>
      </w:r>
      <w:r w:rsidRPr="00F35DAC">
        <w:rPr>
          <w:sz w:val="20"/>
        </w:rPr>
        <w:t>RM </w:t>
      </w:r>
      <w:r w:rsidR="00686078">
        <w:rPr>
          <w:sz w:val="20"/>
        </w:rPr>
        <w:t>8543</w:t>
      </w:r>
      <w:r w:rsidR="00944889">
        <w:rPr>
          <w:sz w:val="20"/>
        </w:rPr>
        <w:t> </w:t>
      </w:r>
      <w:r w:rsidRPr="00F35DAC">
        <w:rPr>
          <w:sz w:val="20"/>
        </w:rPr>
        <w:t>(</w:t>
      </w:r>
      <w:r w:rsidR="00686078">
        <w:rPr>
          <w:color w:val="000000"/>
          <w:sz w:val="20"/>
        </w:rPr>
        <w:t>NBS</w:t>
      </w:r>
      <w:r w:rsidR="00B371E6">
        <w:rPr>
          <w:color w:val="000000"/>
          <w:sz w:val="20"/>
        </w:rPr>
        <w:t> </w:t>
      </w:r>
      <w:r w:rsidR="00686078">
        <w:rPr>
          <w:color w:val="000000"/>
          <w:sz w:val="20"/>
        </w:rPr>
        <w:t>18</w:t>
      </w:r>
      <w:r w:rsidRPr="00F35DAC">
        <w:rPr>
          <w:sz w:val="20"/>
        </w:rPr>
        <w:t xml:space="preserve">) </w:t>
      </w:r>
      <w:r w:rsidR="00686078">
        <w:rPr>
          <w:snapToGrid/>
          <w:sz w:val="20"/>
        </w:rPr>
        <w:t>is</w:t>
      </w:r>
      <w:r w:rsidRPr="00F35DAC">
        <w:rPr>
          <w:snapToGrid/>
          <w:sz w:val="20"/>
        </w:rPr>
        <w:t xml:space="preserve"> the value accepted by the Commission on Isotopic Abundances and Atomic Weights</w:t>
      </w:r>
      <w:r w:rsidR="00427E85" w:rsidRPr="00427E85">
        <w:rPr>
          <w:snapToGrid/>
          <w:sz w:val="20"/>
        </w:rPr>
        <w:t> </w:t>
      </w:r>
      <w:r w:rsidR="00427E85" w:rsidRPr="006243A7">
        <w:rPr>
          <w:bCs/>
          <w:snapToGrid/>
          <w:sz w:val="20"/>
        </w:rPr>
        <w:t>(CIAAW)</w:t>
      </w:r>
      <w:r w:rsidRPr="00427E85">
        <w:rPr>
          <w:snapToGrid/>
          <w:sz w:val="20"/>
        </w:rPr>
        <w:t xml:space="preserve"> </w:t>
      </w:r>
      <w:r w:rsidRPr="00F35DAC">
        <w:rPr>
          <w:snapToGrid/>
          <w:sz w:val="20"/>
        </w:rPr>
        <w:t>of the International Union of Pure and Applied Chemistry</w:t>
      </w:r>
      <w:r w:rsidR="00944889">
        <w:rPr>
          <w:snapToGrid/>
          <w:sz w:val="20"/>
        </w:rPr>
        <w:t> </w:t>
      </w:r>
      <w:r w:rsidRPr="00F35DAC">
        <w:rPr>
          <w:snapToGrid/>
          <w:sz w:val="20"/>
        </w:rPr>
        <w:t>(IUPAC) (</w:t>
      </w:r>
      <w:hyperlink r:id="rId12" w:history="1">
        <w:r w:rsidRPr="00F35DAC">
          <w:rPr>
            <w:snapToGrid/>
            <w:color w:val="000000"/>
            <w:sz w:val="20"/>
          </w:rPr>
          <w:t>http://ciaaw.org/Carbon.htm</w:t>
        </w:r>
      </w:hyperlink>
      <w:r w:rsidRPr="00F35DAC">
        <w:rPr>
          <w:snapToGrid/>
          <w:sz w:val="20"/>
        </w:rPr>
        <w:t xml:space="preserve">) for this RM as of the date of this </w:t>
      </w:r>
      <w:r w:rsidR="00E66FF1">
        <w:rPr>
          <w:snapToGrid/>
          <w:sz w:val="20"/>
        </w:rPr>
        <w:t>r</w:t>
      </w:r>
      <w:r w:rsidRPr="00F35DAC">
        <w:rPr>
          <w:snapToGrid/>
          <w:sz w:val="20"/>
        </w:rPr>
        <w:t>eport.</w:t>
      </w:r>
    </w:p>
    <w:p w:rsidR="00F54488" w:rsidRPr="006243A7" w:rsidRDefault="00F54488" w:rsidP="006243A7">
      <w:pPr>
        <w:widowControl/>
        <w:autoSpaceDE w:val="0"/>
        <w:autoSpaceDN w:val="0"/>
        <w:adjustRightInd w:val="0"/>
        <w:jc w:val="both"/>
        <w:rPr>
          <w:color w:val="000000"/>
          <w:sz w:val="20"/>
        </w:rPr>
      </w:pPr>
    </w:p>
    <w:p w:rsidR="000258AF" w:rsidRPr="00F35DAC" w:rsidRDefault="000258AF" w:rsidP="006243A7">
      <w:pPr>
        <w:widowControl/>
        <w:autoSpaceDE w:val="0"/>
        <w:autoSpaceDN w:val="0"/>
        <w:adjustRightInd w:val="0"/>
        <w:jc w:val="both"/>
        <w:rPr>
          <w:sz w:val="20"/>
        </w:rPr>
      </w:pPr>
      <w:r w:rsidRPr="00F35DAC">
        <w:rPr>
          <w:b/>
          <w:color w:val="000000"/>
          <w:sz w:val="20"/>
        </w:rPr>
        <w:t>Isotopic Homogeneity</w:t>
      </w:r>
      <w:r w:rsidRPr="00F35DAC">
        <w:rPr>
          <w:color w:val="000000"/>
          <w:sz w:val="20"/>
        </w:rPr>
        <w:t xml:space="preserve">:  Data from the inter-laboratory comparisons of </w:t>
      </w:r>
      <w:r w:rsidR="00686078">
        <w:rPr>
          <w:color w:val="000000"/>
          <w:sz w:val="20"/>
        </w:rPr>
        <w:t>NBS</w:t>
      </w:r>
      <w:r w:rsidR="00944889">
        <w:rPr>
          <w:color w:val="000000"/>
          <w:sz w:val="20"/>
        </w:rPr>
        <w:t> </w:t>
      </w:r>
      <w:r w:rsidR="00686078">
        <w:rPr>
          <w:color w:val="000000"/>
          <w:sz w:val="20"/>
        </w:rPr>
        <w:t>18</w:t>
      </w:r>
      <w:r w:rsidRPr="00F35DAC">
        <w:rPr>
          <w:color w:val="000000"/>
          <w:sz w:val="20"/>
        </w:rPr>
        <w:t xml:space="preserve"> suggest that </w:t>
      </w:r>
      <w:r w:rsidR="00037EED">
        <w:rPr>
          <w:color w:val="000000"/>
          <w:sz w:val="20"/>
        </w:rPr>
        <w:t xml:space="preserve">there may be </w:t>
      </w:r>
      <w:r w:rsidRPr="00F35DAC">
        <w:rPr>
          <w:sz w:val="20"/>
        </w:rPr>
        <w:t>carbon isotopic heterogeneity</w:t>
      </w:r>
      <w:r w:rsidR="00037EED">
        <w:rPr>
          <w:sz w:val="20"/>
        </w:rPr>
        <w:t xml:space="preserve"> at the grain to grain level</w:t>
      </w:r>
      <w:r w:rsidRPr="00F35DAC">
        <w:rPr>
          <w:sz w:val="20"/>
        </w:rPr>
        <w:t>.</w:t>
      </w:r>
    </w:p>
    <w:p w:rsidR="00F54488" w:rsidRPr="006243A7" w:rsidRDefault="00F54488" w:rsidP="006243A7">
      <w:pPr>
        <w:widowControl/>
        <w:autoSpaceDE w:val="0"/>
        <w:autoSpaceDN w:val="0"/>
        <w:adjustRightInd w:val="0"/>
        <w:jc w:val="both"/>
        <w:rPr>
          <w:bCs/>
          <w:snapToGrid/>
          <w:sz w:val="20"/>
        </w:rPr>
      </w:pPr>
    </w:p>
    <w:p w:rsidR="000258AF" w:rsidRPr="00F35DAC" w:rsidRDefault="000258AF" w:rsidP="006243A7">
      <w:pPr>
        <w:widowControl/>
        <w:autoSpaceDE w:val="0"/>
        <w:autoSpaceDN w:val="0"/>
        <w:adjustRightInd w:val="0"/>
        <w:jc w:val="both"/>
        <w:rPr>
          <w:snapToGrid/>
          <w:sz w:val="20"/>
        </w:rPr>
      </w:pPr>
      <w:r w:rsidRPr="00F35DAC">
        <w:rPr>
          <w:b/>
          <w:bCs/>
          <w:snapToGrid/>
          <w:sz w:val="20"/>
        </w:rPr>
        <w:t>Normalization:</w:t>
      </w:r>
      <w:r w:rsidRPr="00F35DAC">
        <w:rPr>
          <w:bCs/>
          <w:snapToGrid/>
          <w:sz w:val="20"/>
        </w:rPr>
        <w:t xml:space="preserve">  </w:t>
      </w:r>
      <w:r w:rsidRPr="00F35DAC">
        <w:rPr>
          <w:snapToGrid/>
          <w:sz w:val="20"/>
        </w:rPr>
        <w:t xml:space="preserve">The </w:t>
      </w:r>
      <w:r w:rsidRPr="00F35DAC">
        <w:rPr>
          <w:i/>
          <w:iCs/>
          <w:sz w:val="20"/>
        </w:rPr>
        <w:t>δ</w:t>
      </w:r>
      <w:r w:rsidRPr="00F35DAC">
        <w:rPr>
          <w:sz w:val="20"/>
          <w:vertAlign w:val="superscript"/>
        </w:rPr>
        <w:t>13</w:t>
      </w:r>
      <w:r w:rsidRPr="00F35DAC">
        <w:rPr>
          <w:sz w:val="20"/>
        </w:rPr>
        <w:t>C</w:t>
      </w:r>
      <w:r w:rsidRPr="00F35DAC">
        <w:rPr>
          <w:snapToGrid/>
          <w:sz w:val="20"/>
        </w:rPr>
        <w:t xml:space="preserve"> values in samples should be normalized to the V</w:t>
      </w:r>
      <w:r w:rsidR="00650836">
        <w:rPr>
          <w:snapToGrid/>
          <w:sz w:val="20"/>
        </w:rPr>
        <w:t>PTB</w:t>
      </w:r>
      <w:r w:rsidR="00944889">
        <w:rPr>
          <w:snapToGrid/>
          <w:sz w:val="20"/>
        </w:rPr>
        <w:noBreakHyphen/>
      </w:r>
      <w:r w:rsidRPr="00F35DAC">
        <w:rPr>
          <w:snapToGrid/>
          <w:sz w:val="20"/>
        </w:rPr>
        <w:t xml:space="preserve">LSVEC </w:t>
      </w:r>
      <w:r w:rsidRPr="00F35DAC">
        <w:rPr>
          <w:i/>
          <w:snapToGrid/>
          <w:sz w:val="20"/>
        </w:rPr>
        <w:t>δ</w:t>
      </w:r>
      <w:r w:rsidRPr="00F35DAC">
        <w:rPr>
          <w:i/>
          <w:snapToGrid/>
          <w:sz w:val="20"/>
        </w:rPr>
        <w:noBreakHyphen/>
      </w:r>
      <w:r w:rsidRPr="00F35DAC">
        <w:rPr>
          <w:snapToGrid/>
          <w:sz w:val="20"/>
        </w:rPr>
        <w:t xml:space="preserve">scale by calibrating the measurement with respect to the </w:t>
      </w:r>
      <w:r w:rsidRPr="00F35DAC">
        <w:rPr>
          <w:i/>
          <w:iCs/>
          <w:snapToGrid/>
          <w:sz w:val="20"/>
        </w:rPr>
        <w:t>δ</w:t>
      </w:r>
      <w:r w:rsidRPr="00F35DAC">
        <w:rPr>
          <w:i/>
          <w:iCs/>
          <w:snapToGrid/>
          <w:sz w:val="20"/>
        </w:rPr>
        <w:noBreakHyphen/>
      </w:r>
      <w:r w:rsidRPr="00F35DAC">
        <w:rPr>
          <w:snapToGrid/>
          <w:sz w:val="20"/>
        </w:rPr>
        <w:t xml:space="preserve">value for NBS 19 (RM 8544) and the </w:t>
      </w:r>
      <w:r w:rsidRPr="00F35DAC">
        <w:rPr>
          <w:i/>
          <w:iCs/>
          <w:snapToGrid/>
          <w:sz w:val="20"/>
        </w:rPr>
        <w:t>δ</w:t>
      </w:r>
      <w:r w:rsidRPr="00F35DAC">
        <w:rPr>
          <w:i/>
          <w:iCs/>
          <w:snapToGrid/>
          <w:sz w:val="20"/>
        </w:rPr>
        <w:noBreakHyphen/>
      </w:r>
      <w:r w:rsidRPr="00F35DAC">
        <w:rPr>
          <w:snapToGrid/>
          <w:sz w:val="20"/>
        </w:rPr>
        <w:t xml:space="preserve">value for LSVEC (RM 8545), the </w:t>
      </w:r>
      <w:r w:rsidRPr="00F35DAC">
        <w:rPr>
          <w:color w:val="000000"/>
          <w:sz w:val="20"/>
          <w:vertAlign w:val="superscript"/>
        </w:rPr>
        <w:t>13</w:t>
      </w:r>
      <w:r w:rsidRPr="00F35DAC">
        <w:rPr>
          <w:color w:val="000000"/>
          <w:sz w:val="20"/>
        </w:rPr>
        <w:t>C</w:t>
      </w:r>
      <w:r w:rsidRPr="00F35DAC">
        <w:rPr>
          <w:color w:val="000000"/>
          <w:sz w:val="20"/>
        </w:rPr>
        <w:noBreakHyphen/>
        <w:t>depleted</w:t>
      </w:r>
      <w:r w:rsidRPr="00F35DAC">
        <w:rPr>
          <w:snapToGrid/>
          <w:sz w:val="20"/>
        </w:rPr>
        <w:t xml:space="preserve"> anchor RM</w:t>
      </w:r>
      <w:r w:rsidR="00367916">
        <w:rPr>
          <w:snapToGrid/>
          <w:sz w:val="20"/>
        </w:rPr>
        <w:t> </w:t>
      </w:r>
      <w:r w:rsidRPr="00F35DAC">
        <w:rPr>
          <w:snapToGrid/>
          <w:sz w:val="20"/>
        </w:rPr>
        <w:t>[</w:t>
      </w:r>
      <w:r w:rsidR="00650836">
        <w:rPr>
          <w:snapToGrid/>
          <w:sz w:val="20"/>
        </w:rPr>
        <w:t>5</w:t>
      </w:r>
      <w:r w:rsidRPr="00F35DAC">
        <w:rPr>
          <w:snapToGrid/>
          <w:sz w:val="20"/>
        </w:rPr>
        <w:t>,</w:t>
      </w:r>
      <w:r w:rsidR="00650836">
        <w:rPr>
          <w:snapToGrid/>
          <w:sz w:val="20"/>
        </w:rPr>
        <w:t>6</w:t>
      </w:r>
      <w:r w:rsidRPr="00F35DAC">
        <w:rPr>
          <w:snapToGrid/>
          <w:sz w:val="20"/>
        </w:rPr>
        <w:t xml:space="preserve">].  A general formula for normalizing measured carbon isotope number ratios using two laboratory standards </w:t>
      </w:r>
      <w:r w:rsidRPr="00037EED">
        <w:rPr>
          <w:snapToGrid/>
          <w:sz w:val="20"/>
        </w:rPr>
        <w:t>LS1</w:t>
      </w:r>
      <w:r w:rsidRPr="00F35DAC">
        <w:rPr>
          <w:snapToGrid/>
          <w:sz w:val="20"/>
        </w:rPr>
        <w:t xml:space="preserve"> (NBS 19) and </w:t>
      </w:r>
      <w:r w:rsidRPr="00037EED">
        <w:rPr>
          <w:snapToGrid/>
          <w:sz w:val="20"/>
        </w:rPr>
        <w:t>LS2</w:t>
      </w:r>
      <w:r w:rsidRPr="00F35DAC">
        <w:rPr>
          <w:snapToGrid/>
          <w:sz w:val="20"/>
        </w:rPr>
        <w:t xml:space="preserve"> (LSVEC) can be expressed as: </w:t>
      </w:r>
    </w:p>
    <w:p w:rsidR="000258AF" w:rsidRPr="00F35DAC" w:rsidRDefault="000258AF">
      <w:pPr>
        <w:widowControl/>
        <w:autoSpaceDE w:val="0"/>
        <w:autoSpaceDN w:val="0"/>
        <w:adjustRightInd w:val="0"/>
        <w:jc w:val="both"/>
        <w:rPr>
          <w:snapToGrid/>
          <w:sz w:val="18"/>
          <w:szCs w:val="18"/>
        </w:rPr>
      </w:pPr>
    </w:p>
    <w:p w:rsidR="000258AF" w:rsidRPr="00F35DAC" w:rsidRDefault="00037EED" w:rsidP="006243A7">
      <w:pPr>
        <w:widowControl/>
        <w:tabs>
          <w:tab w:val="right" w:pos="9360"/>
        </w:tabs>
        <w:autoSpaceDE w:val="0"/>
        <w:autoSpaceDN w:val="0"/>
        <w:adjustRightInd w:val="0"/>
        <w:ind w:firstLine="2160"/>
        <w:rPr>
          <w:snapToGrid/>
          <w:sz w:val="20"/>
        </w:rPr>
      </w:pPr>
      <w:r w:rsidRPr="00F35DAC">
        <w:rPr>
          <w:snapToGrid/>
          <w:position w:val="-14"/>
          <w:sz w:val="20"/>
        </w:rPr>
        <w:object w:dxaOrig="5160" w:dyaOrig="400">
          <v:shape id="_x0000_i1027" type="#_x0000_t75" style="width:257.9pt;height:20.4pt" o:ole="">
            <v:imagedata r:id="rId13" o:title=""/>
          </v:shape>
          <o:OLEObject Type="Embed" ProgID="Equation.3" ShapeID="_x0000_i1027" DrawAspect="Content" ObjectID="_1427018842" r:id="rId14"/>
        </w:object>
      </w:r>
      <w:r w:rsidR="000258AF" w:rsidRPr="00F35DAC">
        <w:rPr>
          <w:snapToGrid/>
          <w:sz w:val="20"/>
        </w:rPr>
        <w:tab/>
        <w:t>(</w:t>
      </w:r>
      <w:r w:rsidR="002E5504">
        <w:rPr>
          <w:snapToGrid/>
          <w:sz w:val="20"/>
        </w:rPr>
        <w:t>2</w:t>
      </w:r>
      <w:r w:rsidR="000258AF" w:rsidRPr="00F35DAC">
        <w:rPr>
          <w:snapToGrid/>
          <w:sz w:val="20"/>
        </w:rPr>
        <w:t>)</w:t>
      </w:r>
    </w:p>
    <w:p w:rsidR="000258AF" w:rsidRPr="002A74F3" w:rsidRDefault="000258AF">
      <w:pPr>
        <w:widowControl/>
        <w:autoSpaceDE w:val="0"/>
        <w:autoSpaceDN w:val="0"/>
        <w:adjustRightInd w:val="0"/>
        <w:rPr>
          <w:snapToGrid/>
          <w:sz w:val="18"/>
          <w:szCs w:val="18"/>
        </w:rPr>
      </w:pPr>
    </w:p>
    <w:p w:rsidR="000258AF" w:rsidRPr="00F35DAC" w:rsidRDefault="000258AF">
      <w:pPr>
        <w:widowControl/>
        <w:autoSpaceDE w:val="0"/>
        <w:autoSpaceDN w:val="0"/>
        <w:adjustRightInd w:val="0"/>
        <w:jc w:val="both"/>
        <w:rPr>
          <w:snapToGrid/>
          <w:sz w:val="20"/>
        </w:rPr>
      </w:pPr>
      <w:r w:rsidRPr="00F35DAC">
        <w:rPr>
          <w:snapToGrid/>
          <w:sz w:val="20"/>
        </w:rPr>
        <w:t xml:space="preserve">where the normalization factor </w:t>
      </w:r>
      <w:r w:rsidRPr="00F35DAC">
        <w:rPr>
          <w:i/>
          <w:iCs/>
          <w:snapToGrid/>
          <w:sz w:val="20"/>
        </w:rPr>
        <w:t xml:space="preserve">f </w:t>
      </w:r>
      <w:r w:rsidRPr="00F35DAC">
        <w:rPr>
          <w:snapToGrid/>
          <w:sz w:val="20"/>
        </w:rPr>
        <w:t>is:</w:t>
      </w:r>
    </w:p>
    <w:p w:rsidR="000258AF" w:rsidRPr="002A74F3" w:rsidRDefault="000258AF">
      <w:pPr>
        <w:widowControl/>
        <w:autoSpaceDE w:val="0"/>
        <w:autoSpaceDN w:val="0"/>
        <w:adjustRightInd w:val="0"/>
        <w:jc w:val="both"/>
        <w:rPr>
          <w:snapToGrid/>
          <w:sz w:val="18"/>
          <w:szCs w:val="18"/>
        </w:rPr>
      </w:pPr>
    </w:p>
    <w:p w:rsidR="000258AF" w:rsidRPr="00F35DAC" w:rsidRDefault="00037EED" w:rsidP="006243A7">
      <w:pPr>
        <w:widowControl/>
        <w:tabs>
          <w:tab w:val="right" w:pos="9360"/>
        </w:tabs>
        <w:autoSpaceDE w:val="0"/>
        <w:autoSpaceDN w:val="0"/>
        <w:adjustRightInd w:val="0"/>
        <w:ind w:firstLine="2160"/>
        <w:rPr>
          <w:snapToGrid/>
          <w:sz w:val="20"/>
        </w:rPr>
      </w:pPr>
      <w:r w:rsidRPr="00F35DAC">
        <w:rPr>
          <w:snapToGrid/>
          <w:position w:val="-28"/>
          <w:sz w:val="20"/>
        </w:rPr>
        <w:object w:dxaOrig="4840" w:dyaOrig="680">
          <v:shape id="_x0000_i1028" type="#_x0000_t75" style="width:241.8pt;height:33.85pt" o:ole="">
            <v:imagedata r:id="rId15" o:title=""/>
          </v:shape>
          <o:OLEObject Type="Embed" ProgID="Equation.3" ShapeID="_x0000_i1028" DrawAspect="Content" ObjectID="_1427018843" r:id="rId16"/>
        </w:object>
      </w:r>
      <w:r w:rsidR="000258AF" w:rsidRPr="00F35DAC">
        <w:rPr>
          <w:snapToGrid/>
          <w:sz w:val="20"/>
        </w:rPr>
        <w:tab/>
        <w:t>(</w:t>
      </w:r>
      <w:r w:rsidR="002E5504">
        <w:rPr>
          <w:snapToGrid/>
          <w:sz w:val="20"/>
        </w:rPr>
        <w:t>3</w:t>
      </w:r>
      <w:r w:rsidR="000258AF" w:rsidRPr="00F35DAC">
        <w:rPr>
          <w:snapToGrid/>
          <w:sz w:val="20"/>
        </w:rPr>
        <w:t>)</w:t>
      </w:r>
    </w:p>
    <w:p w:rsidR="000258AF" w:rsidRDefault="000258AF">
      <w:pPr>
        <w:widowControl/>
        <w:autoSpaceDE w:val="0"/>
        <w:autoSpaceDN w:val="0"/>
        <w:adjustRightInd w:val="0"/>
        <w:spacing w:before="120"/>
        <w:jc w:val="both"/>
        <w:rPr>
          <w:snapToGrid/>
          <w:sz w:val="20"/>
        </w:rPr>
      </w:pPr>
      <w:r w:rsidRPr="00243EED">
        <w:rPr>
          <w:b/>
          <w:snapToGrid/>
          <w:sz w:val="20"/>
        </w:rPr>
        <w:t>Note</w:t>
      </w:r>
      <w:r w:rsidRPr="00243EED">
        <w:rPr>
          <w:snapToGrid/>
          <w:sz w:val="20"/>
        </w:rPr>
        <w:t xml:space="preserve">:  </w:t>
      </w:r>
      <w:r w:rsidR="00290A15">
        <w:rPr>
          <w:snapToGrid/>
          <w:sz w:val="20"/>
        </w:rPr>
        <w:t xml:space="preserve">In the above formulas, </w:t>
      </w:r>
      <w:r w:rsidRPr="00243EED">
        <w:rPr>
          <w:snapToGrid/>
          <w:sz w:val="20"/>
        </w:rPr>
        <w:t>cal</w:t>
      </w:r>
      <w:r w:rsidRPr="00243EED">
        <w:rPr>
          <w:i/>
          <w:snapToGrid/>
          <w:sz w:val="20"/>
        </w:rPr>
        <w:t xml:space="preserve"> </w:t>
      </w:r>
      <w:r w:rsidRPr="00243EED">
        <w:rPr>
          <w:snapToGrid/>
          <w:sz w:val="20"/>
        </w:rPr>
        <w:t xml:space="preserve">denotes calibrated measurements made versus the VPDB scale, and </w:t>
      </w:r>
      <w:r w:rsidRPr="00243EED">
        <w:rPr>
          <w:i/>
          <w:iCs/>
          <w:snapToGrid/>
          <w:sz w:val="20"/>
        </w:rPr>
        <w:t>δ</w:t>
      </w:r>
      <w:r w:rsidRPr="00243EED">
        <w:rPr>
          <w:iCs/>
          <w:snapToGrid/>
          <w:sz w:val="20"/>
          <w:vertAlign w:val="superscript"/>
        </w:rPr>
        <w:t>13</w:t>
      </w:r>
      <w:r w:rsidRPr="00243EED">
        <w:rPr>
          <w:snapToGrid/>
          <w:sz w:val="20"/>
        </w:rPr>
        <w:t>C</w:t>
      </w:r>
      <w:r w:rsidRPr="00243EED">
        <w:rPr>
          <w:snapToGrid/>
          <w:sz w:val="20"/>
          <w:vertAlign w:val="subscript"/>
        </w:rPr>
        <w:t xml:space="preserve"> LS1,cal </w:t>
      </w:r>
      <w:r w:rsidRPr="00243EED">
        <w:rPr>
          <w:snapToGrid/>
          <w:sz w:val="20"/>
        </w:rPr>
        <w:t xml:space="preserve">and </w:t>
      </w:r>
      <w:r w:rsidRPr="00243EED">
        <w:rPr>
          <w:i/>
          <w:iCs/>
          <w:snapToGrid/>
          <w:sz w:val="20"/>
        </w:rPr>
        <w:t>δ</w:t>
      </w:r>
      <w:r w:rsidRPr="00243EED">
        <w:rPr>
          <w:iCs/>
          <w:snapToGrid/>
          <w:sz w:val="20"/>
          <w:vertAlign w:val="superscript"/>
        </w:rPr>
        <w:t>13</w:t>
      </w:r>
      <w:r w:rsidRPr="00243EED">
        <w:rPr>
          <w:snapToGrid/>
          <w:sz w:val="20"/>
        </w:rPr>
        <w:t>C</w:t>
      </w:r>
      <w:r w:rsidRPr="00243EED">
        <w:rPr>
          <w:i/>
          <w:snapToGrid/>
          <w:sz w:val="20"/>
          <w:vertAlign w:val="subscript"/>
        </w:rPr>
        <w:t xml:space="preserve"> </w:t>
      </w:r>
      <w:r w:rsidRPr="00243EED">
        <w:rPr>
          <w:snapToGrid/>
          <w:sz w:val="20"/>
          <w:vertAlign w:val="subscript"/>
        </w:rPr>
        <w:t>LS2,cal</w:t>
      </w:r>
      <w:r w:rsidRPr="00243EED">
        <w:rPr>
          <w:i/>
          <w:snapToGrid/>
          <w:sz w:val="20"/>
          <w:vertAlign w:val="subscript"/>
        </w:rPr>
        <w:t xml:space="preserve"> </w:t>
      </w:r>
      <w:r w:rsidRPr="00243EED">
        <w:rPr>
          <w:snapToGrid/>
          <w:sz w:val="20"/>
        </w:rPr>
        <w:t xml:space="preserve">are the conventionally fixed </w:t>
      </w:r>
      <w:r w:rsidRPr="00243EED">
        <w:rPr>
          <w:i/>
          <w:iCs/>
          <w:snapToGrid/>
          <w:sz w:val="20"/>
        </w:rPr>
        <w:t>δ</w:t>
      </w:r>
      <w:r w:rsidRPr="00243EED">
        <w:rPr>
          <w:iCs/>
          <w:snapToGrid/>
          <w:sz w:val="20"/>
          <w:vertAlign w:val="superscript"/>
        </w:rPr>
        <w:t>13</w:t>
      </w:r>
      <w:r w:rsidRPr="00243EED">
        <w:rPr>
          <w:snapToGrid/>
          <w:sz w:val="20"/>
        </w:rPr>
        <w:t xml:space="preserve">C values for NBS 19 and LSVEC.  WS denotes measurements made versus a transfer gas (working standard), </w:t>
      </w:r>
      <w:r w:rsidRPr="00243EED">
        <w:rPr>
          <w:i/>
          <w:iCs/>
          <w:snapToGrid/>
          <w:sz w:val="20"/>
        </w:rPr>
        <w:t>δ</w:t>
      </w:r>
      <w:r w:rsidRPr="00243EED">
        <w:rPr>
          <w:iCs/>
          <w:snapToGrid/>
          <w:sz w:val="20"/>
          <w:vertAlign w:val="superscript"/>
        </w:rPr>
        <w:t>13</w:t>
      </w:r>
      <w:r w:rsidRPr="00243EED">
        <w:rPr>
          <w:snapToGrid/>
          <w:sz w:val="20"/>
        </w:rPr>
        <w:t>C</w:t>
      </w:r>
      <w:r w:rsidR="00037EED" w:rsidRPr="00243EED">
        <w:rPr>
          <w:snapToGrid/>
          <w:sz w:val="20"/>
          <w:vertAlign w:val="subscript"/>
        </w:rPr>
        <w:t xml:space="preserve"> </w:t>
      </w:r>
      <w:r w:rsidRPr="00243EED">
        <w:rPr>
          <w:snapToGrid/>
          <w:sz w:val="20"/>
          <w:vertAlign w:val="subscript"/>
        </w:rPr>
        <w:t>LS1</w:t>
      </w:r>
      <w:proofErr w:type="gramStart"/>
      <w:r w:rsidRPr="00243EED">
        <w:rPr>
          <w:snapToGrid/>
          <w:sz w:val="20"/>
          <w:vertAlign w:val="subscript"/>
        </w:rPr>
        <w:t>,WS</w:t>
      </w:r>
      <w:proofErr w:type="gramEnd"/>
      <w:r w:rsidR="00E66FF1" w:rsidRPr="00AC32B9">
        <w:rPr>
          <w:snapToGrid/>
          <w:sz w:val="20"/>
        </w:rPr>
        <w:t>,</w:t>
      </w:r>
      <w:r w:rsidR="00E66FF1">
        <w:rPr>
          <w:snapToGrid/>
          <w:sz w:val="20"/>
          <w:vertAlign w:val="subscript"/>
        </w:rPr>
        <w:t xml:space="preserve"> </w:t>
      </w:r>
      <w:r w:rsidRPr="00243EED">
        <w:rPr>
          <w:snapToGrid/>
          <w:sz w:val="20"/>
        </w:rPr>
        <w:t xml:space="preserve">and </w:t>
      </w:r>
      <w:r w:rsidRPr="00243EED">
        <w:rPr>
          <w:i/>
          <w:iCs/>
          <w:snapToGrid/>
          <w:sz w:val="20"/>
        </w:rPr>
        <w:t>δ</w:t>
      </w:r>
      <w:r w:rsidRPr="00243EED">
        <w:rPr>
          <w:iCs/>
          <w:snapToGrid/>
          <w:sz w:val="20"/>
          <w:vertAlign w:val="superscript"/>
        </w:rPr>
        <w:t>13</w:t>
      </w:r>
      <w:r w:rsidRPr="00243EED">
        <w:rPr>
          <w:snapToGrid/>
          <w:sz w:val="20"/>
        </w:rPr>
        <w:t>C</w:t>
      </w:r>
      <w:r w:rsidR="00037EED" w:rsidRPr="00243EED">
        <w:rPr>
          <w:snapToGrid/>
          <w:sz w:val="20"/>
        </w:rPr>
        <w:t xml:space="preserve"> </w:t>
      </w:r>
      <w:r w:rsidRPr="00243EED">
        <w:rPr>
          <w:snapToGrid/>
          <w:sz w:val="20"/>
          <w:vertAlign w:val="subscript"/>
        </w:rPr>
        <w:t xml:space="preserve">LS2,WS </w:t>
      </w:r>
      <w:r w:rsidRPr="00243EED">
        <w:rPr>
          <w:snapToGrid/>
          <w:sz w:val="20"/>
        </w:rPr>
        <w:t xml:space="preserve">are the </w:t>
      </w:r>
      <w:r w:rsidRPr="00243EED">
        <w:rPr>
          <w:i/>
          <w:iCs/>
          <w:snapToGrid/>
          <w:sz w:val="20"/>
        </w:rPr>
        <w:t>δ</w:t>
      </w:r>
      <w:r w:rsidRPr="00243EED">
        <w:rPr>
          <w:iCs/>
          <w:snapToGrid/>
          <w:sz w:val="20"/>
          <w:vertAlign w:val="superscript"/>
        </w:rPr>
        <w:t>13</w:t>
      </w:r>
      <w:r w:rsidRPr="00243EED">
        <w:rPr>
          <w:snapToGrid/>
          <w:sz w:val="20"/>
        </w:rPr>
        <w:t>C values for calibrated laboratory working standards.</w:t>
      </w:r>
    </w:p>
    <w:p w:rsidR="00F54488" w:rsidRPr="00243EED" w:rsidRDefault="00F54488" w:rsidP="006243A7">
      <w:pPr>
        <w:widowControl/>
        <w:autoSpaceDE w:val="0"/>
        <w:autoSpaceDN w:val="0"/>
        <w:adjustRightInd w:val="0"/>
        <w:jc w:val="both"/>
        <w:rPr>
          <w:snapToGrid/>
          <w:sz w:val="20"/>
        </w:rPr>
      </w:pPr>
    </w:p>
    <w:p w:rsidR="000258AF" w:rsidRPr="00F35DAC" w:rsidRDefault="000258AF" w:rsidP="006243A7">
      <w:pPr>
        <w:widowControl/>
        <w:autoSpaceDE w:val="0"/>
        <w:autoSpaceDN w:val="0"/>
        <w:adjustRightInd w:val="0"/>
        <w:jc w:val="both"/>
        <w:rPr>
          <w:snapToGrid/>
          <w:sz w:val="20"/>
        </w:rPr>
      </w:pPr>
      <w:r w:rsidRPr="00243EED">
        <w:rPr>
          <w:b/>
          <w:bCs/>
          <w:snapToGrid/>
          <w:sz w:val="20"/>
        </w:rPr>
        <w:t xml:space="preserve">Reporting of Stable </w:t>
      </w:r>
      <w:r w:rsidR="00037EED" w:rsidRPr="00243EED">
        <w:rPr>
          <w:b/>
          <w:bCs/>
          <w:snapToGrid/>
          <w:sz w:val="20"/>
        </w:rPr>
        <w:t xml:space="preserve">Carbon </w:t>
      </w:r>
      <w:r w:rsidRPr="00243EED">
        <w:rPr>
          <w:b/>
          <w:bCs/>
          <w:snapToGrid/>
          <w:sz w:val="20"/>
        </w:rPr>
        <w:t xml:space="preserve">Isotope </w:t>
      </w:r>
      <w:r w:rsidRPr="00243EED">
        <w:rPr>
          <w:b/>
          <w:bCs/>
          <w:i/>
          <w:snapToGrid/>
          <w:sz w:val="20"/>
        </w:rPr>
        <w:t xml:space="preserve">δ </w:t>
      </w:r>
      <w:r w:rsidRPr="00243EED">
        <w:rPr>
          <w:b/>
          <w:bCs/>
          <w:snapToGrid/>
          <w:sz w:val="20"/>
        </w:rPr>
        <w:t>values:</w:t>
      </w:r>
      <w:r w:rsidRPr="00243EED">
        <w:rPr>
          <w:bCs/>
          <w:snapToGrid/>
          <w:sz w:val="20"/>
        </w:rPr>
        <w:t xml:space="preserve">  </w:t>
      </w:r>
      <w:r w:rsidRPr="00243EED">
        <w:rPr>
          <w:snapToGrid/>
          <w:sz w:val="20"/>
        </w:rPr>
        <w:t xml:space="preserve">The following recommendations from IUPAC are provided for reporting </w:t>
      </w:r>
      <w:r w:rsidRPr="00243EED">
        <w:rPr>
          <w:i/>
          <w:iCs/>
          <w:sz w:val="20"/>
        </w:rPr>
        <w:t>δ</w:t>
      </w:r>
      <w:r w:rsidRPr="00243EED">
        <w:rPr>
          <w:sz w:val="20"/>
          <w:vertAlign w:val="superscript"/>
        </w:rPr>
        <w:t>13</w:t>
      </w:r>
      <w:r w:rsidRPr="00243EED">
        <w:rPr>
          <w:sz w:val="20"/>
        </w:rPr>
        <w:t>C</w:t>
      </w:r>
      <w:r w:rsidRPr="00243EED">
        <w:rPr>
          <w:snapToGrid/>
          <w:sz w:val="20"/>
        </w:rPr>
        <w:t xml:space="preserve"> values [</w:t>
      </w:r>
      <w:r w:rsidR="00650836" w:rsidRPr="00243EED">
        <w:rPr>
          <w:snapToGrid/>
          <w:sz w:val="20"/>
        </w:rPr>
        <w:t>5,6,10</w:t>
      </w:r>
      <w:r w:rsidRPr="00243EED">
        <w:rPr>
          <w:snapToGrid/>
          <w:sz w:val="20"/>
        </w:rPr>
        <w:t>].  It is recommended that</w:t>
      </w:r>
      <w:r w:rsidRPr="00F35DAC">
        <w:rPr>
          <w:snapToGrid/>
          <w:sz w:val="20"/>
        </w:rPr>
        <w:t>:</w:t>
      </w:r>
    </w:p>
    <w:p w:rsidR="000258AF" w:rsidRPr="00F35DAC" w:rsidRDefault="000258AF">
      <w:pPr>
        <w:widowControl/>
        <w:numPr>
          <w:ilvl w:val="0"/>
          <w:numId w:val="2"/>
        </w:numPr>
        <w:autoSpaceDE w:val="0"/>
        <w:autoSpaceDN w:val="0"/>
        <w:adjustRightInd w:val="0"/>
        <w:spacing w:before="120"/>
        <w:jc w:val="both"/>
        <w:rPr>
          <w:snapToGrid/>
          <w:sz w:val="20"/>
        </w:rPr>
      </w:pPr>
      <w:r w:rsidRPr="00F35DAC">
        <w:rPr>
          <w:i/>
          <w:iCs/>
          <w:snapToGrid/>
          <w:sz w:val="20"/>
        </w:rPr>
        <w:t>δ</w:t>
      </w:r>
      <w:r w:rsidRPr="00F35DAC">
        <w:rPr>
          <w:iCs/>
          <w:snapToGrid/>
          <w:sz w:val="20"/>
          <w:vertAlign w:val="superscript"/>
        </w:rPr>
        <w:t>13</w:t>
      </w:r>
      <w:r w:rsidRPr="00F35DAC">
        <w:rPr>
          <w:snapToGrid/>
          <w:sz w:val="20"/>
        </w:rPr>
        <w:t xml:space="preserve">C values of all carbon-bearing substances be measured and expressed relative to VPDB on a normalized scale where LSVEC has a consensus value of –46.6 ‰ and NBS 19 has a value of +1.95 ‰; </w:t>
      </w:r>
    </w:p>
    <w:p w:rsidR="00686078" w:rsidRDefault="000258AF">
      <w:pPr>
        <w:widowControl/>
        <w:numPr>
          <w:ilvl w:val="0"/>
          <w:numId w:val="2"/>
        </w:numPr>
        <w:autoSpaceDE w:val="0"/>
        <w:autoSpaceDN w:val="0"/>
        <w:adjustRightInd w:val="0"/>
        <w:jc w:val="both"/>
        <w:rPr>
          <w:snapToGrid/>
          <w:sz w:val="20"/>
        </w:rPr>
      </w:pPr>
      <w:r w:rsidRPr="00686078">
        <w:rPr>
          <w:snapToGrid/>
          <w:sz w:val="20"/>
        </w:rPr>
        <w:t xml:space="preserve">Authors should clearly state that their data have been normalized. </w:t>
      </w:r>
    </w:p>
    <w:p w:rsidR="000258AF" w:rsidRDefault="000258AF">
      <w:pPr>
        <w:widowControl/>
        <w:autoSpaceDE w:val="0"/>
        <w:autoSpaceDN w:val="0"/>
        <w:adjustRightInd w:val="0"/>
        <w:spacing w:before="120"/>
        <w:jc w:val="both"/>
        <w:rPr>
          <w:sz w:val="20"/>
        </w:rPr>
      </w:pPr>
      <w:r w:rsidRPr="00686078">
        <w:rPr>
          <w:snapToGrid/>
          <w:sz w:val="20"/>
        </w:rPr>
        <w:lastRenderedPageBreak/>
        <w:t>In addition, researchers are encouraged to report the isotopic compositions of RM 85</w:t>
      </w:r>
      <w:r w:rsidR="00686078" w:rsidRPr="00686078">
        <w:rPr>
          <w:snapToGrid/>
          <w:sz w:val="20"/>
        </w:rPr>
        <w:t>43</w:t>
      </w:r>
      <w:r w:rsidRPr="00686078">
        <w:rPr>
          <w:snapToGrid/>
          <w:sz w:val="20"/>
        </w:rPr>
        <w:t> (</w:t>
      </w:r>
      <w:r w:rsidR="00427E85" w:rsidRPr="00686078">
        <w:rPr>
          <w:snapToGrid/>
          <w:sz w:val="20"/>
        </w:rPr>
        <w:t>NBS</w:t>
      </w:r>
      <w:r w:rsidR="00427E85">
        <w:rPr>
          <w:snapToGrid/>
          <w:sz w:val="20"/>
        </w:rPr>
        <w:t> </w:t>
      </w:r>
      <w:r w:rsidR="00686078" w:rsidRPr="00686078">
        <w:rPr>
          <w:snapToGrid/>
          <w:sz w:val="20"/>
        </w:rPr>
        <w:t>18</w:t>
      </w:r>
      <w:r w:rsidRPr="00686078">
        <w:rPr>
          <w:snapToGrid/>
          <w:sz w:val="20"/>
        </w:rPr>
        <w:t>) and other internationally distributed carbon isotopic reference materials</w:t>
      </w:r>
      <w:r w:rsidR="00944889">
        <w:rPr>
          <w:snapToGrid/>
          <w:sz w:val="20"/>
        </w:rPr>
        <w:t> </w:t>
      </w:r>
      <w:r w:rsidRPr="00686078">
        <w:rPr>
          <w:snapToGrid/>
          <w:sz w:val="20"/>
        </w:rPr>
        <w:t>[1</w:t>
      </w:r>
      <w:r w:rsidR="00F4753A">
        <w:rPr>
          <w:snapToGrid/>
          <w:sz w:val="20"/>
        </w:rPr>
        <w:t>1</w:t>
      </w:r>
      <w:r w:rsidRPr="00686078">
        <w:rPr>
          <w:snapToGrid/>
          <w:sz w:val="20"/>
        </w:rPr>
        <w:t xml:space="preserve">] in their publications, </w:t>
      </w:r>
      <w:r w:rsidR="00037EED" w:rsidRPr="00F35DAC">
        <w:rPr>
          <w:snapToGrid/>
          <w:sz w:val="20"/>
        </w:rPr>
        <w:t xml:space="preserve">as appropriate to the method, </w:t>
      </w:r>
      <w:r w:rsidR="00037EED">
        <w:rPr>
          <w:sz w:val="20"/>
        </w:rPr>
        <w:t>as though they have been interspersed among unknowns.</w:t>
      </w:r>
    </w:p>
    <w:p w:rsidR="00F54488" w:rsidRPr="00686078" w:rsidRDefault="00F54488" w:rsidP="006243A7">
      <w:pPr>
        <w:widowControl/>
        <w:autoSpaceDE w:val="0"/>
        <w:autoSpaceDN w:val="0"/>
        <w:adjustRightInd w:val="0"/>
        <w:jc w:val="both"/>
        <w:rPr>
          <w:snapToGrid/>
          <w:sz w:val="20"/>
        </w:rPr>
      </w:pPr>
    </w:p>
    <w:p w:rsidR="000258AF" w:rsidRDefault="000258AF" w:rsidP="006243A7">
      <w:pPr>
        <w:widowControl/>
        <w:autoSpaceDE w:val="0"/>
        <w:autoSpaceDN w:val="0"/>
        <w:adjustRightInd w:val="0"/>
        <w:jc w:val="both"/>
        <w:rPr>
          <w:snapToGrid/>
          <w:sz w:val="20"/>
        </w:rPr>
      </w:pPr>
      <w:r w:rsidRPr="00F35DAC">
        <w:rPr>
          <w:snapToGrid/>
          <w:sz w:val="20"/>
        </w:rPr>
        <w:t>Current Reports of Investigation</w:t>
      </w:r>
      <w:r w:rsidR="00944889">
        <w:rPr>
          <w:snapToGrid/>
          <w:sz w:val="20"/>
        </w:rPr>
        <w:t> </w:t>
      </w:r>
      <w:r w:rsidRPr="00F35DAC">
        <w:rPr>
          <w:snapToGrid/>
          <w:sz w:val="20"/>
        </w:rPr>
        <w:t xml:space="preserve">(ROI) for all light stable isotopic Reference Materials mentioned in this report are available on the </w:t>
      </w:r>
      <w:r w:rsidR="00E66FF1">
        <w:rPr>
          <w:snapToGrid/>
          <w:sz w:val="20"/>
        </w:rPr>
        <w:t>NIST Standard Reference Materials w</w:t>
      </w:r>
      <w:r w:rsidRPr="00F35DAC">
        <w:rPr>
          <w:snapToGrid/>
          <w:sz w:val="20"/>
        </w:rPr>
        <w:t>eb</w:t>
      </w:r>
      <w:r w:rsidR="00F54488">
        <w:rPr>
          <w:snapToGrid/>
          <w:sz w:val="20"/>
        </w:rPr>
        <w:t xml:space="preserve"> site</w:t>
      </w:r>
      <w:r w:rsidR="00944889">
        <w:rPr>
          <w:snapToGrid/>
          <w:sz w:val="20"/>
        </w:rPr>
        <w:t> </w:t>
      </w:r>
      <w:r w:rsidRPr="00F35DAC">
        <w:rPr>
          <w:snapToGrid/>
          <w:sz w:val="20"/>
        </w:rPr>
        <w:t>[1</w:t>
      </w:r>
      <w:r w:rsidR="00F4753A">
        <w:rPr>
          <w:snapToGrid/>
          <w:sz w:val="20"/>
        </w:rPr>
        <w:t>2</w:t>
      </w:r>
      <w:r w:rsidRPr="00F35DAC">
        <w:rPr>
          <w:snapToGrid/>
          <w:sz w:val="20"/>
        </w:rPr>
        <w:t>].</w:t>
      </w:r>
    </w:p>
    <w:p w:rsidR="00F54488" w:rsidRDefault="00F54488" w:rsidP="006243A7">
      <w:pPr>
        <w:widowControl/>
        <w:autoSpaceDE w:val="0"/>
        <w:autoSpaceDN w:val="0"/>
        <w:adjustRightInd w:val="0"/>
        <w:jc w:val="both"/>
        <w:rPr>
          <w:snapToGrid/>
          <w:sz w:val="20"/>
        </w:rPr>
      </w:pPr>
    </w:p>
    <w:p w:rsidR="007E3DDA" w:rsidRPr="00F35DAC" w:rsidRDefault="007E3DDA" w:rsidP="006243A7">
      <w:pPr>
        <w:widowControl/>
        <w:autoSpaceDE w:val="0"/>
        <w:autoSpaceDN w:val="0"/>
        <w:adjustRightInd w:val="0"/>
        <w:jc w:val="both"/>
        <w:rPr>
          <w:snapToGrid/>
          <w:sz w:val="20"/>
        </w:rPr>
      </w:pPr>
    </w:p>
    <w:p w:rsidR="000258AF" w:rsidRDefault="000258AF">
      <w:pPr>
        <w:widowControl/>
        <w:jc w:val="center"/>
        <w:rPr>
          <w:color w:val="000000"/>
          <w:sz w:val="20"/>
        </w:rPr>
      </w:pPr>
      <w:r w:rsidRPr="00A1241B">
        <w:rPr>
          <w:color w:val="000000"/>
          <w:sz w:val="20"/>
        </w:rPr>
        <w:t>REFERENCES</w:t>
      </w:r>
    </w:p>
    <w:p w:rsidR="002743B0" w:rsidRPr="00AA63B4" w:rsidRDefault="002743B0" w:rsidP="006243A7">
      <w:pPr>
        <w:widowControl/>
        <w:rPr>
          <w:color w:val="000000"/>
          <w:sz w:val="20"/>
        </w:rPr>
      </w:pPr>
    </w:p>
    <w:p w:rsidR="000258AF" w:rsidRPr="00AA63B4" w:rsidRDefault="000258AF" w:rsidP="00F54488">
      <w:pPr>
        <w:pStyle w:val="ListParagraph"/>
        <w:widowControl/>
        <w:numPr>
          <w:ilvl w:val="0"/>
          <w:numId w:val="3"/>
        </w:numPr>
        <w:tabs>
          <w:tab w:val="clear" w:pos="450"/>
          <w:tab w:val="left" w:pos="540"/>
        </w:tabs>
        <w:spacing w:after="60"/>
        <w:ind w:left="540" w:hanging="540"/>
        <w:jc w:val="both"/>
        <w:rPr>
          <w:color w:val="000000"/>
          <w:sz w:val="20"/>
        </w:rPr>
      </w:pPr>
      <w:r w:rsidRPr="00AA63B4">
        <w:rPr>
          <w:sz w:val="20"/>
        </w:rPr>
        <w:t xml:space="preserve">Coplen,  T.B.; </w:t>
      </w:r>
      <w:r w:rsidRPr="00AA63B4">
        <w:rPr>
          <w:i/>
          <w:sz w:val="20"/>
        </w:rPr>
        <w:t xml:space="preserve">Guidelines and </w:t>
      </w:r>
      <w:r w:rsidR="002743B0" w:rsidRPr="00AA63B4">
        <w:rPr>
          <w:i/>
          <w:sz w:val="20"/>
        </w:rPr>
        <w:t>R</w:t>
      </w:r>
      <w:r w:rsidRPr="00AA63B4">
        <w:rPr>
          <w:i/>
          <w:sz w:val="20"/>
        </w:rPr>
        <w:t xml:space="preserve">ecommended </w:t>
      </w:r>
      <w:r w:rsidR="002743B0" w:rsidRPr="00AA63B4">
        <w:rPr>
          <w:i/>
          <w:sz w:val="20"/>
        </w:rPr>
        <w:t>T</w:t>
      </w:r>
      <w:r w:rsidRPr="00AA63B4">
        <w:rPr>
          <w:i/>
          <w:sz w:val="20"/>
        </w:rPr>
        <w:t xml:space="preserve">erms for </w:t>
      </w:r>
      <w:r w:rsidR="00BB7C6C">
        <w:rPr>
          <w:i/>
          <w:sz w:val="20"/>
        </w:rPr>
        <w:t>Expression of Stable</w:t>
      </w:r>
      <w:r w:rsidR="00BB7C6C">
        <w:rPr>
          <w:i/>
          <w:sz w:val="20"/>
        </w:rPr>
        <w:noBreakHyphen/>
        <w:t>Isotope</w:t>
      </w:r>
      <w:r w:rsidR="00BB7C6C">
        <w:rPr>
          <w:i/>
          <w:sz w:val="20"/>
        </w:rPr>
        <w:noBreakHyphen/>
        <w:t>Ratio and Gas</w:t>
      </w:r>
      <w:r w:rsidR="00BB7C6C">
        <w:rPr>
          <w:i/>
          <w:sz w:val="20"/>
        </w:rPr>
        <w:noBreakHyphen/>
        <w:t>Ratio Measurement Results</w:t>
      </w:r>
      <w:r w:rsidR="00BB7C6C">
        <w:rPr>
          <w:sz w:val="20"/>
        </w:rPr>
        <w:t xml:space="preserve">, Rapid Commun. Mass </w:t>
      </w:r>
      <w:proofErr w:type="gramStart"/>
      <w:r w:rsidR="00BB7C6C">
        <w:rPr>
          <w:sz w:val="20"/>
        </w:rPr>
        <w:t>Spectrom.,</w:t>
      </w:r>
      <w:proofErr w:type="gramEnd"/>
      <w:r w:rsidR="00BB7C6C">
        <w:rPr>
          <w:sz w:val="20"/>
        </w:rPr>
        <w:t xml:space="preserve"> Vol. 25, pp. 2538–2560 (2011); </w:t>
      </w:r>
      <w:r w:rsidR="00BB7C6C">
        <w:rPr>
          <w:snapToGrid/>
          <w:sz w:val="20"/>
        </w:rPr>
        <w:t xml:space="preserve">available at </w:t>
      </w:r>
      <w:hyperlink r:id="rId17" w:history="1">
        <w:r w:rsidR="00BB7C6C">
          <w:rPr>
            <w:rStyle w:val="Hyperlink"/>
            <w:color w:val="auto"/>
            <w:sz w:val="20"/>
            <w:u w:val="none"/>
          </w:rPr>
          <w:t>http://onlinelibrary.wiley.com/doi/10.1002/rcm.5129/pdf</w:t>
        </w:r>
      </w:hyperlink>
      <w:r w:rsidRPr="00AA63B4">
        <w:rPr>
          <w:color w:val="000000"/>
          <w:sz w:val="20"/>
        </w:rPr>
        <w:t xml:space="preserve"> </w:t>
      </w:r>
      <w:r w:rsidRPr="00AA63B4">
        <w:rPr>
          <w:snapToGrid/>
          <w:sz w:val="20"/>
        </w:rPr>
        <w:t xml:space="preserve">(accessed </w:t>
      </w:r>
      <w:r w:rsidR="002027A8" w:rsidRPr="00AA63B4">
        <w:rPr>
          <w:snapToGrid/>
          <w:sz w:val="20"/>
        </w:rPr>
        <w:t>Mar </w:t>
      </w:r>
      <w:r w:rsidRPr="00AA63B4">
        <w:rPr>
          <w:snapToGrid/>
          <w:sz w:val="20"/>
        </w:rPr>
        <w:t>201</w:t>
      </w:r>
      <w:r w:rsidR="002743B0" w:rsidRPr="00AA63B4">
        <w:rPr>
          <w:snapToGrid/>
          <w:sz w:val="20"/>
        </w:rPr>
        <w:t>3</w:t>
      </w:r>
      <w:r w:rsidRPr="00AA63B4">
        <w:rPr>
          <w:snapToGrid/>
          <w:sz w:val="20"/>
        </w:rPr>
        <w:t>).</w:t>
      </w:r>
    </w:p>
    <w:p w:rsidR="000258AF" w:rsidRPr="00AA63B4" w:rsidRDefault="000258AF" w:rsidP="00F54488">
      <w:pPr>
        <w:pStyle w:val="ListParagraph"/>
        <w:widowControl/>
        <w:numPr>
          <w:ilvl w:val="0"/>
          <w:numId w:val="3"/>
        </w:numPr>
        <w:tabs>
          <w:tab w:val="clear" w:pos="450"/>
          <w:tab w:val="left" w:pos="540"/>
        </w:tabs>
        <w:spacing w:after="60"/>
        <w:ind w:left="540" w:hanging="540"/>
        <w:jc w:val="both"/>
        <w:rPr>
          <w:color w:val="000000"/>
          <w:sz w:val="20"/>
        </w:rPr>
      </w:pPr>
      <w:bookmarkStart w:id="3" w:name="OLE_LINK5"/>
      <w:r w:rsidRPr="00AA63B4">
        <w:rPr>
          <w:sz w:val="20"/>
        </w:rPr>
        <w:t xml:space="preserve">May, W.E.; Parris, R.M.; </w:t>
      </w:r>
      <w:r w:rsidR="002027A8" w:rsidRPr="00AA63B4">
        <w:rPr>
          <w:sz w:val="20"/>
        </w:rPr>
        <w:t>Beck </w:t>
      </w:r>
      <w:r w:rsidRPr="00AA63B4">
        <w:rPr>
          <w:sz w:val="20"/>
        </w:rPr>
        <w:t xml:space="preserve">II, C.M.; Fassett, J.D.; Greenberg, R.R.; Guenther, F.R.; Kramer, G.W.; Wise, S.A.; Gills, T.E.; Colbert, J.C.; Gettings, R.J.; MacDonald, B.S.; </w:t>
      </w:r>
      <w:r w:rsidR="00BB7C6C" w:rsidRPr="00AC32B9">
        <w:rPr>
          <w:i/>
          <w:sz w:val="20"/>
        </w:rPr>
        <w:t>Definitions of Terms and Modes Used at NIST for Value</w:t>
      </w:r>
      <w:r w:rsidR="00BB7C6C" w:rsidRPr="00AC32B9">
        <w:rPr>
          <w:i/>
          <w:sz w:val="20"/>
        </w:rPr>
        <w:noBreakHyphen/>
        <w:t>Assignment of Reference Materials for Chemical Measurements</w:t>
      </w:r>
      <w:r w:rsidR="00BB7C6C" w:rsidRPr="00AC32B9">
        <w:rPr>
          <w:sz w:val="20"/>
        </w:rPr>
        <w:t>; NIST Spec. Pub. 260</w:t>
      </w:r>
      <w:r w:rsidR="00BB7C6C" w:rsidRPr="00AC32B9">
        <w:rPr>
          <w:sz w:val="20"/>
        </w:rPr>
        <w:noBreakHyphen/>
        <w:t xml:space="preserve">136; U.S. Government Printing Office:  Washington, DC, (2000), </w:t>
      </w:r>
      <w:r w:rsidR="00BB7C6C" w:rsidRPr="00AC32B9">
        <w:rPr>
          <w:kern w:val="2"/>
          <w:sz w:val="20"/>
        </w:rPr>
        <w:t xml:space="preserve">available at </w:t>
      </w:r>
      <w:hyperlink r:id="rId18" w:history="1">
        <w:r w:rsidR="00BB7C6C">
          <w:rPr>
            <w:rStyle w:val="Hyperlink"/>
            <w:color w:val="auto"/>
            <w:kern w:val="2"/>
            <w:sz w:val="20"/>
            <w:u w:val="none"/>
          </w:rPr>
          <w:t>http://www.nist.gov/srm/publications.cfm</w:t>
        </w:r>
      </w:hyperlink>
      <w:r w:rsidRPr="00AA63B4">
        <w:rPr>
          <w:kern w:val="2"/>
          <w:sz w:val="20"/>
        </w:rPr>
        <w:t xml:space="preserve"> (accessed </w:t>
      </w:r>
      <w:r w:rsidR="002027A8" w:rsidRPr="00AA63B4">
        <w:rPr>
          <w:kern w:val="2"/>
          <w:sz w:val="20"/>
        </w:rPr>
        <w:t>Mar</w:t>
      </w:r>
      <w:r w:rsidRPr="00AA63B4">
        <w:rPr>
          <w:kern w:val="2"/>
          <w:sz w:val="20"/>
        </w:rPr>
        <w:t> 201</w:t>
      </w:r>
      <w:r w:rsidR="002743B0" w:rsidRPr="00AA63B4">
        <w:rPr>
          <w:kern w:val="2"/>
          <w:sz w:val="20"/>
        </w:rPr>
        <w:t>3</w:t>
      </w:r>
      <w:r w:rsidRPr="00AA63B4">
        <w:rPr>
          <w:kern w:val="2"/>
          <w:sz w:val="20"/>
        </w:rPr>
        <w:t>)</w:t>
      </w:r>
      <w:r w:rsidRPr="00AA63B4">
        <w:rPr>
          <w:sz w:val="20"/>
        </w:rPr>
        <w:t>.</w:t>
      </w:r>
    </w:p>
    <w:bookmarkEnd w:id="3"/>
    <w:p w:rsidR="0084718F" w:rsidRDefault="00D163A4" w:rsidP="00AC32B9">
      <w:pPr>
        <w:pStyle w:val="ListParagraph"/>
        <w:widowControl/>
        <w:numPr>
          <w:ilvl w:val="0"/>
          <w:numId w:val="3"/>
        </w:numPr>
        <w:tabs>
          <w:tab w:val="clear" w:pos="450"/>
          <w:tab w:val="left" w:pos="540"/>
          <w:tab w:val="num" w:pos="1440"/>
        </w:tabs>
        <w:autoSpaceDE w:val="0"/>
        <w:autoSpaceDN w:val="0"/>
        <w:adjustRightInd w:val="0"/>
        <w:ind w:left="540" w:hanging="540"/>
        <w:jc w:val="both"/>
        <w:rPr>
          <w:color w:val="000000" w:themeColor="text1"/>
          <w:sz w:val="20"/>
        </w:rPr>
      </w:pPr>
      <w:r w:rsidRPr="00AA63B4">
        <w:rPr>
          <w:color w:val="000000" w:themeColor="text1"/>
          <w:sz w:val="20"/>
        </w:rPr>
        <w:t xml:space="preserve">JCGM 100:2008; </w:t>
      </w:r>
      <w:r w:rsidRPr="00AA63B4">
        <w:rPr>
          <w:i/>
          <w:iCs/>
          <w:color w:val="000000" w:themeColor="text1"/>
          <w:sz w:val="20"/>
        </w:rPr>
        <w:t xml:space="preserve">Evaluation of Measurement Data — Guide to the Expression of Uncertainty in Measurement </w:t>
      </w:r>
      <w:r w:rsidRPr="00AA63B4">
        <w:rPr>
          <w:color w:val="000000" w:themeColor="text1"/>
          <w:sz w:val="20"/>
        </w:rPr>
        <w:t xml:space="preserve">(GUM 1995 with Minor Corrections); Joint Committee for Guides in Metrology (2008); available at </w:t>
      </w:r>
      <w:hyperlink r:id="rId19" w:history="1">
        <w:r w:rsidR="00BB7C6C" w:rsidRPr="00AC32B9">
          <w:rPr>
            <w:rStyle w:val="Hyperlink"/>
            <w:color w:val="000000" w:themeColor="text1"/>
            <w:sz w:val="20"/>
            <w:u w:val="none"/>
          </w:rPr>
          <w:t>http://www.bipm.org/utils/common/documents/jcgm/JCGM_100_2008_E.pdf</w:t>
        </w:r>
      </w:hyperlink>
      <w:r w:rsidRPr="00AA63B4">
        <w:rPr>
          <w:color w:val="000000" w:themeColor="text1"/>
          <w:sz w:val="20"/>
        </w:rPr>
        <w:t xml:space="preserve"> (accessed Mar</w:t>
      </w:r>
      <w:r w:rsidR="00AA63B4" w:rsidRPr="00AA63B4">
        <w:rPr>
          <w:color w:val="000000" w:themeColor="text1"/>
          <w:sz w:val="20"/>
        </w:rPr>
        <w:t> </w:t>
      </w:r>
      <w:r w:rsidRPr="00AA63B4">
        <w:rPr>
          <w:color w:val="000000" w:themeColor="text1"/>
          <w:sz w:val="20"/>
        </w:rPr>
        <w:t xml:space="preserve">2013); see also Taylor, B.N.; Kuyatt, C.E.; </w:t>
      </w:r>
      <w:r w:rsidRPr="00AA63B4">
        <w:rPr>
          <w:i/>
          <w:iCs/>
          <w:color w:val="000000" w:themeColor="text1"/>
          <w:sz w:val="20"/>
        </w:rPr>
        <w:t>Guidelines for Evaluating and Expressing the Uncertainty of NIST Measurement Results</w:t>
      </w:r>
      <w:r w:rsidRPr="00AA63B4">
        <w:rPr>
          <w:color w:val="000000" w:themeColor="text1"/>
          <w:sz w:val="20"/>
        </w:rPr>
        <w:t xml:space="preserve">; NIST Technical Note 1297; U.S. Government Printing Office: Washington, DC (1994); available at </w:t>
      </w:r>
      <w:hyperlink r:id="rId20" w:history="1">
        <w:r w:rsidR="00BB7C6C" w:rsidRPr="00AC32B9">
          <w:rPr>
            <w:rStyle w:val="Hyperlink"/>
            <w:color w:val="000000" w:themeColor="text1"/>
            <w:sz w:val="20"/>
            <w:u w:val="none"/>
          </w:rPr>
          <w:t>http://www.nist.gov/pml/pubs/index.cfm</w:t>
        </w:r>
      </w:hyperlink>
      <w:r w:rsidRPr="00AA63B4">
        <w:rPr>
          <w:color w:val="000000" w:themeColor="text1"/>
          <w:sz w:val="20"/>
        </w:rPr>
        <w:t xml:space="preserve"> (accessed Mar</w:t>
      </w:r>
      <w:r w:rsidR="00AA63B4" w:rsidRPr="00AA63B4">
        <w:rPr>
          <w:color w:val="000000" w:themeColor="text1"/>
          <w:sz w:val="20"/>
        </w:rPr>
        <w:t> </w:t>
      </w:r>
      <w:r w:rsidRPr="00AA63B4">
        <w:rPr>
          <w:color w:val="000000" w:themeColor="text1"/>
          <w:sz w:val="20"/>
        </w:rPr>
        <w:t>2013).</w:t>
      </w:r>
    </w:p>
    <w:p w:rsidR="000258AF" w:rsidRPr="00AA63B4" w:rsidRDefault="000258AF" w:rsidP="00F54488">
      <w:pPr>
        <w:pStyle w:val="ListParagraph"/>
        <w:widowControl/>
        <w:numPr>
          <w:ilvl w:val="0"/>
          <w:numId w:val="3"/>
        </w:numPr>
        <w:tabs>
          <w:tab w:val="clear" w:pos="450"/>
          <w:tab w:val="left" w:pos="540"/>
        </w:tabs>
        <w:autoSpaceDE w:val="0"/>
        <w:autoSpaceDN w:val="0"/>
        <w:adjustRightInd w:val="0"/>
        <w:spacing w:after="60"/>
        <w:ind w:left="540" w:hanging="540"/>
        <w:jc w:val="both"/>
        <w:rPr>
          <w:color w:val="000000"/>
          <w:sz w:val="20"/>
        </w:rPr>
      </w:pPr>
      <w:r w:rsidRPr="00AA63B4">
        <w:rPr>
          <w:color w:val="000000"/>
          <w:sz w:val="20"/>
        </w:rPr>
        <w:t xml:space="preserve">Coplen, T.B.; Brand, W.A.; Gehre, M.; Groening, M.; Meijer, H.A.J.; Toman, B.; Verkouteren, R.M.; </w:t>
      </w:r>
      <w:r w:rsidRPr="00AA63B4">
        <w:rPr>
          <w:i/>
          <w:color w:val="000000"/>
          <w:sz w:val="20"/>
        </w:rPr>
        <w:t xml:space="preserve">New Guidelines for </w:t>
      </w:r>
      <w:r w:rsidRPr="00AA63B4">
        <w:rPr>
          <w:i/>
          <w:iCs/>
          <w:sz w:val="20"/>
        </w:rPr>
        <w:t>δ</w:t>
      </w:r>
      <w:r w:rsidRPr="00AA63B4">
        <w:rPr>
          <w:i/>
          <w:iCs/>
          <w:sz w:val="20"/>
          <w:vertAlign w:val="superscript"/>
        </w:rPr>
        <w:t>13</w:t>
      </w:r>
      <w:r w:rsidRPr="00AA63B4">
        <w:rPr>
          <w:i/>
          <w:sz w:val="20"/>
        </w:rPr>
        <w:t>C Measurements</w:t>
      </w:r>
      <w:r w:rsidRPr="00AA63B4">
        <w:rPr>
          <w:sz w:val="20"/>
        </w:rPr>
        <w:t>; Analytical Chemistry, Vol. 78, pp. 2439</w:t>
      </w:r>
      <w:r w:rsidRPr="00AA63B4">
        <w:rPr>
          <w:sz w:val="20"/>
        </w:rPr>
        <w:noBreakHyphen/>
        <w:t>2441 (2006).</w:t>
      </w:r>
    </w:p>
    <w:p w:rsidR="000258AF" w:rsidRPr="00AA63B4" w:rsidRDefault="00BB7C6C" w:rsidP="00F54488">
      <w:pPr>
        <w:pStyle w:val="ListParagraph"/>
        <w:widowControl/>
        <w:numPr>
          <w:ilvl w:val="0"/>
          <w:numId w:val="3"/>
        </w:numPr>
        <w:tabs>
          <w:tab w:val="clear" w:pos="450"/>
          <w:tab w:val="left" w:pos="540"/>
        </w:tabs>
        <w:autoSpaceDE w:val="0"/>
        <w:autoSpaceDN w:val="0"/>
        <w:adjustRightInd w:val="0"/>
        <w:spacing w:after="60"/>
        <w:ind w:left="540" w:hanging="540"/>
        <w:jc w:val="both"/>
        <w:rPr>
          <w:snapToGrid/>
          <w:color w:val="000000"/>
          <w:sz w:val="20"/>
        </w:rPr>
      </w:pPr>
      <w:r w:rsidRPr="00AC32B9">
        <w:rPr>
          <w:snapToGrid/>
          <w:color w:val="000000"/>
          <w:sz w:val="20"/>
        </w:rPr>
        <w:t xml:space="preserve">Coplen, T.B.; </w:t>
      </w:r>
      <w:r w:rsidRPr="00AC32B9">
        <w:rPr>
          <w:i/>
          <w:snapToGrid/>
          <w:color w:val="000000"/>
          <w:sz w:val="20"/>
        </w:rPr>
        <w:t>Reporting of Stable Hydrogen, Carbon and Oxygen Isotopic Abundances</w:t>
      </w:r>
      <w:r w:rsidRPr="00AC32B9">
        <w:rPr>
          <w:snapToGrid/>
          <w:color w:val="000000"/>
          <w:sz w:val="20"/>
        </w:rPr>
        <w:t>;</w:t>
      </w:r>
      <w:r w:rsidRPr="00AC32B9">
        <w:rPr>
          <w:i/>
          <w:iCs/>
          <w:snapToGrid/>
          <w:color w:val="000000"/>
          <w:sz w:val="20"/>
        </w:rPr>
        <w:t xml:space="preserve"> </w:t>
      </w:r>
      <w:r w:rsidRPr="00AC32B9">
        <w:rPr>
          <w:snapToGrid/>
          <w:color w:val="000000"/>
          <w:sz w:val="20"/>
        </w:rPr>
        <w:t>Pure &amp; Applied Chemistry, Vol. </w:t>
      </w:r>
      <w:r w:rsidRPr="00AC32B9">
        <w:rPr>
          <w:bCs/>
          <w:snapToGrid/>
          <w:color w:val="000000"/>
          <w:sz w:val="20"/>
        </w:rPr>
        <w:t>66, No. </w:t>
      </w:r>
      <w:r w:rsidRPr="00AC32B9">
        <w:rPr>
          <w:snapToGrid/>
          <w:color w:val="000000"/>
          <w:sz w:val="20"/>
        </w:rPr>
        <w:t>(2), pp. 273–276 (1994).</w:t>
      </w:r>
    </w:p>
    <w:p w:rsidR="000258AF" w:rsidRPr="00AA63B4" w:rsidRDefault="00BB7C6C" w:rsidP="00F54488">
      <w:pPr>
        <w:pStyle w:val="ListParagraph"/>
        <w:widowControl/>
        <w:numPr>
          <w:ilvl w:val="0"/>
          <w:numId w:val="3"/>
        </w:numPr>
        <w:tabs>
          <w:tab w:val="clear" w:pos="450"/>
          <w:tab w:val="left" w:pos="540"/>
        </w:tabs>
        <w:autoSpaceDE w:val="0"/>
        <w:autoSpaceDN w:val="0"/>
        <w:adjustRightInd w:val="0"/>
        <w:spacing w:after="60"/>
        <w:ind w:left="540" w:hanging="540"/>
        <w:jc w:val="both"/>
        <w:rPr>
          <w:sz w:val="20"/>
        </w:rPr>
      </w:pPr>
      <w:r w:rsidRPr="00AC32B9">
        <w:rPr>
          <w:sz w:val="20"/>
        </w:rPr>
        <w:t xml:space="preserve">Coplen, T.B.; Brand, W.B.; Gehre, M.; Groening, M.; Meijer, H.A.; Toman, B.; Verkouteren, M.R.; </w:t>
      </w:r>
      <w:r w:rsidRPr="00AC32B9">
        <w:rPr>
          <w:i/>
          <w:sz w:val="20"/>
        </w:rPr>
        <w:t>After Two Decades a Second Anchor for the VPDB δ</w:t>
      </w:r>
      <w:r w:rsidRPr="00AC32B9">
        <w:rPr>
          <w:i/>
          <w:sz w:val="20"/>
          <w:vertAlign w:val="superscript"/>
        </w:rPr>
        <w:t>13</w:t>
      </w:r>
      <w:r w:rsidRPr="00AC32B9">
        <w:rPr>
          <w:i/>
          <w:sz w:val="20"/>
        </w:rPr>
        <w:t>C Scale</w:t>
      </w:r>
      <w:r w:rsidRPr="00AC32B9">
        <w:rPr>
          <w:sz w:val="20"/>
        </w:rPr>
        <w:t xml:space="preserve">; Rapid Commun. Mass </w:t>
      </w:r>
      <w:proofErr w:type="gramStart"/>
      <w:r w:rsidRPr="00AC32B9">
        <w:rPr>
          <w:sz w:val="20"/>
        </w:rPr>
        <w:t>Spectrom.,</w:t>
      </w:r>
      <w:proofErr w:type="gramEnd"/>
      <w:r w:rsidRPr="00AC32B9">
        <w:rPr>
          <w:sz w:val="20"/>
        </w:rPr>
        <w:t xml:space="preserve"> Vol. 20, pp. 3165</w:t>
      </w:r>
      <w:r w:rsidRPr="00AC32B9">
        <w:rPr>
          <w:snapToGrid/>
          <w:color w:val="000000"/>
          <w:sz w:val="20"/>
        </w:rPr>
        <w:t>–</w:t>
      </w:r>
      <w:r w:rsidRPr="00AC32B9">
        <w:rPr>
          <w:sz w:val="20"/>
        </w:rPr>
        <w:t>3166 (2006).</w:t>
      </w:r>
    </w:p>
    <w:p w:rsidR="000258AF" w:rsidRPr="00AA63B4" w:rsidRDefault="00BB7C6C" w:rsidP="00F54488">
      <w:pPr>
        <w:pStyle w:val="ListParagraph"/>
        <w:widowControl/>
        <w:numPr>
          <w:ilvl w:val="0"/>
          <w:numId w:val="3"/>
        </w:numPr>
        <w:tabs>
          <w:tab w:val="clear" w:pos="450"/>
          <w:tab w:val="left" w:pos="54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60"/>
        <w:ind w:left="540" w:hanging="540"/>
        <w:jc w:val="both"/>
        <w:rPr>
          <w:snapToGrid/>
          <w:sz w:val="20"/>
        </w:rPr>
      </w:pPr>
      <w:r w:rsidRPr="00AC32B9">
        <w:rPr>
          <w:snapToGrid/>
          <w:color w:val="000000"/>
          <w:sz w:val="20"/>
        </w:rPr>
        <w:t xml:space="preserve">Gerstenberger, H.; Hermann, M.; </w:t>
      </w:r>
      <w:r w:rsidRPr="00AC32B9">
        <w:rPr>
          <w:i/>
          <w:snapToGrid/>
          <w:color w:val="000000"/>
          <w:sz w:val="20"/>
        </w:rPr>
        <w:t>Report on the Intercomparison for the Isotope Standard Limestone LH2 and Polyethylene Foil PEF-1.</w:t>
      </w:r>
      <w:r w:rsidRPr="00AC32B9">
        <w:rPr>
          <w:snapToGrid/>
          <w:color w:val="000000"/>
          <w:sz w:val="20"/>
        </w:rPr>
        <w:t xml:space="preserve"> ZFI Mitteilungen, Vol. 66, pp. 67–83 (1983).</w:t>
      </w:r>
    </w:p>
    <w:p w:rsidR="000258AF" w:rsidRPr="00AA63B4" w:rsidRDefault="00BB7C6C" w:rsidP="00F54488">
      <w:pPr>
        <w:pStyle w:val="ListParagraph"/>
        <w:widowControl/>
        <w:numPr>
          <w:ilvl w:val="0"/>
          <w:numId w:val="3"/>
        </w:numPr>
        <w:tabs>
          <w:tab w:val="clear" w:pos="450"/>
          <w:tab w:val="left" w:pos="54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60"/>
        <w:ind w:left="540" w:hanging="540"/>
        <w:jc w:val="both"/>
        <w:rPr>
          <w:snapToGrid/>
          <w:sz w:val="20"/>
        </w:rPr>
      </w:pPr>
      <w:r w:rsidRPr="00AC32B9">
        <w:rPr>
          <w:snapToGrid/>
          <w:color w:val="000000"/>
          <w:sz w:val="20"/>
        </w:rPr>
        <w:t xml:space="preserve">Hut, G.; </w:t>
      </w:r>
      <w:r w:rsidRPr="00AC32B9">
        <w:rPr>
          <w:i/>
          <w:snapToGrid/>
          <w:color w:val="000000"/>
          <w:sz w:val="20"/>
        </w:rPr>
        <w:t>Stable Isotope Reference Samples for Geochemical and Hydrological Investigations</w:t>
      </w:r>
      <w:r w:rsidRPr="00AC32B9">
        <w:rPr>
          <w:snapToGrid/>
          <w:color w:val="000000"/>
          <w:sz w:val="20"/>
        </w:rPr>
        <w:t xml:space="preserve"> (Rep. Consultants Group Meeting, Vienna, 1985).  International Atomic Energy Agency, Vienna, pp. 1–42 (1987);</w:t>
      </w:r>
      <w:r w:rsidRPr="00AC32B9">
        <w:rPr>
          <w:snapToGrid/>
          <w:color w:val="0000FF"/>
          <w:sz w:val="20"/>
        </w:rPr>
        <w:t xml:space="preserve"> </w:t>
      </w:r>
    </w:p>
    <w:p w:rsidR="000258AF" w:rsidRPr="00AA63B4" w:rsidRDefault="00BB7C6C" w:rsidP="00F54488">
      <w:pPr>
        <w:pStyle w:val="ListParagraph"/>
        <w:widowControl/>
        <w:numPr>
          <w:ilvl w:val="0"/>
          <w:numId w:val="3"/>
        </w:numPr>
        <w:tabs>
          <w:tab w:val="clear" w:pos="450"/>
          <w:tab w:val="left" w:pos="540"/>
        </w:tabs>
        <w:autoSpaceDE w:val="0"/>
        <w:autoSpaceDN w:val="0"/>
        <w:adjustRightInd w:val="0"/>
        <w:spacing w:after="60"/>
        <w:ind w:left="540" w:hanging="540"/>
        <w:jc w:val="both"/>
        <w:rPr>
          <w:color w:val="000000"/>
          <w:sz w:val="20"/>
        </w:rPr>
      </w:pPr>
      <w:r w:rsidRPr="00AC32B9">
        <w:rPr>
          <w:sz w:val="20"/>
        </w:rPr>
        <w:t xml:space="preserve">Qi, H.P.; Coplen, T.B.; Geilmann, H.; Brand, W.A.; Böhlke, J.K.; </w:t>
      </w:r>
      <w:r w:rsidRPr="00AC32B9">
        <w:rPr>
          <w:i/>
          <w:sz w:val="20"/>
        </w:rPr>
        <w:t>Two New Organic Reference Materials for δ</w:t>
      </w:r>
      <w:r w:rsidRPr="00AC32B9">
        <w:rPr>
          <w:i/>
          <w:sz w:val="20"/>
          <w:vertAlign w:val="superscript"/>
        </w:rPr>
        <w:t>13</w:t>
      </w:r>
      <w:r w:rsidRPr="00AC32B9">
        <w:rPr>
          <w:i/>
          <w:sz w:val="20"/>
        </w:rPr>
        <w:t>C and δ</w:t>
      </w:r>
      <w:r w:rsidRPr="00AC32B9">
        <w:rPr>
          <w:i/>
          <w:sz w:val="20"/>
          <w:vertAlign w:val="superscript"/>
        </w:rPr>
        <w:t>15</w:t>
      </w:r>
      <w:r w:rsidRPr="00AC32B9">
        <w:rPr>
          <w:i/>
          <w:sz w:val="20"/>
        </w:rPr>
        <w:t>N Measurements and a New Value for the δ</w:t>
      </w:r>
      <w:r w:rsidRPr="00AC32B9">
        <w:rPr>
          <w:i/>
          <w:sz w:val="20"/>
          <w:vertAlign w:val="superscript"/>
        </w:rPr>
        <w:t>13</w:t>
      </w:r>
      <w:r w:rsidRPr="00AC32B9">
        <w:rPr>
          <w:i/>
          <w:sz w:val="20"/>
        </w:rPr>
        <w:t>C of NBS 22 Oil</w:t>
      </w:r>
      <w:r w:rsidRPr="00AC32B9">
        <w:rPr>
          <w:sz w:val="20"/>
        </w:rPr>
        <w:t>;</w:t>
      </w:r>
      <w:r w:rsidRPr="00AC32B9">
        <w:rPr>
          <w:i/>
          <w:sz w:val="20"/>
        </w:rPr>
        <w:t xml:space="preserve"> </w:t>
      </w:r>
      <w:r w:rsidRPr="00AC32B9">
        <w:rPr>
          <w:sz w:val="20"/>
        </w:rPr>
        <w:t>Rapid Commun. Mass Spectrom., Vol. 17, pp. 2483–2487 (2003).</w:t>
      </w:r>
    </w:p>
    <w:p w:rsidR="000258AF" w:rsidRPr="00AA63B4" w:rsidRDefault="00BB7C6C" w:rsidP="00F54488">
      <w:pPr>
        <w:pStyle w:val="ListParagraph"/>
        <w:widowControl/>
        <w:numPr>
          <w:ilvl w:val="0"/>
          <w:numId w:val="3"/>
        </w:numPr>
        <w:tabs>
          <w:tab w:val="clear" w:pos="450"/>
          <w:tab w:val="left" w:pos="540"/>
          <w:tab w:val="left" w:pos="810"/>
        </w:tabs>
        <w:autoSpaceDE w:val="0"/>
        <w:autoSpaceDN w:val="0"/>
        <w:adjustRightInd w:val="0"/>
        <w:spacing w:after="60"/>
        <w:ind w:left="540" w:hanging="540"/>
        <w:jc w:val="both"/>
        <w:rPr>
          <w:snapToGrid/>
          <w:color w:val="000000"/>
          <w:sz w:val="20"/>
        </w:rPr>
      </w:pPr>
      <w:r w:rsidRPr="00AC32B9">
        <w:rPr>
          <w:snapToGrid/>
          <w:color w:val="000000"/>
          <w:sz w:val="20"/>
        </w:rPr>
        <w:t xml:space="preserve">Coplen, T.; </w:t>
      </w:r>
      <w:r w:rsidRPr="00AC32B9">
        <w:rPr>
          <w:i/>
          <w:snapToGrid/>
          <w:color w:val="000000"/>
          <w:sz w:val="20"/>
        </w:rPr>
        <w:t>Discontinuance of SMOW and PDB</w:t>
      </w:r>
      <w:r w:rsidRPr="00AC32B9">
        <w:rPr>
          <w:snapToGrid/>
          <w:color w:val="000000"/>
          <w:sz w:val="20"/>
        </w:rPr>
        <w:t>;</w:t>
      </w:r>
      <w:r w:rsidRPr="00AC32B9">
        <w:rPr>
          <w:i/>
          <w:iCs/>
          <w:snapToGrid/>
          <w:color w:val="000000"/>
          <w:sz w:val="20"/>
        </w:rPr>
        <w:t xml:space="preserve"> </w:t>
      </w:r>
      <w:r w:rsidRPr="00AC32B9">
        <w:rPr>
          <w:snapToGrid/>
          <w:color w:val="000000"/>
          <w:sz w:val="20"/>
        </w:rPr>
        <w:t>Nature </w:t>
      </w:r>
      <w:r w:rsidRPr="00AC32B9">
        <w:rPr>
          <w:bCs/>
          <w:snapToGrid/>
          <w:color w:val="000000"/>
          <w:sz w:val="20"/>
        </w:rPr>
        <w:t xml:space="preserve">375; Nature Publishing Group, </w:t>
      </w:r>
      <w:r w:rsidRPr="00AC32B9">
        <w:rPr>
          <w:snapToGrid/>
          <w:color w:val="000000"/>
          <w:sz w:val="20"/>
        </w:rPr>
        <w:t>pp. 285 (1995).</w:t>
      </w:r>
    </w:p>
    <w:bookmarkEnd w:id="1"/>
    <w:p w:rsidR="000258AF" w:rsidRPr="00AA63B4" w:rsidRDefault="00BB7C6C" w:rsidP="00F54488">
      <w:pPr>
        <w:pStyle w:val="ListParagraph"/>
        <w:widowControl/>
        <w:numPr>
          <w:ilvl w:val="0"/>
          <w:numId w:val="3"/>
        </w:numPr>
        <w:tabs>
          <w:tab w:val="clear" w:pos="450"/>
          <w:tab w:val="left" w:pos="540"/>
        </w:tabs>
        <w:autoSpaceDE w:val="0"/>
        <w:autoSpaceDN w:val="0"/>
        <w:adjustRightInd w:val="0"/>
        <w:spacing w:after="60"/>
        <w:ind w:left="540" w:hanging="540"/>
        <w:jc w:val="both"/>
        <w:rPr>
          <w:sz w:val="20"/>
        </w:rPr>
      </w:pPr>
      <w:r w:rsidRPr="00AC32B9">
        <w:rPr>
          <w:sz w:val="20"/>
        </w:rPr>
        <w:t xml:space="preserve">Coplen, T.B.; Hopple, J.A.; Böhlke, J.K.; Peiser, H.S.; Rieder, S.E.; Krouse, H.R.; Rosman, K.J.R.; Ding, T.; Vocke, Jr., R.D.; Révész, K.M.; Lamberty, A.; Taylor, P.; De Bièvre, P; </w:t>
      </w:r>
      <w:r w:rsidRPr="00AC32B9">
        <w:rPr>
          <w:i/>
          <w:sz w:val="20"/>
        </w:rPr>
        <w:t>Compilation of Minimum and Maximum Isotope Ratios of Selected Elements in Naturally Occurring Terrestrial Materials and Reagents</w:t>
      </w:r>
      <w:r w:rsidRPr="00AC32B9">
        <w:rPr>
          <w:sz w:val="20"/>
        </w:rPr>
        <w:t>; U.S. Geological Survey Water</w:t>
      </w:r>
      <w:r w:rsidRPr="00AC32B9">
        <w:rPr>
          <w:sz w:val="20"/>
        </w:rPr>
        <w:noBreakHyphen/>
        <w:t>Resources Investigations Report 01</w:t>
      </w:r>
      <w:r w:rsidRPr="00AC32B9">
        <w:rPr>
          <w:sz w:val="20"/>
        </w:rPr>
        <w:noBreakHyphen/>
        <w:t xml:space="preserve">4222, p. 98 (2001); </w:t>
      </w:r>
      <w:r w:rsidRPr="00AC32B9">
        <w:rPr>
          <w:snapToGrid/>
          <w:color w:val="000000"/>
          <w:sz w:val="20"/>
        </w:rPr>
        <w:t xml:space="preserve">available at </w:t>
      </w:r>
      <w:hyperlink r:id="rId21" w:history="1">
        <w:r>
          <w:rPr>
            <w:rStyle w:val="Hyperlink"/>
            <w:color w:val="auto"/>
            <w:sz w:val="20"/>
            <w:u w:val="none"/>
          </w:rPr>
          <w:t>http://pubs.usgs.gov/wri/wri014222/pdf/wri01-4222.pdf</w:t>
        </w:r>
      </w:hyperlink>
      <w:r w:rsidR="000258AF" w:rsidRPr="00AA63B4">
        <w:rPr>
          <w:sz w:val="20"/>
        </w:rPr>
        <w:t xml:space="preserve"> </w:t>
      </w:r>
      <w:r w:rsidR="000258AF" w:rsidRPr="00AA63B4">
        <w:rPr>
          <w:snapToGrid/>
          <w:color w:val="000000"/>
          <w:sz w:val="20"/>
        </w:rPr>
        <w:t xml:space="preserve">(accessed </w:t>
      </w:r>
      <w:r w:rsidR="002027A8" w:rsidRPr="00AA63B4">
        <w:rPr>
          <w:snapToGrid/>
          <w:color w:val="000000"/>
          <w:sz w:val="20"/>
        </w:rPr>
        <w:t>Mar </w:t>
      </w:r>
      <w:r w:rsidR="000258AF" w:rsidRPr="00AA63B4">
        <w:rPr>
          <w:snapToGrid/>
          <w:color w:val="000000"/>
          <w:sz w:val="20"/>
        </w:rPr>
        <w:t>201</w:t>
      </w:r>
      <w:r w:rsidR="002743B0" w:rsidRPr="00AA63B4">
        <w:rPr>
          <w:snapToGrid/>
          <w:color w:val="000000"/>
          <w:sz w:val="20"/>
        </w:rPr>
        <w:t>3</w:t>
      </w:r>
      <w:r w:rsidR="000258AF" w:rsidRPr="00AA63B4">
        <w:rPr>
          <w:snapToGrid/>
          <w:color w:val="000000"/>
          <w:sz w:val="20"/>
        </w:rPr>
        <w:t>)</w:t>
      </w:r>
      <w:r w:rsidR="000258AF" w:rsidRPr="00AA63B4">
        <w:rPr>
          <w:sz w:val="20"/>
        </w:rPr>
        <w:t>.</w:t>
      </w:r>
    </w:p>
    <w:p w:rsidR="000258AF" w:rsidRPr="00AA63B4" w:rsidRDefault="00BB7C6C" w:rsidP="00F54488">
      <w:pPr>
        <w:pStyle w:val="ListParagraph"/>
        <w:widowControl/>
        <w:numPr>
          <w:ilvl w:val="0"/>
          <w:numId w:val="3"/>
        </w:numPr>
        <w:tabs>
          <w:tab w:val="clear" w:pos="450"/>
          <w:tab w:val="left" w:pos="540"/>
          <w:tab w:val="left" w:pos="810"/>
        </w:tabs>
        <w:autoSpaceDE w:val="0"/>
        <w:autoSpaceDN w:val="0"/>
        <w:adjustRightInd w:val="0"/>
        <w:spacing w:after="60"/>
        <w:ind w:left="540" w:hanging="540"/>
        <w:jc w:val="both"/>
        <w:rPr>
          <w:snapToGrid/>
          <w:color w:val="000000"/>
          <w:sz w:val="20"/>
        </w:rPr>
      </w:pPr>
      <w:bookmarkStart w:id="4" w:name="OLE_LINK8"/>
      <w:r w:rsidRPr="00AC32B9">
        <w:rPr>
          <w:i/>
          <w:snapToGrid/>
          <w:color w:val="000000"/>
          <w:sz w:val="20"/>
        </w:rPr>
        <w:t>Light Stable Isotopic Materials (gas, liquid and solid forms)</w:t>
      </w:r>
      <w:r w:rsidR="00E66FF1" w:rsidRPr="00AA63B4">
        <w:rPr>
          <w:snapToGrid/>
          <w:color w:val="000000"/>
          <w:sz w:val="20"/>
        </w:rPr>
        <w:t xml:space="preserve">; </w:t>
      </w:r>
      <w:r w:rsidRPr="00AC32B9">
        <w:rPr>
          <w:snapToGrid/>
          <w:color w:val="000000"/>
          <w:sz w:val="20"/>
        </w:rPr>
        <w:t xml:space="preserve">NIST SRM Order Request System; National Institute of Standards and Technology; </w:t>
      </w:r>
      <w:r w:rsidR="000258AF" w:rsidRPr="00AA63B4">
        <w:rPr>
          <w:snapToGrid/>
          <w:color w:val="000000"/>
          <w:sz w:val="20"/>
        </w:rPr>
        <w:t>U.S. Department of Commerce: Gaithersburg, MD</w:t>
      </w:r>
      <w:r w:rsidR="00445506" w:rsidRPr="00AA63B4">
        <w:rPr>
          <w:snapToGrid/>
          <w:color w:val="000000"/>
          <w:sz w:val="20"/>
        </w:rPr>
        <w:t> </w:t>
      </w:r>
      <w:r w:rsidR="000258AF" w:rsidRPr="00AA63B4">
        <w:rPr>
          <w:snapToGrid/>
          <w:color w:val="000000"/>
          <w:sz w:val="20"/>
        </w:rPr>
        <w:t xml:space="preserve">20899; available at </w:t>
      </w:r>
      <w:r w:rsidR="000258AF" w:rsidRPr="00AA63B4">
        <w:rPr>
          <w:snapToGrid/>
          <w:color w:val="000000"/>
          <w:sz w:val="20"/>
        </w:rPr>
        <w:br/>
      </w:r>
      <w:hyperlink r:id="rId22" w:history="1">
        <w:r>
          <w:rPr>
            <w:rStyle w:val="Hyperlink"/>
            <w:snapToGrid/>
            <w:color w:val="000000" w:themeColor="text1"/>
            <w:sz w:val="20"/>
            <w:u w:val="none"/>
          </w:rPr>
          <w:t>https://www-s.nist.gov/srmors/viewTableV.cfm?tableid=42</w:t>
        </w:r>
      </w:hyperlink>
      <w:r w:rsidR="000258AF" w:rsidRPr="00AA63B4">
        <w:rPr>
          <w:snapToGrid/>
          <w:color w:val="000000"/>
          <w:sz w:val="20"/>
        </w:rPr>
        <w:t xml:space="preserve"> (accessed</w:t>
      </w:r>
      <w:r w:rsidRPr="00AC32B9">
        <w:rPr>
          <w:snapToGrid/>
          <w:color w:val="000000"/>
          <w:sz w:val="20"/>
        </w:rPr>
        <w:t xml:space="preserve"> Mar</w:t>
      </w:r>
      <w:r w:rsidRPr="00AC32B9">
        <w:rPr>
          <w:rFonts w:hint="eastAsia"/>
          <w:snapToGrid/>
          <w:color w:val="000000"/>
          <w:sz w:val="20"/>
        </w:rPr>
        <w:t> </w:t>
      </w:r>
      <w:r w:rsidRPr="00AC32B9">
        <w:rPr>
          <w:snapToGrid/>
          <w:color w:val="000000"/>
          <w:sz w:val="20"/>
        </w:rPr>
        <w:t>2013).</w:t>
      </w:r>
    </w:p>
    <w:bookmarkEnd w:id="4"/>
    <w:p w:rsidR="00E45B20" w:rsidRDefault="00E45B20">
      <w:pPr>
        <w:pStyle w:val="BodyText2"/>
        <w:tabs>
          <w:tab w:val="clear" w:pos="540"/>
          <w:tab w:val="clear" w:pos="1260"/>
          <w:tab w:val="clear" w:pos="1980"/>
          <w:tab w:val="clear" w:pos="2700"/>
          <w:tab w:val="clear" w:pos="3420"/>
          <w:tab w:val="clear" w:pos="4140"/>
          <w:tab w:val="clear" w:pos="4860"/>
          <w:tab w:val="clear" w:pos="5580"/>
          <w:tab w:val="clear" w:pos="6300"/>
          <w:tab w:val="clear" w:pos="7020"/>
          <w:tab w:val="clear" w:pos="7740"/>
          <w:tab w:val="clear" w:pos="8460"/>
        </w:tabs>
      </w:pPr>
    </w:p>
    <w:p w:rsidR="00F4753A" w:rsidRDefault="00F4753A">
      <w:pPr>
        <w:pStyle w:val="BodyText2"/>
        <w:tabs>
          <w:tab w:val="clear" w:pos="540"/>
          <w:tab w:val="clear" w:pos="1260"/>
          <w:tab w:val="clear" w:pos="1980"/>
          <w:tab w:val="clear" w:pos="2700"/>
          <w:tab w:val="clear" w:pos="3420"/>
          <w:tab w:val="clear" w:pos="4140"/>
          <w:tab w:val="clear" w:pos="4860"/>
          <w:tab w:val="clear" w:pos="5580"/>
          <w:tab w:val="clear" w:pos="6300"/>
          <w:tab w:val="clear" w:pos="7020"/>
          <w:tab w:val="clear" w:pos="7740"/>
          <w:tab w:val="clear" w:pos="8460"/>
        </w:tabs>
      </w:pPr>
    </w:p>
    <w:p w:rsidR="00F4753A" w:rsidRDefault="00F4753A">
      <w:pPr>
        <w:pStyle w:val="BodyText2"/>
        <w:tabs>
          <w:tab w:val="clear" w:pos="540"/>
          <w:tab w:val="clear" w:pos="1260"/>
          <w:tab w:val="clear" w:pos="1980"/>
          <w:tab w:val="clear" w:pos="2700"/>
          <w:tab w:val="clear" w:pos="3420"/>
          <w:tab w:val="clear" w:pos="4140"/>
          <w:tab w:val="clear" w:pos="4860"/>
          <w:tab w:val="clear" w:pos="5580"/>
          <w:tab w:val="clear" w:pos="6300"/>
          <w:tab w:val="clear" w:pos="7020"/>
          <w:tab w:val="clear" w:pos="7740"/>
          <w:tab w:val="clear" w:pos="8460"/>
        </w:tabs>
      </w:pPr>
    </w:p>
    <w:p w:rsidR="007F21FE" w:rsidRDefault="007F21FE">
      <w:pPr>
        <w:pStyle w:val="BodyText2"/>
        <w:tabs>
          <w:tab w:val="clear" w:pos="540"/>
          <w:tab w:val="clear" w:pos="1260"/>
          <w:tab w:val="clear" w:pos="1980"/>
          <w:tab w:val="clear" w:pos="2700"/>
          <w:tab w:val="clear" w:pos="3420"/>
          <w:tab w:val="clear" w:pos="4140"/>
          <w:tab w:val="clear" w:pos="4860"/>
          <w:tab w:val="clear" w:pos="5580"/>
          <w:tab w:val="clear" w:pos="6300"/>
          <w:tab w:val="clear" w:pos="7020"/>
          <w:tab w:val="clear" w:pos="7740"/>
          <w:tab w:val="clear" w:pos="8460"/>
        </w:tabs>
      </w:pPr>
    </w:p>
    <w:p w:rsidR="00F4753A" w:rsidRDefault="00F4753A">
      <w:pPr>
        <w:pStyle w:val="BodyText2"/>
        <w:tabs>
          <w:tab w:val="clear" w:pos="540"/>
          <w:tab w:val="clear" w:pos="1260"/>
          <w:tab w:val="clear" w:pos="1980"/>
          <w:tab w:val="clear" w:pos="2700"/>
          <w:tab w:val="clear" w:pos="3420"/>
          <w:tab w:val="clear" w:pos="4140"/>
          <w:tab w:val="clear" w:pos="4860"/>
          <w:tab w:val="clear" w:pos="5580"/>
          <w:tab w:val="clear" w:pos="6300"/>
          <w:tab w:val="clear" w:pos="7020"/>
          <w:tab w:val="clear" w:pos="7740"/>
          <w:tab w:val="clear" w:pos="8460"/>
        </w:tabs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78"/>
      </w:tblGrid>
      <w:tr w:rsidR="00E45B20" w:rsidRPr="00243EED" w:rsidTr="006243A7">
        <w:tc>
          <w:tcPr>
            <w:tcW w:w="9378" w:type="dxa"/>
          </w:tcPr>
          <w:p w:rsidR="00E45B20" w:rsidRPr="006243A7" w:rsidRDefault="00E45B20" w:rsidP="0028083C">
            <w:pPr>
              <w:widowControl/>
              <w:spacing w:line="200" w:lineRule="exact"/>
              <w:jc w:val="both"/>
              <w:rPr>
                <w:snapToGrid/>
                <w:sz w:val="16"/>
                <w:szCs w:val="16"/>
              </w:rPr>
            </w:pPr>
            <w:r w:rsidRPr="000B1A75">
              <w:rPr>
                <w:b/>
                <w:sz w:val="16"/>
                <w:szCs w:val="16"/>
              </w:rPr>
              <w:t>Report Revision History:</w:t>
            </w:r>
            <w:r w:rsidRPr="000B1A75">
              <w:rPr>
                <w:sz w:val="16"/>
                <w:szCs w:val="16"/>
              </w:rPr>
              <w:t xml:space="preserve">  </w:t>
            </w:r>
            <w:r w:rsidR="0028083C">
              <w:rPr>
                <w:sz w:val="16"/>
                <w:szCs w:val="16"/>
              </w:rPr>
              <w:t>09</w:t>
            </w:r>
            <w:r w:rsidR="000B1A75" w:rsidRPr="000B1A75">
              <w:rPr>
                <w:sz w:val="16"/>
                <w:szCs w:val="16"/>
              </w:rPr>
              <w:t> </w:t>
            </w:r>
            <w:r w:rsidR="0028083C">
              <w:rPr>
                <w:sz w:val="16"/>
                <w:szCs w:val="16"/>
              </w:rPr>
              <w:t>April</w:t>
            </w:r>
            <w:r w:rsidR="00A42148" w:rsidRPr="000B1A75">
              <w:rPr>
                <w:sz w:val="16"/>
                <w:szCs w:val="16"/>
              </w:rPr>
              <w:t> </w:t>
            </w:r>
            <w:r w:rsidR="00F4753A" w:rsidRPr="000B1A75">
              <w:rPr>
                <w:sz w:val="16"/>
                <w:szCs w:val="16"/>
              </w:rPr>
              <w:t>201</w:t>
            </w:r>
            <w:r w:rsidR="00A42148" w:rsidRPr="000B1A75">
              <w:rPr>
                <w:sz w:val="16"/>
                <w:szCs w:val="16"/>
              </w:rPr>
              <w:t>3 </w:t>
            </w:r>
            <w:r w:rsidR="00F4753A" w:rsidRPr="000B1A75">
              <w:rPr>
                <w:sz w:val="16"/>
                <w:szCs w:val="16"/>
              </w:rPr>
              <w:t>(</w:t>
            </w:r>
            <w:r w:rsidR="007E5FCE" w:rsidRPr="000B1A75">
              <w:rPr>
                <w:sz w:val="16"/>
                <w:szCs w:val="16"/>
              </w:rPr>
              <w:t xml:space="preserve">Reference value updated and </w:t>
            </w:r>
            <w:r w:rsidR="00AA63B4">
              <w:rPr>
                <w:sz w:val="16"/>
                <w:szCs w:val="16"/>
              </w:rPr>
              <w:t xml:space="preserve">uncertainty changed to </w:t>
            </w:r>
            <w:r w:rsidR="007E5FCE" w:rsidRPr="000B1A75">
              <w:rPr>
                <w:sz w:val="16"/>
                <w:szCs w:val="16"/>
              </w:rPr>
              <w:t xml:space="preserve">expanded uncertainty </w:t>
            </w:r>
            <w:r w:rsidR="00AA63B4">
              <w:rPr>
                <w:sz w:val="16"/>
                <w:szCs w:val="16"/>
              </w:rPr>
              <w:t xml:space="preserve">for </w:t>
            </w:r>
            <w:r w:rsidR="00AA63B4" w:rsidRPr="00544671">
              <w:rPr>
                <w:i/>
                <w:iCs/>
                <w:sz w:val="16"/>
                <w:szCs w:val="16"/>
              </w:rPr>
              <w:t>δ</w:t>
            </w:r>
            <w:r w:rsidR="00AA63B4" w:rsidRPr="00544671">
              <w:rPr>
                <w:sz w:val="16"/>
                <w:szCs w:val="16"/>
                <w:vertAlign w:val="superscript"/>
              </w:rPr>
              <w:t>13</w:t>
            </w:r>
            <w:r w:rsidR="00AA63B4" w:rsidRPr="00544671">
              <w:rPr>
                <w:sz w:val="16"/>
                <w:szCs w:val="16"/>
              </w:rPr>
              <w:t>C</w:t>
            </w:r>
            <w:r w:rsidR="00AA63B4" w:rsidRPr="00544671">
              <w:rPr>
                <w:sz w:val="16"/>
                <w:szCs w:val="16"/>
                <w:vertAlign w:val="subscript"/>
              </w:rPr>
              <w:t>VPDB-LSVEC</w:t>
            </w:r>
            <w:r w:rsidR="007E5FCE" w:rsidRPr="000B1A75">
              <w:rPr>
                <w:sz w:val="16"/>
                <w:szCs w:val="16"/>
              </w:rPr>
              <w:t xml:space="preserve">; expiration date assigned; </w:t>
            </w:r>
            <w:r w:rsidR="00F4753A" w:rsidRPr="000B1A75">
              <w:rPr>
                <w:sz w:val="16"/>
                <w:szCs w:val="16"/>
              </w:rPr>
              <w:t xml:space="preserve">editorial changes); </w:t>
            </w:r>
            <w:r w:rsidR="003811F0" w:rsidRPr="000B1A75">
              <w:rPr>
                <w:sz w:val="16"/>
                <w:szCs w:val="16"/>
              </w:rPr>
              <w:t>22</w:t>
            </w:r>
            <w:r w:rsidR="007E5FCE" w:rsidRPr="000B1A75">
              <w:rPr>
                <w:sz w:val="16"/>
                <w:szCs w:val="16"/>
              </w:rPr>
              <w:t> </w:t>
            </w:r>
            <w:r w:rsidR="006C08B1" w:rsidRPr="000B1A75">
              <w:rPr>
                <w:sz w:val="16"/>
                <w:szCs w:val="16"/>
              </w:rPr>
              <w:t>J</w:t>
            </w:r>
            <w:r w:rsidR="003811F0" w:rsidRPr="000B1A75">
              <w:rPr>
                <w:sz w:val="16"/>
                <w:szCs w:val="16"/>
              </w:rPr>
              <w:t>une</w:t>
            </w:r>
            <w:r w:rsidR="007E5FCE" w:rsidRPr="000B1A75">
              <w:rPr>
                <w:sz w:val="16"/>
                <w:szCs w:val="16"/>
              </w:rPr>
              <w:t> </w:t>
            </w:r>
            <w:r w:rsidR="003811F0" w:rsidRPr="000B1A75">
              <w:rPr>
                <w:sz w:val="16"/>
                <w:szCs w:val="16"/>
              </w:rPr>
              <w:t>1992</w:t>
            </w:r>
            <w:r w:rsidR="007E5FCE" w:rsidRPr="000B1A75">
              <w:rPr>
                <w:sz w:val="16"/>
                <w:szCs w:val="16"/>
              </w:rPr>
              <w:t> </w:t>
            </w:r>
            <w:r w:rsidRPr="000B1A75">
              <w:rPr>
                <w:sz w:val="16"/>
                <w:szCs w:val="16"/>
              </w:rPr>
              <w:t xml:space="preserve">(Original </w:t>
            </w:r>
            <w:r w:rsidR="00C40422" w:rsidRPr="000B1A75">
              <w:rPr>
                <w:sz w:val="16"/>
                <w:szCs w:val="16"/>
              </w:rPr>
              <w:t xml:space="preserve">report </w:t>
            </w:r>
            <w:r w:rsidRPr="000B1A75">
              <w:rPr>
                <w:sz w:val="16"/>
                <w:szCs w:val="16"/>
              </w:rPr>
              <w:t>date).</w:t>
            </w:r>
          </w:p>
        </w:tc>
      </w:tr>
    </w:tbl>
    <w:p w:rsidR="00F54488" w:rsidRDefault="00F54488" w:rsidP="00B94238">
      <w:pPr>
        <w:widowControl/>
        <w:spacing w:line="200" w:lineRule="exact"/>
        <w:jc w:val="both"/>
        <w:rPr>
          <w:sz w:val="20"/>
        </w:rPr>
      </w:pPr>
    </w:p>
    <w:p w:rsidR="007F21FE" w:rsidRDefault="007F21FE" w:rsidP="00B94238">
      <w:pPr>
        <w:widowControl/>
        <w:spacing w:line="200" w:lineRule="exact"/>
        <w:jc w:val="both"/>
        <w:rPr>
          <w:sz w:val="20"/>
        </w:rPr>
      </w:pPr>
    </w:p>
    <w:p w:rsidR="007F21FE" w:rsidRDefault="007F21FE" w:rsidP="00B94238">
      <w:pPr>
        <w:widowControl/>
        <w:spacing w:line="200" w:lineRule="exact"/>
        <w:jc w:val="both"/>
        <w:rPr>
          <w:sz w:val="20"/>
        </w:rPr>
      </w:pPr>
    </w:p>
    <w:p w:rsidR="007F21FE" w:rsidRPr="006C0319" w:rsidRDefault="007F21FE" w:rsidP="00B94238">
      <w:pPr>
        <w:widowControl/>
        <w:spacing w:line="200" w:lineRule="exact"/>
        <w:jc w:val="both"/>
        <w:rPr>
          <w:sz w:val="20"/>
        </w:rPr>
      </w:pPr>
    </w:p>
    <w:p w:rsidR="00CE1C13" w:rsidRDefault="00CE1C13" w:rsidP="00B94238">
      <w:pPr>
        <w:widowControl/>
        <w:jc w:val="both"/>
        <w:rPr>
          <w:sz w:val="20"/>
        </w:rPr>
      </w:pPr>
      <w:r>
        <w:rPr>
          <w:i/>
          <w:sz w:val="20"/>
        </w:rPr>
        <w:t xml:space="preserve">Users of this RM should ensure that the </w:t>
      </w:r>
      <w:r w:rsidR="00AC386B">
        <w:rPr>
          <w:i/>
          <w:sz w:val="20"/>
        </w:rPr>
        <w:t xml:space="preserve">Report of Investigation </w:t>
      </w:r>
      <w:r>
        <w:rPr>
          <w:i/>
          <w:sz w:val="20"/>
        </w:rPr>
        <w:t>in their possession is current.  This can be accomplished by contacting the SRM Group:  telephone (301)</w:t>
      </w:r>
      <w:r w:rsidR="00473563">
        <w:rPr>
          <w:i/>
          <w:sz w:val="20"/>
        </w:rPr>
        <w:t> </w:t>
      </w:r>
      <w:r>
        <w:rPr>
          <w:i/>
          <w:sz w:val="20"/>
        </w:rPr>
        <w:t>975</w:t>
      </w:r>
      <w:r w:rsidR="00473563">
        <w:rPr>
          <w:i/>
          <w:sz w:val="20"/>
        </w:rPr>
        <w:noBreakHyphen/>
      </w:r>
      <w:r w:rsidR="00AC386B">
        <w:rPr>
          <w:i/>
          <w:sz w:val="20"/>
        </w:rPr>
        <w:t>2200</w:t>
      </w:r>
      <w:r>
        <w:rPr>
          <w:i/>
          <w:sz w:val="20"/>
        </w:rPr>
        <w:t>; fax (301)</w:t>
      </w:r>
      <w:r w:rsidR="00473563">
        <w:rPr>
          <w:i/>
          <w:sz w:val="20"/>
        </w:rPr>
        <w:t> </w:t>
      </w:r>
      <w:r w:rsidR="0025739B">
        <w:rPr>
          <w:i/>
          <w:sz w:val="20"/>
        </w:rPr>
        <w:t>948</w:t>
      </w:r>
      <w:r w:rsidR="00473563">
        <w:rPr>
          <w:i/>
          <w:sz w:val="20"/>
        </w:rPr>
        <w:noBreakHyphen/>
      </w:r>
      <w:r w:rsidR="0025739B">
        <w:rPr>
          <w:i/>
          <w:sz w:val="20"/>
        </w:rPr>
        <w:t>3730</w:t>
      </w:r>
      <w:r>
        <w:rPr>
          <w:i/>
          <w:sz w:val="20"/>
        </w:rPr>
        <w:t>; e</w:t>
      </w:r>
      <w:r w:rsidR="00473563">
        <w:rPr>
          <w:i/>
          <w:sz w:val="20"/>
        </w:rPr>
        <w:noBreakHyphen/>
      </w:r>
      <w:r>
        <w:rPr>
          <w:i/>
          <w:sz w:val="20"/>
        </w:rPr>
        <w:t>mail</w:t>
      </w:r>
      <w:r w:rsidR="007E3DDA">
        <w:rPr>
          <w:i/>
          <w:sz w:val="20"/>
        </w:rPr>
        <w:t> </w:t>
      </w:r>
      <w:r>
        <w:rPr>
          <w:i/>
          <w:sz w:val="20"/>
        </w:rPr>
        <w:t>srminfo@nist.gov; or via the Internet</w:t>
      </w:r>
      <w:r w:rsidR="00123413">
        <w:rPr>
          <w:i/>
          <w:sz w:val="20"/>
        </w:rPr>
        <w:t xml:space="preserve"> at</w:t>
      </w:r>
      <w:r>
        <w:rPr>
          <w:i/>
          <w:sz w:val="20"/>
        </w:rPr>
        <w:t xml:space="preserve"> </w:t>
      </w:r>
      <w:r w:rsidRPr="00C304B6">
        <w:rPr>
          <w:i/>
          <w:sz w:val="20"/>
        </w:rPr>
        <w:t>http://www.nist.gov/srm</w:t>
      </w:r>
      <w:r>
        <w:rPr>
          <w:i/>
          <w:sz w:val="20"/>
        </w:rPr>
        <w:t>.</w:t>
      </w:r>
    </w:p>
    <w:sectPr w:rsidR="00CE1C13" w:rsidSect="006243A7">
      <w:footerReference w:type="default" r:id="rId23"/>
      <w:endnotePr>
        <w:numFmt w:val="decimal"/>
      </w:endnotePr>
      <w:pgSz w:w="12240" w:h="15840" w:code="1"/>
      <w:pgMar w:top="720" w:right="1440" w:bottom="720" w:left="1440" w:header="720" w:footer="43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262" w:rsidRDefault="003B6262">
      <w:r>
        <w:separator/>
      </w:r>
    </w:p>
  </w:endnote>
  <w:endnote w:type="continuationSeparator" w:id="0">
    <w:p w:rsidR="003B6262" w:rsidRDefault="003B6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inotext">
    <w:panose1 w:val="000005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ymbolMT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2C6" w:rsidRDefault="001752C6" w:rsidP="000D088F">
    <w:pPr>
      <w:pStyle w:val="Footer"/>
      <w:tabs>
        <w:tab w:val="right" w:pos="9360"/>
      </w:tabs>
      <w:rPr>
        <w:sz w:val="20"/>
      </w:rPr>
    </w:pPr>
    <w:r>
      <w:rPr>
        <w:sz w:val="20"/>
      </w:rPr>
      <w:t>RM 854</w:t>
    </w:r>
    <w:r w:rsidR="000258AF">
      <w:rPr>
        <w:sz w:val="20"/>
      </w:rPr>
      <w:t>3</w:t>
    </w:r>
    <w:r>
      <w:rPr>
        <w:sz w:val="20"/>
      </w:rPr>
      <w:tab/>
      <w:t xml:space="preserve">Page </w:t>
    </w:r>
    <w:r w:rsidR="00BB7C6C">
      <w:rPr>
        <w:sz w:val="20"/>
      </w:rPr>
      <w:fldChar w:fldCharType="begin"/>
    </w:r>
    <w:r>
      <w:rPr>
        <w:sz w:val="20"/>
      </w:rPr>
      <w:instrText xml:space="preserve"> PAGE </w:instrText>
    </w:r>
    <w:r w:rsidR="00BB7C6C">
      <w:rPr>
        <w:sz w:val="20"/>
      </w:rPr>
      <w:fldChar w:fldCharType="separate"/>
    </w:r>
    <w:r w:rsidR="00E9560A">
      <w:rPr>
        <w:noProof/>
        <w:sz w:val="20"/>
      </w:rPr>
      <w:t>2</w:t>
    </w:r>
    <w:r w:rsidR="00BB7C6C">
      <w:rPr>
        <w:sz w:val="20"/>
      </w:rPr>
      <w:fldChar w:fldCharType="end"/>
    </w:r>
    <w:r>
      <w:rPr>
        <w:sz w:val="20"/>
      </w:rPr>
      <w:t xml:space="preserve"> of </w:t>
    </w:r>
    <w:r w:rsidR="00F4753A">
      <w:rPr>
        <w:sz w:val="20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262" w:rsidRDefault="003B6262">
      <w:r>
        <w:separator/>
      </w:r>
    </w:p>
  </w:footnote>
  <w:footnote w:type="continuationSeparator" w:id="0">
    <w:p w:rsidR="003B6262" w:rsidRDefault="003B6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11A0D"/>
    <w:multiLevelType w:val="hybridMultilevel"/>
    <w:tmpl w:val="51B62B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DD9008B"/>
    <w:multiLevelType w:val="singleLevel"/>
    <w:tmpl w:val="EE84D42A"/>
    <w:lvl w:ilvl="0">
      <w:start w:val="1"/>
      <w:numFmt w:val="decimal"/>
      <w:lvlText w:val="[%1]"/>
      <w:lvlJc w:val="left"/>
      <w:pPr>
        <w:tabs>
          <w:tab w:val="num" w:pos="450"/>
        </w:tabs>
        <w:ind w:left="450" w:hanging="360"/>
      </w:pPr>
      <w:rPr>
        <w:i w:val="0"/>
      </w:rPr>
    </w:lvl>
  </w:abstractNum>
  <w:abstractNum w:abstractNumId="2">
    <w:nsid w:val="5BF91CE4"/>
    <w:multiLevelType w:val="hybridMultilevel"/>
    <w:tmpl w:val="5FBAF79C"/>
    <w:lvl w:ilvl="0" w:tplc="E128589A">
      <w:start w:val="1"/>
      <w:numFmt w:val="lowerLetter"/>
      <w:lvlText w:val="(%1)"/>
      <w:lvlJc w:val="left"/>
      <w:pPr>
        <w:ind w:left="1440" w:hanging="360"/>
      </w:pPr>
      <w:rPr>
        <w:rFonts w:ascii="Times New Roman" w:eastAsia="Times New Roman" w:hAnsi="Times New Roman" w:cs="Times New Roman"/>
        <w:sz w:val="18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EB2"/>
    <w:rsid w:val="00004777"/>
    <w:rsid w:val="000058DB"/>
    <w:rsid w:val="00006AEB"/>
    <w:rsid w:val="00013984"/>
    <w:rsid w:val="000205D4"/>
    <w:rsid w:val="000258AF"/>
    <w:rsid w:val="000327F2"/>
    <w:rsid w:val="00037EED"/>
    <w:rsid w:val="00041546"/>
    <w:rsid w:val="00051251"/>
    <w:rsid w:val="00060657"/>
    <w:rsid w:val="00062DB2"/>
    <w:rsid w:val="00065711"/>
    <w:rsid w:val="00067B70"/>
    <w:rsid w:val="00073BCD"/>
    <w:rsid w:val="00074908"/>
    <w:rsid w:val="00085499"/>
    <w:rsid w:val="000A21DC"/>
    <w:rsid w:val="000B1A75"/>
    <w:rsid w:val="000B4E54"/>
    <w:rsid w:val="000D00D2"/>
    <w:rsid w:val="000D088F"/>
    <w:rsid w:val="000D1572"/>
    <w:rsid w:val="000F5E6D"/>
    <w:rsid w:val="000F70AE"/>
    <w:rsid w:val="00110611"/>
    <w:rsid w:val="001155F1"/>
    <w:rsid w:val="00122FF6"/>
    <w:rsid w:val="00123413"/>
    <w:rsid w:val="00155D9E"/>
    <w:rsid w:val="00170013"/>
    <w:rsid w:val="00170195"/>
    <w:rsid w:val="001752C6"/>
    <w:rsid w:val="00181E1D"/>
    <w:rsid w:val="001972A5"/>
    <w:rsid w:val="001A1843"/>
    <w:rsid w:val="001A1CA9"/>
    <w:rsid w:val="001C11CA"/>
    <w:rsid w:val="001C23C5"/>
    <w:rsid w:val="001C6DA7"/>
    <w:rsid w:val="001D630D"/>
    <w:rsid w:val="001F1339"/>
    <w:rsid w:val="001F2CA6"/>
    <w:rsid w:val="002027A8"/>
    <w:rsid w:val="00211B82"/>
    <w:rsid w:val="002340BF"/>
    <w:rsid w:val="00243845"/>
    <w:rsid w:val="00243EED"/>
    <w:rsid w:val="00254E51"/>
    <w:rsid w:val="0025739B"/>
    <w:rsid w:val="00273919"/>
    <w:rsid w:val="002743B0"/>
    <w:rsid w:val="00276AD5"/>
    <w:rsid w:val="0028047B"/>
    <w:rsid w:val="0028083C"/>
    <w:rsid w:val="00284AE8"/>
    <w:rsid w:val="00290A15"/>
    <w:rsid w:val="00296AD4"/>
    <w:rsid w:val="002A60A0"/>
    <w:rsid w:val="002A74F3"/>
    <w:rsid w:val="002D451A"/>
    <w:rsid w:val="002E5504"/>
    <w:rsid w:val="002F15FE"/>
    <w:rsid w:val="003051FF"/>
    <w:rsid w:val="003059BC"/>
    <w:rsid w:val="003060EC"/>
    <w:rsid w:val="00307AC1"/>
    <w:rsid w:val="003346C4"/>
    <w:rsid w:val="003415E5"/>
    <w:rsid w:val="0034286C"/>
    <w:rsid w:val="0035210B"/>
    <w:rsid w:val="00367916"/>
    <w:rsid w:val="003811F0"/>
    <w:rsid w:val="003835C8"/>
    <w:rsid w:val="003940A2"/>
    <w:rsid w:val="003A08C3"/>
    <w:rsid w:val="003B0B44"/>
    <w:rsid w:val="003B6262"/>
    <w:rsid w:val="003E4E77"/>
    <w:rsid w:val="003F1177"/>
    <w:rsid w:val="003F7858"/>
    <w:rsid w:val="003F7B8D"/>
    <w:rsid w:val="00404182"/>
    <w:rsid w:val="00412AA5"/>
    <w:rsid w:val="00427E85"/>
    <w:rsid w:val="0044372A"/>
    <w:rsid w:val="0044544C"/>
    <w:rsid w:val="00445506"/>
    <w:rsid w:val="00462A05"/>
    <w:rsid w:val="00473563"/>
    <w:rsid w:val="004849B4"/>
    <w:rsid w:val="00484C5D"/>
    <w:rsid w:val="004952A1"/>
    <w:rsid w:val="004D081F"/>
    <w:rsid w:val="004D1448"/>
    <w:rsid w:val="004D5537"/>
    <w:rsid w:val="004D5EDE"/>
    <w:rsid w:val="004F110F"/>
    <w:rsid w:val="004F2D75"/>
    <w:rsid w:val="004F3C4C"/>
    <w:rsid w:val="00504E1D"/>
    <w:rsid w:val="00506C57"/>
    <w:rsid w:val="005148D7"/>
    <w:rsid w:val="0052751C"/>
    <w:rsid w:val="00530E2B"/>
    <w:rsid w:val="0055474C"/>
    <w:rsid w:val="00561F24"/>
    <w:rsid w:val="00575139"/>
    <w:rsid w:val="00582085"/>
    <w:rsid w:val="00585033"/>
    <w:rsid w:val="0058630B"/>
    <w:rsid w:val="00587FBC"/>
    <w:rsid w:val="005B12B3"/>
    <w:rsid w:val="005C4C20"/>
    <w:rsid w:val="005C774C"/>
    <w:rsid w:val="005D7310"/>
    <w:rsid w:val="00602A22"/>
    <w:rsid w:val="00603281"/>
    <w:rsid w:val="006034F9"/>
    <w:rsid w:val="006160EF"/>
    <w:rsid w:val="00620D9A"/>
    <w:rsid w:val="00623AD0"/>
    <w:rsid w:val="006243A7"/>
    <w:rsid w:val="00624C59"/>
    <w:rsid w:val="00634B9B"/>
    <w:rsid w:val="00634DF1"/>
    <w:rsid w:val="00640317"/>
    <w:rsid w:val="006475CD"/>
    <w:rsid w:val="00650836"/>
    <w:rsid w:val="00665A53"/>
    <w:rsid w:val="00686078"/>
    <w:rsid w:val="006B0F81"/>
    <w:rsid w:val="006B2D43"/>
    <w:rsid w:val="006B4574"/>
    <w:rsid w:val="006B5F42"/>
    <w:rsid w:val="006B6406"/>
    <w:rsid w:val="006B6EE1"/>
    <w:rsid w:val="006B7EC0"/>
    <w:rsid w:val="006C0319"/>
    <w:rsid w:val="006C08B1"/>
    <w:rsid w:val="006C1B24"/>
    <w:rsid w:val="006D31D2"/>
    <w:rsid w:val="006D527A"/>
    <w:rsid w:val="006E4608"/>
    <w:rsid w:val="006F2ABA"/>
    <w:rsid w:val="00700A06"/>
    <w:rsid w:val="00725212"/>
    <w:rsid w:val="00727507"/>
    <w:rsid w:val="007A0048"/>
    <w:rsid w:val="007A5941"/>
    <w:rsid w:val="007A6FA7"/>
    <w:rsid w:val="007B33FA"/>
    <w:rsid w:val="007D43A1"/>
    <w:rsid w:val="007E3DDA"/>
    <w:rsid w:val="007E417D"/>
    <w:rsid w:val="007E5FCE"/>
    <w:rsid w:val="007E6DEA"/>
    <w:rsid w:val="007F21FE"/>
    <w:rsid w:val="007F3D6A"/>
    <w:rsid w:val="00802045"/>
    <w:rsid w:val="0080343D"/>
    <w:rsid w:val="00803482"/>
    <w:rsid w:val="008040D0"/>
    <w:rsid w:val="00804D73"/>
    <w:rsid w:val="00811452"/>
    <w:rsid w:val="008212A2"/>
    <w:rsid w:val="008247AF"/>
    <w:rsid w:val="00825EA0"/>
    <w:rsid w:val="008263C4"/>
    <w:rsid w:val="00830797"/>
    <w:rsid w:val="00840EA5"/>
    <w:rsid w:val="00846D93"/>
    <w:rsid w:val="0084718F"/>
    <w:rsid w:val="00856087"/>
    <w:rsid w:val="00861180"/>
    <w:rsid w:val="00862B80"/>
    <w:rsid w:val="00867F2D"/>
    <w:rsid w:val="008C395D"/>
    <w:rsid w:val="008D167E"/>
    <w:rsid w:val="008D5107"/>
    <w:rsid w:val="008E01CC"/>
    <w:rsid w:val="008E0F16"/>
    <w:rsid w:val="008F073F"/>
    <w:rsid w:val="008F7454"/>
    <w:rsid w:val="00901768"/>
    <w:rsid w:val="00910EE2"/>
    <w:rsid w:val="00912712"/>
    <w:rsid w:val="009160A1"/>
    <w:rsid w:val="00916646"/>
    <w:rsid w:val="00940425"/>
    <w:rsid w:val="0094372E"/>
    <w:rsid w:val="00944889"/>
    <w:rsid w:val="00944ACB"/>
    <w:rsid w:val="00954F29"/>
    <w:rsid w:val="009639D8"/>
    <w:rsid w:val="00970EBD"/>
    <w:rsid w:val="00977169"/>
    <w:rsid w:val="00982DCB"/>
    <w:rsid w:val="0099293B"/>
    <w:rsid w:val="00993631"/>
    <w:rsid w:val="009C2EB2"/>
    <w:rsid w:val="009C3B26"/>
    <w:rsid w:val="009C631C"/>
    <w:rsid w:val="009C6F44"/>
    <w:rsid w:val="009E468E"/>
    <w:rsid w:val="009E7D2D"/>
    <w:rsid w:val="009F0C86"/>
    <w:rsid w:val="00A13545"/>
    <w:rsid w:val="00A15861"/>
    <w:rsid w:val="00A36766"/>
    <w:rsid w:val="00A42148"/>
    <w:rsid w:val="00A423F4"/>
    <w:rsid w:val="00A5728B"/>
    <w:rsid w:val="00A73084"/>
    <w:rsid w:val="00AA63B4"/>
    <w:rsid w:val="00AB2385"/>
    <w:rsid w:val="00AB592B"/>
    <w:rsid w:val="00AC32B9"/>
    <w:rsid w:val="00AC386B"/>
    <w:rsid w:val="00AD262C"/>
    <w:rsid w:val="00AF202C"/>
    <w:rsid w:val="00B12DC6"/>
    <w:rsid w:val="00B221EF"/>
    <w:rsid w:val="00B33343"/>
    <w:rsid w:val="00B371E6"/>
    <w:rsid w:val="00B46101"/>
    <w:rsid w:val="00B703BA"/>
    <w:rsid w:val="00B94238"/>
    <w:rsid w:val="00BA0EC0"/>
    <w:rsid w:val="00BA31D7"/>
    <w:rsid w:val="00BA614C"/>
    <w:rsid w:val="00BA6F99"/>
    <w:rsid w:val="00BB384B"/>
    <w:rsid w:val="00BB7C6C"/>
    <w:rsid w:val="00BC07CE"/>
    <w:rsid w:val="00BD113A"/>
    <w:rsid w:val="00BE6FF6"/>
    <w:rsid w:val="00BF08E2"/>
    <w:rsid w:val="00BF0AE9"/>
    <w:rsid w:val="00C0478C"/>
    <w:rsid w:val="00C123CF"/>
    <w:rsid w:val="00C25918"/>
    <w:rsid w:val="00C26ED3"/>
    <w:rsid w:val="00C304B6"/>
    <w:rsid w:val="00C40422"/>
    <w:rsid w:val="00C44A55"/>
    <w:rsid w:val="00C456A7"/>
    <w:rsid w:val="00C72280"/>
    <w:rsid w:val="00C738EA"/>
    <w:rsid w:val="00C84563"/>
    <w:rsid w:val="00C84D0C"/>
    <w:rsid w:val="00CA674F"/>
    <w:rsid w:val="00CC21A5"/>
    <w:rsid w:val="00CC27FD"/>
    <w:rsid w:val="00CC3808"/>
    <w:rsid w:val="00CC7D83"/>
    <w:rsid w:val="00CD2EB4"/>
    <w:rsid w:val="00CD3884"/>
    <w:rsid w:val="00CD7184"/>
    <w:rsid w:val="00CE1ADD"/>
    <w:rsid w:val="00CE1C13"/>
    <w:rsid w:val="00CE57D6"/>
    <w:rsid w:val="00D011BF"/>
    <w:rsid w:val="00D1365B"/>
    <w:rsid w:val="00D163A4"/>
    <w:rsid w:val="00D249A4"/>
    <w:rsid w:val="00D44DC4"/>
    <w:rsid w:val="00D61158"/>
    <w:rsid w:val="00D62637"/>
    <w:rsid w:val="00D81765"/>
    <w:rsid w:val="00D83F20"/>
    <w:rsid w:val="00DB1F29"/>
    <w:rsid w:val="00DB5005"/>
    <w:rsid w:val="00DC1A42"/>
    <w:rsid w:val="00DE05E3"/>
    <w:rsid w:val="00DE38F0"/>
    <w:rsid w:val="00DF0116"/>
    <w:rsid w:val="00DF58EC"/>
    <w:rsid w:val="00DF7379"/>
    <w:rsid w:val="00E03525"/>
    <w:rsid w:val="00E06CEF"/>
    <w:rsid w:val="00E276DB"/>
    <w:rsid w:val="00E35DC8"/>
    <w:rsid w:val="00E3613A"/>
    <w:rsid w:val="00E3793B"/>
    <w:rsid w:val="00E45B20"/>
    <w:rsid w:val="00E66FF1"/>
    <w:rsid w:val="00E706C2"/>
    <w:rsid w:val="00E7196B"/>
    <w:rsid w:val="00E765E0"/>
    <w:rsid w:val="00E77C7C"/>
    <w:rsid w:val="00E85915"/>
    <w:rsid w:val="00E9058B"/>
    <w:rsid w:val="00E955E5"/>
    <w:rsid w:val="00E9560A"/>
    <w:rsid w:val="00E97207"/>
    <w:rsid w:val="00EC0520"/>
    <w:rsid w:val="00EC1EC3"/>
    <w:rsid w:val="00EE0715"/>
    <w:rsid w:val="00F0550D"/>
    <w:rsid w:val="00F161C6"/>
    <w:rsid w:val="00F179B2"/>
    <w:rsid w:val="00F23A8E"/>
    <w:rsid w:val="00F23AC7"/>
    <w:rsid w:val="00F32BC0"/>
    <w:rsid w:val="00F4753A"/>
    <w:rsid w:val="00F54488"/>
    <w:rsid w:val="00F54E9E"/>
    <w:rsid w:val="00F63297"/>
    <w:rsid w:val="00F63D5F"/>
    <w:rsid w:val="00F75569"/>
    <w:rsid w:val="00FA45C5"/>
    <w:rsid w:val="00FA4EB4"/>
    <w:rsid w:val="00FB4594"/>
    <w:rsid w:val="00FB48C0"/>
    <w:rsid w:val="00FC7B2F"/>
    <w:rsid w:val="00FE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tabs>
        <w:tab w:val="left" w:pos="0"/>
        <w:tab w:val="left" w:pos="2448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color w:val="000000"/>
      <w:sz w:val="28"/>
    </w:rPr>
  </w:style>
  <w:style w:type="paragraph" w:styleId="Heading4">
    <w:name w:val="heading 4"/>
    <w:basedOn w:val="Normal"/>
    <w:next w:val="Normal"/>
    <w:qFormat/>
    <w:pPr>
      <w:keepNext/>
      <w:widowControl/>
      <w:tabs>
        <w:tab w:val="left" w:pos="0"/>
        <w:tab w:val="left" w:pos="432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firstLine="432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widowControl/>
      <w:tabs>
        <w:tab w:val="left" w:pos="9270"/>
      </w:tabs>
      <w:outlineLvl w:val="4"/>
    </w:pPr>
    <w:rPr>
      <w:i/>
      <w:iCs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Footer">
    <w:name w:val="footer"/>
    <w:basedOn w:val="Normal"/>
  </w:style>
  <w:style w:type="character" w:styleId="PageNumber">
    <w:name w:val="page number"/>
    <w:rPr>
      <w:color w:val="000000"/>
    </w:rPr>
  </w:style>
  <w:style w:type="paragraph" w:styleId="Title">
    <w:name w:val="Title"/>
    <w:basedOn w:val="Normal"/>
    <w:qFormat/>
    <w:pPr>
      <w:tabs>
        <w:tab w:val="left" w:pos="0"/>
        <w:tab w:val="left" w:pos="94"/>
        <w:tab w:val="center" w:pos="3874"/>
        <w:tab w:val="left" w:pos="4234"/>
        <w:tab w:val="left" w:pos="4954"/>
        <w:tab w:val="left" w:pos="5674"/>
        <w:tab w:val="left" w:pos="6394"/>
        <w:tab w:val="left" w:pos="7114"/>
        <w:tab w:val="left" w:pos="7834"/>
        <w:tab w:val="right" w:pos="8554"/>
      </w:tabs>
      <w:ind w:left="805" w:hanging="805"/>
      <w:jc w:val="center"/>
    </w:pPr>
    <w:rPr>
      <w:rFonts w:ascii="Courier New" w:hAnsi="Courier New"/>
      <w:color w:val="000000"/>
      <w:sz w:val="44"/>
    </w:rPr>
  </w:style>
  <w:style w:type="paragraph" w:styleId="Subtitle">
    <w:name w:val="Subtitle"/>
    <w:basedOn w:val="Normal"/>
    <w:qFormat/>
    <w:pPr>
      <w:jc w:val="center"/>
    </w:pPr>
    <w:rPr>
      <w:rFonts w:ascii="Courier New" w:hAnsi="Courier New"/>
      <w:color w:val="000000"/>
      <w:sz w:val="60"/>
    </w:rPr>
  </w:style>
  <w:style w:type="paragraph" w:styleId="BodyText">
    <w:name w:val="Body Text"/>
    <w:basedOn w:val="Normal"/>
    <w:pPr>
      <w:jc w:val="both"/>
    </w:pPr>
  </w:style>
  <w:style w:type="paragraph" w:styleId="BodyTextIndent">
    <w:name w:val="Body Text Indent"/>
    <w:basedOn w:val="Normal"/>
    <w:pPr>
      <w:widowControl/>
      <w:tabs>
        <w:tab w:val="left" w:pos="432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432" w:hanging="432"/>
      <w:jc w:val="both"/>
    </w:pPr>
    <w:rPr>
      <w:sz w:val="20"/>
    </w:rPr>
  </w:style>
  <w:style w:type="paragraph" w:styleId="Header">
    <w:name w:val="header"/>
    <w:basedOn w:val="Normal"/>
    <w:pPr>
      <w:widowControl/>
      <w:tabs>
        <w:tab w:val="center" w:pos="4320"/>
        <w:tab w:val="right" w:pos="8640"/>
      </w:tabs>
    </w:pPr>
    <w:rPr>
      <w:snapToGrid/>
      <w:sz w:val="20"/>
    </w:rPr>
  </w:style>
  <w:style w:type="paragraph" w:styleId="FootnoteText">
    <w:name w:val="footnote text"/>
    <w:basedOn w:val="Normal"/>
    <w:semiHidden/>
    <w:pPr>
      <w:widowControl/>
    </w:pPr>
    <w:rPr>
      <w:snapToGrid/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2">
    <w:name w:val="Body Text 2"/>
    <w:basedOn w:val="Normal"/>
    <w:link w:val="BodyText2Char"/>
    <w:pPr>
      <w:widowControl/>
      <w:tabs>
        <w:tab w:val="left" w:pos="540"/>
        <w:tab w:val="left" w:pos="1260"/>
        <w:tab w:val="left" w:pos="1980"/>
        <w:tab w:val="left" w:pos="2700"/>
        <w:tab w:val="left" w:pos="3420"/>
        <w:tab w:val="left" w:pos="4140"/>
        <w:tab w:val="left" w:pos="4860"/>
        <w:tab w:val="left" w:pos="5580"/>
        <w:tab w:val="left" w:pos="6300"/>
        <w:tab w:val="left" w:pos="7020"/>
        <w:tab w:val="left" w:pos="7740"/>
        <w:tab w:val="left" w:pos="8460"/>
      </w:tabs>
      <w:jc w:val="both"/>
    </w:pPr>
    <w:rPr>
      <w:color w:val="000000"/>
      <w:sz w:val="20"/>
    </w:rPr>
  </w:style>
  <w:style w:type="paragraph" w:styleId="BodyText3">
    <w:name w:val="Body Text 3"/>
    <w:basedOn w:val="Normal"/>
    <w:pPr>
      <w:jc w:val="both"/>
    </w:pPr>
    <w:rPr>
      <w:sz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able">
    <w:name w:val="table"/>
    <w:basedOn w:val="Normal"/>
    <w:pPr>
      <w:suppressAutoHyphens/>
      <w:overflowPunct w:val="0"/>
      <w:autoSpaceDE w:val="0"/>
      <w:autoSpaceDN w:val="0"/>
      <w:adjustRightInd w:val="0"/>
      <w:spacing w:before="60"/>
      <w:ind w:right="45"/>
      <w:textAlignment w:val="baseline"/>
    </w:pPr>
    <w:rPr>
      <w:i/>
      <w:snapToGrid/>
      <w:spacing w:val="-3"/>
      <w:sz w:val="18"/>
    </w:rPr>
  </w:style>
  <w:style w:type="paragraph" w:styleId="EndnoteText">
    <w:name w:val="endnote text"/>
    <w:basedOn w:val="Normal"/>
    <w:semiHidden/>
    <w:pPr>
      <w:widowControl/>
    </w:pPr>
    <w:rPr>
      <w:snapToGrid/>
      <w:sz w:val="20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BalloonText">
    <w:name w:val="Balloon Text"/>
    <w:basedOn w:val="Normal"/>
    <w:semiHidden/>
    <w:rsid w:val="006C1B2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EE0715"/>
    <w:pPr>
      <w:shd w:val="clear" w:color="auto" w:fill="000080"/>
    </w:pPr>
    <w:rPr>
      <w:rFonts w:ascii="Tahoma" w:hAnsi="Tahoma" w:cs="Tahoma"/>
      <w:sz w:val="20"/>
    </w:rPr>
  </w:style>
  <w:style w:type="paragraph" w:customStyle="1" w:styleId="Default">
    <w:name w:val="Default"/>
    <w:rsid w:val="00940425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CommentReference">
    <w:name w:val="annotation reference"/>
    <w:basedOn w:val="DefaultParagraphFont"/>
    <w:rsid w:val="00A5728B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728B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A5728B"/>
    <w:rPr>
      <w:snapToGrid w:val="0"/>
    </w:rPr>
  </w:style>
  <w:style w:type="paragraph" w:styleId="CommentSubject">
    <w:name w:val="annotation subject"/>
    <w:basedOn w:val="CommentText"/>
    <w:next w:val="CommentText"/>
    <w:link w:val="CommentSubjectChar"/>
    <w:rsid w:val="00A572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5728B"/>
    <w:rPr>
      <w:b/>
      <w:bCs/>
      <w:snapToGrid w:val="0"/>
    </w:rPr>
  </w:style>
  <w:style w:type="character" w:customStyle="1" w:styleId="BodyText2Char">
    <w:name w:val="Body Text 2 Char"/>
    <w:link w:val="BodyText2"/>
    <w:rsid w:val="00BE6FF6"/>
    <w:rPr>
      <w:snapToGrid w:val="0"/>
      <w:color w:val="000000"/>
    </w:rPr>
  </w:style>
  <w:style w:type="paragraph" w:styleId="ListParagraph">
    <w:name w:val="List Paragraph"/>
    <w:basedOn w:val="Normal"/>
    <w:uiPriority w:val="34"/>
    <w:qFormat/>
    <w:rsid w:val="000258AF"/>
    <w:pPr>
      <w:ind w:left="720"/>
      <w:contextualSpacing/>
    </w:pPr>
  </w:style>
  <w:style w:type="paragraph" w:styleId="Revision">
    <w:name w:val="Revision"/>
    <w:hidden/>
    <w:uiPriority w:val="99"/>
    <w:semiHidden/>
    <w:rsid w:val="000B1A75"/>
    <w:rPr>
      <w:snapToGrid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tabs>
        <w:tab w:val="left" w:pos="0"/>
        <w:tab w:val="left" w:pos="2448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color w:val="000000"/>
      <w:sz w:val="28"/>
    </w:rPr>
  </w:style>
  <w:style w:type="paragraph" w:styleId="Heading4">
    <w:name w:val="heading 4"/>
    <w:basedOn w:val="Normal"/>
    <w:next w:val="Normal"/>
    <w:qFormat/>
    <w:pPr>
      <w:keepNext/>
      <w:widowControl/>
      <w:tabs>
        <w:tab w:val="left" w:pos="0"/>
        <w:tab w:val="left" w:pos="432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firstLine="432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widowControl/>
      <w:tabs>
        <w:tab w:val="left" w:pos="9270"/>
      </w:tabs>
      <w:outlineLvl w:val="4"/>
    </w:pPr>
    <w:rPr>
      <w:i/>
      <w:iCs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Footer">
    <w:name w:val="footer"/>
    <w:basedOn w:val="Normal"/>
  </w:style>
  <w:style w:type="character" w:styleId="PageNumber">
    <w:name w:val="page number"/>
    <w:rPr>
      <w:color w:val="000000"/>
    </w:rPr>
  </w:style>
  <w:style w:type="paragraph" w:styleId="Title">
    <w:name w:val="Title"/>
    <w:basedOn w:val="Normal"/>
    <w:qFormat/>
    <w:pPr>
      <w:tabs>
        <w:tab w:val="left" w:pos="0"/>
        <w:tab w:val="left" w:pos="94"/>
        <w:tab w:val="center" w:pos="3874"/>
        <w:tab w:val="left" w:pos="4234"/>
        <w:tab w:val="left" w:pos="4954"/>
        <w:tab w:val="left" w:pos="5674"/>
        <w:tab w:val="left" w:pos="6394"/>
        <w:tab w:val="left" w:pos="7114"/>
        <w:tab w:val="left" w:pos="7834"/>
        <w:tab w:val="right" w:pos="8554"/>
      </w:tabs>
      <w:ind w:left="805" w:hanging="805"/>
      <w:jc w:val="center"/>
    </w:pPr>
    <w:rPr>
      <w:rFonts w:ascii="Courier New" w:hAnsi="Courier New"/>
      <w:color w:val="000000"/>
      <w:sz w:val="44"/>
    </w:rPr>
  </w:style>
  <w:style w:type="paragraph" w:styleId="Subtitle">
    <w:name w:val="Subtitle"/>
    <w:basedOn w:val="Normal"/>
    <w:qFormat/>
    <w:pPr>
      <w:jc w:val="center"/>
    </w:pPr>
    <w:rPr>
      <w:rFonts w:ascii="Courier New" w:hAnsi="Courier New"/>
      <w:color w:val="000000"/>
      <w:sz w:val="60"/>
    </w:rPr>
  </w:style>
  <w:style w:type="paragraph" w:styleId="BodyText">
    <w:name w:val="Body Text"/>
    <w:basedOn w:val="Normal"/>
    <w:pPr>
      <w:jc w:val="both"/>
    </w:pPr>
  </w:style>
  <w:style w:type="paragraph" w:styleId="BodyTextIndent">
    <w:name w:val="Body Text Indent"/>
    <w:basedOn w:val="Normal"/>
    <w:pPr>
      <w:widowControl/>
      <w:tabs>
        <w:tab w:val="left" w:pos="432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432" w:hanging="432"/>
      <w:jc w:val="both"/>
    </w:pPr>
    <w:rPr>
      <w:sz w:val="20"/>
    </w:rPr>
  </w:style>
  <w:style w:type="paragraph" w:styleId="Header">
    <w:name w:val="header"/>
    <w:basedOn w:val="Normal"/>
    <w:pPr>
      <w:widowControl/>
      <w:tabs>
        <w:tab w:val="center" w:pos="4320"/>
        <w:tab w:val="right" w:pos="8640"/>
      </w:tabs>
    </w:pPr>
    <w:rPr>
      <w:snapToGrid/>
      <w:sz w:val="20"/>
    </w:rPr>
  </w:style>
  <w:style w:type="paragraph" w:styleId="FootnoteText">
    <w:name w:val="footnote text"/>
    <w:basedOn w:val="Normal"/>
    <w:semiHidden/>
    <w:pPr>
      <w:widowControl/>
    </w:pPr>
    <w:rPr>
      <w:snapToGrid/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2">
    <w:name w:val="Body Text 2"/>
    <w:basedOn w:val="Normal"/>
    <w:link w:val="BodyText2Char"/>
    <w:pPr>
      <w:widowControl/>
      <w:tabs>
        <w:tab w:val="left" w:pos="540"/>
        <w:tab w:val="left" w:pos="1260"/>
        <w:tab w:val="left" w:pos="1980"/>
        <w:tab w:val="left" w:pos="2700"/>
        <w:tab w:val="left" w:pos="3420"/>
        <w:tab w:val="left" w:pos="4140"/>
        <w:tab w:val="left" w:pos="4860"/>
        <w:tab w:val="left" w:pos="5580"/>
        <w:tab w:val="left" w:pos="6300"/>
        <w:tab w:val="left" w:pos="7020"/>
        <w:tab w:val="left" w:pos="7740"/>
        <w:tab w:val="left" w:pos="8460"/>
      </w:tabs>
      <w:jc w:val="both"/>
    </w:pPr>
    <w:rPr>
      <w:color w:val="000000"/>
      <w:sz w:val="20"/>
    </w:rPr>
  </w:style>
  <w:style w:type="paragraph" w:styleId="BodyText3">
    <w:name w:val="Body Text 3"/>
    <w:basedOn w:val="Normal"/>
    <w:pPr>
      <w:jc w:val="both"/>
    </w:pPr>
    <w:rPr>
      <w:sz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able">
    <w:name w:val="table"/>
    <w:basedOn w:val="Normal"/>
    <w:pPr>
      <w:suppressAutoHyphens/>
      <w:overflowPunct w:val="0"/>
      <w:autoSpaceDE w:val="0"/>
      <w:autoSpaceDN w:val="0"/>
      <w:adjustRightInd w:val="0"/>
      <w:spacing w:before="60"/>
      <w:ind w:right="45"/>
      <w:textAlignment w:val="baseline"/>
    </w:pPr>
    <w:rPr>
      <w:i/>
      <w:snapToGrid/>
      <w:spacing w:val="-3"/>
      <w:sz w:val="18"/>
    </w:rPr>
  </w:style>
  <w:style w:type="paragraph" w:styleId="EndnoteText">
    <w:name w:val="endnote text"/>
    <w:basedOn w:val="Normal"/>
    <w:semiHidden/>
    <w:pPr>
      <w:widowControl/>
    </w:pPr>
    <w:rPr>
      <w:snapToGrid/>
      <w:sz w:val="20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BalloonText">
    <w:name w:val="Balloon Text"/>
    <w:basedOn w:val="Normal"/>
    <w:semiHidden/>
    <w:rsid w:val="006C1B2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EE0715"/>
    <w:pPr>
      <w:shd w:val="clear" w:color="auto" w:fill="000080"/>
    </w:pPr>
    <w:rPr>
      <w:rFonts w:ascii="Tahoma" w:hAnsi="Tahoma" w:cs="Tahoma"/>
      <w:sz w:val="20"/>
    </w:rPr>
  </w:style>
  <w:style w:type="paragraph" w:customStyle="1" w:styleId="Default">
    <w:name w:val="Default"/>
    <w:rsid w:val="00940425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CommentReference">
    <w:name w:val="annotation reference"/>
    <w:basedOn w:val="DefaultParagraphFont"/>
    <w:rsid w:val="00A5728B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728B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A5728B"/>
    <w:rPr>
      <w:snapToGrid w:val="0"/>
    </w:rPr>
  </w:style>
  <w:style w:type="paragraph" w:styleId="CommentSubject">
    <w:name w:val="annotation subject"/>
    <w:basedOn w:val="CommentText"/>
    <w:next w:val="CommentText"/>
    <w:link w:val="CommentSubjectChar"/>
    <w:rsid w:val="00A572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5728B"/>
    <w:rPr>
      <w:b/>
      <w:bCs/>
      <w:snapToGrid w:val="0"/>
    </w:rPr>
  </w:style>
  <w:style w:type="character" w:customStyle="1" w:styleId="BodyText2Char">
    <w:name w:val="Body Text 2 Char"/>
    <w:link w:val="BodyText2"/>
    <w:rsid w:val="00BE6FF6"/>
    <w:rPr>
      <w:snapToGrid w:val="0"/>
      <w:color w:val="000000"/>
    </w:rPr>
  </w:style>
  <w:style w:type="paragraph" w:styleId="ListParagraph">
    <w:name w:val="List Paragraph"/>
    <w:basedOn w:val="Normal"/>
    <w:uiPriority w:val="34"/>
    <w:qFormat/>
    <w:rsid w:val="000258AF"/>
    <w:pPr>
      <w:ind w:left="720"/>
      <w:contextualSpacing/>
    </w:pPr>
  </w:style>
  <w:style w:type="paragraph" w:styleId="Revision">
    <w:name w:val="Revision"/>
    <w:hidden/>
    <w:uiPriority w:val="99"/>
    <w:semiHidden/>
    <w:rsid w:val="000B1A75"/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hyperlink" Target="http://www.nist.gov/srm/publications.cfm" TargetMode="External"/><Relationship Id="rId3" Type="http://schemas.openxmlformats.org/officeDocument/2006/relationships/styles" Target="styles.xml"/><Relationship Id="rId21" Type="http://schemas.openxmlformats.org/officeDocument/2006/relationships/hyperlink" Target="http://pubs.usgs.gov/wri/wri014222/pdf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ciaaw.org/Carbon.htm" TargetMode="External"/><Relationship Id="rId17" Type="http://schemas.openxmlformats.org/officeDocument/2006/relationships/hyperlink" Target="http://onlinelibrary.wiley.com/doi/10.1002/rcm.5129/pdf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hyperlink" Target="http://www.nist.gov/pml/pubs/index.cf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Microsoft_Word_97_-_2003_Document2.doc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wmf"/><Relationship Id="rId23" Type="http://schemas.openxmlformats.org/officeDocument/2006/relationships/footer" Target="footer1.xml"/><Relationship Id="rId10" Type="http://schemas.openxmlformats.org/officeDocument/2006/relationships/oleObject" Target="embeddings/Microsoft_Word_97_-_2003_Document1.doc"/><Relationship Id="rId19" Type="http://schemas.openxmlformats.org/officeDocument/2006/relationships/hyperlink" Target="http://www.bipm.org/utils/common/documents/jcgm/JCGM_100_2008_E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1.bin"/><Relationship Id="rId22" Type="http://schemas.openxmlformats.org/officeDocument/2006/relationships/hyperlink" Target="https://www-s.nist.gov/srmors/viewTableV.cfm?tableid=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3E9A2-2EB7-47F7-822F-B0B622262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1638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ROI RM 8543</vt:lpstr>
    </vt:vector>
  </TitlesOfParts>
  <Company>USGS</Company>
  <LinksUpToDate>false</LinksUpToDate>
  <CharactersWithSpaces>11619</CharactersWithSpaces>
  <SharedDoc>false</SharedDoc>
  <HLinks>
    <vt:vector size="6" baseType="variant">
      <vt:variant>
        <vt:i4>5046337</vt:i4>
      </vt:variant>
      <vt:variant>
        <vt:i4>0</vt:i4>
      </vt:variant>
      <vt:variant>
        <vt:i4>0</vt:i4>
      </vt:variant>
      <vt:variant>
        <vt:i4>5</vt:i4>
      </vt:variant>
      <vt:variant>
        <vt:lpwstr>http://physics.nist.gov/Pubs/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ROI RM 8543</dc:title>
  <dc:creator>Robert Vocke</dc:creator>
  <cp:lastModifiedBy>Thomas P Shuggars</cp:lastModifiedBy>
  <cp:revision>5</cp:revision>
  <cp:lastPrinted>2013-03-28T17:31:00Z</cp:lastPrinted>
  <dcterms:created xsi:type="dcterms:W3CDTF">2013-04-09T14:53:00Z</dcterms:created>
  <dcterms:modified xsi:type="dcterms:W3CDTF">2013-04-09T17:21:00Z</dcterms:modified>
</cp:coreProperties>
</file>