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6B450" w14:textId="77777777"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3345E48F" wp14:editId="1B5E1D37">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098043D2" w14:textId="7BC71ED5" w:rsidR="006F0F73" w:rsidRPr="00ED034D" w:rsidRDefault="000B3F24" w:rsidP="006B75AB">
      <w:pPr>
        <w:widowControl/>
        <w:ind w:left="2246"/>
        <w:jc w:val="right"/>
        <w:rPr>
          <w:rFonts w:eastAsia="Times New Roman"/>
          <w:bCs/>
          <w:sz w:val="24"/>
          <w:szCs w:val="24"/>
        </w:rPr>
      </w:pPr>
      <w:r>
        <w:rPr>
          <w:rFonts w:eastAsia="Times New Roman"/>
          <w:bCs/>
          <w:sz w:val="24"/>
          <w:szCs w:val="24"/>
        </w:rPr>
        <w:t>2</w:t>
      </w:r>
      <w:r w:rsidR="003E7137">
        <w:rPr>
          <w:rFonts w:eastAsia="Times New Roman"/>
          <w:bCs/>
          <w:sz w:val="24"/>
          <w:szCs w:val="24"/>
        </w:rPr>
        <w:t>7</w:t>
      </w:r>
      <w:r>
        <w:rPr>
          <w:rFonts w:eastAsia="Times New Roman"/>
          <w:bCs/>
          <w:sz w:val="24"/>
          <w:szCs w:val="24"/>
        </w:rPr>
        <w:t xml:space="preserve"> March </w:t>
      </w:r>
      <w:r w:rsidR="00334E80">
        <w:rPr>
          <w:rFonts w:eastAsia="Times New Roman"/>
          <w:bCs/>
          <w:sz w:val="24"/>
          <w:szCs w:val="24"/>
        </w:rPr>
        <w:t>2015</w:t>
      </w:r>
    </w:p>
    <w:p w14:paraId="18B69234" w14:textId="77777777" w:rsidR="006F0F73" w:rsidRPr="00ED034D" w:rsidRDefault="006F0F73" w:rsidP="006B75AB">
      <w:pPr>
        <w:widowControl/>
        <w:ind w:left="2246" w:right="-14"/>
        <w:jc w:val="right"/>
        <w:rPr>
          <w:rFonts w:eastAsia="Times New Roman"/>
          <w:bCs/>
          <w:sz w:val="24"/>
          <w:szCs w:val="24"/>
        </w:rPr>
      </w:pPr>
    </w:p>
    <w:p w14:paraId="2F13903C" w14:textId="77777777" w:rsidR="00E24579" w:rsidRPr="00221CD6" w:rsidRDefault="00BF5DD9" w:rsidP="006B75AB">
      <w:pPr>
        <w:widowControl/>
        <w:ind w:left="2242" w:right="2104"/>
        <w:jc w:val="center"/>
        <w:rPr>
          <w:rFonts w:eastAsia="Times New Roman"/>
          <w:sz w:val="32"/>
          <w:szCs w:val="32"/>
        </w:rPr>
      </w:pPr>
      <w:r w:rsidRPr="00221CD6">
        <w:rPr>
          <w:rFonts w:eastAsia="Times New Roman"/>
          <w:b/>
          <w:bCs/>
          <w:sz w:val="32"/>
          <w:szCs w:val="32"/>
        </w:rPr>
        <w:t>SA</w:t>
      </w:r>
      <w:r w:rsidRPr="00221CD6">
        <w:rPr>
          <w:rFonts w:eastAsia="Times New Roman"/>
          <w:b/>
          <w:bCs/>
          <w:spacing w:val="-1"/>
          <w:sz w:val="32"/>
          <w:szCs w:val="32"/>
        </w:rPr>
        <w:t>F</w:t>
      </w:r>
      <w:r w:rsidRPr="00221CD6">
        <w:rPr>
          <w:rFonts w:eastAsia="Times New Roman"/>
          <w:b/>
          <w:bCs/>
          <w:spacing w:val="1"/>
          <w:sz w:val="32"/>
          <w:szCs w:val="32"/>
        </w:rPr>
        <w:t>ET</w:t>
      </w:r>
      <w:r w:rsidRPr="00221CD6">
        <w:rPr>
          <w:rFonts w:eastAsia="Times New Roman"/>
          <w:b/>
          <w:bCs/>
          <w:sz w:val="32"/>
          <w:szCs w:val="32"/>
        </w:rPr>
        <w:t>Y</w:t>
      </w:r>
      <w:r w:rsidRPr="00221CD6">
        <w:rPr>
          <w:rFonts w:eastAsia="Times New Roman"/>
          <w:b/>
          <w:bCs/>
          <w:spacing w:val="-14"/>
          <w:sz w:val="32"/>
          <w:szCs w:val="32"/>
        </w:rPr>
        <w:t xml:space="preserve"> </w:t>
      </w:r>
      <w:r w:rsidRPr="00221CD6">
        <w:rPr>
          <w:rFonts w:eastAsia="Times New Roman"/>
          <w:b/>
          <w:bCs/>
          <w:sz w:val="32"/>
          <w:szCs w:val="32"/>
        </w:rPr>
        <w:t>DA</w:t>
      </w:r>
      <w:r w:rsidRPr="00221CD6">
        <w:rPr>
          <w:rFonts w:eastAsia="Times New Roman"/>
          <w:b/>
          <w:bCs/>
          <w:spacing w:val="1"/>
          <w:sz w:val="32"/>
          <w:szCs w:val="32"/>
        </w:rPr>
        <w:t>T</w:t>
      </w:r>
      <w:r w:rsidRPr="00221CD6">
        <w:rPr>
          <w:rFonts w:eastAsia="Times New Roman"/>
          <w:b/>
          <w:bCs/>
          <w:sz w:val="32"/>
          <w:szCs w:val="32"/>
        </w:rPr>
        <w:t>A</w:t>
      </w:r>
      <w:r w:rsidRPr="00221CD6">
        <w:rPr>
          <w:rFonts w:eastAsia="Times New Roman"/>
          <w:b/>
          <w:bCs/>
          <w:spacing w:val="-10"/>
          <w:sz w:val="32"/>
          <w:szCs w:val="32"/>
        </w:rPr>
        <w:t xml:space="preserve"> </w:t>
      </w:r>
      <w:r w:rsidRPr="00221CD6">
        <w:rPr>
          <w:rFonts w:eastAsia="Times New Roman"/>
          <w:b/>
          <w:bCs/>
          <w:w w:val="99"/>
          <w:sz w:val="32"/>
          <w:szCs w:val="32"/>
        </w:rPr>
        <w:t>S</w:t>
      </w:r>
      <w:r w:rsidRPr="00221CD6">
        <w:rPr>
          <w:rFonts w:eastAsia="Times New Roman"/>
          <w:b/>
          <w:bCs/>
          <w:spacing w:val="-1"/>
          <w:w w:val="99"/>
          <w:sz w:val="32"/>
          <w:szCs w:val="32"/>
        </w:rPr>
        <w:t>H</w:t>
      </w:r>
      <w:r w:rsidRPr="00221CD6">
        <w:rPr>
          <w:rFonts w:eastAsia="Times New Roman"/>
          <w:b/>
          <w:bCs/>
          <w:spacing w:val="1"/>
          <w:w w:val="99"/>
          <w:sz w:val="32"/>
          <w:szCs w:val="32"/>
        </w:rPr>
        <w:t>EE</w:t>
      </w:r>
      <w:r w:rsidRPr="00221CD6">
        <w:rPr>
          <w:rFonts w:eastAsia="Times New Roman"/>
          <w:b/>
          <w:bCs/>
          <w:w w:val="99"/>
          <w:sz w:val="32"/>
          <w:szCs w:val="32"/>
        </w:rPr>
        <w:t>T</w:t>
      </w:r>
    </w:p>
    <w:p w14:paraId="1C91223E" w14:textId="77777777" w:rsidR="00D60A36" w:rsidRPr="00221CD6" w:rsidRDefault="00D60A36" w:rsidP="006B75A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221CD6" w14:paraId="2BDF3ABA" w14:textId="77777777" w:rsidTr="00D60A36">
        <w:trPr>
          <w:trHeight w:hRule="exact" w:val="360"/>
        </w:trPr>
        <w:tc>
          <w:tcPr>
            <w:tcW w:w="9576" w:type="dxa"/>
            <w:vAlign w:val="center"/>
          </w:tcPr>
          <w:p w14:paraId="06DB7334" w14:textId="77777777" w:rsidR="00D60A36" w:rsidRPr="00221CD6" w:rsidRDefault="00D60A36" w:rsidP="006B75AB">
            <w:pPr>
              <w:keepNext/>
              <w:widowControl/>
              <w:rPr>
                <w:sz w:val="24"/>
                <w:szCs w:val="24"/>
              </w:rPr>
            </w:pPr>
            <w:r w:rsidRPr="00221CD6">
              <w:rPr>
                <w:rFonts w:eastAsia="Times New Roman"/>
                <w:b/>
                <w:bCs/>
                <w:sz w:val="24"/>
                <w:szCs w:val="24"/>
              </w:rPr>
              <w:t>1.</w:t>
            </w:r>
            <w:r w:rsidRPr="00221CD6">
              <w:rPr>
                <w:rFonts w:eastAsia="Times New Roman"/>
                <w:b/>
                <w:bCs/>
                <w:spacing w:val="36"/>
                <w:sz w:val="24"/>
                <w:szCs w:val="24"/>
              </w:rPr>
              <w:t xml:space="preserve"> </w:t>
            </w:r>
            <w:r w:rsidRPr="00221CD6">
              <w:rPr>
                <w:rFonts w:eastAsia="Times New Roman"/>
                <w:b/>
                <w:bCs/>
                <w:smallCaps/>
                <w:spacing w:val="1"/>
                <w:sz w:val="24"/>
                <w:szCs w:val="24"/>
              </w:rPr>
              <w:t>S</w:t>
            </w:r>
            <w:r w:rsidR="00D90F89" w:rsidRPr="00221CD6">
              <w:rPr>
                <w:rFonts w:eastAsia="Times New Roman"/>
                <w:b/>
                <w:bCs/>
                <w:smallCaps/>
                <w:sz w:val="24"/>
                <w:szCs w:val="24"/>
              </w:rPr>
              <w:t>ubstance and Source Identification</w:t>
            </w:r>
            <w:r w:rsidR="00D90F89" w:rsidRPr="00221CD6">
              <w:rPr>
                <w:rFonts w:eastAsia="Times New Roman"/>
                <w:bCs/>
                <w:smallCaps/>
                <w:sz w:val="24"/>
                <w:szCs w:val="24"/>
              </w:rPr>
              <w:t xml:space="preserve"> </w:t>
            </w:r>
          </w:p>
        </w:tc>
      </w:tr>
    </w:tbl>
    <w:p w14:paraId="2DDCCB30" w14:textId="77777777" w:rsidR="00150BAB" w:rsidRPr="00221CD6" w:rsidRDefault="007666FB" w:rsidP="006B75AB">
      <w:pPr>
        <w:widowControl/>
        <w:tabs>
          <w:tab w:val="left" w:pos="5440"/>
        </w:tabs>
        <w:spacing w:before="120"/>
        <w:rPr>
          <w:rFonts w:eastAsia="Times New Roman"/>
          <w:b/>
          <w:bCs/>
          <w:spacing w:val="1"/>
        </w:rPr>
      </w:pPr>
      <w:r w:rsidRPr="00221CD6">
        <w:rPr>
          <w:rFonts w:eastAsia="Times New Roman"/>
          <w:b/>
          <w:bCs/>
          <w:spacing w:val="1"/>
          <w:szCs w:val="20"/>
        </w:rPr>
        <w:t>P</w:t>
      </w:r>
      <w:r w:rsidR="00150BAB" w:rsidRPr="00221CD6">
        <w:rPr>
          <w:rFonts w:eastAsia="Times New Roman"/>
          <w:b/>
          <w:bCs/>
          <w:spacing w:val="1"/>
          <w:szCs w:val="20"/>
        </w:rPr>
        <w:t xml:space="preserve">roduct </w:t>
      </w:r>
      <w:r w:rsidR="00B124D7" w:rsidRPr="00221CD6">
        <w:rPr>
          <w:rFonts w:eastAsia="Times New Roman"/>
          <w:b/>
          <w:bCs/>
          <w:spacing w:val="1"/>
          <w:szCs w:val="20"/>
        </w:rPr>
        <w:t>Identifier</w:t>
      </w:r>
    </w:p>
    <w:p w14:paraId="0A6BAD35" w14:textId="741147A5" w:rsidR="001A0E78" w:rsidRPr="00221CD6" w:rsidRDefault="00145B5B" w:rsidP="006B75AB">
      <w:pPr>
        <w:pStyle w:val="ListParagraph"/>
        <w:widowControl/>
        <w:tabs>
          <w:tab w:val="left" w:pos="5440"/>
        </w:tabs>
        <w:ind w:left="360"/>
        <w:rPr>
          <w:rFonts w:eastAsia="Times New Roman"/>
          <w:bCs/>
          <w:szCs w:val="20"/>
        </w:rPr>
      </w:pPr>
      <w:r w:rsidRPr="00221CD6">
        <w:rPr>
          <w:rFonts w:eastAsia="Times New Roman"/>
          <w:b/>
          <w:bCs/>
          <w:spacing w:val="1"/>
          <w:szCs w:val="20"/>
        </w:rPr>
        <w:t>S</w:t>
      </w:r>
      <w:r w:rsidR="00150BAB" w:rsidRPr="00221CD6">
        <w:rPr>
          <w:rFonts w:eastAsia="Times New Roman"/>
          <w:b/>
          <w:bCs/>
          <w:spacing w:val="1"/>
          <w:szCs w:val="20"/>
        </w:rPr>
        <w:t>R</w:t>
      </w:r>
      <w:r w:rsidR="00150BAB" w:rsidRPr="00221CD6">
        <w:rPr>
          <w:rFonts w:eastAsia="Times New Roman"/>
          <w:b/>
          <w:bCs/>
          <w:szCs w:val="20"/>
        </w:rPr>
        <w:t>M</w:t>
      </w:r>
      <w:r w:rsidR="00150BAB" w:rsidRPr="00221CD6">
        <w:rPr>
          <w:rFonts w:eastAsia="Times New Roman"/>
          <w:b/>
          <w:bCs/>
          <w:spacing w:val="-5"/>
          <w:szCs w:val="20"/>
        </w:rPr>
        <w:t xml:space="preserve"> </w:t>
      </w:r>
      <w:r w:rsidR="00150BAB" w:rsidRPr="00221CD6">
        <w:rPr>
          <w:rFonts w:eastAsia="Times New Roman"/>
          <w:b/>
          <w:bCs/>
          <w:spacing w:val="1"/>
          <w:szCs w:val="20"/>
        </w:rPr>
        <w:t>Nu</w:t>
      </w:r>
      <w:r w:rsidR="00150BAB" w:rsidRPr="00221CD6">
        <w:rPr>
          <w:rFonts w:eastAsia="Times New Roman"/>
          <w:b/>
          <w:bCs/>
          <w:spacing w:val="3"/>
          <w:szCs w:val="20"/>
        </w:rPr>
        <w:t>m</w:t>
      </w:r>
      <w:r w:rsidR="00150BAB" w:rsidRPr="00221CD6">
        <w:rPr>
          <w:rFonts w:eastAsia="Times New Roman"/>
          <w:b/>
          <w:bCs/>
          <w:spacing w:val="1"/>
          <w:szCs w:val="20"/>
        </w:rPr>
        <w:t>b</w:t>
      </w:r>
      <w:r w:rsidR="00150BAB" w:rsidRPr="00221CD6">
        <w:rPr>
          <w:rFonts w:eastAsia="Times New Roman"/>
          <w:b/>
          <w:bCs/>
          <w:spacing w:val="-1"/>
          <w:szCs w:val="20"/>
        </w:rPr>
        <w:t>er</w:t>
      </w:r>
      <w:r w:rsidR="00150BAB" w:rsidRPr="00221CD6">
        <w:rPr>
          <w:rFonts w:eastAsia="Times New Roman"/>
          <w:b/>
          <w:bCs/>
          <w:szCs w:val="20"/>
        </w:rPr>
        <w:t>:</w:t>
      </w:r>
      <w:r w:rsidR="00150BAB" w:rsidRPr="00221CD6">
        <w:rPr>
          <w:rFonts w:eastAsia="Times New Roman"/>
          <w:bCs/>
          <w:spacing w:val="46"/>
          <w:szCs w:val="20"/>
        </w:rPr>
        <w:t xml:space="preserve"> </w:t>
      </w:r>
      <w:r w:rsidR="00E7608D" w:rsidRPr="00221CD6">
        <w:rPr>
          <w:rFonts w:eastAsia="Times New Roman"/>
          <w:bCs/>
          <w:szCs w:val="20"/>
        </w:rPr>
        <w:t xml:space="preserve"> </w:t>
      </w:r>
      <w:r w:rsidR="001B69CD">
        <w:rPr>
          <w:rFonts w:eastAsia="Times New Roman"/>
          <w:bCs/>
          <w:szCs w:val="20"/>
        </w:rPr>
        <w:t>1492</w:t>
      </w:r>
    </w:p>
    <w:p w14:paraId="5FE089A4" w14:textId="77777777" w:rsidR="00150BAB" w:rsidRPr="00221CD6" w:rsidRDefault="00145B5B" w:rsidP="006B75AB">
      <w:pPr>
        <w:pStyle w:val="ListParagraph"/>
        <w:widowControl/>
        <w:tabs>
          <w:tab w:val="left" w:pos="5440"/>
        </w:tabs>
        <w:ind w:left="360"/>
        <w:rPr>
          <w:rFonts w:eastAsia="Times New Roman"/>
          <w:bCs/>
          <w:szCs w:val="20"/>
        </w:rPr>
      </w:pPr>
      <w:r w:rsidRPr="00221CD6">
        <w:rPr>
          <w:rFonts w:eastAsia="Times New Roman"/>
          <w:b/>
          <w:bCs/>
          <w:spacing w:val="1"/>
          <w:szCs w:val="20"/>
        </w:rPr>
        <w:t>S</w:t>
      </w:r>
      <w:r w:rsidR="00150BAB" w:rsidRPr="00221CD6">
        <w:rPr>
          <w:rFonts w:eastAsia="Times New Roman"/>
          <w:b/>
          <w:bCs/>
          <w:spacing w:val="1"/>
          <w:szCs w:val="20"/>
        </w:rPr>
        <w:t>R</w:t>
      </w:r>
      <w:r w:rsidR="00150BAB" w:rsidRPr="00221CD6">
        <w:rPr>
          <w:rFonts w:eastAsia="Times New Roman"/>
          <w:b/>
          <w:bCs/>
          <w:szCs w:val="20"/>
        </w:rPr>
        <w:t>M</w:t>
      </w:r>
      <w:r w:rsidR="00150BAB" w:rsidRPr="00221CD6">
        <w:rPr>
          <w:rFonts w:eastAsia="Times New Roman"/>
          <w:b/>
          <w:bCs/>
          <w:spacing w:val="-5"/>
          <w:szCs w:val="20"/>
        </w:rPr>
        <w:t xml:space="preserve"> </w:t>
      </w:r>
      <w:r w:rsidR="00150BAB" w:rsidRPr="00221CD6">
        <w:rPr>
          <w:rFonts w:eastAsia="Times New Roman"/>
          <w:b/>
          <w:bCs/>
          <w:spacing w:val="1"/>
          <w:szCs w:val="20"/>
        </w:rPr>
        <w:t>Na</w:t>
      </w:r>
      <w:r w:rsidR="00150BAB" w:rsidRPr="00221CD6">
        <w:rPr>
          <w:rFonts w:eastAsia="Times New Roman"/>
          <w:b/>
          <w:bCs/>
          <w:spacing w:val="3"/>
          <w:szCs w:val="20"/>
        </w:rPr>
        <w:t>m</w:t>
      </w:r>
      <w:r w:rsidR="00150BAB" w:rsidRPr="00221CD6">
        <w:rPr>
          <w:rFonts w:eastAsia="Times New Roman"/>
          <w:b/>
          <w:bCs/>
          <w:spacing w:val="-1"/>
          <w:szCs w:val="20"/>
        </w:rPr>
        <w:t>e</w:t>
      </w:r>
      <w:r w:rsidR="00150BAB" w:rsidRPr="00221CD6">
        <w:rPr>
          <w:rFonts w:eastAsia="Times New Roman"/>
          <w:b/>
          <w:bCs/>
          <w:szCs w:val="20"/>
        </w:rPr>
        <w:t>:</w:t>
      </w:r>
      <w:r w:rsidR="00E7608D" w:rsidRPr="00221CD6">
        <w:rPr>
          <w:rFonts w:eastAsia="Times New Roman"/>
          <w:bCs/>
          <w:szCs w:val="20"/>
        </w:rPr>
        <w:t xml:space="preserve">  </w:t>
      </w:r>
      <w:r w:rsidR="00334E80" w:rsidRPr="00334E80">
        <w:rPr>
          <w:rFonts w:eastAsia="Times New Roman"/>
          <w:bCs/>
          <w:szCs w:val="20"/>
        </w:rPr>
        <w:t>Chlorinated Pesticides in</w:t>
      </w:r>
      <w:r w:rsidR="00334E80">
        <w:rPr>
          <w:rFonts w:eastAsia="Times New Roman"/>
          <w:bCs/>
          <w:szCs w:val="20"/>
        </w:rPr>
        <w:t xml:space="preserve"> Hexane</w:t>
      </w:r>
    </w:p>
    <w:p w14:paraId="440D4C0B" w14:textId="77777777" w:rsidR="004C5973" w:rsidRPr="00221CD6" w:rsidRDefault="004C5973" w:rsidP="006B75AB">
      <w:pPr>
        <w:pStyle w:val="ListParagraph"/>
        <w:widowControl/>
        <w:tabs>
          <w:tab w:val="left" w:pos="5440"/>
        </w:tabs>
        <w:ind w:left="360"/>
        <w:rPr>
          <w:rFonts w:eastAsia="Times New Roman"/>
          <w:bCs/>
          <w:szCs w:val="20"/>
        </w:rPr>
      </w:pPr>
      <w:r w:rsidRPr="00221CD6">
        <w:rPr>
          <w:rFonts w:eastAsia="Times New Roman"/>
          <w:b/>
          <w:bCs/>
          <w:szCs w:val="20"/>
        </w:rPr>
        <w:t>Other Means of Identification:</w:t>
      </w:r>
      <w:r w:rsidRPr="00221CD6">
        <w:rPr>
          <w:rFonts w:eastAsia="Times New Roman"/>
          <w:bCs/>
          <w:szCs w:val="20"/>
        </w:rPr>
        <w:t xml:space="preserve">  Not applicable</w:t>
      </w:r>
      <w:r w:rsidR="00832544" w:rsidRPr="00221CD6">
        <w:rPr>
          <w:rFonts w:eastAsia="Times New Roman"/>
          <w:bCs/>
          <w:szCs w:val="20"/>
        </w:rPr>
        <w:t>.</w:t>
      </w:r>
    </w:p>
    <w:p w14:paraId="4D2B1850" w14:textId="77777777" w:rsidR="00150BAB" w:rsidRPr="00221CD6" w:rsidRDefault="00150BAB" w:rsidP="006B75AB">
      <w:pPr>
        <w:widowControl/>
        <w:tabs>
          <w:tab w:val="left" w:pos="5440"/>
        </w:tabs>
        <w:spacing w:before="120"/>
        <w:rPr>
          <w:rFonts w:eastAsia="Times New Roman"/>
          <w:b/>
          <w:bCs/>
          <w:spacing w:val="1"/>
          <w:szCs w:val="20"/>
        </w:rPr>
      </w:pPr>
      <w:r w:rsidRPr="00221CD6">
        <w:rPr>
          <w:rFonts w:eastAsia="Times New Roman"/>
          <w:b/>
          <w:bCs/>
          <w:spacing w:val="1"/>
          <w:szCs w:val="20"/>
        </w:rPr>
        <w:t xml:space="preserve">Recommended </w:t>
      </w:r>
      <w:r w:rsidR="00B54925" w:rsidRPr="00221CD6">
        <w:rPr>
          <w:rFonts w:eastAsia="Times New Roman"/>
          <w:b/>
          <w:bCs/>
          <w:spacing w:val="1"/>
          <w:szCs w:val="20"/>
        </w:rPr>
        <w:t xml:space="preserve">Use </w:t>
      </w:r>
      <w:r w:rsidR="00BB0995" w:rsidRPr="00221CD6">
        <w:rPr>
          <w:rFonts w:eastAsia="Times New Roman"/>
          <w:b/>
          <w:bCs/>
          <w:spacing w:val="1"/>
          <w:szCs w:val="20"/>
        </w:rPr>
        <w:t xml:space="preserve">of </w:t>
      </w:r>
      <w:r w:rsidR="00B54925" w:rsidRPr="00221CD6">
        <w:rPr>
          <w:rFonts w:eastAsia="Times New Roman"/>
          <w:b/>
          <w:bCs/>
          <w:spacing w:val="1"/>
          <w:szCs w:val="20"/>
        </w:rPr>
        <w:t>T</w:t>
      </w:r>
      <w:r w:rsidR="00BB0995" w:rsidRPr="00221CD6">
        <w:rPr>
          <w:rFonts w:eastAsia="Times New Roman"/>
          <w:b/>
          <w:bCs/>
          <w:spacing w:val="1"/>
          <w:szCs w:val="20"/>
        </w:rPr>
        <w:t xml:space="preserve">his </w:t>
      </w:r>
      <w:r w:rsidR="00B54925" w:rsidRPr="00221CD6">
        <w:rPr>
          <w:rFonts w:eastAsia="Times New Roman"/>
          <w:b/>
          <w:bCs/>
          <w:spacing w:val="1"/>
          <w:szCs w:val="20"/>
        </w:rPr>
        <w:t>M</w:t>
      </w:r>
      <w:r w:rsidR="00BB0995" w:rsidRPr="00221CD6">
        <w:rPr>
          <w:rFonts w:eastAsia="Times New Roman"/>
          <w:b/>
          <w:bCs/>
          <w:spacing w:val="1"/>
          <w:szCs w:val="20"/>
        </w:rPr>
        <w:t xml:space="preserve">aterial and </w:t>
      </w:r>
      <w:r w:rsidR="00B54925" w:rsidRPr="00221CD6">
        <w:rPr>
          <w:rFonts w:eastAsia="Times New Roman"/>
          <w:b/>
          <w:bCs/>
          <w:spacing w:val="1"/>
          <w:szCs w:val="20"/>
        </w:rPr>
        <w:t>R</w:t>
      </w:r>
      <w:r w:rsidR="00BB0995" w:rsidRPr="00221CD6">
        <w:rPr>
          <w:rFonts w:eastAsia="Times New Roman"/>
          <w:b/>
          <w:bCs/>
          <w:spacing w:val="1"/>
          <w:szCs w:val="20"/>
        </w:rPr>
        <w:t xml:space="preserve">estrictions of </w:t>
      </w:r>
      <w:r w:rsidR="00B54925" w:rsidRPr="00221CD6">
        <w:rPr>
          <w:rFonts w:eastAsia="Times New Roman"/>
          <w:b/>
          <w:bCs/>
          <w:spacing w:val="1"/>
          <w:szCs w:val="20"/>
        </w:rPr>
        <w:t>U</w:t>
      </w:r>
      <w:r w:rsidR="00BB0995" w:rsidRPr="00221CD6">
        <w:rPr>
          <w:rFonts w:eastAsia="Times New Roman"/>
          <w:b/>
          <w:bCs/>
          <w:spacing w:val="1"/>
          <w:szCs w:val="20"/>
        </w:rPr>
        <w:t>se</w:t>
      </w:r>
    </w:p>
    <w:p w14:paraId="0950987F" w14:textId="20F6BCD4" w:rsidR="00E7608D" w:rsidRPr="00221CD6" w:rsidRDefault="00334E80" w:rsidP="006B75AB">
      <w:pPr>
        <w:widowControl/>
        <w:ind w:left="360"/>
        <w:rPr>
          <w:szCs w:val="20"/>
        </w:rPr>
      </w:pPr>
      <w:r w:rsidRPr="00334E80">
        <w:t>This Standard Reference Material (SRM) is intended primarily for use in the calibration of chromatographic instrumentation used for the determination of the certified compounds.  This SRM is a solution of 15 chlorinated pesticides in hexane.  A unit of SRM 1492 consists of five 2 mL ampoules, each containing approximately 1.</w:t>
      </w:r>
      <w:r w:rsidR="00E969F3" w:rsidRPr="00334E80">
        <w:t>2</w:t>
      </w:r>
      <w:r w:rsidR="00E969F3">
        <w:t> </w:t>
      </w:r>
      <w:r w:rsidRPr="00334E80">
        <w:t>mL of solution</w:t>
      </w:r>
      <w:r w:rsidR="00ED2AB8" w:rsidRPr="00221CD6">
        <w:t>.</w:t>
      </w:r>
    </w:p>
    <w:p w14:paraId="73F6F509" w14:textId="77777777" w:rsidR="00150BAB" w:rsidRPr="00221CD6" w:rsidRDefault="00150BAB" w:rsidP="006B75AB">
      <w:pPr>
        <w:widowControl/>
        <w:tabs>
          <w:tab w:val="left" w:pos="5440"/>
        </w:tabs>
        <w:spacing w:before="120"/>
        <w:rPr>
          <w:rFonts w:eastAsia="Times New Roman"/>
          <w:b/>
          <w:bCs/>
          <w:spacing w:val="1"/>
          <w:szCs w:val="20"/>
        </w:rPr>
      </w:pPr>
      <w:r w:rsidRPr="00221CD6">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221CD6" w14:paraId="6D667963" w14:textId="77777777" w:rsidTr="00193FA9">
        <w:tc>
          <w:tcPr>
            <w:tcW w:w="4590" w:type="dxa"/>
          </w:tcPr>
          <w:p w14:paraId="64233D3F"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National Institute of Standards and Technology</w:t>
            </w:r>
          </w:p>
        </w:tc>
        <w:tc>
          <w:tcPr>
            <w:tcW w:w="4230" w:type="dxa"/>
          </w:tcPr>
          <w:p w14:paraId="36F19824"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221CD6" w14:paraId="7A9F5CC0" w14:textId="77777777" w:rsidTr="00193FA9">
        <w:tc>
          <w:tcPr>
            <w:tcW w:w="4590" w:type="dxa"/>
          </w:tcPr>
          <w:p w14:paraId="0F4BC2C7"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Standard Reference Materials Program</w:t>
            </w:r>
          </w:p>
        </w:tc>
        <w:tc>
          <w:tcPr>
            <w:tcW w:w="4230" w:type="dxa"/>
          </w:tcPr>
          <w:p w14:paraId="687C10DA"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221CD6" w14:paraId="0BDB1189" w14:textId="77777777" w:rsidTr="00193FA9">
        <w:tc>
          <w:tcPr>
            <w:tcW w:w="4590" w:type="dxa"/>
          </w:tcPr>
          <w:p w14:paraId="4EB61E9F"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100 Bureau Drive, Stop 2300</w:t>
            </w:r>
          </w:p>
        </w:tc>
        <w:tc>
          <w:tcPr>
            <w:tcW w:w="4230" w:type="dxa"/>
          </w:tcPr>
          <w:p w14:paraId="3BC190C1" w14:textId="77777777" w:rsidR="00193FA9" w:rsidRPr="00221CD6" w:rsidRDefault="00193FA9" w:rsidP="006B75AB">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221CD6" w14:paraId="0020CD8E" w14:textId="77777777" w:rsidTr="00193FA9">
        <w:tc>
          <w:tcPr>
            <w:tcW w:w="4590" w:type="dxa"/>
          </w:tcPr>
          <w:p w14:paraId="6E3C6AF1"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Gaithersburg, Maryland 20899</w:t>
            </w:r>
            <w:r w:rsidR="00343DF9" w:rsidRPr="00221CD6">
              <w:rPr>
                <w:rFonts w:eastAsia="Times New Roman"/>
                <w:szCs w:val="20"/>
              </w:rPr>
              <w:noBreakHyphen/>
            </w:r>
            <w:r w:rsidRPr="00221CD6">
              <w:rPr>
                <w:rFonts w:eastAsia="Times New Roman"/>
                <w:szCs w:val="20"/>
              </w:rPr>
              <w:t>2300</w:t>
            </w:r>
          </w:p>
        </w:tc>
        <w:tc>
          <w:tcPr>
            <w:tcW w:w="4230" w:type="dxa"/>
          </w:tcPr>
          <w:p w14:paraId="1EDF85E8" w14:textId="77777777" w:rsidR="00193FA9" w:rsidRPr="00221CD6" w:rsidRDefault="00193FA9" w:rsidP="006B75AB">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221CD6" w14:paraId="56A2D2BD" w14:textId="77777777" w:rsidTr="00193FA9">
        <w:tc>
          <w:tcPr>
            <w:tcW w:w="4590" w:type="dxa"/>
          </w:tcPr>
          <w:p w14:paraId="057A83E0"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14:paraId="4821E033" w14:textId="77777777" w:rsidR="00193FA9" w:rsidRPr="00221CD6"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221CD6" w14:paraId="6CFAF34B" w14:textId="77777777" w:rsidTr="00193FA9">
        <w:tc>
          <w:tcPr>
            <w:tcW w:w="4590" w:type="dxa"/>
          </w:tcPr>
          <w:p w14:paraId="3F7B77EC"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Telephone:  301</w:t>
            </w:r>
            <w:r w:rsidR="00343DF9" w:rsidRPr="00221CD6">
              <w:rPr>
                <w:rFonts w:eastAsia="Times New Roman"/>
                <w:szCs w:val="20"/>
              </w:rPr>
              <w:noBreakHyphen/>
            </w:r>
            <w:r w:rsidRPr="00221CD6">
              <w:rPr>
                <w:rFonts w:eastAsia="Times New Roman"/>
                <w:szCs w:val="20"/>
              </w:rPr>
              <w:t>975</w:t>
            </w:r>
            <w:r w:rsidR="00343DF9" w:rsidRPr="00221CD6">
              <w:rPr>
                <w:rFonts w:eastAsia="Times New Roman"/>
                <w:szCs w:val="20"/>
              </w:rPr>
              <w:noBreakHyphen/>
            </w:r>
            <w:r w:rsidRPr="00221CD6">
              <w:rPr>
                <w:rFonts w:eastAsia="Times New Roman"/>
                <w:szCs w:val="20"/>
              </w:rPr>
              <w:t>2200</w:t>
            </w:r>
          </w:p>
        </w:tc>
        <w:tc>
          <w:tcPr>
            <w:tcW w:w="4230" w:type="dxa"/>
          </w:tcPr>
          <w:p w14:paraId="7EB47BB6" w14:textId="77777777" w:rsidR="00193FA9" w:rsidRPr="00221CD6"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221CD6">
              <w:rPr>
                <w:rFonts w:eastAsia="Times New Roman"/>
                <w:szCs w:val="20"/>
              </w:rPr>
              <w:t>Emergency Telephone ChemTrec:</w:t>
            </w:r>
          </w:p>
        </w:tc>
      </w:tr>
      <w:tr w:rsidR="00193FA9" w:rsidRPr="00221CD6" w14:paraId="384880AC" w14:textId="77777777" w:rsidTr="00193FA9">
        <w:tc>
          <w:tcPr>
            <w:tcW w:w="4590" w:type="dxa"/>
          </w:tcPr>
          <w:p w14:paraId="72547FF3"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FAX:  301</w:t>
            </w:r>
            <w:r w:rsidR="00343DF9" w:rsidRPr="00221CD6">
              <w:rPr>
                <w:rFonts w:eastAsia="Times New Roman"/>
                <w:szCs w:val="20"/>
              </w:rPr>
              <w:noBreakHyphen/>
            </w:r>
            <w:r w:rsidRPr="00221CD6">
              <w:rPr>
                <w:rFonts w:eastAsia="Times New Roman"/>
                <w:szCs w:val="20"/>
              </w:rPr>
              <w:t>948</w:t>
            </w:r>
            <w:r w:rsidR="00343DF9" w:rsidRPr="00221CD6">
              <w:rPr>
                <w:rFonts w:eastAsia="Times New Roman"/>
                <w:szCs w:val="20"/>
              </w:rPr>
              <w:noBreakHyphen/>
            </w:r>
            <w:r w:rsidRPr="00221CD6">
              <w:rPr>
                <w:rFonts w:eastAsia="Times New Roman"/>
                <w:szCs w:val="20"/>
              </w:rPr>
              <w:t>3730</w:t>
            </w:r>
          </w:p>
        </w:tc>
        <w:tc>
          <w:tcPr>
            <w:tcW w:w="4230" w:type="dxa"/>
          </w:tcPr>
          <w:p w14:paraId="2EBD8949" w14:textId="77777777" w:rsidR="00193FA9" w:rsidRPr="00221CD6"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221CD6">
              <w:rPr>
                <w:rFonts w:eastAsia="Times New Roman"/>
                <w:szCs w:val="20"/>
              </w:rPr>
              <w:t>1</w:t>
            </w:r>
            <w:r w:rsidR="00343DF9" w:rsidRPr="00221CD6">
              <w:rPr>
                <w:rFonts w:eastAsia="Times New Roman"/>
                <w:szCs w:val="20"/>
              </w:rPr>
              <w:noBreakHyphen/>
            </w:r>
            <w:r w:rsidRPr="00221CD6">
              <w:rPr>
                <w:rFonts w:eastAsia="Times New Roman"/>
                <w:szCs w:val="20"/>
              </w:rPr>
              <w:t>800</w:t>
            </w:r>
            <w:r w:rsidR="00343DF9" w:rsidRPr="00221CD6">
              <w:rPr>
                <w:rFonts w:eastAsia="Times New Roman"/>
                <w:szCs w:val="20"/>
              </w:rPr>
              <w:noBreakHyphen/>
            </w:r>
            <w:r w:rsidRPr="00221CD6">
              <w:rPr>
                <w:rFonts w:eastAsia="Times New Roman"/>
                <w:szCs w:val="20"/>
              </w:rPr>
              <w:t>424</w:t>
            </w:r>
            <w:r w:rsidR="00343DF9" w:rsidRPr="00221CD6">
              <w:rPr>
                <w:rFonts w:eastAsia="Times New Roman"/>
                <w:szCs w:val="20"/>
              </w:rPr>
              <w:noBreakHyphen/>
            </w:r>
            <w:r w:rsidRPr="00221CD6">
              <w:rPr>
                <w:rFonts w:eastAsia="Times New Roman"/>
                <w:szCs w:val="20"/>
              </w:rPr>
              <w:t>9300 (North America)</w:t>
            </w:r>
          </w:p>
        </w:tc>
      </w:tr>
      <w:tr w:rsidR="00193FA9" w:rsidRPr="00221CD6" w14:paraId="11FE80A8" w14:textId="77777777" w:rsidTr="00193FA9">
        <w:tc>
          <w:tcPr>
            <w:tcW w:w="4590" w:type="dxa"/>
          </w:tcPr>
          <w:p w14:paraId="507D2771"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E</w:t>
            </w:r>
            <w:r w:rsidR="00343DF9" w:rsidRPr="00221CD6">
              <w:rPr>
                <w:rFonts w:eastAsia="Times New Roman"/>
                <w:szCs w:val="20"/>
              </w:rPr>
              <w:noBreakHyphen/>
            </w:r>
            <w:r w:rsidRPr="00221CD6">
              <w:rPr>
                <w:rFonts w:eastAsia="Times New Roman"/>
                <w:szCs w:val="20"/>
              </w:rPr>
              <w:t xml:space="preserve">mail:  </w:t>
            </w:r>
            <w:hyperlink r:id="rId9" w:history="1">
              <w:r w:rsidR="00981AAE" w:rsidRPr="00221CD6">
                <w:rPr>
                  <w:rStyle w:val="Hyperlink"/>
                  <w:rFonts w:eastAsia="Times New Roman"/>
                  <w:szCs w:val="20"/>
                </w:rPr>
                <w:t>SRMMSDS@nist.gov</w:t>
              </w:r>
            </w:hyperlink>
          </w:p>
        </w:tc>
        <w:tc>
          <w:tcPr>
            <w:tcW w:w="4230" w:type="dxa"/>
          </w:tcPr>
          <w:p w14:paraId="6C5EF589" w14:textId="77777777" w:rsidR="00193FA9" w:rsidRPr="00221CD6"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221CD6">
              <w:rPr>
                <w:rFonts w:eastAsia="Times New Roman"/>
                <w:szCs w:val="20"/>
              </w:rPr>
              <w:t>+1</w:t>
            </w:r>
            <w:r w:rsidR="00343DF9" w:rsidRPr="00221CD6">
              <w:rPr>
                <w:rFonts w:eastAsia="Times New Roman"/>
                <w:szCs w:val="20"/>
              </w:rPr>
              <w:noBreakHyphen/>
            </w:r>
            <w:r w:rsidRPr="00221CD6">
              <w:rPr>
                <w:rFonts w:eastAsia="Times New Roman"/>
                <w:szCs w:val="20"/>
              </w:rPr>
              <w:t>703</w:t>
            </w:r>
            <w:r w:rsidR="00343DF9" w:rsidRPr="00221CD6">
              <w:rPr>
                <w:rFonts w:eastAsia="Times New Roman"/>
                <w:szCs w:val="20"/>
              </w:rPr>
              <w:noBreakHyphen/>
            </w:r>
            <w:r w:rsidRPr="00221CD6">
              <w:rPr>
                <w:rFonts w:eastAsia="Times New Roman"/>
                <w:szCs w:val="20"/>
              </w:rPr>
              <w:t>527</w:t>
            </w:r>
            <w:r w:rsidR="00343DF9" w:rsidRPr="00221CD6">
              <w:rPr>
                <w:rFonts w:eastAsia="Times New Roman"/>
                <w:szCs w:val="20"/>
              </w:rPr>
              <w:noBreakHyphen/>
            </w:r>
            <w:r w:rsidRPr="00221CD6">
              <w:rPr>
                <w:rFonts w:eastAsia="Times New Roman"/>
                <w:szCs w:val="20"/>
              </w:rPr>
              <w:t>3887 (International)</w:t>
            </w:r>
          </w:p>
        </w:tc>
      </w:tr>
      <w:tr w:rsidR="00193FA9" w:rsidRPr="00221CD6" w14:paraId="2E4CAA1C" w14:textId="77777777" w:rsidTr="00193FA9">
        <w:tc>
          <w:tcPr>
            <w:tcW w:w="4590" w:type="dxa"/>
          </w:tcPr>
          <w:p w14:paraId="6B9A787B" w14:textId="77777777" w:rsidR="00193FA9" w:rsidRPr="00221CD6"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221CD6">
              <w:rPr>
                <w:rFonts w:eastAsia="Times New Roman"/>
                <w:szCs w:val="20"/>
              </w:rPr>
              <w:t xml:space="preserve">Website:  </w:t>
            </w:r>
            <w:hyperlink r:id="rId10" w:history="1">
              <w:r w:rsidR="00981AAE" w:rsidRPr="00221CD6">
                <w:rPr>
                  <w:rStyle w:val="Hyperlink"/>
                  <w:rFonts w:eastAsia="Times New Roman"/>
                  <w:szCs w:val="20"/>
                </w:rPr>
                <w:t>http://www.nist.gov/srm</w:t>
              </w:r>
            </w:hyperlink>
          </w:p>
        </w:tc>
        <w:tc>
          <w:tcPr>
            <w:tcW w:w="4230" w:type="dxa"/>
          </w:tcPr>
          <w:p w14:paraId="200D0384" w14:textId="77777777" w:rsidR="00193FA9" w:rsidRPr="00221CD6" w:rsidRDefault="00193FA9" w:rsidP="006B75AB">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14:paraId="4E26AEC4" w14:textId="77777777" w:rsidR="00915962" w:rsidRPr="00221CD6" w:rsidRDefault="00915962" w:rsidP="006B75AB">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221CD6" w14:paraId="7AEF07D2" w14:textId="77777777" w:rsidTr="002B22C8">
        <w:trPr>
          <w:trHeight w:hRule="exact" w:val="360"/>
        </w:trPr>
        <w:tc>
          <w:tcPr>
            <w:tcW w:w="9576" w:type="dxa"/>
            <w:vAlign w:val="center"/>
          </w:tcPr>
          <w:p w14:paraId="3D0B70B1" w14:textId="77777777" w:rsidR="002B22C8" w:rsidRPr="00221CD6" w:rsidRDefault="002B22C8" w:rsidP="006B75AB">
            <w:pPr>
              <w:keepNext/>
              <w:widowControl/>
              <w:rPr>
                <w:sz w:val="13"/>
                <w:szCs w:val="13"/>
              </w:rPr>
            </w:pPr>
            <w:r w:rsidRPr="00221CD6">
              <w:rPr>
                <w:rFonts w:eastAsia="Times New Roman"/>
                <w:b/>
                <w:bCs/>
                <w:sz w:val="24"/>
                <w:szCs w:val="24"/>
              </w:rPr>
              <w:t>2.</w:t>
            </w:r>
            <w:r w:rsidRPr="00221CD6">
              <w:rPr>
                <w:rFonts w:eastAsia="Times New Roman"/>
                <w:b/>
                <w:bCs/>
                <w:spacing w:val="36"/>
                <w:sz w:val="24"/>
                <w:szCs w:val="24"/>
              </w:rPr>
              <w:t xml:space="preserve"> </w:t>
            </w:r>
            <w:r w:rsidRPr="00221CD6">
              <w:rPr>
                <w:rFonts w:eastAsia="Times New Roman"/>
                <w:b/>
                <w:bCs/>
                <w:sz w:val="24"/>
                <w:szCs w:val="24"/>
              </w:rPr>
              <w:t>H</w:t>
            </w:r>
            <w:r w:rsidRPr="00221CD6">
              <w:rPr>
                <w:rFonts w:eastAsia="Times New Roman"/>
                <w:b/>
                <w:bCs/>
                <w:sz w:val="19"/>
                <w:szCs w:val="19"/>
              </w:rPr>
              <w:t>A</w:t>
            </w:r>
            <w:r w:rsidRPr="00221CD6">
              <w:rPr>
                <w:rFonts w:eastAsia="Times New Roman"/>
                <w:b/>
                <w:bCs/>
                <w:spacing w:val="-4"/>
                <w:sz w:val="19"/>
                <w:szCs w:val="19"/>
              </w:rPr>
              <w:t>Z</w:t>
            </w:r>
            <w:r w:rsidRPr="00221CD6">
              <w:rPr>
                <w:rFonts w:eastAsia="Times New Roman"/>
                <w:b/>
                <w:bCs/>
                <w:sz w:val="19"/>
                <w:szCs w:val="19"/>
              </w:rPr>
              <w:t>ARDS</w:t>
            </w:r>
            <w:r w:rsidRPr="00221CD6">
              <w:rPr>
                <w:rFonts w:eastAsia="Times New Roman"/>
                <w:b/>
                <w:bCs/>
                <w:spacing w:val="-7"/>
                <w:sz w:val="19"/>
                <w:szCs w:val="19"/>
              </w:rPr>
              <w:t xml:space="preserve"> </w:t>
            </w:r>
            <w:r w:rsidRPr="00221CD6">
              <w:rPr>
                <w:rFonts w:eastAsia="Times New Roman"/>
                <w:b/>
                <w:bCs/>
                <w:sz w:val="24"/>
                <w:szCs w:val="24"/>
              </w:rPr>
              <w:t>I</w:t>
            </w:r>
            <w:r w:rsidRPr="00221CD6">
              <w:rPr>
                <w:rFonts w:eastAsia="Times New Roman"/>
                <w:b/>
                <w:bCs/>
                <w:sz w:val="19"/>
                <w:szCs w:val="19"/>
              </w:rPr>
              <w:t>D</w:t>
            </w:r>
            <w:r w:rsidRPr="00221CD6">
              <w:rPr>
                <w:rFonts w:eastAsia="Times New Roman"/>
                <w:b/>
                <w:bCs/>
                <w:spacing w:val="1"/>
                <w:sz w:val="19"/>
                <w:szCs w:val="19"/>
              </w:rPr>
              <w:t>E</w:t>
            </w:r>
            <w:r w:rsidRPr="00221CD6">
              <w:rPr>
                <w:rFonts w:eastAsia="Times New Roman"/>
                <w:b/>
                <w:bCs/>
                <w:sz w:val="19"/>
                <w:szCs w:val="19"/>
              </w:rPr>
              <w:t>N</w:t>
            </w:r>
            <w:r w:rsidRPr="00221CD6">
              <w:rPr>
                <w:rFonts w:eastAsia="Times New Roman"/>
                <w:b/>
                <w:bCs/>
                <w:spacing w:val="1"/>
                <w:sz w:val="19"/>
                <w:szCs w:val="19"/>
              </w:rPr>
              <w:t>TI</w:t>
            </w:r>
            <w:r w:rsidRPr="00221CD6">
              <w:rPr>
                <w:rFonts w:eastAsia="Times New Roman"/>
                <w:b/>
                <w:bCs/>
                <w:spacing w:val="-1"/>
                <w:sz w:val="19"/>
                <w:szCs w:val="19"/>
              </w:rPr>
              <w:t>F</w:t>
            </w:r>
            <w:r w:rsidRPr="00221CD6">
              <w:rPr>
                <w:rFonts w:eastAsia="Times New Roman"/>
                <w:b/>
                <w:bCs/>
                <w:spacing w:val="1"/>
                <w:sz w:val="19"/>
                <w:szCs w:val="19"/>
              </w:rPr>
              <w:t>I</w:t>
            </w:r>
            <w:r w:rsidRPr="00221CD6">
              <w:rPr>
                <w:rFonts w:eastAsia="Times New Roman"/>
                <w:b/>
                <w:bCs/>
                <w:sz w:val="19"/>
                <w:szCs w:val="19"/>
              </w:rPr>
              <w:t>CA</w:t>
            </w:r>
            <w:r w:rsidRPr="00221CD6">
              <w:rPr>
                <w:rFonts w:eastAsia="Times New Roman"/>
                <w:b/>
                <w:bCs/>
                <w:spacing w:val="1"/>
                <w:sz w:val="19"/>
                <w:szCs w:val="19"/>
              </w:rPr>
              <w:t>TI</w:t>
            </w:r>
            <w:r w:rsidRPr="00221CD6">
              <w:rPr>
                <w:rFonts w:eastAsia="Times New Roman"/>
                <w:b/>
                <w:bCs/>
                <w:spacing w:val="-1"/>
                <w:sz w:val="19"/>
                <w:szCs w:val="19"/>
              </w:rPr>
              <w:t>O</w:t>
            </w:r>
            <w:r w:rsidRPr="00221CD6">
              <w:rPr>
                <w:rFonts w:eastAsia="Times New Roman"/>
                <w:b/>
                <w:bCs/>
                <w:sz w:val="19"/>
                <w:szCs w:val="19"/>
              </w:rPr>
              <w:t>N</w:t>
            </w:r>
          </w:p>
        </w:tc>
      </w:tr>
    </w:tbl>
    <w:p w14:paraId="3F0BF51B" w14:textId="77777777" w:rsidR="001C4F6D" w:rsidRPr="00221CD6" w:rsidRDefault="002B22C8" w:rsidP="006B75AB">
      <w:pPr>
        <w:widowControl/>
        <w:spacing w:before="120"/>
        <w:rPr>
          <w:rFonts w:eastAsia="Times New Roman"/>
          <w:b/>
          <w:bCs/>
          <w:szCs w:val="20"/>
        </w:rPr>
      </w:pPr>
      <w:r w:rsidRPr="00221CD6">
        <w:rPr>
          <w:rFonts w:eastAsia="Times New Roman"/>
          <w:b/>
          <w:bCs/>
          <w:szCs w:val="20"/>
        </w:rPr>
        <w:t>Classification</w:t>
      </w:r>
    </w:p>
    <w:p w14:paraId="48C6E35A" w14:textId="77777777" w:rsidR="0073150A" w:rsidRPr="00221CD6" w:rsidRDefault="0073150A" w:rsidP="006B75AB">
      <w:pPr>
        <w:widowControl/>
        <w:ind w:left="360"/>
        <w:rPr>
          <w:rFonts w:eastAsia="Times New Roman"/>
          <w:bCs/>
          <w:szCs w:val="20"/>
        </w:rPr>
      </w:pPr>
      <w:r w:rsidRPr="00221CD6">
        <w:rPr>
          <w:rFonts w:eastAsia="Times New Roman"/>
          <w:b/>
          <w:bCs/>
          <w:szCs w:val="20"/>
        </w:rPr>
        <w:t>Physical Hazard:</w:t>
      </w:r>
      <w:r w:rsidR="00523A63" w:rsidRPr="00221CD6">
        <w:rPr>
          <w:rFonts w:eastAsia="Times New Roman"/>
          <w:bCs/>
          <w:szCs w:val="20"/>
        </w:rPr>
        <w:tab/>
      </w:r>
      <w:r w:rsidR="00ED034D" w:rsidRPr="00221CD6">
        <w:rPr>
          <w:rFonts w:eastAsia="Times New Roman"/>
          <w:bCs/>
          <w:szCs w:val="20"/>
        </w:rPr>
        <w:t>Flammable liquid</w:t>
      </w:r>
      <w:r w:rsidR="00D71B8F" w:rsidRPr="00221CD6">
        <w:rPr>
          <w:rFonts w:eastAsia="Times New Roman"/>
          <w:bCs/>
          <w:szCs w:val="20"/>
        </w:rPr>
        <w:t>, Category 2</w:t>
      </w:r>
    </w:p>
    <w:p w14:paraId="110CC5AC" w14:textId="77777777" w:rsidR="00F16E34" w:rsidRPr="001B0766" w:rsidRDefault="0073150A" w:rsidP="00553A75">
      <w:pPr>
        <w:widowControl/>
        <w:tabs>
          <w:tab w:val="left" w:pos="2160"/>
          <w:tab w:val="left" w:pos="5310"/>
        </w:tabs>
        <w:ind w:left="360"/>
        <w:rPr>
          <w:rFonts w:eastAsia="Times New Roman"/>
          <w:bCs/>
          <w:szCs w:val="20"/>
        </w:rPr>
      </w:pPr>
      <w:r w:rsidRPr="00221CD6">
        <w:rPr>
          <w:rFonts w:eastAsia="Times New Roman"/>
          <w:b/>
          <w:bCs/>
          <w:szCs w:val="20"/>
        </w:rPr>
        <w:t>Health Hazard:</w:t>
      </w:r>
      <w:r w:rsidRPr="00221CD6">
        <w:rPr>
          <w:rFonts w:eastAsia="Times New Roman"/>
          <w:bCs/>
          <w:szCs w:val="20"/>
        </w:rPr>
        <w:t xml:space="preserve"> </w:t>
      </w:r>
      <w:r w:rsidR="00523A63" w:rsidRPr="00221CD6">
        <w:rPr>
          <w:rFonts w:eastAsia="Times New Roman"/>
          <w:bCs/>
          <w:szCs w:val="20"/>
        </w:rPr>
        <w:tab/>
      </w:r>
      <w:r w:rsidR="00F16E34" w:rsidRPr="001B0766">
        <w:rPr>
          <w:rFonts w:eastAsia="Times New Roman"/>
          <w:bCs/>
          <w:szCs w:val="20"/>
        </w:rPr>
        <w:t>Skin Corrosion/Irritation, Category 2</w:t>
      </w:r>
    </w:p>
    <w:p w14:paraId="32080006" w14:textId="77777777" w:rsidR="00F16E34" w:rsidRDefault="00F16E34" w:rsidP="00553A75">
      <w:pPr>
        <w:widowControl/>
        <w:ind w:left="1800" w:firstLine="360"/>
        <w:rPr>
          <w:rFonts w:eastAsia="Times New Roman"/>
          <w:bCs/>
          <w:szCs w:val="20"/>
        </w:rPr>
      </w:pPr>
      <w:r w:rsidRPr="00D17604">
        <w:rPr>
          <w:rFonts w:eastAsia="Times New Roman"/>
          <w:bCs/>
          <w:szCs w:val="20"/>
        </w:rPr>
        <w:t>Serious Eye Damage/Eye Irritation, Category 2B</w:t>
      </w:r>
    </w:p>
    <w:p w14:paraId="77F5A3EB" w14:textId="77777777" w:rsidR="00F16E34" w:rsidRDefault="00F16E34" w:rsidP="00553A75">
      <w:pPr>
        <w:widowControl/>
        <w:ind w:left="1800" w:firstLine="360"/>
        <w:rPr>
          <w:rFonts w:eastAsia="Times New Roman"/>
          <w:bCs/>
          <w:szCs w:val="20"/>
        </w:rPr>
      </w:pPr>
      <w:r>
        <w:rPr>
          <w:rFonts w:eastAsia="Times New Roman"/>
          <w:bCs/>
          <w:szCs w:val="20"/>
        </w:rPr>
        <w:t>Reproductive Toxicity, Category 2</w:t>
      </w:r>
    </w:p>
    <w:p w14:paraId="259E61FD" w14:textId="77777777" w:rsidR="00D71B8F" w:rsidRPr="00221CD6" w:rsidRDefault="00D71B8F" w:rsidP="00553A75">
      <w:pPr>
        <w:widowControl/>
        <w:ind w:left="1800" w:firstLine="360"/>
        <w:rPr>
          <w:rFonts w:eastAsia="Times New Roman"/>
          <w:bCs/>
          <w:szCs w:val="20"/>
        </w:rPr>
      </w:pPr>
      <w:r w:rsidRPr="00221CD6">
        <w:rPr>
          <w:rFonts w:eastAsia="Times New Roman"/>
          <w:bCs/>
          <w:szCs w:val="20"/>
        </w:rPr>
        <w:t xml:space="preserve">Specific </w:t>
      </w:r>
      <w:r w:rsidR="0015774C" w:rsidRPr="00221CD6">
        <w:rPr>
          <w:rFonts w:eastAsia="Times New Roman"/>
          <w:bCs/>
          <w:szCs w:val="20"/>
        </w:rPr>
        <w:t>T</w:t>
      </w:r>
      <w:r w:rsidRPr="00221CD6">
        <w:rPr>
          <w:rFonts w:eastAsia="Times New Roman"/>
          <w:bCs/>
          <w:szCs w:val="20"/>
        </w:rPr>
        <w:t xml:space="preserve">arget </w:t>
      </w:r>
      <w:r w:rsidR="0015774C" w:rsidRPr="00221CD6">
        <w:rPr>
          <w:rFonts w:eastAsia="Times New Roman"/>
          <w:bCs/>
          <w:szCs w:val="20"/>
        </w:rPr>
        <w:t>O</w:t>
      </w:r>
      <w:r w:rsidRPr="00221CD6">
        <w:rPr>
          <w:rFonts w:eastAsia="Times New Roman"/>
          <w:bCs/>
          <w:szCs w:val="20"/>
        </w:rPr>
        <w:t xml:space="preserve">rgan </w:t>
      </w:r>
      <w:r w:rsidR="0015774C" w:rsidRPr="00221CD6">
        <w:rPr>
          <w:rFonts w:eastAsia="Times New Roman"/>
          <w:bCs/>
          <w:szCs w:val="20"/>
        </w:rPr>
        <w:t>T</w:t>
      </w:r>
      <w:r w:rsidRPr="00221CD6">
        <w:rPr>
          <w:rFonts w:eastAsia="Times New Roman"/>
          <w:bCs/>
          <w:szCs w:val="20"/>
        </w:rPr>
        <w:t xml:space="preserve">oxicity, </w:t>
      </w:r>
      <w:r w:rsidR="00170609" w:rsidRPr="00221CD6">
        <w:rPr>
          <w:rFonts w:eastAsia="Times New Roman"/>
          <w:bCs/>
          <w:szCs w:val="20"/>
        </w:rPr>
        <w:t>–</w:t>
      </w:r>
      <w:r w:rsidRPr="00221CD6">
        <w:rPr>
          <w:rFonts w:eastAsia="Times New Roman"/>
          <w:bCs/>
          <w:szCs w:val="20"/>
        </w:rPr>
        <w:t xml:space="preserve"> </w:t>
      </w:r>
      <w:r w:rsidR="008B6774" w:rsidRPr="00221CD6">
        <w:rPr>
          <w:rFonts w:eastAsia="Times New Roman"/>
          <w:bCs/>
          <w:szCs w:val="20"/>
        </w:rPr>
        <w:t>S</w:t>
      </w:r>
      <w:r w:rsidRPr="00221CD6">
        <w:rPr>
          <w:rFonts w:eastAsia="Times New Roman"/>
          <w:bCs/>
          <w:szCs w:val="20"/>
        </w:rPr>
        <w:t xml:space="preserve">ingle </w:t>
      </w:r>
      <w:r w:rsidR="008B6774" w:rsidRPr="00221CD6">
        <w:rPr>
          <w:rFonts w:eastAsia="Times New Roman"/>
          <w:bCs/>
          <w:szCs w:val="20"/>
        </w:rPr>
        <w:t>E</w:t>
      </w:r>
      <w:r w:rsidRPr="00221CD6">
        <w:rPr>
          <w:rFonts w:eastAsia="Times New Roman"/>
          <w:bCs/>
          <w:szCs w:val="20"/>
        </w:rPr>
        <w:t>xposure, Category</w:t>
      </w:r>
      <w:r w:rsidR="0015774C" w:rsidRPr="00221CD6">
        <w:rPr>
          <w:rFonts w:eastAsia="Times New Roman"/>
          <w:bCs/>
          <w:szCs w:val="20"/>
        </w:rPr>
        <w:t> 3</w:t>
      </w:r>
    </w:p>
    <w:p w14:paraId="4821E4E0" w14:textId="77777777" w:rsidR="0015774C" w:rsidRPr="00221CD6" w:rsidRDefault="0015774C" w:rsidP="0015774C">
      <w:pPr>
        <w:widowControl/>
        <w:ind w:left="360"/>
        <w:rPr>
          <w:rFonts w:eastAsia="Times New Roman"/>
          <w:bCs/>
          <w:szCs w:val="20"/>
        </w:rPr>
      </w:pPr>
      <w:r w:rsidRPr="00221CD6">
        <w:rPr>
          <w:rFonts w:eastAsia="Times New Roman"/>
          <w:b/>
          <w:bCs/>
          <w:szCs w:val="20"/>
        </w:rPr>
        <w:tab/>
      </w:r>
      <w:r w:rsidRPr="00221CD6">
        <w:rPr>
          <w:rFonts w:eastAsia="Times New Roman"/>
          <w:b/>
          <w:bCs/>
          <w:szCs w:val="20"/>
        </w:rPr>
        <w:tab/>
      </w:r>
      <w:r w:rsidRPr="00221CD6">
        <w:rPr>
          <w:rFonts w:eastAsia="Times New Roman"/>
          <w:b/>
          <w:bCs/>
          <w:szCs w:val="20"/>
        </w:rPr>
        <w:tab/>
      </w:r>
      <w:r w:rsidRPr="00221CD6">
        <w:rPr>
          <w:rFonts w:eastAsia="Times New Roman"/>
          <w:bCs/>
          <w:szCs w:val="20"/>
        </w:rPr>
        <w:t>Specific Target Organ Toxicity – Repeat Exposure, Category </w:t>
      </w:r>
      <w:r w:rsidR="00F16E34">
        <w:rPr>
          <w:rFonts w:eastAsia="Times New Roman"/>
          <w:bCs/>
          <w:szCs w:val="20"/>
        </w:rPr>
        <w:t>2</w:t>
      </w:r>
    </w:p>
    <w:p w14:paraId="57564788" w14:textId="77777777" w:rsidR="0015774C" w:rsidRPr="00221CD6" w:rsidRDefault="0015774C" w:rsidP="0015774C">
      <w:pPr>
        <w:widowControl/>
        <w:ind w:left="360"/>
        <w:rPr>
          <w:rFonts w:eastAsia="Times New Roman"/>
          <w:bCs/>
          <w:szCs w:val="20"/>
        </w:rPr>
      </w:pPr>
      <w:r w:rsidRPr="00221CD6">
        <w:rPr>
          <w:rFonts w:eastAsia="Times New Roman"/>
          <w:bCs/>
          <w:szCs w:val="20"/>
        </w:rPr>
        <w:tab/>
      </w:r>
      <w:r w:rsidRPr="00221CD6">
        <w:rPr>
          <w:rFonts w:eastAsia="Times New Roman"/>
          <w:bCs/>
          <w:szCs w:val="20"/>
        </w:rPr>
        <w:tab/>
      </w:r>
      <w:r w:rsidRPr="00221CD6">
        <w:rPr>
          <w:rFonts w:eastAsia="Times New Roman"/>
          <w:bCs/>
          <w:szCs w:val="20"/>
        </w:rPr>
        <w:tab/>
        <w:t>Aspiration Hazard, Category 1</w:t>
      </w:r>
    </w:p>
    <w:p w14:paraId="2403044D" w14:textId="77777777" w:rsidR="00730686" w:rsidRPr="00221CD6" w:rsidRDefault="00730686" w:rsidP="006B75AB">
      <w:pPr>
        <w:widowControl/>
        <w:spacing w:before="120"/>
        <w:rPr>
          <w:rFonts w:eastAsia="Times New Roman"/>
          <w:b/>
          <w:bCs/>
          <w:szCs w:val="20"/>
        </w:rPr>
      </w:pPr>
      <w:r w:rsidRPr="00221CD6">
        <w:rPr>
          <w:rFonts w:eastAsia="Times New Roman"/>
          <w:b/>
          <w:bCs/>
          <w:szCs w:val="20"/>
        </w:rPr>
        <w:t>Label Elements</w:t>
      </w:r>
    </w:p>
    <w:p w14:paraId="22C8B3EC" w14:textId="77777777" w:rsidR="00910EA2" w:rsidRPr="00221CD6" w:rsidRDefault="00730686" w:rsidP="006B75AB">
      <w:pPr>
        <w:widowControl/>
        <w:ind w:left="360"/>
        <w:rPr>
          <w:rFonts w:eastAsia="Times New Roman"/>
          <w:b/>
          <w:bCs/>
          <w:szCs w:val="20"/>
        </w:rPr>
      </w:pPr>
      <w:r w:rsidRPr="00221CD6">
        <w:rPr>
          <w:rFonts w:eastAsia="Times New Roman"/>
          <w:b/>
          <w:bCs/>
          <w:szCs w:val="20"/>
        </w:rPr>
        <w:t>Symbol</w:t>
      </w:r>
      <w:r w:rsidR="00910EA2" w:rsidRPr="00221CD6">
        <w:rPr>
          <w:rFonts w:eastAsia="Times New Roman"/>
          <w:b/>
          <w:bCs/>
          <w:szCs w:val="20"/>
        </w:rPr>
        <w:t xml:space="preserve"> </w:t>
      </w:r>
    </w:p>
    <w:p w14:paraId="08AB362F" w14:textId="77777777" w:rsidR="00910EA2" w:rsidRPr="0065223F" w:rsidRDefault="0065223F" w:rsidP="006B75AB">
      <w:pPr>
        <w:widowControl/>
        <w:ind w:left="634"/>
        <w:rPr>
          <w:rFonts w:eastAsia="Times New Roman"/>
          <w:b/>
          <w:bCs/>
          <w:szCs w:val="20"/>
        </w:rPr>
      </w:pPr>
      <w:r w:rsidRPr="00221CD6">
        <w:rPr>
          <w:noProof/>
        </w:rPr>
        <w:drawing>
          <wp:inline distT="0" distB="0" distL="0" distR="0" wp14:anchorId="0493839A" wp14:editId="2A2C5C66">
            <wp:extent cx="667512" cy="66844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667512" cy="668440"/>
                    </a:xfrm>
                    <a:prstGeom prst="rect">
                      <a:avLst/>
                    </a:prstGeom>
                  </pic:spPr>
                </pic:pic>
              </a:graphicData>
            </a:graphic>
          </wp:inline>
        </w:drawing>
      </w:r>
      <w:r w:rsidR="006A5336" w:rsidRPr="00221CD6">
        <w:rPr>
          <w:noProof/>
        </w:rPr>
        <w:drawing>
          <wp:inline distT="0" distB="0" distL="0" distR="0" wp14:anchorId="02E18A67" wp14:editId="218740A0">
            <wp:extent cx="667512" cy="667512"/>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667512" cy="667512"/>
                    </a:xfrm>
                    <a:prstGeom prst="rect">
                      <a:avLst/>
                    </a:prstGeom>
                  </pic:spPr>
                </pic:pic>
              </a:graphicData>
            </a:graphic>
          </wp:inline>
        </w:drawing>
      </w:r>
      <w:r w:rsidR="00F16E34" w:rsidRPr="00A85A37">
        <w:rPr>
          <w:noProof/>
        </w:rPr>
        <w:drawing>
          <wp:inline distT="0" distB="0" distL="0" distR="0" wp14:anchorId="5CC6FE3C" wp14:editId="591438E9">
            <wp:extent cx="667512" cy="666585"/>
            <wp:effectExtent l="0" t="0" r="0" b="635"/>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3" cstate="print"/>
                    <a:stretch>
                      <a:fillRect/>
                    </a:stretch>
                  </pic:blipFill>
                  <pic:spPr>
                    <a:xfrm>
                      <a:off x="0" y="0"/>
                      <a:ext cx="667512" cy="666585"/>
                    </a:xfrm>
                    <a:prstGeom prst="rect">
                      <a:avLst/>
                    </a:prstGeom>
                  </pic:spPr>
                </pic:pic>
              </a:graphicData>
            </a:graphic>
          </wp:inline>
        </w:drawing>
      </w:r>
    </w:p>
    <w:p w14:paraId="2B4A6D8F" w14:textId="77777777" w:rsidR="00910EA2" w:rsidRPr="007D37AF" w:rsidRDefault="00730686" w:rsidP="006B75AB">
      <w:pPr>
        <w:widowControl/>
        <w:spacing w:before="120"/>
        <w:ind w:left="360"/>
        <w:rPr>
          <w:rFonts w:eastAsia="Times New Roman"/>
          <w:b/>
          <w:bCs/>
          <w:szCs w:val="20"/>
        </w:rPr>
      </w:pPr>
      <w:r w:rsidRPr="007D37AF">
        <w:rPr>
          <w:rFonts w:eastAsia="Times New Roman"/>
          <w:b/>
          <w:bCs/>
          <w:szCs w:val="20"/>
        </w:rPr>
        <w:t>Signal Word</w:t>
      </w:r>
    </w:p>
    <w:p w14:paraId="6159E189" w14:textId="77777777" w:rsidR="00910EA2" w:rsidRPr="007D37AF" w:rsidRDefault="0065223F" w:rsidP="006B75AB">
      <w:pPr>
        <w:widowControl/>
        <w:ind w:left="360"/>
        <w:rPr>
          <w:szCs w:val="20"/>
        </w:rPr>
      </w:pPr>
      <w:r w:rsidRPr="007D37AF">
        <w:rPr>
          <w:szCs w:val="20"/>
        </w:rPr>
        <w:t>D</w:t>
      </w:r>
      <w:r w:rsidRPr="000B3F24">
        <w:rPr>
          <w:caps/>
          <w:szCs w:val="20"/>
        </w:rPr>
        <w:t>anger</w:t>
      </w:r>
    </w:p>
    <w:p w14:paraId="502E35C3" w14:textId="77777777" w:rsidR="00730686" w:rsidRPr="007D37AF" w:rsidRDefault="00730686" w:rsidP="006B75AB">
      <w:pPr>
        <w:widowControl/>
        <w:spacing w:before="120"/>
        <w:ind w:left="360"/>
        <w:rPr>
          <w:rFonts w:eastAsia="Times New Roman"/>
          <w:bCs/>
          <w:szCs w:val="20"/>
        </w:rPr>
      </w:pPr>
      <w:r w:rsidRPr="007D37AF">
        <w:rPr>
          <w:rFonts w:eastAsia="Times New Roman"/>
          <w:b/>
          <w:bCs/>
          <w:szCs w:val="20"/>
        </w:rPr>
        <w:t>Hazard Statement(s</w:t>
      </w:r>
      <w:r w:rsidR="00FC3C8B" w:rsidRPr="007D37AF">
        <w:rPr>
          <w:rFonts w:eastAsia="Times New Roman"/>
          <w:b/>
          <w:bCs/>
          <w:szCs w:val="20"/>
        </w:rPr>
        <w:t>)</w:t>
      </w:r>
    </w:p>
    <w:p w14:paraId="17D15063" w14:textId="77777777" w:rsidR="005F10FA" w:rsidRDefault="005F10FA" w:rsidP="005F10FA">
      <w:pPr>
        <w:widowControl/>
        <w:tabs>
          <w:tab w:val="left" w:pos="2160"/>
        </w:tabs>
        <w:ind w:left="360"/>
        <w:rPr>
          <w:szCs w:val="20"/>
        </w:rPr>
      </w:pPr>
      <w:r w:rsidRPr="004455D9">
        <w:rPr>
          <w:szCs w:val="20"/>
        </w:rPr>
        <w:t>H225</w:t>
      </w:r>
      <w:r w:rsidRPr="004455D9">
        <w:rPr>
          <w:szCs w:val="20"/>
        </w:rPr>
        <w:tab/>
        <w:t>Highly flammable liquid and vapor.</w:t>
      </w:r>
    </w:p>
    <w:p w14:paraId="54059192" w14:textId="77777777" w:rsidR="0028680F" w:rsidRDefault="0028680F" w:rsidP="005F10FA">
      <w:pPr>
        <w:widowControl/>
        <w:tabs>
          <w:tab w:val="left" w:pos="2160"/>
        </w:tabs>
        <w:ind w:left="360"/>
        <w:rPr>
          <w:szCs w:val="20"/>
        </w:rPr>
      </w:pPr>
    </w:p>
    <w:p w14:paraId="65F00513" w14:textId="77777777" w:rsidR="005F10FA" w:rsidRDefault="005F10FA" w:rsidP="005F10FA">
      <w:pPr>
        <w:widowControl/>
        <w:tabs>
          <w:tab w:val="left" w:pos="2160"/>
        </w:tabs>
        <w:ind w:left="360"/>
        <w:rPr>
          <w:szCs w:val="20"/>
        </w:rPr>
      </w:pPr>
      <w:r>
        <w:rPr>
          <w:szCs w:val="20"/>
        </w:rPr>
        <w:t>H315+H320</w:t>
      </w:r>
      <w:r>
        <w:rPr>
          <w:szCs w:val="20"/>
        </w:rPr>
        <w:tab/>
        <w:t xml:space="preserve">Causes skin </w:t>
      </w:r>
      <w:r w:rsidRPr="00D17604">
        <w:rPr>
          <w:szCs w:val="20"/>
        </w:rPr>
        <w:t>and eye irritation</w:t>
      </w:r>
      <w:r>
        <w:rPr>
          <w:szCs w:val="20"/>
        </w:rPr>
        <w:t>.</w:t>
      </w:r>
    </w:p>
    <w:p w14:paraId="404AB535" w14:textId="77777777" w:rsidR="005F10FA" w:rsidRDefault="005F10FA" w:rsidP="005F10FA">
      <w:pPr>
        <w:widowControl/>
        <w:tabs>
          <w:tab w:val="left" w:pos="2160"/>
        </w:tabs>
        <w:ind w:left="360"/>
        <w:rPr>
          <w:szCs w:val="20"/>
        </w:rPr>
      </w:pPr>
      <w:r>
        <w:rPr>
          <w:szCs w:val="20"/>
        </w:rPr>
        <w:t>H361</w:t>
      </w:r>
      <w:r>
        <w:rPr>
          <w:szCs w:val="20"/>
        </w:rPr>
        <w:tab/>
        <w:t>Suspected of damaging fertility or the unborn child.</w:t>
      </w:r>
    </w:p>
    <w:p w14:paraId="1E024D54" w14:textId="77777777" w:rsidR="000B3F24" w:rsidRDefault="000B3F24" w:rsidP="005F10FA">
      <w:pPr>
        <w:widowControl/>
        <w:tabs>
          <w:tab w:val="left" w:pos="2160"/>
        </w:tabs>
        <w:ind w:left="2160" w:hanging="1800"/>
        <w:rPr>
          <w:szCs w:val="20"/>
        </w:rPr>
      </w:pPr>
      <w:r>
        <w:rPr>
          <w:szCs w:val="20"/>
        </w:rPr>
        <w:t>H336</w:t>
      </w:r>
      <w:r>
        <w:rPr>
          <w:szCs w:val="20"/>
        </w:rPr>
        <w:tab/>
        <w:t>May cause</w:t>
      </w:r>
      <w:r w:rsidRPr="00544320">
        <w:t xml:space="preserve"> </w:t>
      </w:r>
      <w:r w:rsidRPr="00544320">
        <w:rPr>
          <w:szCs w:val="20"/>
        </w:rPr>
        <w:t>drowsiness or dizziness</w:t>
      </w:r>
      <w:r>
        <w:rPr>
          <w:szCs w:val="20"/>
        </w:rPr>
        <w:t xml:space="preserve"> </w:t>
      </w:r>
    </w:p>
    <w:p w14:paraId="0D168D72" w14:textId="595D5499" w:rsidR="0015774C" w:rsidRPr="007D37AF" w:rsidRDefault="005F10FA" w:rsidP="005F10FA">
      <w:pPr>
        <w:widowControl/>
        <w:tabs>
          <w:tab w:val="left" w:pos="2160"/>
        </w:tabs>
        <w:ind w:left="2160" w:hanging="1800"/>
        <w:rPr>
          <w:szCs w:val="20"/>
        </w:rPr>
      </w:pPr>
      <w:r>
        <w:rPr>
          <w:szCs w:val="20"/>
        </w:rPr>
        <w:t>H373</w:t>
      </w:r>
      <w:r>
        <w:rPr>
          <w:szCs w:val="20"/>
        </w:rPr>
        <w:tab/>
        <w:t xml:space="preserve">May cause damage to organs </w:t>
      </w:r>
      <w:r w:rsidRPr="003C3B88">
        <w:rPr>
          <w:bCs/>
          <w:szCs w:val="20"/>
        </w:rPr>
        <w:t>(eyes, skin, respiratory system, central nervous system, liver, kidneys)</w:t>
      </w:r>
      <w:r>
        <w:rPr>
          <w:bCs/>
          <w:szCs w:val="20"/>
        </w:rPr>
        <w:t xml:space="preserve"> through prolong or repeated exposure (inhalation, ingestion, skin contact).</w:t>
      </w:r>
    </w:p>
    <w:p w14:paraId="55DE6ED5" w14:textId="6824CCD6" w:rsidR="000B3F24" w:rsidRDefault="000B3F24" w:rsidP="000B3F24">
      <w:pPr>
        <w:widowControl/>
        <w:tabs>
          <w:tab w:val="left" w:pos="2160"/>
        </w:tabs>
        <w:ind w:left="360"/>
        <w:rPr>
          <w:szCs w:val="20"/>
        </w:rPr>
      </w:pPr>
      <w:r>
        <w:rPr>
          <w:szCs w:val="20"/>
        </w:rPr>
        <w:t>H305</w:t>
      </w:r>
      <w:r>
        <w:rPr>
          <w:szCs w:val="20"/>
        </w:rPr>
        <w:tab/>
        <w:t>May be fatal if swallowed and enters airways.</w:t>
      </w:r>
    </w:p>
    <w:p w14:paraId="7DAA9277" w14:textId="55C2DABF" w:rsidR="000B3F24" w:rsidRDefault="000B3F24" w:rsidP="000B3F24">
      <w:pPr>
        <w:widowControl/>
        <w:tabs>
          <w:tab w:val="left" w:pos="2160"/>
        </w:tabs>
        <w:ind w:left="360"/>
        <w:rPr>
          <w:szCs w:val="20"/>
        </w:rPr>
      </w:pPr>
    </w:p>
    <w:p w14:paraId="353D0410" w14:textId="77777777" w:rsidR="0028680F" w:rsidRDefault="0028680F">
      <w:pPr>
        <w:widowControl/>
        <w:jc w:val="left"/>
        <w:rPr>
          <w:rFonts w:eastAsia="Times New Roman"/>
          <w:b/>
          <w:bCs/>
          <w:szCs w:val="20"/>
        </w:rPr>
      </w:pPr>
      <w:r>
        <w:rPr>
          <w:rFonts w:eastAsia="Times New Roman"/>
          <w:b/>
          <w:bCs/>
          <w:szCs w:val="20"/>
        </w:rPr>
        <w:br w:type="page"/>
      </w:r>
    </w:p>
    <w:p w14:paraId="00D1B5C1" w14:textId="77777777" w:rsidR="00910EA2" w:rsidRPr="00B0155D" w:rsidRDefault="00730686" w:rsidP="00553A75">
      <w:pPr>
        <w:keepNext/>
        <w:widowControl/>
        <w:tabs>
          <w:tab w:val="left" w:pos="2160"/>
        </w:tabs>
        <w:spacing w:before="120"/>
        <w:ind w:left="2160" w:hanging="1800"/>
        <w:rPr>
          <w:rFonts w:eastAsia="Times New Roman"/>
          <w:b/>
          <w:bCs/>
          <w:szCs w:val="20"/>
        </w:rPr>
      </w:pPr>
      <w:r w:rsidRPr="00B0155D">
        <w:rPr>
          <w:rFonts w:eastAsia="Times New Roman"/>
          <w:b/>
          <w:bCs/>
          <w:szCs w:val="20"/>
        </w:rPr>
        <w:lastRenderedPageBreak/>
        <w:t>Precautionary Statement(s)</w:t>
      </w:r>
    </w:p>
    <w:p w14:paraId="08365BB9" w14:textId="77777777" w:rsidR="005F10FA" w:rsidRPr="0071580C" w:rsidRDefault="005F10FA" w:rsidP="00553A75">
      <w:pPr>
        <w:keepNext/>
        <w:widowControl/>
        <w:tabs>
          <w:tab w:val="left" w:pos="2160"/>
        </w:tabs>
        <w:ind w:left="360"/>
        <w:rPr>
          <w:rFonts w:eastAsia="Times New Roman"/>
          <w:bCs/>
          <w:szCs w:val="20"/>
        </w:rPr>
      </w:pPr>
      <w:r>
        <w:rPr>
          <w:rFonts w:eastAsia="Times New Roman"/>
          <w:bCs/>
          <w:szCs w:val="20"/>
        </w:rPr>
        <w:t>P</w:t>
      </w:r>
      <w:r w:rsidRPr="0071580C">
        <w:rPr>
          <w:rFonts w:eastAsia="Times New Roman"/>
          <w:bCs/>
          <w:szCs w:val="20"/>
        </w:rPr>
        <w:t>201</w:t>
      </w:r>
      <w:r w:rsidRPr="0071580C">
        <w:rPr>
          <w:rFonts w:eastAsia="Times New Roman"/>
          <w:bCs/>
          <w:szCs w:val="20"/>
        </w:rPr>
        <w:tab/>
        <w:t>Obtain special instructions before use.</w:t>
      </w:r>
    </w:p>
    <w:p w14:paraId="28697AF0" w14:textId="77777777" w:rsidR="005F10FA" w:rsidRPr="0071580C" w:rsidRDefault="005F10FA" w:rsidP="00553A75">
      <w:pPr>
        <w:keepNext/>
        <w:widowControl/>
        <w:tabs>
          <w:tab w:val="left" w:pos="2160"/>
        </w:tabs>
        <w:ind w:left="360"/>
        <w:rPr>
          <w:rFonts w:eastAsia="Times New Roman"/>
          <w:bCs/>
          <w:szCs w:val="20"/>
        </w:rPr>
      </w:pPr>
      <w:r w:rsidRPr="0071580C">
        <w:rPr>
          <w:rFonts w:eastAsia="Times New Roman"/>
          <w:bCs/>
          <w:szCs w:val="20"/>
        </w:rPr>
        <w:t>P202</w:t>
      </w:r>
      <w:r w:rsidRPr="0071580C">
        <w:rPr>
          <w:rFonts w:eastAsia="Times New Roman"/>
          <w:bCs/>
          <w:szCs w:val="20"/>
        </w:rPr>
        <w:tab/>
        <w:t>Do not handle until all safety precautions have been read and understood.</w:t>
      </w:r>
    </w:p>
    <w:p w14:paraId="719E070A" w14:textId="77777777" w:rsidR="0028680F" w:rsidRPr="007D37AF" w:rsidRDefault="0028680F" w:rsidP="0028680F">
      <w:pPr>
        <w:widowControl/>
        <w:tabs>
          <w:tab w:val="left" w:pos="2160"/>
        </w:tabs>
        <w:ind w:left="2160" w:hanging="1800"/>
        <w:rPr>
          <w:rFonts w:eastAsia="Times New Roman"/>
          <w:bCs/>
          <w:szCs w:val="20"/>
        </w:rPr>
      </w:pPr>
      <w:r w:rsidRPr="007D37AF">
        <w:rPr>
          <w:rFonts w:eastAsia="Times New Roman"/>
          <w:bCs/>
          <w:szCs w:val="20"/>
        </w:rPr>
        <w:t>P210</w:t>
      </w:r>
      <w:r w:rsidRPr="007D37AF">
        <w:rPr>
          <w:rFonts w:eastAsia="Times New Roman"/>
          <w:bCs/>
          <w:szCs w:val="20"/>
        </w:rPr>
        <w:tab/>
        <w:t>Keep away from heat, sparks, open flames, and hot surfaces.  No smoking.</w:t>
      </w:r>
    </w:p>
    <w:p w14:paraId="5680F584" w14:textId="77777777" w:rsidR="0028680F" w:rsidRPr="0071580C" w:rsidRDefault="0028680F" w:rsidP="0028680F">
      <w:pPr>
        <w:widowControl/>
        <w:tabs>
          <w:tab w:val="left" w:pos="2160"/>
        </w:tabs>
        <w:ind w:left="2160" w:hanging="1800"/>
        <w:rPr>
          <w:rFonts w:eastAsia="Times New Roman"/>
          <w:bCs/>
          <w:szCs w:val="20"/>
        </w:rPr>
      </w:pPr>
      <w:r w:rsidRPr="0071580C">
        <w:rPr>
          <w:rFonts w:eastAsia="Times New Roman"/>
          <w:bCs/>
          <w:szCs w:val="20"/>
        </w:rPr>
        <w:t>P241</w:t>
      </w:r>
      <w:r w:rsidRPr="0071580C">
        <w:rPr>
          <w:rFonts w:eastAsia="Times New Roman"/>
          <w:bCs/>
          <w:szCs w:val="20"/>
        </w:rPr>
        <w:tab/>
      </w:r>
      <w:r w:rsidRPr="0071580C">
        <w:rPr>
          <w:szCs w:val="20"/>
        </w:rPr>
        <w:t>Use explosion-proof electrical</w:t>
      </w:r>
      <w:r>
        <w:rPr>
          <w:szCs w:val="20"/>
        </w:rPr>
        <w:t xml:space="preserve">, </w:t>
      </w:r>
      <w:r w:rsidRPr="0071580C">
        <w:rPr>
          <w:szCs w:val="20"/>
        </w:rPr>
        <w:t>ventilating</w:t>
      </w:r>
      <w:r>
        <w:rPr>
          <w:szCs w:val="20"/>
        </w:rPr>
        <w:t xml:space="preserve">, and </w:t>
      </w:r>
      <w:r w:rsidRPr="0071580C">
        <w:rPr>
          <w:szCs w:val="20"/>
        </w:rPr>
        <w:t>lighting equipment.</w:t>
      </w:r>
    </w:p>
    <w:p w14:paraId="2C57BA52" w14:textId="77777777" w:rsidR="0028680F" w:rsidRPr="007D37AF" w:rsidRDefault="0028680F" w:rsidP="0028680F">
      <w:pPr>
        <w:widowControl/>
        <w:tabs>
          <w:tab w:val="left" w:pos="2160"/>
        </w:tabs>
        <w:ind w:left="2160" w:hanging="1800"/>
        <w:rPr>
          <w:rFonts w:eastAsia="Times New Roman"/>
          <w:bCs/>
          <w:szCs w:val="20"/>
        </w:rPr>
      </w:pPr>
      <w:r w:rsidRPr="007D37AF">
        <w:rPr>
          <w:rFonts w:eastAsia="Times New Roman"/>
          <w:bCs/>
          <w:szCs w:val="20"/>
        </w:rPr>
        <w:t>P242</w:t>
      </w:r>
      <w:r w:rsidRPr="007D37AF">
        <w:rPr>
          <w:rFonts w:eastAsia="Times New Roman"/>
          <w:bCs/>
          <w:szCs w:val="20"/>
        </w:rPr>
        <w:tab/>
        <w:t>Use only non-sparking tools.</w:t>
      </w:r>
    </w:p>
    <w:p w14:paraId="3C93AECF" w14:textId="77777777" w:rsidR="0028680F" w:rsidRPr="007D37AF" w:rsidRDefault="0028680F" w:rsidP="0028680F">
      <w:pPr>
        <w:widowControl/>
        <w:tabs>
          <w:tab w:val="left" w:pos="2160"/>
        </w:tabs>
        <w:ind w:left="2160" w:hanging="1800"/>
        <w:rPr>
          <w:rFonts w:eastAsia="Times New Roman"/>
          <w:bCs/>
          <w:szCs w:val="20"/>
        </w:rPr>
      </w:pPr>
      <w:r w:rsidRPr="007D37AF">
        <w:rPr>
          <w:rFonts w:eastAsia="Times New Roman"/>
          <w:bCs/>
          <w:szCs w:val="20"/>
        </w:rPr>
        <w:t>P243</w:t>
      </w:r>
      <w:r w:rsidRPr="007D37AF">
        <w:rPr>
          <w:rFonts w:eastAsia="Times New Roman"/>
          <w:bCs/>
          <w:szCs w:val="20"/>
        </w:rPr>
        <w:tab/>
        <w:t>Take precautionary measure against static discharge.</w:t>
      </w:r>
    </w:p>
    <w:p w14:paraId="08A61EEF" w14:textId="77777777" w:rsidR="0015774C" w:rsidRPr="007D37AF" w:rsidRDefault="00217D24" w:rsidP="00553A75">
      <w:pPr>
        <w:keepNext/>
        <w:widowControl/>
        <w:tabs>
          <w:tab w:val="left" w:pos="2160"/>
        </w:tabs>
        <w:ind w:left="2160" w:hanging="1800"/>
        <w:rPr>
          <w:rFonts w:eastAsia="Times New Roman"/>
          <w:bCs/>
          <w:szCs w:val="20"/>
        </w:rPr>
      </w:pPr>
      <w:r w:rsidRPr="007D37AF">
        <w:rPr>
          <w:rFonts w:eastAsia="Times New Roman"/>
          <w:bCs/>
          <w:szCs w:val="20"/>
        </w:rPr>
        <w:t>P260</w:t>
      </w:r>
      <w:r w:rsidR="0015774C" w:rsidRPr="007D37AF">
        <w:rPr>
          <w:rFonts w:eastAsia="Times New Roman"/>
          <w:bCs/>
          <w:szCs w:val="20"/>
        </w:rPr>
        <w:tab/>
        <w:t>Do not breathe vapors.</w:t>
      </w:r>
    </w:p>
    <w:p w14:paraId="67FD613B" w14:textId="77777777" w:rsidR="0015774C" w:rsidRPr="007D37AF" w:rsidRDefault="00217D24" w:rsidP="00553A75">
      <w:pPr>
        <w:keepNext/>
        <w:widowControl/>
        <w:tabs>
          <w:tab w:val="left" w:pos="2160"/>
        </w:tabs>
        <w:ind w:left="2160" w:hanging="1800"/>
        <w:rPr>
          <w:rFonts w:eastAsia="Times New Roman"/>
          <w:bCs/>
          <w:szCs w:val="20"/>
        </w:rPr>
      </w:pPr>
      <w:r w:rsidRPr="007D37AF">
        <w:rPr>
          <w:rFonts w:eastAsia="Times New Roman"/>
          <w:bCs/>
          <w:szCs w:val="20"/>
        </w:rPr>
        <w:t>P264</w:t>
      </w:r>
      <w:r w:rsidR="00F464C4" w:rsidRPr="007D37AF">
        <w:rPr>
          <w:rFonts w:eastAsia="Times New Roman"/>
          <w:bCs/>
          <w:szCs w:val="20"/>
        </w:rPr>
        <w:tab/>
      </w:r>
      <w:r w:rsidR="0015774C" w:rsidRPr="007D37AF">
        <w:rPr>
          <w:rFonts w:eastAsia="Times New Roman"/>
          <w:bCs/>
          <w:szCs w:val="20"/>
        </w:rPr>
        <w:t xml:space="preserve">Wash </w:t>
      </w:r>
      <w:r w:rsidR="00F464C4" w:rsidRPr="007D37AF">
        <w:rPr>
          <w:rFonts w:eastAsia="Times New Roman"/>
          <w:bCs/>
          <w:szCs w:val="20"/>
        </w:rPr>
        <w:t>hands thoroughly after handling.</w:t>
      </w:r>
    </w:p>
    <w:p w14:paraId="7E880D4A" w14:textId="77777777" w:rsidR="00F464C4" w:rsidRPr="007D37AF" w:rsidRDefault="00217D24" w:rsidP="00553A75">
      <w:pPr>
        <w:keepNext/>
        <w:widowControl/>
        <w:tabs>
          <w:tab w:val="left" w:pos="2160"/>
        </w:tabs>
        <w:ind w:left="2160" w:hanging="1800"/>
        <w:rPr>
          <w:rFonts w:eastAsia="Times New Roman"/>
          <w:bCs/>
          <w:szCs w:val="20"/>
        </w:rPr>
      </w:pPr>
      <w:r w:rsidRPr="007D37AF">
        <w:rPr>
          <w:rFonts w:eastAsia="Times New Roman"/>
          <w:bCs/>
          <w:szCs w:val="20"/>
        </w:rPr>
        <w:t>P270</w:t>
      </w:r>
      <w:r w:rsidR="00F464C4" w:rsidRPr="007D37AF">
        <w:rPr>
          <w:rFonts w:eastAsia="Times New Roman"/>
          <w:bCs/>
          <w:szCs w:val="20"/>
        </w:rPr>
        <w:tab/>
        <w:t>Do not eat, drink, or smoke when using this product.</w:t>
      </w:r>
    </w:p>
    <w:p w14:paraId="4472CF90" w14:textId="77777777" w:rsidR="00217D24" w:rsidRDefault="00217D24" w:rsidP="00553A75">
      <w:pPr>
        <w:keepNext/>
        <w:widowControl/>
        <w:tabs>
          <w:tab w:val="left" w:pos="2160"/>
        </w:tabs>
        <w:ind w:left="2160" w:hanging="1800"/>
        <w:rPr>
          <w:rFonts w:eastAsia="Times New Roman"/>
          <w:bCs/>
          <w:szCs w:val="20"/>
        </w:rPr>
      </w:pPr>
      <w:r w:rsidRPr="007D37AF">
        <w:rPr>
          <w:rFonts w:eastAsia="Times New Roman"/>
          <w:bCs/>
          <w:szCs w:val="20"/>
        </w:rPr>
        <w:t>P271</w:t>
      </w:r>
      <w:r w:rsidRPr="007D37AF">
        <w:rPr>
          <w:rFonts w:eastAsia="Times New Roman"/>
          <w:bCs/>
          <w:szCs w:val="20"/>
        </w:rPr>
        <w:tab/>
        <w:t>Use only outdoors or in a well-ventilated area.</w:t>
      </w:r>
    </w:p>
    <w:p w14:paraId="03918E93" w14:textId="77777777" w:rsidR="005F10FA" w:rsidRDefault="005F10FA" w:rsidP="005F10FA">
      <w:pPr>
        <w:widowControl/>
        <w:tabs>
          <w:tab w:val="left" w:pos="2160"/>
        </w:tabs>
        <w:ind w:left="2160" w:hanging="1800"/>
        <w:rPr>
          <w:rFonts w:eastAsia="Times New Roman"/>
          <w:bCs/>
          <w:szCs w:val="20"/>
        </w:rPr>
      </w:pPr>
      <w:r w:rsidRPr="007D37AF">
        <w:rPr>
          <w:rFonts w:eastAsia="Times New Roman"/>
          <w:bCs/>
          <w:szCs w:val="20"/>
        </w:rPr>
        <w:t>P280</w:t>
      </w:r>
      <w:r w:rsidRPr="007D37AF">
        <w:rPr>
          <w:rFonts w:eastAsia="Times New Roman"/>
          <w:bCs/>
          <w:szCs w:val="20"/>
        </w:rPr>
        <w:tab/>
        <w:t>Wear protective gloves, eye</w:t>
      </w:r>
      <w:r w:rsidR="00545460">
        <w:rPr>
          <w:rFonts w:eastAsia="Times New Roman"/>
          <w:bCs/>
          <w:szCs w:val="20"/>
        </w:rPr>
        <w:t xml:space="preserve"> protection</w:t>
      </w:r>
      <w:r w:rsidRPr="007D37AF">
        <w:rPr>
          <w:rFonts w:eastAsia="Times New Roman"/>
          <w:bCs/>
          <w:szCs w:val="20"/>
        </w:rPr>
        <w:t>, and face protection.</w:t>
      </w:r>
    </w:p>
    <w:p w14:paraId="021746EB" w14:textId="77777777" w:rsidR="007D37AF" w:rsidRDefault="007D37AF" w:rsidP="005F10FA">
      <w:pPr>
        <w:widowControl/>
        <w:tabs>
          <w:tab w:val="left" w:pos="2160"/>
        </w:tabs>
        <w:jc w:val="left"/>
        <w:rPr>
          <w:rFonts w:eastAsia="Times New Roman"/>
          <w:bCs/>
          <w:szCs w:val="20"/>
        </w:rPr>
      </w:pPr>
    </w:p>
    <w:p w14:paraId="52084A9C" w14:textId="267FEA39" w:rsidR="007D37AF" w:rsidRPr="007D37AF" w:rsidRDefault="007D37AF" w:rsidP="005F10FA">
      <w:pPr>
        <w:widowControl/>
        <w:tabs>
          <w:tab w:val="left" w:pos="2160"/>
        </w:tabs>
        <w:ind w:left="2160" w:hanging="1800"/>
        <w:rPr>
          <w:rFonts w:eastAsia="Times New Roman"/>
          <w:bCs/>
          <w:szCs w:val="20"/>
        </w:rPr>
      </w:pPr>
      <w:r w:rsidRPr="007D37AF">
        <w:rPr>
          <w:rFonts w:eastAsia="Times New Roman"/>
          <w:bCs/>
          <w:szCs w:val="20"/>
        </w:rPr>
        <w:t>P301+P310</w:t>
      </w:r>
      <w:r w:rsidR="00F464C4" w:rsidRPr="007D37AF">
        <w:rPr>
          <w:rFonts w:eastAsia="Times New Roman"/>
          <w:bCs/>
          <w:szCs w:val="20"/>
        </w:rPr>
        <w:tab/>
      </w:r>
      <w:r w:rsidR="00217D24" w:rsidRPr="007D37AF">
        <w:rPr>
          <w:rFonts w:eastAsia="Times New Roman"/>
          <w:bCs/>
          <w:caps/>
          <w:szCs w:val="20"/>
        </w:rPr>
        <w:t>I</w:t>
      </w:r>
      <w:r w:rsidR="00217D24" w:rsidRPr="000B3F24">
        <w:rPr>
          <w:rFonts w:eastAsia="Times New Roman"/>
          <w:bCs/>
          <w:szCs w:val="20"/>
        </w:rPr>
        <w:t>f swallowed</w:t>
      </w:r>
      <w:r w:rsidR="00217D24" w:rsidRPr="007D37AF">
        <w:rPr>
          <w:rFonts w:eastAsia="Times New Roman"/>
          <w:bCs/>
          <w:szCs w:val="20"/>
        </w:rPr>
        <w:t>:  Imm</w:t>
      </w:r>
      <w:r w:rsidRPr="007D37AF">
        <w:rPr>
          <w:rFonts w:eastAsia="Times New Roman"/>
          <w:bCs/>
          <w:szCs w:val="20"/>
        </w:rPr>
        <w:t xml:space="preserve">ediately call a doctor.  </w:t>
      </w:r>
    </w:p>
    <w:p w14:paraId="55A6533D" w14:textId="77777777" w:rsidR="000B3F24" w:rsidRPr="007D37AF" w:rsidRDefault="000B3F24" w:rsidP="000B3F24">
      <w:pPr>
        <w:widowControl/>
        <w:tabs>
          <w:tab w:val="left" w:pos="2160"/>
        </w:tabs>
        <w:ind w:left="2160" w:hanging="1800"/>
        <w:rPr>
          <w:rFonts w:eastAsia="Times New Roman"/>
          <w:bCs/>
          <w:szCs w:val="20"/>
        </w:rPr>
      </w:pPr>
      <w:r w:rsidRPr="007D37AF">
        <w:rPr>
          <w:rFonts w:eastAsia="Times New Roman"/>
          <w:bCs/>
          <w:szCs w:val="20"/>
        </w:rPr>
        <w:t>P331</w:t>
      </w:r>
      <w:r w:rsidRPr="007D37AF">
        <w:rPr>
          <w:rFonts w:eastAsia="Times New Roman"/>
          <w:bCs/>
          <w:szCs w:val="20"/>
        </w:rPr>
        <w:tab/>
        <w:t>Do NOT induce vomiting.</w:t>
      </w:r>
    </w:p>
    <w:p w14:paraId="23232715" w14:textId="77777777" w:rsidR="00217D24" w:rsidRDefault="007D37AF" w:rsidP="005F10FA">
      <w:pPr>
        <w:widowControl/>
        <w:tabs>
          <w:tab w:val="left" w:pos="2160"/>
        </w:tabs>
        <w:ind w:left="2160" w:hanging="1800"/>
        <w:rPr>
          <w:rFonts w:eastAsia="Times New Roman"/>
          <w:bCs/>
          <w:szCs w:val="20"/>
        </w:rPr>
      </w:pPr>
      <w:r w:rsidRPr="007D37AF">
        <w:rPr>
          <w:rFonts w:eastAsia="Times New Roman"/>
          <w:bCs/>
          <w:szCs w:val="20"/>
        </w:rPr>
        <w:t>P303+P361+P353</w:t>
      </w:r>
      <w:r w:rsidR="00217D24" w:rsidRPr="007D37AF">
        <w:rPr>
          <w:rFonts w:eastAsia="Times New Roman"/>
          <w:bCs/>
          <w:szCs w:val="20"/>
        </w:rPr>
        <w:tab/>
      </w:r>
      <w:r w:rsidR="00217D24" w:rsidRPr="007D37AF">
        <w:rPr>
          <w:rFonts w:eastAsia="Times New Roman"/>
          <w:bCs/>
          <w:caps/>
          <w:szCs w:val="20"/>
        </w:rPr>
        <w:t>I</w:t>
      </w:r>
      <w:r w:rsidR="00217D24" w:rsidRPr="000B3F24">
        <w:rPr>
          <w:rFonts w:eastAsia="Times New Roman"/>
          <w:bCs/>
          <w:szCs w:val="20"/>
        </w:rPr>
        <w:t>f on skin</w:t>
      </w:r>
      <w:r w:rsidR="00217D24" w:rsidRPr="007D37AF">
        <w:rPr>
          <w:rFonts w:eastAsia="Times New Roman"/>
          <w:bCs/>
          <w:szCs w:val="20"/>
        </w:rPr>
        <w:t xml:space="preserve"> </w:t>
      </w:r>
      <w:r w:rsidRPr="007D37AF">
        <w:rPr>
          <w:rFonts w:eastAsia="Times New Roman"/>
          <w:bCs/>
          <w:szCs w:val="20"/>
        </w:rPr>
        <w:t>(</w:t>
      </w:r>
      <w:r w:rsidR="00217D24" w:rsidRPr="007D37AF">
        <w:rPr>
          <w:rFonts w:eastAsia="Times New Roman"/>
          <w:bCs/>
          <w:szCs w:val="20"/>
        </w:rPr>
        <w:t>or hair</w:t>
      </w:r>
      <w:r w:rsidRPr="007D37AF">
        <w:rPr>
          <w:rFonts w:eastAsia="Times New Roman"/>
          <w:bCs/>
          <w:szCs w:val="20"/>
        </w:rPr>
        <w:t>)</w:t>
      </w:r>
      <w:r w:rsidR="00217D24" w:rsidRPr="007D37AF">
        <w:rPr>
          <w:rFonts w:eastAsia="Times New Roman"/>
          <w:bCs/>
          <w:szCs w:val="20"/>
        </w:rPr>
        <w:t xml:space="preserve">: Take off immediately all </w:t>
      </w:r>
      <w:r w:rsidRPr="007D37AF">
        <w:rPr>
          <w:rFonts w:eastAsia="Times New Roman"/>
          <w:bCs/>
          <w:szCs w:val="20"/>
        </w:rPr>
        <w:t>contaminated</w:t>
      </w:r>
      <w:r w:rsidR="00217D24" w:rsidRPr="007D37AF">
        <w:rPr>
          <w:rFonts w:eastAsia="Times New Roman"/>
          <w:bCs/>
          <w:szCs w:val="20"/>
        </w:rPr>
        <w:t xml:space="preserve"> </w:t>
      </w:r>
      <w:r w:rsidRPr="007D37AF">
        <w:rPr>
          <w:rFonts w:eastAsia="Times New Roman"/>
          <w:bCs/>
          <w:szCs w:val="20"/>
        </w:rPr>
        <w:t>clothing</w:t>
      </w:r>
      <w:r w:rsidR="00217D24" w:rsidRPr="007D37AF">
        <w:rPr>
          <w:rFonts w:eastAsia="Times New Roman"/>
          <w:bCs/>
          <w:szCs w:val="20"/>
        </w:rPr>
        <w:t>.  Rinse skin with water or shower.</w:t>
      </w:r>
    </w:p>
    <w:p w14:paraId="169F0408" w14:textId="77777777" w:rsidR="00506E99" w:rsidRPr="007D37AF" w:rsidRDefault="00506E99" w:rsidP="00506E99">
      <w:pPr>
        <w:widowControl/>
        <w:tabs>
          <w:tab w:val="left" w:pos="2160"/>
        </w:tabs>
        <w:ind w:left="2160" w:hanging="1800"/>
        <w:rPr>
          <w:rFonts w:eastAsia="Times New Roman"/>
          <w:bCs/>
          <w:szCs w:val="20"/>
        </w:rPr>
      </w:pPr>
      <w:r w:rsidRPr="007D37AF">
        <w:rPr>
          <w:rFonts w:eastAsia="Times New Roman"/>
          <w:bCs/>
          <w:szCs w:val="20"/>
        </w:rPr>
        <w:t>P304+P340</w:t>
      </w:r>
      <w:r w:rsidRPr="007D37AF">
        <w:rPr>
          <w:rFonts w:eastAsia="Times New Roman"/>
          <w:bCs/>
          <w:szCs w:val="20"/>
        </w:rPr>
        <w:tab/>
      </w:r>
      <w:r w:rsidRPr="007D37AF">
        <w:rPr>
          <w:rFonts w:eastAsia="Times New Roman"/>
          <w:bCs/>
          <w:caps/>
          <w:szCs w:val="20"/>
        </w:rPr>
        <w:t>I</w:t>
      </w:r>
      <w:r w:rsidRPr="000B3F24">
        <w:rPr>
          <w:rFonts w:eastAsia="Times New Roman"/>
          <w:bCs/>
          <w:szCs w:val="20"/>
        </w:rPr>
        <w:t>f inhaled</w:t>
      </w:r>
      <w:r w:rsidRPr="007D37AF">
        <w:rPr>
          <w:rFonts w:eastAsia="Times New Roman"/>
          <w:bCs/>
          <w:szCs w:val="20"/>
        </w:rPr>
        <w:t>: Remove person to fresh air and keep comfortable for breathing.</w:t>
      </w:r>
    </w:p>
    <w:p w14:paraId="6D6A719B" w14:textId="14494D4C" w:rsidR="005172D0" w:rsidRPr="0071580C" w:rsidRDefault="005172D0" w:rsidP="00553A75">
      <w:pPr>
        <w:widowControl/>
        <w:tabs>
          <w:tab w:val="left" w:pos="2160"/>
        </w:tabs>
        <w:autoSpaceDE w:val="0"/>
        <w:autoSpaceDN w:val="0"/>
        <w:adjustRightInd w:val="0"/>
        <w:ind w:left="2160" w:hanging="1800"/>
        <w:rPr>
          <w:rFonts w:eastAsia="Times New Roman"/>
          <w:bCs/>
          <w:szCs w:val="20"/>
        </w:rPr>
      </w:pPr>
      <w:r w:rsidRPr="0071580C">
        <w:rPr>
          <w:rFonts w:eastAsia="Times New Roman"/>
          <w:bCs/>
          <w:szCs w:val="20"/>
        </w:rPr>
        <w:t>P305+P351+P338</w:t>
      </w:r>
      <w:r w:rsidRPr="0071580C">
        <w:rPr>
          <w:rFonts w:eastAsia="Times New Roman"/>
          <w:bCs/>
          <w:szCs w:val="20"/>
        </w:rPr>
        <w:tab/>
        <w:t>I</w:t>
      </w:r>
      <w:r w:rsidR="001B69CD">
        <w:rPr>
          <w:rFonts w:eastAsia="Times New Roman"/>
          <w:bCs/>
          <w:szCs w:val="20"/>
        </w:rPr>
        <w:t>f in eyes</w:t>
      </w:r>
      <w:r w:rsidRPr="0071580C">
        <w:rPr>
          <w:rFonts w:eastAsia="Times New Roman"/>
          <w:bCs/>
          <w:szCs w:val="20"/>
        </w:rPr>
        <w:t xml:space="preserve">: Rinse cautiously with water for several minutes.  Remove contact lenses, if present and easy to do. </w:t>
      </w:r>
      <w:r w:rsidR="00545460">
        <w:rPr>
          <w:rFonts w:eastAsia="Times New Roman"/>
          <w:bCs/>
          <w:szCs w:val="20"/>
        </w:rPr>
        <w:t xml:space="preserve"> </w:t>
      </w:r>
      <w:r w:rsidRPr="0071580C">
        <w:rPr>
          <w:rFonts w:eastAsia="Times New Roman"/>
          <w:bCs/>
          <w:szCs w:val="20"/>
        </w:rPr>
        <w:t>Continue rinsing.</w:t>
      </w:r>
    </w:p>
    <w:p w14:paraId="27954B2F" w14:textId="07EE07A5" w:rsidR="005172D0" w:rsidRDefault="005172D0" w:rsidP="005F10FA">
      <w:pPr>
        <w:widowControl/>
        <w:tabs>
          <w:tab w:val="left" w:pos="2160"/>
        </w:tabs>
        <w:autoSpaceDE w:val="0"/>
        <w:autoSpaceDN w:val="0"/>
        <w:adjustRightInd w:val="0"/>
        <w:ind w:left="2250" w:hanging="1890"/>
        <w:rPr>
          <w:rFonts w:eastAsia="Times New Roman"/>
          <w:bCs/>
          <w:szCs w:val="20"/>
        </w:rPr>
      </w:pPr>
      <w:r w:rsidRPr="0071580C">
        <w:rPr>
          <w:rFonts w:eastAsia="Times New Roman"/>
          <w:bCs/>
          <w:szCs w:val="20"/>
        </w:rPr>
        <w:t>P308+P313</w:t>
      </w:r>
      <w:r w:rsidRPr="0071580C">
        <w:rPr>
          <w:rFonts w:eastAsia="Times New Roman"/>
          <w:bCs/>
          <w:szCs w:val="20"/>
        </w:rPr>
        <w:tab/>
      </w:r>
      <w:r w:rsidR="001B69CD" w:rsidRPr="0071580C">
        <w:rPr>
          <w:rFonts w:eastAsia="Times New Roman"/>
          <w:bCs/>
          <w:szCs w:val="20"/>
        </w:rPr>
        <w:t>I</w:t>
      </w:r>
      <w:r w:rsidR="001B69CD">
        <w:rPr>
          <w:rFonts w:eastAsia="Times New Roman"/>
          <w:bCs/>
          <w:szCs w:val="20"/>
        </w:rPr>
        <w:t>f</w:t>
      </w:r>
      <w:r w:rsidR="001B69CD" w:rsidRPr="0071580C">
        <w:rPr>
          <w:rFonts w:eastAsia="Times New Roman"/>
          <w:bCs/>
          <w:szCs w:val="20"/>
        </w:rPr>
        <w:t xml:space="preserve"> </w:t>
      </w:r>
      <w:r w:rsidRPr="0071580C">
        <w:rPr>
          <w:rFonts w:eastAsia="Times New Roman"/>
          <w:bCs/>
          <w:szCs w:val="20"/>
        </w:rPr>
        <w:t>exposed or concerned:  Get medical attention.</w:t>
      </w:r>
    </w:p>
    <w:p w14:paraId="250CAE60" w14:textId="77777777" w:rsidR="005172D0" w:rsidRPr="0071580C" w:rsidRDefault="005172D0" w:rsidP="005F10FA">
      <w:pPr>
        <w:widowControl/>
        <w:tabs>
          <w:tab w:val="left" w:pos="2160"/>
        </w:tabs>
        <w:ind w:left="360"/>
        <w:rPr>
          <w:rFonts w:eastAsia="Times New Roman"/>
          <w:bCs/>
          <w:szCs w:val="20"/>
        </w:rPr>
      </w:pPr>
      <w:r w:rsidRPr="0071580C">
        <w:rPr>
          <w:rFonts w:eastAsia="Times New Roman"/>
          <w:bCs/>
          <w:szCs w:val="20"/>
        </w:rPr>
        <w:t>P362+P364</w:t>
      </w:r>
      <w:r w:rsidRPr="0071580C">
        <w:rPr>
          <w:rFonts w:eastAsia="Times New Roman"/>
          <w:bCs/>
          <w:szCs w:val="20"/>
        </w:rPr>
        <w:tab/>
        <w:t>Take off contaminated clothing and wash it before reuse.</w:t>
      </w:r>
    </w:p>
    <w:p w14:paraId="728A5317" w14:textId="77777777" w:rsidR="003A6E9A" w:rsidRPr="007D37AF" w:rsidRDefault="003A6E9A" w:rsidP="005F10FA">
      <w:pPr>
        <w:widowControl/>
        <w:tabs>
          <w:tab w:val="left" w:pos="2160"/>
        </w:tabs>
        <w:ind w:left="2160" w:hanging="1800"/>
        <w:rPr>
          <w:rFonts w:eastAsia="Times New Roman"/>
          <w:bCs/>
          <w:szCs w:val="20"/>
        </w:rPr>
      </w:pPr>
    </w:p>
    <w:p w14:paraId="3FA29EBA" w14:textId="45F12972" w:rsidR="00F464C4" w:rsidRPr="007D37AF" w:rsidRDefault="007D37AF" w:rsidP="005F10FA">
      <w:pPr>
        <w:widowControl/>
        <w:tabs>
          <w:tab w:val="left" w:pos="2160"/>
        </w:tabs>
        <w:ind w:left="2160" w:hanging="1800"/>
        <w:rPr>
          <w:rFonts w:eastAsia="Times New Roman"/>
          <w:bCs/>
          <w:szCs w:val="20"/>
        </w:rPr>
      </w:pPr>
      <w:r w:rsidRPr="007D37AF">
        <w:rPr>
          <w:rFonts w:eastAsia="Times New Roman"/>
          <w:bCs/>
          <w:szCs w:val="20"/>
        </w:rPr>
        <w:t>P403+</w:t>
      </w:r>
      <w:r w:rsidR="003A6E9A" w:rsidRPr="007D37AF">
        <w:rPr>
          <w:rFonts w:eastAsia="Times New Roman"/>
          <w:bCs/>
          <w:szCs w:val="20"/>
        </w:rPr>
        <w:t>P233</w:t>
      </w:r>
      <w:r w:rsidR="00F464C4" w:rsidRPr="007D37AF">
        <w:rPr>
          <w:rFonts w:eastAsia="Times New Roman"/>
          <w:bCs/>
          <w:szCs w:val="20"/>
        </w:rPr>
        <w:tab/>
        <w:t>Store in a well</w:t>
      </w:r>
      <w:r>
        <w:rPr>
          <w:rFonts w:eastAsia="Times New Roman"/>
          <w:bCs/>
          <w:szCs w:val="20"/>
        </w:rPr>
        <w:t>-</w:t>
      </w:r>
      <w:r w:rsidR="00F464C4" w:rsidRPr="007D37AF">
        <w:rPr>
          <w:rFonts w:eastAsia="Times New Roman"/>
          <w:bCs/>
          <w:szCs w:val="20"/>
        </w:rPr>
        <w:t xml:space="preserve">ventilated place.  </w:t>
      </w:r>
      <w:r w:rsidR="000B3F24">
        <w:rPr>
          <w:rFonts w:eastAsia="Times New Roman"/>
          <w:bCs/>
          <w:szCs w:val="20"/>
        </w:rPr>
        <w:t xml:space="preserve">Keep cool.  </w:t>
      </w:r>
      <w:r w:rsidR="00F464C4" w:rsidRPr="007D37AF">
        <w:rPr>
          <w:rFonts w:eastAsia="Times New Roman"/>
          <w:bCs/>
          <w:szCs w:val="20"/>
        </w:rPr>
        <w:t>Keep container tightly closed.</w:t>
      </w:r>
    </w:p>
    <w:p w14:paraId="5CB02BB2" w14:textId="77777777" w:rsidR="00F464C4" w:rsidRPr="007D37AF" w:rsidRDefault="007D37AF" w:rsidP="005F10FA">
      <w:pPr>
        <w:widowControl/>
        <w:tabs>
          <w:tab w:val="left" w:pos="2160"/>
        </w:tabs>
        <w:ind w:left="2160" w:hanging="1800"/>
        <w:rPr>
          <w:rFonts w:eastAsia="Times New Roman"/>
          <w:bCs/>
          <w:szCs w:val="20"/>
        </w:rPr>
      </w:pPr>
      <w:r w:rsidRPr="007D37AF">
        <w:rPr>
          <w:rFonts w:eastAsia="Times New Roman"/>
          <w:bCs/>
          <w:szCs w:val="20"/>
        </w:rPr>
        <w:t>P405</w:t>
      </w:r>
      <w:r w:rsidR="00F464C4" w:rsidRPr="007D37AF">
        <w:rPr>
          <w:rFonts w:eastAsia="Times New Roman"/>
          <w:bCs/>
          <w:szCs w:val="20"/>
        </w:rPr>
        <w:tab/>
        <w:t>Store locked up</w:t>
      </w:r>
    </w:p>
    <w:p w14:paraId="6D893B9B" w14:textId="77777777" w:rsidR="00F464C4" w:rsidRPr="007D37AF" w:rsidRDefault="00F464C4" w:rsidP="005F10FA">
      <w:pPr>
        <w:widowControl/>
        <w:tabs>
          <w:tab w:val="left" w:pos="2160"/>
        </w:tabs>
        <w:ind w:left="2160" w:hanging="1800"/>
        <w:rPr>
          <w:rFonts w:eastAsia="Times New Roman"/>
          <w:bCs/>
          <w:szCs w:val="20"/>
        </w:rPr>
      </w:pPr>
    </w:p>
    <w:p w14:paraId="44C09162" w14:textId="21961101" w:rsidR="00EA617B" w:rsidRDefault="00EA617B" w:rsidP="005F10FA">
      <w:pPr>
        <w:widowControl/>
        <w:tabs>
          <w:tab w:val="left" w:pos="2160"/>
        </w:tabs>
        <w:ind w:left="2160" w:hanging="1800"/>
        <w:rPr>
          <w:rFonts w:eastAsia="Times New Roman"/>
          <w:bCs/>
          <w:szCs w:val="20"/>
        </w:rPr>
      </w:pPr>
      <w:r w:rsidRPr="007D37AF">
        <w:rPr>
          <w:rFonts w:eastAsia="Times New Roman"/>
          <w:bCs/>
          <w:szCs w:val="20"/>
        </w:rPr>
        <w:t>P501</w:t>
      </w:r>
      <w:r w:rsidRPr="007D37AF">
        <w:rPr>
          <w:rFonts w:eastAsia="Times New Roman"/>
          <w:bCs/>
          <w:szCs w:val="20"/>
        </w:rPr>
        <w:tab/>
        <w:t>Dispose of contents</w:t>
      </w:r>
      <w:r w:rsidR="00545460">
        <w:rPr>
          <w:rFonts w:eastAsia="Times New Roman"/>
          <w:bCs/>
          <w:szCs w:val="20"/>
        </w:rPr>
        <w:t xml:space="preserve"> and </w:t>
      </w:r>
      <w:r w:rsidRPr="007D37AF">
        <w:rPr>
          <w:rFonts w:eastAsia="Times New Roman"/>
          <w:bCs/>
          <w:szCs w:val="20"/>
        </w:rPr>
        <w:t xml:space="preserve">container </w:t>
      </w:r>
      <w:r w:rsidR="00545460">
        <w:rPr>
          <w:rFonts w:eastAsia="Times New Roman"/>
          <w:bCs/>
          <w:szCs w:val="20"/>
        </w:rPr>
        <w:t xml:space="preserve">according to </w:t>
      </w:r>
      <w:r w:rsidRPr="007D37AF">
        <w:rPr>
          <w:rFonts w:eastAsia="Times New Roman"/>
          <w:bCs/>
          <w:szCs w:val="20"/>
        </w:rPr>
        <w:t>local</w:t>
      </w:r>
      <w:r w:rsidR="00545460">
        <w:rPr>
          <w:rFonts w:eastAsia="Times New Roman"/>
          <w:bCs/>
          <w:szCs w:val="20"/>
        </w:rPr>
        <w:t xml:space="preserve"> regulations</w:t>
      </w:r>
      <w:r w:rsidRPr="007D37AF">
        <w:rPr>
          <w:rFonts w:eastAsia="Times New Roman"/>
          <w:bCs/>
          <w:szCs w:val="20"/>
        </w:rPr>
        <w:t>.</w:t>
      </w:r>
    </w:p>
    <w:p w14:paraId="2A9641FB" w14:textId="77777777" w:rsidR="002B22C8" w:rsidRPr="004C5973" w:rsidRDefault="00910EA2" w:rsidP="006B75AB">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616E0ACE" w14:textId="77777777" w:rsidR="000F1959" w:rsidRPr="000F1959" w:rsidRDefault="00910EA2" w:rsidP="006B75AB">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14:paraId="2CAFD309" w14:textId="77777777" w:rsidTr="00ED2AB8">
        <w:trPr>
          <w:trHeight w:hRule="exact" w:val="360"/>
        </w:trPr>
        <w:tc>
          <w:tcPr>
            <w:tcW w:w="9396" w:type="dxa"/>
            <w:vAlign w:val="center"/>
          </w:tcPr>
          <w:p w14:paraId="55A16BC2" w14:textId="77777777" w:rsidR="00371ED3" w:rsidRPr="00944226" w:rsidRDefault="00371ED3" w:rsidP="006B75AB">
            <w:pPr>
              <w:keepNext/>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703FC6C6" w14:textId="77777777" w:rsidR="00BB0995" w:rsidRPr="00F353D7" w:rsidRDefault="00BB0995" w:rsidP="006B75AB">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ED2AB8">
        <w:rPr>
          <w:rFonts w:eastAsia="Times New Roman"/>
          <w:bCs/>
          <w:spacing w:val="1"/>
          <w:szCs w:val="20"/>
        </w:rPr>
        <w:t>Hexane</w:t>
      </w:r>
    </w:p>
    <w:p w14:paraId="59B99735" w14:textId="77777777" w:rsidR="00170609" w:rsidRPr="00553A75" w:rsidRDefault="00BB0995" w:rsidP="00CA1914">
      <w:pPr>
        <w:keepNext/>
        <w:widowControl/>
        <w:spacing w:before="60"/>
        <w:rPr>
          <w:rFonts w:eastAsia="Times New Roman"/>
          <w:bCs/>
          <w:spacing w:val="-1"/>
          <w:szCs w:val="20"/>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r w:rsidR="0051359D">
        <w:rPr>
          <w:rFonts w:eastAsia="Times New Roman"/>
          <w:b/>
          <w:bCs/>
          <w:spacing w:val="-1"/>
          <w:szCs w:val="20"/>
        </w:rPr>
        <w:t>:</w:t>
      </w:r>
      <w:r w:rsidR="0051359D">
        <w:rPr>
          <w:rFonts w:eastAsia="Times New Roman"/>
          <w:bCs/>
          <w:spacing w:val="-1"/>
          <w:szCs w:val="20"/>
        </w:rPr>
        <w:t xml:space="preserve">  </w:t>
      </w:r>
      <w:r w:rsidR="0051359D" w:rsidRPr="0051359D">
        <w:rPr>
          <w:rFonts w:eastAsia="Times New Roman"/>
          <w:bCs/>
          <w:spacing w:val="-1"/>
          <w:szCs w:val="20"/>
        </w:rPr>
        <w:t>Hexane (hexyl hydride; normal hexane; n hexane)</w:t>
      </w:r>
    </w:p>
    <w:p w14:paraId="3FEAC111" w14:textId="77777777" w:rsidR="007E48DA" w:rsidRPr="007E48DA" w:rsidRDefault="007E48DA" w:rsidP="00FF0E87">
      <w:pPr>
        <w:keepNext/>
        <w:widowControl/>
        <w:spacing w:before="120" w:after="120"/>
        <w:rPr>
          <w:szCs w:val="20"/>
        </w:rPr>
      </w:pPr>
      <w:r w:rsidRPr="007E48DA">
        <w:rPr>
          <w:b/>
        </w:rPr>
        <w:t>Note:</w:t>
      </w:r>
      <w:r w:rsidRPr="007E48DA">
        <w:rPr>
          <w:szCs w:val="20"/>
        </w:rPr>
        <w:t xml:space="preserve">  This material contains </w:t>
      </w:r>
      <w:r w:rsidR="00334E80">
        <w:rPr>
          <w:szCs w:val="20"/>
        </w:rPr>
        <w:t>trace amounts of</w:t>
      </w:r>
      <w:r w:rsidRPr="007E48DA">
        <w:rPr>
          <w:szCs w:val="20"/>
        </w:rPr>
        <w:t xml:space="preserve"> compounds</w:t>
      </w:r>
      <w:r w:rsidRPr="007E48DA">
        <w:rPr>
          <w:bCs/>
          <w:szCs w:val="20"/>
        </w:rPr>
        <w:t xml:space="preserve"> </w:t>
      </w:r>
      <w:r w:rsidRPr="007E48DA">
        <w:rPr>
          <w:szCs w:val="20"/>
        </w:rPr>
        <w:t>which have been reported to have toxic, mutagenic, and/or carcinogenic properties, and should be handled with care.  These compounds</w:t>
      </w:r>
      <w:r w:rsidR="00ED2AB8">
        <w:rPr>
          <w:szCs w:val="20"/>
        </w:rPr>
        <w:t xml:space="preserve"> </w:t>
      </w:r>
      <w:r w:rsidRPr="007E48DA">
        <w:rPr>
          <w:szCs w:val="20"/>
        </w:rPr>
        <w:t>are</w:t>
      </w:r>
      <w:r w:rsidR="00ED2AB8">
        <w:rPr>
          <w:szCs w:val="20"/>
        </w:rPr>
        <w:t xml:space="preserve"> </w:t>
      </w:r>
      <w:r w:rsidR="00AB7602">
        <w:rPr>
          <w:szCs w:val="20"/>
        </w:rPr>
        <w:t xml:space="preserve">not </w:t>
      </w:r>
      <w:r w:rsidRPr="007E48DA">
        <w:rPr>
          <w:szCs w:val="20"/>
        </w:rPr>
        <w:t xml:space="preserve">listed </w:t>
      </w:r>
      <w:r w:rsidR="00AB7602">
        <w:rPr>
          <w:szCs w:val="20"/>
        </w:rPr>
        <w:t>as they</w:t>
      </w:r>
      <w:r w:rsidRPr="007E48DA">
        <w:rPr>
          <w:szCs w:val="20"/>
        </w:rPr>
        <w:t xml:space="preserve"> are below the reportable limit for hazardous components (1 % or greater) and carcinogens (0.1 % or greater), required by OSHA, 29 CFR 1910.1200 (g)(2)(i)(C)(1), for SDS information.  For actual concentrations, see the Certificate of Analysis</w:t>
      </w:r>
      <w:r w:rsidRPr="007E48DA">
        <w:rPr>
          <w:szCs w:val="20"/>
          <w:lang w:val="it-IT"/>
        </w:rPr>
        <w:t>.</w:t>
      </w:r>
    </w:p>
    <w:tbl>
      <w:tblPr>
        <w:tblStyle w:val="TableGrid"/>
        <w:tblW w:w="9085" w:type="dxa"/>
        <w:tblLook w:val="04A0" w:firstRow="1" w:lastRow="0" w:firstColumn="1" w:lastColumn="0" w:noHBand="0" w:noVBand="1"/>
      </w:tblPr>
      <w:tblGrid>
        <w:gridCol w:w="2605"/>
        <w:gridCol w:w="1800"/>
        <w:gridCol w:w="1890"/>
        <w:gridCol w:w="2790"/>
      </w:tblGrid>
      <w:tr w:rsidR="007E48DA" w:rsidRPr="004C7C2F" w14:paraId="27AF6F8B" w14:textId="77777777" w:rsidTr="000B3F24">
        <w:tc>
          <w:tcPr>
            <w:tcW w:w="2605" w:type="dxa"/>
          </w:tcPr>
          <w:p w14:paraId="2BFD89D6" w14:textId="77777777" w:rsidR="007E48DA" w:rsidRPr="004C7C2F" w:rsidRDefault="007E48DA" w:rsidP="007E48DA">
            <w:pPr>
              <w:keepLines/>
              <w:ind w:right="-108"/>
              <w:rPr>
                <w:b/>
              </w:rPr>
            </w:pPr>
            <w:bookmarkStart w:id="0" w:name="_Hlk304532434"/>
            <w:r w:rsidRPr="004C7C2F">
              <w:rPr>
                <w:b/>
              </w:rPr>
              <w:t>Component</w:t>
            </w:r>
            <w:r w:rsidR="001B69CD">
              <w:rPr>
                <w:b/>
              </w:rPr>
              <w:t>(</w:t>
            </w:r>
            <w:r>
              <w:rPr>
                <w:b/>
              </w:rPr>
              <w:t>s</w:t>
            </w:r>
            <w:r w:rsidR="001B69CD">
              <w:rPr>
                <w:b/>
              </w:rPr>
              <w:t>)</w:t>
            </w:r>
          </w:p>
        </w:tc>
        <w:tc>
          <w:tcPr>
            <w:tcW w:w="1800" w:type="dxa"/>
          </w:tcPr>
          <w:p w14:paraId="389D965B" w14:textId="77777777" w:rsidR="007E48DA" w:rsidRPr="004C7C2F" w:rsidRDefault="007E48DA" w:rsidP="007E48DA">
            <w:pPr>
              <w:keepLines/>
              <w:jc w:val="center"/>
              <w:rPr>
                <w:b/>
              </w:rPr>
            </w:pPr>
            <w:r w:rsidRPr="004C7C2F">
              <w:rPr>
                <w:b/>
              </w:rPr>
              <w:t>CAS Number</w:t>
            </w:r>
          </w:p>
        </w:tc>
        <w:tc>
          <w:tcPr>
            <w:tcW w:w="1890" w:type="dxa"/>
          </w:tcPr>
          <w:p w14:paraId="109E0311" w14:textId="77777777" w:rsidR="007E48DA" w:rsidRPr="004C7C2F" w:rsidRDefault="007E48DA" w:rsidP="007E48DA">
            <w:pPr>
              <w:keepLines/>
              <w:jc w:val="center"/>
              <w:rPr>
                <w:b/>
              </w:rPr>
            </w:pPr>
            <w:r w:rsidRPr="004C7C2F">
              <w:rPr>
                <w:b/>
              </w:rPr>
              <w:t>EC Number</w:t>
            </w:r>
            <w:r w:rsidRPr="004C7C2F">
              <w:rPr>
                <w:b/>
              </w:rPr>
              <w:br/>
              <w:t>(EINECS)</w:t>
            </w:r>
          </w:p>
        </w:tc>
        <w:tc>
          <w:tcPr>
            <w:tcW w:w="2790" w:type="dxa"/>
          </w:tcPr>
          <w:p w14:paraId="18E86D22" w14:textId="77777777" w:rsidR="007E48DA" w:rsidRPr="004C7C2F" w:rsidRDefault="007E48DA" w:rsidP="007E48DA">
            <w:pPr>
              <w:keepLines/>
              <w:jc w:val="center"/>
              <w:rPr>
                <w:b/>
              </w:rPr>
            </w:pPr>
            <w:r w:rsidRPr="004C7C2F">
              <w:rPr>
                <w:b/>
              </w:rPr>
              <w:t xml:space="preserve">Nominal </w:t>
            </w:r>
            <w:r>
              <w:rPr>
                <w:b/>
              </w:rPr>
              <w:t xml:space="preserve">Mass </w:t>
            </w:r>
            <w:r w:rsidRPr="004C7C2F">
              <w:rPr>
                <w:b/>
              </w:rPr>
              <w:t>Concentration</w:t>
            </w:r>
            <w:r w:rsidRPr="004C7C2F">
              <w:rPr>
                <w:b/>
              </w:rPr>
              <w:br/>
              <w:t>(%)</w:t>
            </w:r>
          </w:p>
        </w:tc>
      </w:tr>
      <w:tr w:rsidR="00ED2AB8" w:rsidRPr="004C7C2F" w14:paraId="36023CC3" w14:textId="77777777" w:rsidTr="000B3F24">
        <w:tc>
          <w:tcPr>
            <w:tcW w:w="2605" w:type="dxa"/>
          </w:tcPr>
          <w:p w14:paraId="1056F832" w14:textId="77777777" w:rsidR="00ED2AB8" w:rsidRPr="00D050C9" w:rsidRDefault="00ED2AB8" w:rsidP="001B5577">
            <w:pPr>
              <w:pStyle w:val="Header"/>
              <w:ind w:left="270"/>
            </w:pPr>
            <w:r w:rsidRPr="00B83172">
              <w:rPr>
                <w:i/>
                <w:iCs/>
              </w:rPr>
              <w:t>n</w:t>
            </w:r>
            <w:r>
              <w:rPr>
                <w:iCs/>
              </w:rPr>
              <w:noBreakHyphen/>
              <w:t>Hexane</w:t>
            </w:r>
          </w:p>
        </w:tc>
        <w:tc>
          <w:tcPr>
            <w:tcW w:w="1800" w:type="dxa"/>
          </w:tcPr>
          <w:p w14:paraId="737C61B0" w14:textId="77777777" w:rsidR="00ED2AB8" w:rsidRDefault="00ED2AB8" w:rsidP="001B5577">
            <w:pPr>
              <w:pStyle w:val="Header"/>
              <w:tabs>
                <w:tab w:val="right" w:pos="1139"/>
              </w:tabs>
            </w:pPr>
            <w:r>
              <w:tab/>
              <w:t>110</w:t>
            </w:r>
            <w:r>
              <w:noBreakHyphen/>
              <w:t>54</w:t>
            </w:r>
            <w:r>
              <w:noBreakHyphen/>
              <w:t>3</w:t>
            </w:r>
          </w:p>
        </w:tc>
        <w:tc>
          <w:tcPr>
            <w:tcW w:w="1890" w:type="dxa"/>
          </w:tcPr>
          <w:p w14:paraId="05BCA0BE" w14:textId="77777777" w:rsidR="00ED2AB8" w:rsidRPr="00F86855" w:rsidRDefault="00ED2AB8" w:rsidP="001B5577">
            <w:pPr>
              <w:tabs>
                <w:tab w:val="left" w:pos="2034"/>
                <w:tab w:val="left" w:pos="7524"/>
                <w:tab w:val="left" w:pos="9864"/>
                <w:tab w:val="left" w:pos="10584"/>
              </w:tabs>
              <w:jc w:val="center"/>
            </w:pPr>
            <w:r>
              <w:t>203</w:t>
            </w:r>
            <w:r>
              <w:noBreakHyphen/>
              <w:t>777</w:t>
            </w:r>
            <w:r>
              <w:noBreakHyphen/>
              <w:t>6</w:t>
            </w:r>
          </w:p>
        </w:tc>
        <w:tc>
          <w:tcPr>
            <w:tcW w:w="2790" w:type="dxa"/>
            <w:vAlign w:val="center"/>
          </w:tcPr>
          <w:p w14:paraId="306F399E" w14:textId="77777777" w:rsidR="00ED2AB8" w:rsidRPr="004C7C2F" w:rsidDel="00B869ED" w:rsidRDefault="00ED2AB8" w:rsidP="00AB7602">
            <w:pPr>
              <w:keepLines/>
              <w:spacing w:before="100" w:beforeAutospacing="1" w:after="100" w:afterAutospacing="1"/>
              <w:jc w:val="center"/>
            </w:pPr>
            <w:r>
              <w:t>&gt;99</w:t>
            </w:r>
            <w:r w:rsidR="00537431">
              <w:t>.</w:t>
            </w:r>
            <w:r w:rsidR="00AB7602">
              <w:t>9</w:t>
            </w:r>
          </w:p>
        </w:tc>
      </w:tr>
      <w:bookmarkEnd w:id="0"/>
    </w:tbl>
    <w:p w14:paraId="0EE1E0EE" w14:textId="77777777" w:rsidR="00492783" w:rsidRPr="005E4108" w:rsidRDefault="00492783" w:rsidP="001B5577">
      <w:pPr>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573C49" w14:paraId="3CA54236" w14:textId="77777777" w:rsidTr="00B173FB">
        <w:trPr>
          <w:trHeight w:hRule="exact" w:val="360"/>
        </w:trPr>
        <w:tc>
          <w:tcPr>
            <w:tcW w:w="9576" w:type="dxa"/>
            <w:vAlign w:val="center"/>
          </w:tcPr>
          <w:p w14:paraId="0A7EC702" w14:textId="77777777" w:rsidR="00B173FB" w:rsidRPr="00573C49" w:rsidRDefault="00E85FA9" w:rsidP="006B75AB">
            <w:pPr>
              <w:keepNext/>
              <w:widowControl/>
              <w:rPr>
                <w:rFonts w:eastAsia="Times New Roman"/>
                <w:sz w:val="18"/>
                <w:szCs w:val="18"/>
                <w:vertAlign w:val="subscript"/>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2AE9EB15" w14:textId="77777777" w:rsidR="00C508A0" w:rsidRPr="00B0155D" w:rsidRDefault="00BB0995" w:rsidP="006B75AB">
      <w:pPr>
        <w:widowControl/>
        <w:spacing w:before="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14:paraId="6AEC59D2" w14:textId="77777777" w:rsidR="00C508A0" w:rsidRPr="00B07DA6" w:rsidRDefault="00BF5DD9" w:rsidP="00C82019">
      <w:pPr>
        <w:widowControl/>
        <w:spacing w:before="6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343DF9">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14:paraId="083EBB4A" w14:textId="77777777" w:rsidR="00C508A0" w:rsidRPr="00B07DA6" w:rsidRDefault="00BF5DD9" w:rsidP="00C82019">
      <w:pPr>
        <w:widowControl/>
        <w:spacing w:before="60"/>
        <w:ind w:left="360"/>
        <w:rPr>
          <w:rFonts w:eastAsia="Times New Roman"/>
          <w:bCs/>
          <w:szCs w:val="20"/>
        </w:rPr>
      </w:pPr>
      <w:r w:rsidRPr="00B07DA6">
        <w:rPr>
          <w:rFonts w:eastAsia="Times New Roman"/>
          <w:b/>
          <w:bCs/>
          <w:szCs w:val="20"/>
        </w:rPr>
        <w:t>S</w:t>
      </w:r>
      <w:r w:rsidRPr="00B07DA6">
        <w:rPr>
          <w:rFonts w:eastAsia="Times New Roman"/>
          <w:b/>
          <w:bCs/>
          <w:spacing w:val="-3"/>
          <w:szCs w:val="20"/>
        </w:rPr>
        <w:t>k</w:t>
      </w:r>
      <w:r w:rsidRPr="00B07DA6">
        <w:rPr>
          <w:rFonts w:eastAsia="Times New Roman"/>
          <w:b/>
          <w:bCs/>
          <w:szCs w:val="20"/>
        </w:rPr>
        <w:t>in</w:t>
      </w:r>
      <w:r w:rsidRPr="00B07DA6">
        <w:rPr>
          <w:rFonts w:eastAsia="Times New Roman"/>
          <w:b/>
          <w:bCs/>
          <w:spacing w:val="-4"/>
          <w:szCs w:val="20"/>
        </w:rPr>
        <w:t xml:space="preserve"> </w:t>
      </w:r>
      <w:r w:rsidRPr="00B07DA6">
        <w:rPr>
          <w:rFonts w:eastAsia="Times New Roman"/>
          <w:b/>
          <w:bCs/>
          <w:szCs w:val="20"/>
        </w:rPr>
        <w:t>C</w:t>
      </w:r>
      <w:r w:rsidRPr="00B07DA6">
        <w:rPr>
          <w:rFonts w:eastAsia="Times New Roman"/>
          <w:b/>
          <w:bCs/>
          <w:spacing w:val="1"/>
          <w:szCs w:val="20"/>
        </w:rPr>
        <w:t>o</w:t>
      </w:r>
      <w:r w:rsidRPr="00B07DA6">
        <w:rPr>
          <w:rFonts w:eastAsia="Times New Roman"/>
          <w:b/>
          <w:bCs/>
          <w:szCs w:val="20"/>
        </w:rPr>
        <w:t>n</w:t>
      </w:r>
      <w:r w:rsidRPr="00B07DA6">
        <w:rPr>
          <w:rFonts w:eastAsia="Times New Roman"/>
          <w:b/>
          <w:bCs/>
          <w:spacing w:val="1"/>
          <w:szCs w:val="20"/>
        </w:rPr>
        <w:t>ta</w:t>
      </w:r>
      <w:r w:rsidRPr="00B07DA6">
        <w:rPr>
          <w:rFonts w:eastAsia="Times New Roman"/>
          <w:b/>
          <w:bCs/>
          <w:szCs w:val="20"/>
        </w:rPr>
        <w:t>c</w:t>
      </w:r>
      <w:r w:rsidRPr="00B07DA6">
        <w:rPr>
          <w:rFonts w:eastAsia="Times New Roman"/>
          <w:b/>
          <w:bCs/>
          <w:spacing w:val="1"/>
          <w:szCs w:val="20"/>
        </w:rPr>
        <w:t>t</w:t>
      </w:r>
      <w:r w:rsidRPr="00B07DA6">
        <w:rPr>
          <w:rFonts w:eastAsia="Times New Roman"/>
          <w:b/>
          <w:bCs/>
          <w:szCs w:val="20"/>
        </w:rPr>
        <w:t>:</w:t>
      </w:r>
      <w:r w:rsidRPr="00B07DA6">
        <w:rPr>
          <w:rFonts w:eastAsia="Times New Roman"/>
          <w:bCs/>
          <w:szCs w:val="20"/>
        </w:rPr>
        <w:t xml:space="preserve"> </w:t>
      </w:r>
      <w:r w:rsidR="00795575" w:rsidRPr="00B07DA6">
        <w:rPr>
          <w:rFonts w:eastAsia="Times New Roman"/>
          <w:bCs/>
          <w:szCs w:val="20"/>
        </w:rPr>
        <w:t xml:space="preserve"> </w:t>
      </w:r>
      <w:r w:rsidR="00944226" w:rsidRPr="00B07DA6">
        <w:rPr>
          <w:rFonts w:eastAsia="Times New Roman"/>
          <w:bCs/>
          <w:szCs w:val="20"/>
        </w:rPr>
        <w:t>Rinse</w:t>
      </w:r>
      <w:r w:rsidR="00944226" w:rsidRPr="00B07DA6">
        <w:t xml:space="preserve"> affected skin with water for at least 15 minutes, then wash thoroughly with soap or mild detergent and water.  If skin irritation persists, seek medical aid and bring the container or label.</w:t>
      </w:r>
    </w:p>
    <w:p w14:paraId="69A3ABDF" w14:textId="77777777" w:rsidR="00C508A0" w:rsidRPr="00B07DA6" w:rsidRDefault="00BF5DD9" w:rsidP="00CA1914">
      <w:pPr>
        <w:widowControl/>
        <w:spacing w:before="60" w:after="60"/>
        <w:ind w:left="360"/>
        <w:rPr>
          <w:rFonts w:eastAsia="Times New Roman"/>
          <w:b/>
          <w:bCs/>
          <w:szCs w:val="20"/>
        </w:rPr>
      </w:pPr>
      <w:r w:rsidRPr="00B07DA6">
        <w:rPr>
          <w:rFonts w:eastAsia="Times New Roman"/>
          <w:b/>
          <w:bCs/>
          <w:spacing w:val="-1"/>
          <w:szCs w:val="20"/>
        </w:rPr>
        <w:t>E</w:t>
      </w:r>
      <w:r w:rsidRPr="00B07DA6">
        <w:rPr>
          <w:rFonts w:eastAsia="Times New Roman"/>
          <w:b/>
          <w:bCs/>
          <w:spacing w:val="1"/>
          <w:szCs w:val="20"/>
        </w:rPr>
        <w:t>y</w:t>
      </w:r>
      <w:r w:rsidRPr="00B07DA6">
        <w:rPr>
          <w:rFonts w:eastAsia="Times New Roman"/>
          <w:b/>
          <w:bCs/>
          <w:szCs w:val="20"/>
        </w:rPr>
        <w:t>e</w:t>
      </w:r>
      <w:r w:rsidRPr="00B07DA6">
        <w:rPr>
          <w:rFonts w:eastAsia="Times New Roman"/>
          <w:b/>
          <w:bCs/>
          <w:spacing w:val="-2"/>
          <w:szCs w:val="20"/>
        </w:rPr>
        <w:t xml:space="preserve"> </w:t>
      </w:r>
      <w:r w:rsidRPr="00B07DA6">
        <w:rPr>
          <w:rFonts w:eastAsia="Times New Roman"/>
          <w:b/>
          <w:bCs/>
          <w:szCs w:val="20"/>
        </w:rPr>
        <w:t>C</w:t>
      </w:r>
      <w:r w:rsidRPr="00B07DA6">
        <w:rPr>
          <w:rFonts w:eastAsia="Times New Roman"/>
          <w:b/>
          <w:bCs/>
          <w:spacing w:val="1"/>
          <w:szCs w:val="20"/>
        </w:rPr>
        <w:t>o</w:t>
      </w:r>
      <w:r w:rsidRPr="00B07DA6">
        <w:rPr>
          <w:rFonts w:eastAsia="Times New Roman"/>
          <w:b/>
          <w:bCs/>
          <w:szCs w:val="20"/>
        </w:rPr>
        <w:t>n</w:t>
      </w:r>
      <w:r w:rsidRPr="00B07DA6">
        <w:rPr>
          <w:rFonts w:eastAsia="Times New Roman"/>
          <w:b/>
          <w:bCs/>
          <w:spacing w:val="1"/>
          <w:szCs w:val="20"/>
        </w:rPr>
        <w:t>ta</w:t>
      </w:r>
      <w:r w:rsidRPr="00B07DA6">
        <w:rPr>
          <w:rFonts w:eastAsia="Times New Roman"/>
          <w:b/>
          <w:bCs/>
          <w:szCs w:val="20"/>
        </w:rPr>
        <w:t>c</w:t>
      </w:r>
      <w:r w:rsidRPr="00B07DA6">
        <w:rPr>
          <w:rFonts w:eastAsia="Times New Roman"/>
          <w:b/>
          <w:bCs/>
          <w:spacing w:val="1"/>
          <w:szCs w:val="20"/>
        </w:rPr>
        <w:t>t</w:t>
      </w:r>
      <w:r w:rsidRPr="00B07DA6">
        <w:rPr>
          <w:rFonts w:eastAsia="Times New Roman"/>
          <w:b/>
          <w:bCs/>
          <w:szCs w:val="20"/>
        </w:rPr>
        <w:t>:</w:t>
      </w:r>
      <w:r w:rsidR="00795575" w:rsidRPr="00B07DA6">
        <w:rPr>
          <w:rFonts w:eastAsia="Times New Roman"/>
          <w:bCs/>
          <w:szCs w:val="20"/>
        </w:rPr>
        <w:t xml:space="preserve">  </w:t>
      </w:r>
      <w:r w:rsidR="00795575" w:rsidRPr="00B07DA6">
        <w:rPr>
          <w:szCs w:val="20"/>
        </w:rPr>
        <w:t>Immediately flush eyes, including under the eyelids, with copious amounts of water for at least 15 minutes.  Seek immediate medical attention.</w:t>
      </w:r>
    </w:p>
    <w:p w14:paraId="4705675F" w14:textId="77777777" w:rsidR="00E24579" w:rsidRPr="00B0155D" w:rsidRDefault="00BF5DD9" w:rsidP="00C82019">
      <w:pPr>
        <w:widowControl/>
        <w:spacing w:before="60"/>
        <w:ind w:left="360"/>
        <w:rPr>
          <w:rFonts w:eastAsia="Times New Roman"/>
          <w:b/>
          <w:bCs/>
          <w:szCs w:val="20"/>
        </w:rPr>
      </w:pPr>
      <w:r w:rsidRPr="00B07DA6">
        <w:rPr>
          <w:rFonts w:eastAsia="Times New Roman"/>
          <w:b/>
          <w:bCs/>
          <w:spacing w:val="-1"/>
          <w:szCs w:val="20"/>
        </w:rPr>
        <w:t>I</w:t>
      </w:r>
      <w:r w:rsidRPr="00B07DA6">
        <w:rPr>
          <w:rFonts w:eastAsia="Times New Roman"/>
          <w:b/>
          <w:bCs/>
          <w:szCs w:val="20"/>
        </w:rPr>
        <w:t>n</w:t>
      </w:r>
      <w:r w:rsidRPr="00B07DA6">
        <w:rPr>
          <w:rFonts w:eastAsia="Times New Roman"/>
          <w:b/>
          <w:bCs/>
          <w:spacing w:val="1"/>
          <w:szCs w:val="20"/>
        </w:rPr>
        <w:t>g</w:t>
      </w:r>
      <w:r w:rsidRPr="00B07DA6">
        <w:rPr>
          <w:rFonts w:eastAsia="Times New Roman"/>
          <w:b/>
          <w:bCs/>
          <w:szCs w:val="20"/>
        </w:rPr>
        <w:t>e</w:t>
      </w:r>
      <w:r w:rsidRPr="00B07DA6">
        <w:rPr>
          <w:rFonts w:eastAsia="Times New Roman"/>
          <w:b/>
          <w:bCs/>
          <w:spacing w:val="-1"/>
          <w:szCs w:val="20"/>
        </w:rPr>
        <w:t>s</w:t>
      </w:r>
      <w:r w:rsidRPr="00B07DA6">
        <w:rPr>
          <w:rFonts w:eastAsia="Times New Roman"/>
          <w:b/>
          <w:bCs/>
          <w:spacing w:val="1"/>
          <w:szCs w:val="20"/>
        </w:rPr>
        <w:t>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00795575" w:rsidRPr="00B07DA6">
        <w:rPr>
          <w:rFonts w:eastAsia="Times New Roman"/>
          <w:bCs/>
          <w:szCs w:val="20"/>
        </w:rPr>
        <w:t xml:space="preserve">  </w:t>
      </w:r>
      <w:r w:rsidR="007E48DA" w:rsidRPr="00847733">
        <w:t>Contact local poison control immediately; if vomiting occurs, keep head lower than hips to prevent aspiration.  If unconscious, turn head to side; get medical attention immediately</w:t>
      </w:r>
      <w:r w:rsidR="00795575" w:rsidRPr="00B07DA6">
        <w:rPr>
          <w:rFonts w:eastAsia="Times New Roman"/>
          <w:bCs/>
          <w:szCs w:val="20"/>
        </w:rPr>
        <w:t>.</w:t>
      </w:r>
    </w:p>
    <w:p w14:paraId="355B8DCA" w14:textId="77777777" w:rsidR="009D3B06" w:rsidRDefault="002D63F4" w:rsidP="007E48DA">
      <w:pPr>
        <w:autoSpaceDE w:val="0"/>
        <w:autoSpaceDN w:val="0"/>
        <w:adjustRightInd w:val="0"/>
        <w:spacing w:before="120" w:after="120" w:line="255" w:lineRule="exact"/>
      </w:pPr>
      <w:r w:rsidRPr="00B0155D">
        <w:rPr>
          <w:rFonts w:eastAsia="Times New Roman"/>
          <w:b/>
          <w:bCs/>
          <w:szCs w:val="20"/>
        </w:rPr>
        <w:t xml:space="preserve">Most Important Symptoms/Effects, </w:t>
      </w:r>
      <w:r w:rsidR="00FC2284">
        <w:rPr>
          <w:rFonts w:eastAsia="Times New Roman"/>
          <w:b/>
          <w:bCs/>
          <w:szCs w:val="20"/>
        </w:rPr>
        <w:t>A</w:t>
      </w:r>
      <w:r w:rsidRPr="00B0155D">
        <w:rPr>
          <w:rFonts w:eastAsia="Times New Roman"/>
          <w:b/>
          <w:bCs/>
          <w:szCs w:val="20"/>
        </w:rPr>
        <w:t xml:space="preserve">cute and </w:t>
      </w:r>
      <w:r w:rsidR="00FC2284">
        <w:rPr>
          <w:rFonts w:eastAsia="Times New Roman"/>
          <w:b/>
          <w:bCs/>
          <w:szCs w:val="20"/>
        </w:rPr>
        <w:t>D</w:t>
      </w:r>
      <w:r w:rsidRPr="00B0155D">
        <w:rPr>
          <w:rFonts w:eastAsia="Times New Roman"/>
          <w:b/>
          <w:bCs/>
          <w:szCs w:val="20"/>
        </w:rPr>
        <w:t>elayed</w:t>
      </w:r>
      <w:r w:rsidR="007E48DA">
        <w:rPr>
          <w:rFonts w:eastAsia="Times New Roman"/>
          <w:b/>
          <w:bCs/>
          <w:szCs w:val="20"/>
        </w:rPr>
        <w:t>:</w:t>
      </w:r>
      <w:r w:rsidR="007E48DA" w:rsidRPr="007E48DA">
        <w:rPr>
          <w:rFonts w:eastAsia="Times New Roman"/>
          <w:bCs/>
          <w:szCs w:val="20"/>
        </w:rPr>
        <w:t xml:space="preserve"> </w:t>
      </w:r>
      <w:r w:rsidR="007E48DA" w:rsidRPr="007E48DA">
        <w:rPr>
          <w:bCs/>
        </w:rPr>
        <w:t xml:space="preserve"> </w:t>
      </w:r>
      <w:r w:rsidR="001B5577">
        <w:rPr>
          <w:bCs/>
        </w:rPr>
        <w:t>R</w:t>
      </w:r>
      <w:r w:rsidR="007E48DA" w:rsidRPr="00750EC8">
        <w:rPr>
          <w:bCs/>
        </w:rPr>
        <w:t xml:space="preserve">espiratory tract irritation, skin irritation, </w:t>
      </w:r>
      <w:r w:rsidR="007E48DA" w:rsidRPr="00D17604">
        <w:rPr>
          <w:bCs/>
        </w:rPr>
        <w:t>eye irritation,</w:t>
      </w:r>
      <w:r w:rsidR="007E48DA" w:rsidRPr="00750EC8">
        <w:rPr>
          <w:bCs/>
        </w:rPr>
        <w:t xml:space="preserve"> aspiration hazard, </w:t>
      </w:r>
      <w:r w:rsidR="001B5577">
        <w:rPr>
          <w:bCs/>
        </w:rPr>
        <w:t>c</w:t>
      </w:r>
      <w:r w:rsidR="007E48DA" w:rsidRPr="00750EC8">
        <w:rPr>
          <w:bCs/>
        </w:rPr>
        <w:t xml:space="preserve">entral nervous system depression, </w:t>
      </w:r>
      <w:r w:rsidR="001B5577">
        <w:rPr>
          <w:bCs/>
        </w:rPr>
        <w:t>and nerve damage</w:t>
      </w:r>
      <w:r w:rsidR="007E48DA" w:rsidRPr="00750EC8">
        <w:t>.</w:t>
      </w:r>
    </w:p>
    <w:p w14:paraId="145B55E7" w14:textId="77777777" w:rsidR="002D63F4" w:rsidRPr="00FC2284" w:rsidRDefault="002D63F4" w:rsidP="006B75AB">
      <w:pPr>
        <w:widowControl/>
        <w:spacing w:before="120" w:after="120"/>
        <w:rPr>
          <w:rFonts w:eastAsia="Times New Roman"/>
          <w:bCs/>
          <w:szCs w:val="20"/>
        </w:rPr>
      </w:pPr>
      <w:r w:rsidRPr="00B0155D">
        <w:rPr>
          <w:rFonts w:eastAsia="Times New Roman"/>
          <w:b/>
          <w:bCs/>
          <w:szCs w:val="20"/>
        </w:rPr>
        <w:lastRenderedPageBreak/>
        <w:t>Indication of any immediate medical attention and special treatment needed, if necessary</w:t>
      </w:r>
      <w:r w:rsidR="004521E9">
        <w:rPr>
          <w:rFonts w:eastAsia="Times New Roman"/>
          <w:b/>
          <w:bCs/>
          <w:szCs w:val="20"/>
        </w:rPr>
        <w:t>:</w:t>
      </w:r>
      <w:r w:rsidR="004521E9">
        <w:rPr>
          <w:rFonts w:eastAsia="Times New Roman"/>
          <w:bCs/>
          <w:szCs w:val="20"/>
        </w:rPr>
        <w:t xml:space="preserve"> </w:t>
      </w:r>
      <w:r w:rsidR="004521E9" w:rsidRPr="00FC2284">
        <w:rPr>
          <w:rFonts w:eastAsia="Times New Roman"/>
          <w:bCs/>
          <w:szCs w:val="20"/>
        </w:rPr>
        <w:t xml:space="preserve"> </w:t>
      </w:r>
      <w:r w:rsidR="0028318C" w:rsidRPr="00FC228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14:paraId="56AF1404" w14:textId="77777777" w:rsidTr="001D7FE4">
        <w:trPr>
          <w:trHeight w:hRule="exact" w:val="360"/>
        </w:trPr>
        <w:tc>
          <w:tcPr>
            <w:tcW w:w="9576" w:type="dxa"/>
            <w:vAlign w:val="center"/>
          </w:tcPr>
          <w:p w14:paraId="0EFB3864" w14:textId="77777777" w:rsidR="001D7FE4" w:rsidRDefault="001D7FE4" w:rsidP="006B75AB">
            <w:pPr>
              <w:keepNext/>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159FC66E" w14:textId="77777777" w:rsidR="001248AA" w:rsidRPr="00B07DA6" w:rsidRDefault="001248AA" w:rsidP="008A57C6">
      <w:pPr>
        <w:spacing w:before="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14:paraId="2D8C2FCC" w14:textId="77777777" w:rsidR="006251CA" w:rsidRPr="00B07DA6" w:rsidRDefault="00676966" w:rsidP="0042250E">
      <w:pPr>
        <w:keepNext/>
        <w:keepLines/>
        <w:widowControl/>
        <w:spacing w:before="60"/>
        <w:rPr>
          <w:rFonts w:eastAsia="Times New Roman"/>
          <w:b/>
          <w:bCs/>
          <w:szCs w:val="20"/>
        </w:rPr>
      </w:pPr>
      <w:r w:rsidRPr="00B07DA6">
        <w:rPr>
          <w:rFonts w:eastAsia="Times New Roman"/>
          <w:b/>
          <w:bCs/>
          <w:spacing w:val="-1"/>
          <w:szCs w:val="20"/>
        </w:rPr>
        <w:t>Extinguishing Media</w:t>
      </w:r>
    </w:p>
    <w:p w14:paraId="761263AC" w14:textId="77777777" w:rsidR="00E93DD1" w:rsidRPr="00623C6E" w:rsidRDefault="00E93DD1" w:rsidP="0042250E">
      <w:pPr>
        <w:keepNext/>
        <w:keepLines/>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343DF9">
        <w:rPr>
          <w:color w:val="000000"/>
          <w:szCs w:val="20"/>
        </w:rPr>
        <w:noBreakHyphen/>
      </w:r>
      <w:r w:rsidR="00B07DA6" w:rsidRPr="00B07DA6">
        <w:rPr>
          <w:color w:val="000000"/>
          <w:szCs w:val="20"/>
        </w:rPr>
        <w:t>resistant</w:t>
      </w:r>
      <w:r w:rsidR="0076501C" w:rsidRPr="00B07DA6">
        <w:rPr>
          <w:color w:val="000000"/>
          <w:szCs w:val="20"/>
        </w:rPr>
        <w:t xml:space="preserve"> foam</w:t>
      </w:r>
      <w:r w:rsidR="00FC2284" w:rsidRPr="00B07DA6">
        <w:rPr>
          <w:color w:val="000000"/>
          <w:szCs w:val="20"/>
        </w:rPr>
        <w:t>.</w:t>
      </w:r>
    </w:p>
    <w:p w14:paraId="3A86B106" w14:textId="77777777" w:rsidR="00E93DD1" w:rsidRPr="00623C6E" w:rsidRDefault="0028318C" w:rsidP="0042250E">
      <w:pPr>
        <w:keepNext/>
        <w:keepLines/>
        <w:widowControl/>
        <w:tabs>
          <w:tab w:val="left" w:pos="360"/>
        </w:tabs>
        <w:spacing w:before="6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14:paraId="5C42109D" w14:textId="77777777" w:rsidR="00E24579" w:rsidRPr="006D10B0" w:rsidRDefault="00676966" w:rsidP="00C82019">
      <w:pPr>
        <w:widowControl/>
        <w:spacing w:before="60"/>
        <w:rPr>
          <w:rFonts w:eastAsia="Times New Roman"/>
          <w:szCs w:val="20"/>
        </w:rPr>
      </w:pPr>
      <w:r>
        <w:rPr>
          <w:rFonts w:eastAsia="Times New Roman"/>
          <w:b/>
          <w:bCs/>
          <w:spacing w:val="1"/>
          <w:szCs w:val="20"/>
        </w:rPr>
        <w:t>Specific Hazards Arising from the Chemical:</w:t>
      </w:r>
      <w:r w:rsidR="0028318C" w:rsidRPr="0028318C">
        <w:rPr>
          <w:rFonts w:eastAsia="Times New Roman"/>
          <w:bCs/>
          <w:szCs w:val="20"/>
        </w:rPr>
        <w:t xml:space="preserve">  </w:t>
      </w:r>
      <w:r w:rsidR="00944226">
        <w:t>Not applicable.</w:t>
      </w:r>
    </w:p>
    <w:p w14:paraId="6D844447" w14:textId="77777777" w:rsidR="006D10B0" w:rsidRDefault="00F057E8" w:rsidP="00C82019">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00343DF9">
        <w:rPr>
          <w:rFonts w:eastAsia="Times New Roman"/>
          <w:b/>
          <w:bCs/>
          <w:szCs w:val="20"/>
        </w:rPr>
        <w:noBreakHyphen/>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343DF9">
        <w:noBreakHyphen/>
      </w:r>
      <w:r w:rsidR="006D10B0" w:rsidRPr="001F0106">
        <w:t xml:space="preserve">products. </w:t>
      </w:r>
      <w:r w:rsidR="006D10B0">
        <w:t xml:space="preserve"> Wear full protective clothing and NIOSH</w:t>
      </w:r>
      <w:r w:rsidR="00343DF9">
        <w:noBreakHyphen/>
      </w:r>
      <w:r w:rsidR="006D10B0">
        <w:t>approved self</w:t>
      </w:r>
      <w:r w:rsidR="00343DF9">
        <w:noBreakHyphen/>
      </w:r>
      <w:r w:rsidR="006D10B0">
        <w:t>contained breathing apparatus (SCBA).</w:t>
      </w:r>
    </w:p>
    <w:p w14:paraId="063C518E" w14:textId="77777777" w:rsidR="00170F65" w:rsidRPr="00B07DA6" w:rsidRDefault="000D31BB" w:rsidP="00CA1914">
      <w:pPr>
        <w:keepNext/>
        <w:widowControl/>
        <w:spacing w:before="60" w:after="60"/>
        <w:rPr>
          <w:rFonts w:eastAsia="Times New Roman"/>
          <w:bCs/>
          <w:szCs w:val="20"/>
        </w:rPr>
      </w:pPr>
      <w:r w:rsidRPr="00B07DA6">
        <w:rPr>
          <w:rFonts w:eastAsia="Times New Roman"/>
          <w:b/>
          <w:bCs/>
          <w:szCs w:val="20"/>
        </w:rPr>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14:paraId="53116E81" w14:textId="77777777" w:rsidR="00170F65" w:rsidRPr="006D10B0" w:rsidRDefault="00170F65" w:rsidP="00C82019">
      <w:pPr>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1B5577">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14:paraId="67EAA408" w14:textId="77777777" w:rsidTr="001D7FE4">
        <w:trPr>
          <w:trHeight w:hRule="exact" w:val="360"/>
        </w:trPr>
        <w:tc>
          <w:tcPr>
            <w:tcW w:w="9576" w:type="dxa"/>
            <w:vAlign w:val="center"/>
          </w:tcPr>
          <w:p w14:paraId="5EC9345C" w14:textId="77777777" w:rsidR="001D7FE4" w:rsidRDefault="001D7FE4" w:rsidP="006B75AB">
            <w:pPr>
              <w:keepNext/>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14:paraId="2FA3B55A" w14:textId="77777777" w:rsidR="001D7FE4" w:rsidRPr="00B07DA6" w:rsidRDefault="001D7FE4" w:rsidP="00CA1914">
      <w:pPr>
        <w:widowControl/>
        <w:spacing w:before="120" w:after="6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14:paraId="36710D7F" w14:textId="77777777" w:rsidR="001D7FE4" w:rsidRPr="00B07DA6" w:rsidRDefault="001D7FE4" w:rsidP="008A57C6">
      <w:pPr>
        <w:widowControl/>
        <w:autoSpaceDE w:val="0"/>
        <w:autoSpaceDN w:val="0"/>
        <w:adjustRightInd w:val="0"/>
        <w:spacing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Avoid heat, flames, sparks</w:t>
      </w:r>
      <w:r w:rsidR="00545460">
        <w:rPr>
          <w:szCs w:val="20"/>
        </w:rPr>
        <w:t>,</w:t>
      </w:r>
      <w:r w:rsidR="008609A4" w:rsidRPr="00B07DA6">
        <w:rPr>
          <w:szCs w:val="20"/>
        </w:rPr>
        <w:t xml:space="preserve">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343DF9">
        <w:rPr>
          <w:rFonts w:eastAsia="Times New Roman"/>
          <w:bCs/>
          <w:spacing w:val="1"/>
          <w:szCs w:val="20"/>
        </w:rPr>
        <w:noBreakHyphen/>
      </w:r>
      <w:r w:rsidR="008609A4" w:rsidRPr="00B07DA6">
        <w:rPr>
          <w:rFonts w:eastAsia="Times New Roman"/>
          <w:bCs/>
          <w:spacing w:val="1"/>
          <w:szCs w:val="20"/>
        </w:rPr>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14:paraId="165BBF18" w14:textId="77777777" w:rsidTr="001D7FE4">
        <w:trPr>
          <w:trHeight w:hRule="exact" w:val="360"/>
        </w:trPr>
        <w:tc>
          <w:tcPr>
            <w:tcW w:w="9576" w:type="dxa"/>
            <w:vAlign w:val="center"/>
          </w:tcPr>
          <w:p w14:paraId="2A1F85C6" w14:textId="77777777" w:rsidR="001D7FE4" w:rsidRDefault="001D7FE4" w:rsidP="006B75AB">
            <w:pPr>
              <w:keepNext/>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14:paraId="58BEBE1B" w14:textId="77777777" w:rsidR="001D7FE4" w:rsidRDefault="001D7FE4" w:rsidP="006B75AB">
      <w:pPr>
        <w:widowControl/>
        <w:spacing w:before="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952745" w:rsidRPr="00952745">
        <w:rPr>
          <w:rFonts w:eastAsia="Times New Roman"/>
          <w:bCs/>
          <w:position w:val="-1"/>
          <w:szCs w:val="20"/>
        </w:rPr>
        <w:t xml:space="preserve">Open glass ampoules carefully to prevent contamination and injury.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14:paraId="288FE91A" w14:textId="77777777" w:rsidR="00170609" w:rsidRDefault="001D7FE4" w:rsidP="00F941BF">
      <w:pPr>
        <w:widowControl/>
        <w:tabs>
          <w:tab w:val="left" w:pos="-360"/>
        </w:tabs>
        <w:spacing w:before="6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343DF9">
        <w:noBreakHyphen/>
      </w:r>
      <w:r w:rsidR="000B4BD9">
        <w:t>ventilated area.</w:t>
      </w:r>
      <w:r w:rsidR="004355ED">
        <w:t xml:space="preserve">  </w:t>
      </w:r>
      <w:r w:rsidR="000B4BD9" w:rsidRPr="005E0F03">
        <w:t>Keep separated from incompatible substan</w:t>
      </w:r>
      <w:r w:rsidR="000B4BD9" w:rsidRPr="00FF0E87">
        <w:t>ces (</w:t>
      </w:r>
      <w:r w:rsidR="001F1A2E">
        <w:t>o</w:t>
      </w:r>
      <w:r w:rsidR="001F1A2E" w:rsidRPr="00783B7C">
        <w:t>xidizing materials, halogens, combustible materials</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14:paraId="594E0FED" w14:textId="77777777" w:rsidTr="001D7FE4">
        <w:tc>
          <w:tcPr>
            <w:tcW w:w="9576" w:type="dxa"/>
            <w:vAlign w:val="center"/>
          </w:tcPr>
          <w:p w14:paraId="33EE5560" w14:textId="77777777" w:rsidR="001D7FE4" w:rsidRDefault="001D7FE4" w:rsidP="006B75AB">
            <w:pPr>
              <w:keepNext/>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22C5DEF3" w14:textId="77777777" w:rsidR="008F166E" w:rsidRDefault="001F1A2E" w:rsidP="008F166E">
      <w:pPr>
        <w:keepLines/>
        <w:spacing w:before="120"/>
        <w:rPr>
          <w:b/>
          <w:szCs w:val="20"/>
        </w:rPr>
      </w:pPr>
      <w:r w:rsidRPr="008F166E">
        <w:rPr>
          <w:b/>
          <w:szCs w:val="20"/>
        </w:rPr>
        <w:t>Exposure Limits</w:t>
      </w:r>
    </w:p>
    <w:p w14:paraId="1C06E0AE" w14:textId="77777777" w:rsidR="00952745" w:rsidRPr="00952745" w:rsidRDefault="00952745" w:rsidP="00952745">
      <w:pPr>
        <w:keepNext/>
        <w:keepLines/>
        <w:widowControl/>
        <w:tabs>
          <w:tab w:val="decimal" w:pos="2250"/>
          <w:tab w:val="right" w:pos="3150"/>
        </w:tabs>
        <w:overflowPunct w:val="0"/>
        <w:autoSpaceDE w:val="0"/>
        <w:autoSpaceDN w:val="0"/>
        <w:adjustRightInd w:val="0"/>
        <w:ind w:left="187" w:firstLine="360"/>
        <w:jc w:val="left"/>
        <w:textAlignment w:val="baseline"/>
        <w:rPr>
          <w:rFonts w:eastAsia="Times New Roman"/>
          <w:szCs w:val="20"/>
        </w:rPr>
      </w:pPr>
      <w:r w:rsidRPr="00952745">
        <w:rPr>
          <w:rFonts w:eastAsia="Times New Roman"/>
          <w:szCs w:val="20"/>
        </w:rPr>
        <w:t>NIOSH (REL):</w:t>
      </w:r>
      <w:r w:rsidRPr="00952745">
        <w:rPr>
          <w:rFonts w:eastAsia="Times New Roman"/>
          <w:szCs w:val="20"/>
        </w:rPr>
        <w:tab/>
        <w:t>180 mg/m</w:t>
      </w:r>
      <w:r w:rsidRPr="00952745">
        <w:rPr>
          <w:rFonts w:eastAsia="Times New Roman"/>
          <w:szCs w:val="20"/>
          <w:vertAlign w:val="superscript"/>
        </w:rPr>
        <w:t>3</w:t>
      </w:r>
      <w:r w:rsidRPr="00952745">
        <w:rPr>
          <w:rFonts w:eastAsia="Times New Roman"/>
          <w:szCs w:val="20"/>
        </w:rPr>
        <w:t>; 50 ppm (TWA)</w:t>
      </w:r>
    </w:p>
    <w:p w14:paraId="4EE622DD" w14:textId="77777777" w:rsidR="00952745" w:rsidRPr="00952745" w:rsidRDefault="00952745" w:rsidP="00952745">
      <w:pPr>
        <w:keepNext/>
        <w:keepLines/>
        <w:widowControl/>
        <w:tabs>
          <w:tab w:val="decimal" w:pos="2250"/>
          <w:tab w:val="right" w:pos="3150"/>
        </w:tabs>
        <w:overflowPunct w:val="0"/>
        <w:autoSpaceDE w:val="0"/>
        <w:autoSpaceDN w:val="0"/>
        <w:adjustRightInd w:val="0"/>
        <w:ind w:left="187" w:firstLine="360"/>
        <w:jc w:val="left"/>
        <w:textAlignment w:val="baseline"/>
        <w:rPr>
          <w:rFonts w:eastAsia="Times New Roman"/>
          <w:szCs w:val="20"/>
        </w:rPr>
      </w:pPr>
      <w:r w:rsidRPr="00952745">
        <w:rPr>
          <w:rFonts w:eastAsia="Times New Roman"/>
          <w:szCs w:val="20"/>
        </w:rPr>
        <w:tab/>
        <w:t>3960 mg/m</w:t>
      </w:r>
      <w:r w:rsidRPr="00952745">
        <w:rPr>
          <w:rFonts w:eastAsia="Times New Roman"/>
          <w:szCs w:val="20"/>
          <w:vertAlign w:val="superscript"/>
        </w:rPr>
        <w:t>3</w:t>
      </w:r>
      <w:r w:rsidRPr="00952745">
        <w:rPr>
          <w:rFonts w:eastAsia="Times New Roman"/>
          <w:szCs w:val="20"/>
        </w:rPr>
        <w:t>; 1100 ppm (IDLH, 10 % LEL)</w:t>
      </w:r>
    </w:p>
    <w:p w14:paraId="6DD46634" w14:textId="77777777" w:rsidR="00952745" w:rsidRPr="00952745" w:rsidRDefault="00952745" w:rsidP="00952745">
      <w:pPr>
        <w:keepNext/>
        <w:keepLines/>
        <w:widowControl/>
        <w:tabs>
          <w:tab w:val="decimal" w:pos="2250"/>
          <w:tab w:val="right" w:pos="3150"/>
        </w:tabs>
        <w:overflowPunct w:val="0"/>
        <w:autoSpaceDE w:val="0"/>
        <w:autoSpaceDN w:val="0"/>
        <w:adjustRightInd w:val="0"/>
        <w:ind w:left="187" w:firstLine="360"/>
        <w:jc w:val="left"/>
        <w:textAlignment w:val="baseline"/>
        <w:rPr>
          <w:rFonts w:eastAsia="Times New Roman"/>
          <w:szCs w:val="20"/>
        </w:rPr>
      </w:pPr>
      <w:r w:rsidRPr="00952745">
        <w:rPr>
          <w:rFonts w:eastAsia="Times New Roman"/>
          <w:szCs w:val="20"/>
        </w:rPr>
        <w:t>ACGIH (TLV):</w:t>
      </w:r>
      <w:r w:rsidRPr="00952745">
        <w:rPr>
          <w:rFonts w:eastAsia="Times New Roman"/>
          <w:szCs w:val="20"/>
        </w:rPr>
        <w:tab/>
        <w:t>180 mg/m</w:t>
      </w:r>
      <w:r w:rsidRPr="00952745">
        <w:rPr>
          <w:rFonts w:eastAsia="Times New Roman"/>
          <w:szCs w:val="20"/>
          <w:vertAlign w:val="superscript"/>
        </w:rPr>
        <w:t>3</w:t>
      </w:r>
      <w:r w:rsidRPr="00952745">
        <w:rPr>
          <w:rFonts w:eastAsia="Times New Roman"/>
          <w:szCs w:val="20"/>
        </w:rPr>
        <w:t>; 50 ppm (TWA)</w:t>
      </w:r>
    </w:p>
    <w:p w14:paraId="0861C4A4" w14:textId="77777777" w:rsidR="00952745" w:rsidRPr="00952745" w:rsidRDefault="00952745" w:rsidP="00952745">
      <w:pPr>
        <w:keepNext/>
        <w:keepLines/>
        <w:widowControl/>
        <w:tabs>
          <w:tab w:val="decimal" w:pos="2340"/>
          <w:tab w:val="right" w:pos="3150"/>
        </w:tabs>
        <w:overflowPunct w:val="0"/>
        <w:autoSpaceDE w:val="0"/>
        <w:autoSpaceDN w:val="0"/>
        <w:adjustRightInd w:val="0"/>
        <w:ind w:left="187" w:firstLine="360"/>
        <w:jc w:val="left"/>
        <w:textAlignment w:val="baseline"/>
        <w:rPr>
          <w:rFonts w:eastAsia="Times New Roman"/>
          <w:szCs w:val="20"/>
        </w:rPr>
      </w:pPr>
      <w:r w:rsidRPr="00952745">
        <w:rPr>
          <w:rFonts w:eastAsia="Times New Roman"/>
          <w:szCs w:val="20"/>
        </w:rPr>
        <w:tab/>
      </w:r>
      <w:r w:rsidRPr="00952745">
        <w:rPr>
          <w:rFonts w:eastAsia="Times New Roman"/>
          <w:szCs w:val="20"/>
        </w:rPr>
        <w:tab/>
        <w:t>Skin - potential significant contribution to overall exposure by the cutaneous route.</w:t>
      </w:r>
    </w:p>
    <w:p w14:paraId="29C182D9" w14:textId="77777777" w:rsidR="00952745" w:rsidRPr="00952745" w:rsidRDefault="00952745" w:rsidP="00952745">
      <w:pPr>
        <w:keepNext/>
        <w:keepLines/>
        <w:widowControl/>
        <w:tabs>
          <w:tab w:val="decimal" w:pos="2250"/>
          <w:tab w:val="right" w:pos="3150"/>
        </w:tabs>
        <w:overflowPunct w:val="0"/>
        <w:autoSpaceDE w:val="0"/>
        <w:autoSpaceDN w:val="0"/>
        <w:adjustRightInd w:val="0"/>
        <w:spacing w:after="120"/>
        <w:ind w:left="187" w:firstLine="360"/>
        <w:jc w:val="left"/>
        <w:textAlignment w:val="baseline"/>
        <w:rPr>
          <w:rFonts w:eastAsia="Times New Roman"/>
          <w:szCs w:val="20"/>
        </w:rPr>
      </w:pPr>
      <w:r w:rsidRPr="00952745">
        <w:rPr>
          <w:rFonts w:eastAsia="Times New Roman"/>
          <w:szCs w:val="20"/>
        </w:rPr>
        <w:t>OSHA (PEL):</w:t>
      </w:r>
      <w:r w:rsidRPr="00952745">
        <w:rPr>
          <w:rFonts w:eastAsia="Times New Roman"/>
          <w:szCs w:val="20"/>
        </w:rPr>
        <w:tab/>
        <w:t>1800 mg/m</w:t>
      </w:r>
      <w:r w:rsidRPr="00952745">
        <w:rPr>
          <w:rFonts w:eastAsia="Times New Roman"/>
          <w:szCs w:val="20"/>
          <w:vertAlign w:val="superscript"/>
        </w:rPr>
        <w:t>3</w:t>
      </w:r>
      <w:r w:rsidRPr="00952745">
        <w:rPr>
          <w:rFonts w:eastAsia="Times New Roman"/>
          <w:szCs w:val="20"/>
        </w:rPr>
        <w:t>; 500 ppm (TWA)</w:t>
      </w:r>
    </w:p>
    <w:p w14:paraId="7FC58C4E" w14:textId="77777777" w:rsidR="0031663D" w:rsidRDefault="0031663D" w:rsidP="00553A75">
      <w:pPr>
        <w:keepLines/>
        <w:tabs>
          <w:tab w:val="left" w:pos="1440"/>
        </w:tabs>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58A4857E" w14:textId="77777777" w:rsidR="0031663D" w:rsidRDefault="00194A53" w:rsidP="00862254">
      <w:pPr>
        <w:widowControl/>
        <w:spacing w:before="60" w:after="12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3AA22809" w14:textId="77777777" w:rsidR="0031663D" w:rsidRPr="005E4108" w:rsidRDefault="0031663D" w:rsidP="00862254">
      <w:pPr>
        <w:widowControl/>
        <w:spacing w:after="120"/>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14:paraId="79E6C55F" w14:textId="77777777" w:rsidR="0031663D" w:rsidRPr="005E4108" w:rsidRDefault="0031663D" w:rsidP="00862254">
      <w:pPr>
        <w:widowControl/>
        <w:spacing w:after="120"/>
        <w:ind w:left="360"/>
        <w:rPr>
          <w:rFonts w:eastAsia="Times New Roman"/>
          <w:szCs w:val="20"/>
        </w:rPr>
      </w:pPr>
      <w:r w:rsidRPr="005E4108">
        <w:rPr>
          <w:rFonts w:eastAsia="Times New Roman"/>
          <w:b/>
          <w:bCs/>
          <w:spacing w:val="-1"/>
          <w:szCs w:val="20"/>
        </w:rPr>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14:paraId="252EC121" w14:textId="77777777" w:rsidR="00553A75" w:rsidRDefault="00194A53" w:rsidP="001B0766">
      <w:pPr>
        <w:widowControl/>
        <w:spacing w:after="120"/>
        <w:ind w:left="360"/>
        <w:rPr>
          <w:rFonts w:eastAsia="Times New Roman"/>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p w14:paraId="0DB3CCF5" w14:textId="77777777" w:rsidR="00553A75" w:rsidRDefault="00553A75">
      <w:pPr>
        <w:widowControl/>
        <w:jc w:val="left"/>
        <w:rPr>
          <w:rFonts w:eastAsia="Times New Roman"/>
          <w:bCs/>
          <w:spacing w:val="1"/>
          <w:szCs w:val="20"/>
        </w:rPr>
      </w:pPr>
      <w:r>
        <w:rPr>
          <w:rFonts w:eastAsia="Times New Roman"/>
          <w:bCs/>
          <w:spacing w:val="1"/>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14:paraId="06D50001" w14:textId="77777777" w:rsidTr="001B5577">
        <w:trPr>
          <w:trHeight w:hRule="exact" w:val="360"/>
        </w:trPr>
        <w:tc>
          <w:tcPr>
            <w:tcW w:w="9396" w:type="dxa"/>
            <w:vAlign w:val="center"/>
          </w:tcPr>
          <w:p w14:paraId="45CA8ECC" w14:textId="77777777" w:rsidR="00DB53D1" w:rsidRDefault="00DB53D1" w:rsidP="00C6302D">
            <w:pPr>
              <w:keepNext/>
              <w:widowControl/>
              <w:rPr>
                <w:rFonts w:eastAsia="Times New Roman"/>
                <w:szCs w:val="20"/>
              </w:rPr>
            </w:pPr>
            <w:r>
              <w:rPr>
                <w:rFonts w:eastAsia="Times New Roman"/>
                <w:b/>
                <w:bCs/>
                <w:sz w:val="24"/>
                <w:szCs w:val="24"/>
              </w:rPr>
              <w:lastRenderedPageBreak/>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14:paraId="346DDC50" w14:textId="77777777" w:rsidR="00893F73" w:rsidRPr="008A5F10" w:rsidRDefault="00893F73" w:rsidP="00C6302D">
      <w:pPr>
        <w:pStyle w:val="Default"/>
        <w:keepNext/>
        <w:rPr>
          <w:sz w:val="20"/>
          <w:szCs w:val="20"/>
        </w:rPr>
      </w:pPr>
    </w:p>
    <w:tbl>
      <w:tblPr>
        <w:tblStyle w:val="TableGrid"/>
        <w:tblW w:w="91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28"/>
        <w:gridCol w:w="4747"/>
      </w:tblGrid>
      <w:tr w:rsidR="001F1A2E" w:rsidRPr="00C605BC" w14:paraId="3B8DCBA4" w14:textId="77777777" w:rsidTr="000B3F24">
        <w:trPr>
          <w:cantSplit/>
          <w:trHeight w:val="20"/>
          <w:tblHeader/>
        </w:trPr>
        <w:tc>
          <w:tcPr>
            <w:tcW w:w="4428" w:type="dxa"/>
          </w:tcPr>
          <w:p w14:paraId="75A9BA82" w14:textId="77777777" w:rsidR="001F1A2E" w:rsidRPr="000B3F24" w:rsidRDefault="001F1A2E" w:rsidP="006B75AB">
            <w:pPr>
              <w:pStyle w:val="Default"/>
              <w:spacing w:after="120"/>
              <w:rPr>
                <w:b/>
                <w:sz w:val="20"/>
                <w:szCs w:val="18"/>
              </w:rPr>
            </w:pPr>
            <w:r w:rsidRPr="000B3F24">
              <w:rPr>
                <w:b/>
                <w:sz w:val="20"/>
                <w:szCs w:val="18"/>
              </w:rPr>
              <w:t>Properties</w:t>
            </w:r>
          </w:p>
        </w:tc>
        <w:tc>
          <w:tcPr>
            <w:tcW w:w="4747" w:type="dxa"/>
          </w:tcPr>
          <w:p w14:paraId="0B64F814" w14:textId="77777777" w:rsidR="001F1A2E" w:rsidRPr="000B3F24" w:rsidRDefault="001F1A2E" w:rsidP="00BC4C2D">
            <w:pPr>
              <w:pStyle w:val="Default"/>
              <w:spacing w:after="120"/>
              <w:rPr>
                <w:sz w:val="20"/>
                <w:szCs w:val="18"/>
              </w:rPr>
            </w:pPr>
            <w:r w:rsidRPr="000B3F24">
              <w:rPr>
                <w:sz w:val="20"/>
                <w:szCs w:val="18"/>
              </w:rPr>
              <w:t>Hexane</w:t>
            </w:r>
            <w:r w:rsidRPr="000B3F24">
              <w:rPr>
                <w:sz w:val="20"/>
                <w:szCs w:val="18"/>
              </w:rPr>
              <w:br/>
              <w:t>&gt;99</w:t>
            </w:r>
            <w:r w:rsidR="00AB7602" w:rsidRPr="000B3F24">
              <w:rPr>
                <w:sz w:val="20"/>
                <w:szCs w:val="18"/>
              </w:rPr>
              <w:t>.9</w:t>
            </w:r>
            <w:r w:rsidRPr="000B3F24">
              <w:rPr>
                <w:sz w:val="20"/>
                <w:szCs w:val="18"/>
              </w:rPr>
              <w:t>%</w:t>
            </w:r>
          </w:p>
        </w:tc>
      </w:tr>
      <w:tr w:rsidR="001F1A2E" w:rsidRPr="00C605BC" w14:paraId="708463BE" w14:textId="77777777" w:rsidTr="000B3F24">
        <w:trPr>
          <w:cantSplit/>
          <w:trHeight w:val="20"/>
        </w:trPr>
        <w:tc>
          <w:tcPr>
            <w:tcW w:w="4428" w:type="dxa"/>
          </w:tcPr>
          <w:p w14:paraId="49CA2B25" w14:textId="77777777" w:rsidR="001F1A2E" w:rsidRPr="000B3F24" w:rsidRDefault="001F1A2E" w:rsidP="006B75AB">
            <w:pPr>
              <w:pStyle w:val="Default"/>
              <w:widowControl w:val="0"/>
              <w:ind w:left="180"/>
              <w:jc w:val="both"/>
              <w:rPr>
                <w:b/>
                <w:sz w:val="20"/>
                <w:szCs w:val="18"/>
              </w:rPr>
            </w:pPr>
            <w:r w:rsidRPr="000B3F24">
              <w:rPr>
                <w:b/>
                <w:sz w:val="20"/>
                <w:szCs w:val="18"/>
              </w:rPr>
              <w:t>Molar Mass (g/mol)</w:t>
            </w:r>
          </w:p>
        </w:tc>
        <w:tc>
          <w:tcPr>
            <w:tcW w:w="4747" w:type="dxa"/>
          </w:tcPr>
          <w:p w14:paraId="6BE5F8BD" w14:textId="77777777" w:rsidR="001F1A2E" w:rsidRPr="000B3F24" w:rsidRDefault="001F1A2E" w:rsidP="001F1A2E">
            <w:pPr>
              <w:pStyle w:val="Default"/>
              <w:rPr>
                <w:sz w:val="20"/>
                <w:szCs w:val="18"/>
              </w:rPr>
            </w:pPr>
            <w:r w:rsidRPr="000B3F24">
              <w:rPr>
                <w:sz w:val="20"/>
                <w:szCs w:val="18"/>
              </w:rPr>
              <w:t>86.18</w:t>
            </w:r>
          </w:p>
        </w:tc>
      </w:tr>
      <w:tr w:rsidR="001F1A2E" w:rsidRPr="00C605BC" w14:paraId="33181687" w14:textId="77777777" w:rsidTr="000B3F24">
        <w:trPr>
          <w:cantSplit/>
          <w:trHeight w:val="20"/>
        </w:trPr>
        <w:tc>
          <w:tcPr>
            <w:tcW w:w="4428" w:type="dxa"/>
          </w:tcPr>
          <w:p w14:paraId="21F35E3F" w14:textId="77777777" w:rsidR="001F1A2E" w:rsidRPr="000B3F24" w:rsidRDefault="001F1A2E" w:rsidP="006B75AB">
            <w:pPr>
              <w:pStyle w:val="Default"/>
              <w:widowControl w:val="0"/>
              <w:ind w:left="180"/>
              <w:jc w:val="both"/>
              <w:rPr>
                <w:b/>
                <w:sz w:val="20"/>
                <w:szCs w:val="18"/>
              </w:rPr>
            </w:pPr>
            <w:r w:rsidRPr="000B3F24">
              <w:rPr>
                <w:b/>
                <w:sz w:val="20"/>
                <w:szCs w:val="18"/>
              </w:rPr>
              <w:t>Molecular Formula</w:t>
            </w:r>
          </w:p>
        </w:tc>
        <w:tc>
          <w:tcPr>
            <w:tcW w:w="4747" w:type="dxa"/>
          </w:tcPr>
          <w:p w14:paraId="107351DC" w14:textId="77777777" w:rsidR="001F1A2E" w:rsidRPr="000B3F24" w:rsidRDefault="001F1A2E" w:rsidP="001F1A2E">
            <w:pPr>
              <w:pStyle w:val="Default"/>
              <w:rPr>
                <w:sz w:val="20"/>
                <w:szCs w:val="18"/>
              </w:rPr>
            </w:pPr>
            <w:r w:rsidRPr="000B3F24">
              <w:rPr>
                <w:sz w:val="20"/>
                <w:szCs w:val="18"/>
              </w:rPr>
              <w:t>C</w:t>
            </w:r>
            <w:r w:rsidRPr="000B3F24">
              <w:rPr>
                <w:sz w:val="20"/>
                <w:szCs w:val="18"/>
                <w:vertAlign w:val="subscript"/>
              </w:rPr>
              <w:t>6</w:t>
            </w:r>
            <w:r w:rsidRPr="000B3F24">
              <w:rPr>
                <w:sz w:val="20"/>
                <w:szCs w:val="18"/>
              </w:rPr>
              <w:t>H</w:t>
            </w:r>
            <w:r w:rsidRPr="000B3F24">
              <w:rPr>
                <w:sz w:val="20"/>
                <w:szCs w:val="18"/>
                <w:vertAlign w:val="subscript"/>
              </w:rPr>
              <w:t>14</w:t>
            </w:r>
          </w:p>
        </w:tc>
      </w:tr>
      <w:tr w:rsidR="001F1A2E" w:rsidRPr="00C605BC" w14:paraId="3A539086" w14:textId="77777777" w:rsidTr="000B3F24">
        <w:trPr>
          <w:cantSplit/>
          <w:trHeight w:val="20"/>
        </w:trPr>
        <w:tc>
          <w:tcPr>
            <w:tcW w:w="4428" w:type="dxa"/>
          </w:tcPr>
          <w:p w14:paraId="3E24F5F6" w14:textId="77777777" w:rsidR="001F1A2E" w:rsidRPr="000B3F24" w:rsidRDefault="001F1A2E" w:rsidP="008A57C6">
            <w:pPr>
              <w:pStyle w:val="Default"/>
              <w:ind w:left="180"/>
              <w:rPr>
                <w:b/>
                <w:sz w:val="20"/>
                <w:szCs w:val="18"/>
              </w:rPr>
            </w:pPr>
            <w:r w:rsidRPr="000B3F24">
              <w:rPr>
                <w:b/>
                <w:sz w:val="20"/>
                <w:szCs w:val="18"/>
              </w:rPr>
              <w:t>Appearance (physical state, color, etc.)</w:t>
            </w:r>
          </w:p>
        </w:tc>
        <w:tc>
          <w:tcPr>
            <w:tcW w:w="4747" w:type="dxa"/>
          </w:tcPr>
          <w:p w14:paraId="2AFCABB2" w14:textId="77777777" w:rsidR="001F1A2E" w:rsidRPr="000B3F24" w:rsidRDefault="001F1A2E" w:rsidP="001F1A2E">
            <w:pPr>
              <w:pStyle w:val="Default"/>
              <w:rPr>
                <w:sz w:val="20"/>
                <w:szCs w:val="18"/>
              </w:rPr>
            </w:pPr>
            <w:r w:rsidRPr="000B3F24">
              <w:rPr>
                <w:sz w:val="20"/>
                <w:szCs w:val="18"/>
              </w:rPr>
              <w:t>clear, colorless liquid</w:t>
            </w:r>
          </w:p>
        </w:tc>
      </w:tr>
      <w:tr w:rsidR="001F1A2E" w:rsidRPr="00C605BC" w14:paraId="2CF78659" w14:textId="77777777" w:rsidTr="000B3F24">
        <w:trPr>
          <w:cantSplit/>
          <w:trHeight w:val="20"/>
        </w:trPr>
        <w:tc>
          <w:tcPr>
            <w:tcW w:w="4428" w:type="dxa"/>
          </w:tcPr>
          <w:p w14:paraId="32DC3BBF" w14:textId="77777777" w:rsidR="001F1A2E" w:rsidRPr="000B3F24" w:rsidRDefault="001F1A2E" w:rsidP="006B75AB">
            <w:pPr>
              <w:pStyle w:val="Default"/>
              <w:widowControl w:val="0"/>
              <w:ind w:left="180"/>
              <w:jc w:val="both"/>
              <w:rPr>
                <w:b/>
                <w:sz w:val="20"/>
                <w:szCs w:val="18"/>
              </w:rPr>
            </w:pPr>
            <w:r w:rsidRPr="000B3F24">
              <w:rPr>
                <w:b/>
                <w:sz w:val="20"/>
                <w:szCs w:val="18"/>
              </w:rPr>
              <w:t>Odor</w:t>
            </w:r>
          </w:p>
        </w:tc>
        <w:tc>
          <w:tcPr>
            <w:tcW w:w="4747" w:type="dxa"/>
          </w:tcPr>
          <w:p w14:paraId="45ECEAC6" w14:textId="77777777" w:rsidR="001F1A2E" w:rsidRPr="000B3F24" w:rsidRDefault="001F1A2E" w:rsidP="001F1A2E">
            <w:pPr>
              <w:pStyle w:val="Default"/>
              <w:rPr>
                <w:sz w:val="20"/>
                <w:szCs w:val="18"/>
              </w:rPr>
            </w:pPr>
            <w:r w:rsidRPr="000B3F24">
              <w:rPr>
                <w:sz w:val="20"/>
                <w:szCs w:val="18"/>
              </w:rPr>
              <w:t>gasoline odor</w:t>
            </w:r>
          </w:p>
        </w:tc>
      </w:tr>
      <w:tr w:rsidR="001F1A2E" w:rsidRPr="00C605BC" w14:paraId="7DC9D697" w14:textId="77777777" w:rsidTr="000B3F24">
        <w:trPr>
          <w:cantSplit/>
          <w:trHeight w:val="20"/>
        </w:trPr>
        <w:tc>
          <w:tcPr>
            <w:tcW w:w="4428" w:type="dxa"/>
          </w:tcPr>
          <w:p w14:paraId="2EE9C4B2" w14:textId="77777777" w:rsidR="001F1A2E" w:rsidRPr="000B3F24" w:rsidRDefault="001F1A2E" w:rsidP="006B75AB">
            <w:pPr>
              <w:pStyle w:val="Default"/>
              <w:widowControl w:val="0"/>
              <w:ind w:left="180"/>
              <w:jc w:val="both"/>
              <w:rPr>
                <w:b/>
                <w:sz w:val="20"/>
                <w:szCs w:val="18"/>
              </w:rPr>
            </w:pPr>
            <w:r w:rsidRPr="000B3F24">
              <w:rPr>
                <w:b/>
                <w:sz w:val="20"/>
                <w:szCs w:val="18"/>
              </w:rPr>
              <w:t>Odor threshold</w:t>
            </w:r>
          </w:p>
        </w:tc>
        <w:tc>
          <w:tcPr>
            <w:tcW w:w="4747" w:type="dxa"/>
          </w:tcPr>
          <w:p w14:paraId="592BBBA0" w14:textId="77777777" w:rsidR="001F1A2E" w:rsidRPr="000B3F24" w:rsidRDefault="001F1A2E" w:rsidP="001F1A2E">
            <w:pPr>
              <w:pStyle w:val="Default"/>
              <w:rPr>
                <w:sz w:val="20"/>
                <w:szCs w:val="18"/>
              </w:rPr>
            </w:pPr>
            <w:r w:rsidRPr="000B3F24">
              <w:rPr>
                <w:sz w:val="20"/>
                <w:szCs w:val="18"/>
              </w:rPr>
              <w:t>64 ppm to 244 ppm</w:t>
            </w:r>
          </w:p>
        </w:tc>
      </w:tr>
      <w:tr w:rsidR="001F1A2E" w:rsidRPr="00C605BC" w14:paraId="111E178D" w14:textId="77777777" w:rsidTr="000B3F24">
        <w:trPr>
          <w:cantSplit/>
          <w:trHeight w:val="20"/>
        </w:trPr>
        <w:tc>
          <w:tcPr>
            <w:tcW w:w="4428" w:type="dxa"/>
          </w:tcPr>
          <w:p w14:paraId="433A6D85" w14:textId="77777777" w:rsidR="001F1A2E" w:rsidRPr="000B3F24" w:rsidRDefault="001F1A2E" w:rsidP="006B75AB">
            <w:pPr>
              <w:pStyle w:val="Default"/>
              <w:widowControl w:val="0"/>
              <w:ind w:left="180"/>
              <w:jc w:val="both"/>
              <w:rPr>
                <w:b/>
                <w:sz w:val="20"/>
                <w:szCs w:val="18"/>
              </w:rPr>
            </w:pPr>
            <w:r w:rsidRPr="000B3F24">
              <w:rPr>
                <w:b/>
                <w:sz w:val="20"/>
                <w:szCs w:val="18"/>
              </w:rPr>
              <w:t>pH</w:t>
            </w:r>
          </w:p>
        </w:tc>
        <w:tc>
          <w:tcPr>
            <w:tcW w:w="4747" w:type="dxa"/>
          </w:tcPr>
          <w:p w14:paraId="33885B2A" w14:textId="77777777" w:rsidR="001F1A2E" w:rsidRPr="000B3F24" w:rsidRDefault="001F1A2E" w:rsidP="001F1A2E">
            <w:pPr>
              <w:pStyle w:val="Default"/>
              <w:rPr>
                <w:sz w:val="20"/>
                <w:szCs w:val="18"/>
              </w:rPr>
            </w:pPr>
            <w:r w:rsidRPr="000B3F24">
              <w:rPr>
                <w:sz w:val="20"/>
                <w:szCs w:val="18"/>
              </w:rPr>
              <w:t>neutral</w:t>
            </w:r>
          </w:p>
        </w:tc>
      </w:tr>
      <w:tr w:rsidR="001F1A2E" w:rsidRPr="00C605BC" w14:paraId="787F6AD5" w14:textId="77777777" w:rsidTr="000B3F24">
        <w:trPr>
          <w:cantSplit/>
          <w:trHeight w:val="20"/>
        </w:trPr>
        <w:tc>
          <w:tcPr>
            <w:tcW w:w="4428" w:type="dxa"/>
          </w:tcPr>
          <w:p w14:paraId="4A7A4607" w14:textId="72AFA28A" w:rsidR="001F1A2E" w:rsidRPr="000B3F24" w:rsidRDefault="001F1A2E" w:rsidP="005C78EA">
            <w:pPr>
              <w:pStyle w:val="Default"/>
              <w:widowControl w:val="0"/>
              <w:ind w:left="180"/>
              <w:jc w:val="both"/>
              <w:rPr>
                <w:b/>
                <w:sz w:val="20"/>
                <w:szCs w:val="18"/>
              </w:rPr>
            </w:pPr>
            <w:r w:rsidRPr="000B3F24">
              <w:rPr>
                <w:b/>
                <w:sz w:val="20"/>
                <w:szCs w:val="18"/>
              </w:rPr>
              <w:t>Evaporation rate</w:t>
            </w:r>
            <w:r w:rsidRPr="000B3F24">
              <w:rPr>
                <w:sz w:val="20"/>
                <w:szCs w:val="18"/>
              </w:rPr>
              <w:t xml:space="preserve"> (</w:t>
            </w:r>
            <w:r w:rsidR="005C78EA">
              <w:rPr>
                <w:sz w:val="20"/>
                <w:szCs w:val="18"/>
              </w:rPr>
              <w:t>b</w:t>
            </w:r>
            <w:r w:rsidR="005C78EA" w:rsidRPr="000B3F24">
              <w:rPr>
                <w:sz w:val="20"/>
                <w:szCs w:val="18"/>
              </w:rPr>
              <w:t xml:space="preserve">utyl </w:t>
            </w:r>
            <w:r w:rsidRPr="000B3F24">
              <w:rPr>
                <w:sz w:val="20"/>
                <w:szCs w:val="18"/>
              </w:rPr>
              <w:t>acetate = 1)</w:t>
            </w:r>
          </w:p>
        </w:tc>
        <w:tc>
          <w:tcPr>
            <w:tcW w:w="4747" w:type="dxa"/>
          </w:tcPr>
          <w:p w14:paraId="4FDD5129" w14:textId="77777777" w:rsidR="001F1A2E" w:rsidRPr="000B3F24" w:rsidRDefault="001F1A2E" w:rsidP="001F1A2E">
            <w:pPr>
              <w:pStyle w:val="Default"/>
              <w:rPr>
                <w:sz w:val="20"/>
                <w:szCs w:val="18"/>
              </w:rPr>
            </w:pPr>
            <w:r w:rsidRPr="000B3F24">
              <w:rPr>
                <w:sz w:val="20"/>
                <w:szCs w:val="18"/>
              </w:rPr>
              <w:t>15.8</w:t>
            </w:r>
          </w:p>
        </w:tc>
      </w:tr>
      <w:tr w:rsidR="001F1A2E" w:rsidRPr="00C605BC" w14:paraId="313B3395" w14:textId="77777777" w:rsidTr="000B3F24">
        <w:trPr>
          <w:cantSplit/>
          <w:trHeight w:val="20"/>
        </w:trPr>
        <w:tc>
          <w:tcPr>
            <w:tcW w:w="4428" w:type="dxa"/>
          </w:tcPr>
          <w:p w14:paraId="4B325E85" w14:textId="77777777" w:rsidR="001F1A2E" w:rsidRPr="000B3F24" w:rsidRDefault="001F1A2E" w:rsidP="006B75AB">
            <w:pPr>
              <w:pStyle w:val="Default"/>
              <w:widowControl w:val="0"/>
              <w:ind w:left="180"/>
              <w:jc w:val="both"/>
              <w:rPr>
                <w:b/>
                <w:sz w:val="20"/>
                <w:szCs w:val="18"/>
              </w:rPr>
            </w:pPr>
            <w:r w:rsidRPr="000B3F24">
              <w:rPr>
                <w:b/>
                <w:sz w:val="20"/>
                <w:szCs w:val="18"/>
              </w:rPr>
              <w:t>Melting point/freezing point</w:t>
            </w:r>
          </w:p>
        </w:tc>
        <w:tc>
          <w:tcPr>
            <w:tcW w:w="4747" w:type="dxa"/>
          </w:tcPr>
          <w:p w14:paraId="6660F8F1" w14:textId="77777777" w:rsidR="001F1A2E" w:rsidRPr="000B3F24" w:rsidRDefault="001F1A2E" w:rsidP="001F1A2E">
            <w:pPr>
              <w:pStyle w:val="Default"/>
              <w:rPr>
                <w:sz w:val="20"/>
                <w:szCs w:val="18"/>
              </w:rPr>
            </w:pPr>
            <w:r w:rsidRPr="000B3F24">
              <w:rPr>
                <w:sz w:val="20"/>
                <w:szCs w:val="18"/>
              </w:rPr>
              <w:t>–95 °C (–139 °F)</w:t>
            </w:r>
          </w:p>
        </w:tc>
      </w:tr>
      <w:tr w:rsidR="001F1A2E" w:rsidRPr="00C605BC" w14:paraId="08C1FA7E" w14:textId="77777777" w:rsidTr="000B3F24">
        <w:trPr>
          <w:cantSplit/>
          <w:trHeight w:val="20"/>
        </w:trPr>
        <w:tc>
          <w:tcPr>
            <w:tcW w:w="4428" w:type="dxa"/>
          </w:tcPr>
          <w:p w14:paraId="4736A289" w14:textId="77777777" w:rsidR="001F1A2E" w:rsidRPr="000B3F24" w:rsidRDefault="001F1A2E" w:rsidP="008A57C6">
            <w:pPr>
              <w:pStyle w:val="Default"/>
              <w:ind w:left="180"/>
              <w:rPr>
                <w:b/>
                <w:sz w:val="20"/>
                <w:szCs w:val="18"/>
              </w:rPr>
            </w:pPr>
            <w:r w:rsidRPr="000B3F24">
              <w:rPr>
                <w:b/>
                <w:sz w:val="20"/>
                <w:szCs w:val="18"/>
              </w:rPr>
              <w:t>Relative Density</w:t>
            </w:r>
            <w:r w:rsidRPr="000B3F24">
              <w:rPr>
                <w:sz w:val="20"/>
                <w:szCs w:val="18"/>
              </w:rPr>
              <w:t xml:space="preserve"> as</w:t>
            </w:r>
            <w:r w:rsidRPr="000B3F24">
              <w:rPr>
                <w:b/>
                <w:sz w:val="20"/>
                <w:szCs w:val="18"/>
              </w:rPr>
              <w:t xml:space="preserve"> </w:t>
            </w:r>
            <w:r w:rsidRPr="000B3F24">
              <w:rPr>
                <w:sz w:val="20"/>
                <w:szCs w:val="18"/>
              </w:rPr>
              <w:t>Specific Gravity (water = 1)</w:t>
            </w:r>
          </w:p>
        </w:tc>
        <w:tc>
          <w:tcPr>
            <w:tcW w:w="4747" w:type="dxa"/>
          </w:tcPr>
          <w:p w14:paraId="16063F95" w14:textId="77777777" w:rsidR="001F1A2E" w:rsidRPr="000B3F24" w:rsidRDefault="001F1A2E" w:rsidP="001F1A2E">
            <w:pPr>
              <w:pStyle w:val="Default"/>
              <w:rPr>
                <w:sz w:val="20"/>
                <w:szCs w:val="18"/>
              </w:rPr>
            </w:pPr>
            <w:r w:rsidRPr="000B3F24">
              <w:rPr>
                <w:sz w:val="20"/>
                <w:szCs w:val="18"/>
              </w:rPr>
              <w:t>0.6603</w:t>
            </w:r>
          </w:p>
        </w:tc>
      </w:tr>
      <w:tr w:rsidR="001F1A2E" w:rsidRPr="00C605BC" w14:paraId="5E33539D" w14:textId="77777777" w:rsidTr="000B3F24">
        <w:trPr>
          <w:cantSplit/>
          <w:trHeight w:val="20"/>
        </w:trPr>
        <w:tc>
          <w:tcPr>
            <w:tcW w:w="4428" w:type="dxa"/>
          </w:tcPr>
          <w:p w14:paraId="14B37291" w14:textId="77777777" w:rsidR="001F1A2E" w:rsidRPr="000B3F24" w:rsidRDefault="001F1A2E" w:rsidP="008A5F10">
            <w:pPr>
              <w:pStyle w:val="Default"/>
              <w:ind w:left="180"/>
              <w:rPr>
                <w:b/>
                <w:sz w:val="20"/>
                <w:szCs w:val="18"/>
              </w:rPr>
            </w:pPr>
            <w:r w:rsidRPr="000B3F24">
              <w:rPr>
                <w:b/>
                <w:sz w:val="20"/>
                <w:szCs w:val="18"/>
              </w:rPr>
              <w:t>Density</w:t>
            </w:r>
          </w:p>
        </w:tc>
        <w:tc>
          <w:tcPr>
            <w:tcW w:w="4747" w:type="dxa"/>
          </w:tcPr>
          <w:p w14:paraId="433EE065" w14:textId="77777777" w:rsidR="001F1A2E" w:rsidRPr="000B3F24" w:rsidRDefault="001F1A2E" w:rsidP="001F1A2E">
            <w:pPr>
              <w:pStyle w:val="Default"/>
              <w:rPr>
                <w:sz w:val="20"/>
                <w:szCs w:val="18"/>
              </w:rPr>
            </w:pPr>
            <w:r w:rsidRPr="000B3F24">
              <w:rPr>
                <w:sz w:val="20"/>
                <w:szCs w:val="18"/>
              </w:rPr>
              <w:t>not available</w:t>
            </w:r>
          </w:p>
        </w:tc>
      </w:tr>
      <w:tr w:rsidR="001F1A2E" w:rsidRPr="00C605BC" w14:paraId="69170246" w14:textId="77777777" w:rsidTr="000B3F24">
        <w:trPr>
          <w:cantSplit/>
          <w:trHeight w:val="20"/>
        </w:trPr>
        <w:tc>
          <w:tcPr>
            <w:tcW w:w="4428" w:type="dxa"/>
          </w:tcPr>
          <w:p w14:paraId="721B8E77" w14:textId="77777777" w:rsidR="001F1A2E" w:rsidRPr="000B3F24" w:rsidRDefault="001F1A2E" w:rsidP="008A57C6">
            <w:pPr>
              <w:pStyle w:val="Default"/>
              <w:ind w:left="180"/>
              <w:rPr>
                <w:b/>
                <w:sz w:val="20"/>
                <w:szCs w:val="18"/>
              </w:rPr>
            </w:pPr>
            <w:r w:rsidRPr="000B3F24">
              <w:rPr>
                <w:b/>
                <w:sz w:val="20"/>
                <w:szCs w:val="18"/>
              </w:rPr>
              <w:t>Vapor Pressure</w:t>
            </w:r>
          </w:p>
        </w:tc>
        <w:tc>
          <w:tcPr>
            <w:tcW w:w="4747" w:type="dxa"/>
          </w:tcPr>
          <w:p w14:paraId="263562AB" w14:textId="77777777" w:rsidR="001F1A2E" w:rsidRPr="000B3F24" w:rsidRDefault="001F1A2E" w:rsidP="001F1A2E">
            <w:pPr>
              <w:pStyle w:val="Default"/>
              <w:rPr>
                <w:sz w:val="20"/>
                <w:szCs w:val="18"/>
              </w:rPr>
            </w:pPr>
            <w:r w:rsidRPr="000B3F24">
              <w:rPr>
                <w:sz w:val="20"/>
                <w:szCs w:val="18"/>
              </w:rPr>
              <w:t>124 mmHg at 20 °C</w:t>
            </w:r>
          </w:p>
        </w:tc>
      </w:tr>
      <w:tr w:rsidR="001F1A2E" w:rsidRPr="00EF3E03" w14:paraId="5CA0DF8D" w14:textId="77777777" w:rsidTr="000B3F24">
        <w:trPr>
          <w:cantSplit/>
          <w:trHeight w:val="20"/>
        </w:trPr>
        <w:tc>
          <w:tcPr>
            <w:tcW w:w="4428" w:type="dxa"/>
          </w:tcPr>
          <w:p w14:paraId="32BF3490" w14:textId="77777777" w:rsidR="001F1A2E" w:rsidRPr="000B3F24" w:rsidRDefault="001F1A2E" w:rsidP="008A57C6">
            <w:pPr>
              <w:pStyle w:val="Default"/>
              <w:ind w:left="180"/>
              <w:rPr>
                <w:b/>
                <w:sz w:val="20"/>
                <w:szCs w:val="18"/>
              </w:rPr>
            </w:pPr>
            <w:r w:rsidRPr="000B3F24">
              <w:rPr>
                <w:b/>
                <w:sz w:val="20"/>
                <w:szCs w:val="18"/>
              </w:rPr>
              <w:t>Vapor Density (air = 1)</w:t>
            </w:r>
          </w:p>
        </w:tc>
        <w:tc>
          <w:tcPr>
            <w:tcW w:w="4747" w:type="dxa"/>
          </w:tcPr>
          <w:p w14:paraId="6C5038D3" w14:textId="77777777" w:rsidR="001F1A2E" w:rsidRPr="000B3F24" w:rsidRDefault="001F1A2E" w:rsidP="001F1A2E">
            <w:pPr>
              <w:pStyle w:val="Default"/>
              <w:rPr>
                <w:sz w:val="20"/>
                <w:szCs w:val="18"/>
              </w:rPr>
            </w:pPr>
            <w:r w:rsidRPr="000B3F24">
              <w:rPr>
                <w:sz w:val="20"/>
                <w:szCs w:val="18"/>
              </w:rPr>
              <w:t>3.0</w:t>
            </w:r>
          </w:p>
        </w:tc>
      </w:tr>
      <w:tr w:rsidR="001F1A2E" w:rsidRPr="00EF3E03" w14:paraId="1EF8B6D2" w14:textId="77777777" w:rsidTr="000B3F24">
        <w:trPr>
          <w:cantSplit/>
          <w:trHeight w:val="20"/>
        </w:trPr>
        <w:tc>
          <w:tcPr>
            <w:tcW w:w="4428" w:type="dxa"/>
          </w:tcPr>
          <w:p w14:paraId="22AD0974" w14:textId="77777777" w:rsidR="001F1A2E" w:rsidRPr="000B3F24" w:rsidRDefault="001F1A2E" w:rsidP="008A57C6">
            <w:pPr>
              <w:pStyle w:val="Default"/>
              <w:ind w:left="180"/>
              <w:rPr>
                <w:b/>
                <w:sz w:val="20"/>
                <w:szCs w:val="18"/>
              </w:rPr>
            </w:pPr>
            <w:r w:rsidRPr="000B3F24">
              <w:rPr>
                <w:b/>
                <w:sz w:val="20"/>
                <w:szCs w:val="18"/>
              </w:rPr>
              <w:t>Viscosity</w:t>
            </w:r>
          </w:p>
        </w:tc>
        <w:tc>
          <w:tcPr>
            <w:tcW w:w="4747" w:type="dxa"/>
          </w:tcPr>
          <w:p w14:paraId="635069D3" w14:textId="77777777" w:rsidR="001F1A2E" w:rsidRPr="000B3F24" w:rsidRDefault="001F1A2E" w:rsidP="001F1A2E">
            <w:pPr>
              <w:pStyle w:val="Default"/>
              <w:rPr>
                <w:sz w:val="20"/>
                <w:szCs w:val="18"/>
              </w:rPr>
            </w:pPr>
            <w:r w:rsidRPr="000B3F24">
              <w:rPr>
                <w:sz w:val="20"/>
                <w:szCs w:val="18"/>
              </w:rPr>
              <w:t>0.32 cP at 25 °C</w:t>
            </w:r>
          </w:p>
        </w:tc>
      </w:tr>
      <w:tr w:rsidR="001F1A2E" w:rsidRPr="00EF3E03" w14:paraId="6FC6EF48" w14:textId="77777777" w:rsidTr="000B3F24">
        <w:trPr>
          <w:cantSplit/>
          <w:trHeight w:val="20"/>
        </w:trPr>
        <w:tc>
          <w:tcPr>
            <w:tcW w:w="4428" w:type="dxa"/>
          </w:tcPr>
          <w:p w14:paraId="468A50BC" w14:textId="77777777" w:rsidR="001F1A2E" w:rsidRPr="000B3F24" w:rsidRDefault="001F1A2E" w:rsidP="006B75AB">
            <w:pPr>
              <w:pStyle w:val="Default"/>
              <w:widowControl w:val="0"/>
              <w:ind w:left="180"/>
              <w:jc w:val="both"/>
              <w:rPr>
                <w:b/>
                <w:sz w:val="20"/>
                <w:szCs w:val="18"/>
              </w:rPr>
            </w:pPr>
            <w:r w:rsidRPr="000B3F24">
              <w:rPr>
                <w:b/>
                <w:sz w:val="20"/>
                <w:szCs w:val="18"/>
              </w:rPr>
              <w:t>Solubilities</w:t>
            </w:r>
          </w:p>
        </w:tc>
        <w:tc>
          <w:tcPr>
            <w:tcW w:w="4747" w:type="dxa"/>
          </w:tcPr>
          <w:p w14:paraId="434809D9" w14:textId="77777777" w:rsidR="001F1A2E" w:rsidRPr="000B3F24" w:rsidRDefault="00506E99" w:rsidP="001F1A2E">
            <w:pPr>
              <w:pStyle w:val="Default"/>
              <w:ind w:left="349" w:hanging="349"/>
              <w:rPr>
                <w:sz w:val="20"/>
                <w:szCs w:val="18"/>
              </w:rPr>
            </w:pPr>
            <w:r w:rsidRPr="000B3F24">
              <w:rPr>
                <w:sz w:val="20"/>
                <w:szCs w:val="18"/>
              </w:rPr>
              <w:t>w</w:t>
            </w:r>
            <w:r w:rsidR="001F1A2E" w:rsidRPr="000B3F24">
              <w:rPr>
                <w:sz w:val="20"/>
                <w:szCs w:val="18"/>
              </w:rPr>
              <w:t>ater:  0.014 % at 20 °C</w:t>
            </w:r>
          </w:p>
          <w:p w14:paraId="3DAEA399" w14:textId="77777777" w:rsidR="001F1A2E" w:rsidRPr="000B3F24" w:rsidRDefault="00506E99" w:rsidP="001B0766">
            <w:pPr>
              <w:pStyle w:val="Default"/>
              <w:ind w:left="349" w:hanging="349"/>
              <w:rPr>
                <w:sz w:val="20"/>
                <w:szCs w:val="18"/>
              </w:rPr>
            </w:pPr>
            <w:r w:rsidRPr="000B3F24">
              <w:rPr>
                <w:sz w:val="20"/>
                <w:szCs w:val="18"/>
              </w:rPr>
              <w:t>s</w:t>
            </w:r>
            <w:r w:rsidR="001F1A2E" w:rsidRPr="000B3F24">
              <w:rPr>
                <w:sz w:val="20"/>
                <w:szCs w:val="18"/>
              </w:rPr>
              <w:t>olvents:  alcohol, ether, chloroform, acetone, organic solvents.</w:t>
            </w:r>
          </w:p>
        </w:tc>
      </w:tr>
      <w:tr w:rsidR="001F1A2E" w:rsidRPr="00EF3E03" w14:paraId="24A14AC1" w14:textId="77777777" w:rsidTr="000B3F24">
        <w:trPr>
          <w:cantSplit/>
          <w:trHeight w:val="20"/>
        </w:trPr>
        <w:tc>
          <w:tcPr>
            <w:tcW w:w="4428" w:type="dxa"/>
          </w:tcPr>
          <w:p w14:paraId="3DD6A108" w14:textId="77777777" w:rsidR="001F1A2E" w:rsidRPr="000B3F24" w:rsidRDefault="001F1A2E" w:rsidP="008A57C6">
            <w:pPr>
              <w:pStyle w:val="Default"/>
              <w:ind w:left="180"/>
              <w:rPr>
                <w:b/>
                <w:sz w:val="20"/>
                <w:szCs w:val="18"/>
              </w:rPr>
            </w:pPr>
            <w:r w:rsidRPr="000B3F24">
              <w:rPr>
                <w:b/>
                <w:sz w:val="20"/>
                <w:szCs w:val="18"/>
              </w:rPr>
              <w:t>Partition coefficient (n</w:t>
            </w:r>
            <w:r w:rsidRPr="000B3F24">
              <w:rPr>
                <w:b/>
                <w:sz w:val="20"/>
                <w:szCs w:val="18"/>
              </w:rPr>
              <w:noBreakHyphen/>
              <w:t>octanol/water)</w:t>
            </w:r>
          </w:p>
        </w:tc>
        <w:tc>
          <w:tcPr>
            <w:tcW w:w="4747" w:type="dxa"/>
          </w:tcPr>
          <w:p w14:paraId="6DEC7DC1" w14:textId="77777777" w:rsidR="001F1A2E" w:rsidRPr="000B3F24" w:rsidRDefault="002C7D84" w:rsidP="001F1A2E">
            <w:pPr>
              <w:pStyle w:val="Default"/>
              <w:rPr>
                <w:sz w:val="20"/>
                <w:szCs w:val="18"/>
                <w:highlight w:val="yellow"/>
              </w:rPr>
            </w:pPr>
            <w:r w:rsidRPr="000B3F24">
              <w:rPr>
                <w:sz w:val="20"/>
                <w:szCs w:val="18"/>
              </w:rPr>
              <w:t>log Kow = 3.90</w:t>
            </w:r>
          </w:p>
        </w:tc>
      </w:tr>
      <w:tr w:rsidR="001F1A2E" w:rsidRPr="00EF3E03" w14:paraId="4142D560" w14:textId="77777777" w:rsidTr="000B3F24">
        <w:trPr>
          <w:cantSplit/>
          <w:trHeight w:val="485"/>
        </w:trPr>
        <w:tc>
          <w:tcPr>
            <w:tcW w:w="4428" w:type="dxa"/>
            <w:tcBorders>
              <w:right w:val="nil"/>
            </w:tcBorders>
            <w:vAlign w:val="center"/>
          </w:tcPr>
          <w:p w14:paraId="5ABD887B" w14:textId="77777777" w:rsidR="001F1A2E" w:rsidRPr="000B3F24" w:rsidRDefault="001F1A2E" w:rsidP="00862254">
            <w:pPr>
              <w:pStyle w:val="Default"/>
              <w:widowControl w:val="0"/>
              <w:spacing w:before="40" w:after="40"/>
              <w:rPr>
                <w:b/>
                <w:sz w:val="20"/>
                <w:szCs w:val="18"/>
              </w:rPr>
            </w:pPr>
            <w:r w:rsidRPr="000B3F24">
              <w:rPr>
                <w:b/>
                <w:sz w:val="20"/>
                <w:szCs w:val="18"/>
              </w:rPr>
              <w:t>Thermal Stability Properties</w:t>
            </w:r>
          </w:p>
        </w:tc>
        <w:tc>
          <w:tcPr>
            <w:tcW w:w="4747" w:type="dxa"/>
            <w:tcBorders>
              <w:left w:val="nil"/>
              <w:right w:val="nil"/>
            </w:tcBorders>
          </w:tcPr>
          <w:p w14:paraId="3429C3A1" w14:textId="77777777" w:rsidR="001F1A2E" w:rsidRPr="000B3F24" w:rsidRDefault="001F1A2E" w:rsidP="001F1A2E">
            <w:pPr>
              <w:pStyle w:val="Default"/>
              <w:spacing w:before="40" w:after="40"/>
              <w:rPr>
                <w:sz w:val="20"/>
                <w:szCs w:val="18"/>
                <w:highlight w:val="yellow"/>
              </w:rPr>
            </w:pPr>
          </w:p>
        </w:tc>
      </w:tr>
      <w:tr w:rsidR="001F1A2E" w:rsidRPr="00EF3E03" w14:paraId="7A59DD30" w14:textId="77777777" w:rsidTr="000B3F24">
        <w:trPr>
          <w:cantSplit/>
          <w:trHeight w:val="20"/>
        </w:trPr>
        <w:tc>
          <w:tcPr>
            <w:tcW w:w="4428" w:type="dxa"/>
          </w:tcPr>
          <w:p w14:paraId="3C008E34" w14:textId="77777777" w:rsidR="001F1A2E" w:rsidRPr="000B3F24" w:rsidRDefault="001F1A2E" w:rsidP="008A57C6">
            <w:pPr>
              <w:pStyle w:val="Default"/>
              <w:ind w:left="180"/>
              <w:rPr>
                <w:b/>
                <w:sz w:val="20"/>
                <w:szCs w:val="18"/>
              </w:rPr>
            </w:pPr>
            <w:r w:rsidRPr="000B3F24">
              <w:rPr>
                <w:b/>
                <w:sz w:val="20"/>
                <w:szCs w:val="18"/>
              </w:rPr>
              <w:t>Autoignition Temperature</w:t>
            </w:r>
          </w:p>
        </w:tc>
        <w:tc>
          <w:tcPr>
            <w:tcW w:w="4747" w:type="dxa"/>
          </w:tcPr>
          <w:p w14:paraId="7C5C41EB" w14:textId="77777777" w:rsidR="001F1A2E" w:rsidRPr="000B3F24" w:rsidRDefault="001F1A2E" w:rsidP="001F1A2E">
            <w:pPr>
              <w:pStyle w:val="Default"/>
              <w:rPr>
                <w:sz w:val="20"/>
                <w:szCs w:val="18"/>
              </w:rPr>
            </w:pPr>
            <w:r w:rsidRPr="000B3F24">
              <w:rPr>
                <w:sz w:val="20"/>
                <w:szCs w:val="18"/>
              </w:rPr>
              <w:t>225 °C (437 °F)</w:t>
            </w:r>
          </w:p>
        </w:tc>
      </w:tr>
      <w:tr w:rsidR="001F1A2E" w:rsidRPr="00EF3E03" w14:paraId="5901F571" w14:textId="77777777" w:rsidTr="000B3F24">
        <w:trPr>
          <w:cantSplit/>
          <w:trHeight w:val="20"/>
        </w:trPr>
        <w:tc>
          <w:tcPr>
            <w:tcW w:w="4428" w:type="dxa"/>
          </w:tcPr>
          <w:p w14:paraId="64876E5A" w14:textId="77777777" w:rsidR="001F1A2E" w:rsidRPr="000B3F24" w:rsidRDefault="001F1A2E" w:rsidP="006B75AB">
            <w:pPr>
              <w:pStyle w:val="Default"/>
              <w:widowControl w:val="0"/>
              <w:ind w:left="180"/>
              <w:jc w:val="both"/>
              <w:rPr>
                <w:b/>
                <w:sz w:val="20"/>
                <w:szCs w:val="18"/>
              </w:rPr>
            </w:pPr>
            <w:r w:rsidRPr="000B3F24">
              <w:rPr>
                <w:b/>
                <w:sz w:val="20"/>
                <w:szCs w:val="18"/>
              </w:rPr>
              <w:t>Thermal Decomposition</w:t>
            </w:r>
          </w:p>
        </w:tc>
        <w:tc>
          <w:tcPr>
            <w:tcW w:w="4747" w:type="dxa"/>
          </w:tcPr>
          <w:p w14:paraId="3AA14C89" w14:textId="77777777" w:rsidR="001F1A2E" w:rsidRPr="000B3F24" w:rsidRDefault="001F1A2E" w:rsidP="001F1A2E">
            <w:pPr>
              <w:pStyle w:val="Default"/>
              <w:rPr>
                <w:sz w:val="20"/>
                <w:szCs w:val="18"/>
              </w:rPr>
            </w:pPr>
            <w:r w:rsidRPr="000B3F24">
              <w:rPr>
                <w:sz w:val="20"/>
                <w:szCs w:val="18"/>
              </w:rPr>
              <w:t>not applicable</w:t>
            </w:r>
          </w:p>
        </w:tc>
      </w:tr>
      <w:tr w:rsidR="001F1A2E" w:rsidRPr="00EF3E03" w14:paraId="116EE98C" w14:textId="77777777" w:rsidTr="000B3F24">
        <w:trPr>
          <w:cantSplit/>
          <w:trHeight w:val="20"/>
        </w:trPr>
        <w:tc>
          <w:tcPr>
            <w:tcW w:w="4428" w:type="dxa"/>
          </w:tcPr>
          <w:p w14:paraId="3B31C971" w14:textId="77777777" w:rsidR="001F1A2E" w:rsidRPr="000B3F24" w:rsidRDefault="001F1A2E" w:rsidP="006B75AB">
            <w:pPr>
              <w:pStyle w:val="Default"/>
              <w:widowControl w:val="0"/>
              <w:ind w:left="180"/>
              <w:jc w:val="both"/>
              <w:rPr>
                <w:b/>
                <w:sz w:val="20"/>
                <w:szCs w:val="18"/>
              </w:rPr>
            </w:pPr>
            <w:r w:rsidRPr="000B3F24">
              <w:rPr>
                <w:b/>
                <w:sz w:val="20"/>
                <w:szCs w:val="18"/>
              </w:rPr>
              <w:t>Initial boiling point and boiling range</w:t>
            </w:r>
          </w:p>
        </w:tc>
        <w:tc>
          <w:tcPr>
            <w:tcW w:w="4747" w:type="dxa"/>
          </w:tcPr>
          <w:p w14:paraId="0009C248" w14:textId="77777777" w:rsidR="001F1A2E" w:rsidRPr="000B3F24" w:rsidRDefault="001F1A2E" w:rsidP="001F1A2E">
            <w:pPr>
              <w:pStyle w:val="Default"/>
              <w:rPr>
                <w:sz w:val="20"/>
                <w:szCs w:val="18"/>
              </w:rPr>
            </w:pPr>
            <w:r w:rsidRPr="000B3F24">
              <w:rPr>
                <w:sz w:val="20"/>
                <w:szCs w:val="18"/>
              </w:rPr>
              <w:t>69 °C (156 °F)</w:t>
            </w:r>
          </w:p>
        </w:tc>
      </w:tr>
      <w:tr w:rsidR="001F1A2E" w:rsidRPr="00EF3E03" w14:paraId="27559C0F" w14:textId="77777777" w:rsidTr="000B3F24">
        <w:trPr>
          <w:cantSplit/>
          <w:trHeight w:val="20"/>
        </w:trPr>
        <w:tc>
          <w:tcPr>
            <w:tcW w:w="4428" w:type="dxa"/>
          </w:tcPr>
          <w:p w14:paraId="67026BD6" w14:textId="77777777" w:rsidR="001F1A2E" w:rsidRPr="000B3F24" w:rsidRDefault="001F1A2E" w:rsidP="008A57C6">
            <w:pPr>
              <w:pStyle w:val="Default"/>
              <w:ind w:left="180"/>
              <w:rPr>
                <w:b/>
                <w:sz w:val="20"/>
                <w:szCs w:val="18"/>
              </w:rPr>
            </w:pPr>
            <w:r w:rsidRPr="000B3F24">
              <w:rPr>
                <w:b/>
                <w:sz w:val="20"/>
                <w:szCs w:val="18"/>
              </w:rPr>
              <w:t>Explosive Limits, LEL (Volume %)</w:t>
            </w:r>
          </w:p>
        </w:tc>
        <w:tc>
          <w:tcPr>
            <w:tcW w:w="4747" w:type="dxa"/>
          </w:tcPr>
          <w:p w14:paraId="62EFDF47" w14:textId="77777777" w:rsidR="001F1A2E" w:rsidRPr="000B3F24" w:rsidRDefault="001F1A2E" w:rsidP="001F1A2E">
            <w:pPr>
              <w:pStyle w:val="Default"/>
              <w:rPr>
                <w:sz w:val="20"/>
                <w:szCs w:val="18"/>
              </w:rPr>
            </w:pPr>
            <w:r w:rsidRPr="000B3F24">
              <w:rPr>
                <w:sz w:val="20"/>
                <w:szCs w:val="18"/>
              </w:rPr>
              <w:t>1.1 %</w:t>
            </w:r>
          </w:p>
        </w:tc>
      </w:tr>
      <w:tr w:rsidR="001F1A2E" w:rsidRPr="00EF3E03" w14:paraId="3BF7F8FA" w14:textId="77777777" w:rsidTr="000B3F24">
        <w:trPr>
          <w:cantSplit/>
          <w:trHeight w:val="20"/>
        </w:trPr>
        <w:tc>
          <w:tcPr>
            <w:tcW w:w="4428" w:type="dxa"/>
          </w:tcPr>
          <w:p w14:paraId="1A50A931" w14:textId="77777777" w:rsidR="001F1A2E" w:rsidRPr="000B3F24" w:rsidRDefault="001F1A2E" w:rsidP="006B75AB">
            <w:pPr>
              <w:pStyle w:val="Default"/>
              <w:widowControl w:val="0"/>
              <w:ind w:left="180"/>
              <w:jc w:val="both"/>
              <w:rPr>
                <w:b/>
                <w:sz w:val="20"/>
                <w:szCs w:val="18"/>
              </w:rPr>
            </w:pPr>
            <w:r w:rsidRPr="000B3F24">
              <w:rPr>
                <w:b/>
                <w:sz w:val="20"/>
                <w:szCs w:val="18"/>
              </w:rPr>
              <w:t>Explosive Limits, UEL (Volume %)</w:t>
            </w:r>
          </w:p>
        </w:tc>
        <w:tc>
          <w:tcPr>
            <w:tcW w:w="4747" w:type="dxa"/>
          </w:tcPr>
          <w:p w14:paraId="23778A0E" w14:textId="77777777" w:rsidR="001F1A2E" w:rsidRPr="000B3F24" w:rsidRDefault="001F1A2E" w:rsidP="001F1A2E">
            <w:pPr>
              <w:pStyle w:val="Default"/>
              <w:rPr>
                <w:sz w:val="20"/>
                <w:szCs w:val="18"/>
              </w:rPr>
            </w:pPr>
            <w:r w:rsidRPr="000B3F24">
              <w:rPr>
                <w:sz w:val="20"/>
                <w:szCs w:val="18"/>
              </w:rPr>
              <w:t>7.5 %</w:t>
            </w:r>
          </w:p>
        </w:tc>
      </w:tr>
      <w:tr w:rsidR="001F1A2E" w:rsidRPr="00EF3E03" w14:paraId="5F84F098" w14:textId="77777777" w:rsidTr="000B3F24">
        <w:trPr>
          <w:cantSplit/>
          <w:trHeight w:val="20"/>
        </w:trPr>
        <w:tc>
          <w:tcPr>
            <w:tcW w:w="4428" w:type="dxa"/>
          </w:tcPr>
          <w:p w14:paraId="33176A02" w14:textId="77777777" w:rsidR="001F1A2E" w:rsidRPr="000B3F24" w:rsidRDefault="001F1A2E" w:rsidP="006B75AB">
            <w:pPr>
              <w:pStyle w:val="Default"/>
              <w:widowControl w:val="0"/>
              <w:ind w:left="180"/>
              <w:jc w:val="both"/>
              <w:rPr>
                <w:b/>
                <w:sz w:val="20"/>
                <w:szCs w:val="18"/>
              </w:rPr>
            </w:pPr>
            <w:r w:rsidRPr="000B3F24">
              <w:rPr>
                <w:b/>
                <w:sz w:val="20"/>
                <w:szCs w:val="18"/>
              </w:rPr>
              <w:t>Flash Point (Closed Cup)</w:t>
            </w:r>
          </w:p>
        </w:tc>
        <w:tc>
          <w:tcPr>
            <w:tcW w:w="4747" w:type="dxa"/>
          </w:tcPr>
          <w:p w14:paraId="244AAABE" w14:textId="77777777" w:rsidR="001F1A2E" w:rsidRPr="000B3F24" w:rsidRDefault="001F1A2E" w:rsidP="001F1A2E">
            <w:pPr>
              <w:pStyle w:val="Default"/>
              <w:rPr>
                <w:sz w:val="20"/>
                <w:szCs w:val="18"/>
              </w:rPr>
            </w:pPr>
            <w:r w:rsidRPr="000B3F24">
              <w:rPr>
                <w:sz w:val="20"/>
                <w:szCs w:val="18"/>
              </w:rPr>
              <w:t>–22 °C (–7.6 °F)</w:t>
            </w:r>
          </w:p>
        </w:tc>
      </w:tr>
      <w:tr w:rsidR="001F1A2E" w:rsidRPr="00EF3E03" w14:paraId="7DF2A9C6" w14:textId="77777777" w:rsidTr="000B3F24">
        <w:trPr>
          <w:cantSplit/>
          <w:trHeight w:val="20"/>
        </w:trPr>
        <w:tc>
          <w:tcPr>
            <w:tcW w:w="4428" w:type="dxa"/>
          </w:tcPr>
          <w:p w14:paraId="0A0EF28E" w14:textId="77777777" w:rsidR="001F1A2E" w:rsidRPr="000B3F24" w:rsidRDefault="001F1A2E" w:rsidP="006B75AB">
            <w:pPr>
              <w:pStyle w:val="Default"/>
              <w:widowControl w:val="0"/>
              <w:ind w:left="180"/>
              <w:jc w:val="both"/>
              <w:rPr>
                <w:b/>
                <w:sz w:val="20"/>
                <w:szCs w:val="18"/>
              </w:rPr>
            </w:pPr>
            <w:r w:rsidRPr="000B3F24">
              <w:rPr>
                <w:b/>
                <w:sz w:val="20"/>
                <w:szCs w:val="18"/>
              </w:rPr>
              <w:t>Flammability (solid, gas)</w:t>
            </w:r>
          </w:p>
        </w:tc>
        <w:tc>
          <w:tcPr>
            <w:tcW w:w="4747" w:type="dxa"/>
          </w:tcPr>
          <w:p w14:paraId="7A7BE44F" w14:textId="77777777" w:rsidR="001F1A2E" w:rsidRPr="000B3F24" w:rsidRDefault="001F1A2E" w:rsidP="001F1A2E">
            <w:pPr>
              <w:pStyle w:val="Default"/>
              <w:rPr>
                <w:sz w:val="20"/>
                <w:szCs w:val="18"/>
              </w:rPr>
            </w:pPr>
            <w:r w:rsidRPr="000B3F24">
              <w:rPr>
                <w:sz w:val="20"/>
                <w:szCs w:val="18"/>
              </w:rPr>
              <w:t>not applicable</w:t>
            </w:r>
          </w:p>
        </w:tc>
      </w:tr>
    </w:tbl>
    <w:p w14:paraId="61681387" w14:textId="77777777" w:rsidR="00E24579" w:rsidRPr="00EF3E03" w:rsidRDefault="00E24579" w:rsidP="008A5F10">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14:paraId="605E36F0" w14:textId="77777777" w:rsidTr="00F4046F">
        <w:trPr>
          <w:trHeight w:hRule="exact" w:val="360"/>
        </w:trPr>
        <w:tc>
          <w:tcPr>
            <w:tcW w:w="9576" w:type="dxa"/>
            <w:vAlign w:val="center"/>
          </w:tcPr>
          <w:p w14:paraId="70C212F5" w14:textId="77777777" w:rsidR="00F4046F" w:rsidRDefault="00F4046F" w:rsidP="006B75AB">
            <w:pPr>
              <w:keepNext/>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14:paraId="196E91CC" w14:textId="77777777" w:rsidR="00F4046F" w:rsidRPr="00373DC9" w:rsidRDefault="00F4046F" w:rsidP="006B75AB">
      <w:pPr>
        <w:keepNext/>
        <w:widowControl/>
        <w:spacing w:before="120" w:after="120"/>
        <w:rPr>
          <w:szCs w:val="20"/>
        </w:rPr>
      </w:pPr>
      <w:r>
        <w:rPr>
          <w:b/>
          <w:szCs w:val="20"/>
        </w:rPr>
        <w:t>Reactivity:</w:t>
      </w:r>
      <w:r w:rsidR="00373DC9" w:rsidRPr="00373DC9">
        <w:rPr>
          <w:szCs w:val="20"/>
        </w:rPr>
        <w:t xml:space="preserve">  </w:t>
      </w:r>
      <w:r w:rsidR="00373DC9" w:rsidRPr="00252092">
        <w:rPr>
          <w:szCs w:val="20"/>
        </w:rPr>
        <w:t>This material is not reactive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A13B778" w14:textId="77777777" w:rsidTr="00EB5E4A">
        <w:tc>
          <w:tcPr>
            <w:tcW w:w="1440" w:type="dxa"/>
            <w:vAlign w:val="center"/>
          </w:tcPr>
          <w:p w14:paraId="41DBF535" w14:textId="77777777" w:rsidR="00F4046F" w:rsidRPr="00F4046F" w:rsidRDefault="00F4046F" w:rsidP="006B75AB">
            <w:pPr>
              <w:widowControl/>
              <w:ind w:left="-450"/>
              <w:jc w:val="center"/>
              <w:rPr>
                <w:b/>
                <w:szCs w:val="20"/>
              </w:rPr>
            </w:pPr>
            <w:r w:rsidRPr="00F4046F">
              <w:rPr>
                <w:b/>
                <w:szCs w:val="20"/>
              </w:rPr>
              <w:t>Stability:</w:t>
            </w:r>
          </w:p>
        </w:tc>
        <w:tc>
          <w:tcPr>
            <w:tcW w:w="576" w:type="dxa"/>
            <w:tcBorders>
              <w:bottom w:val="single" w:sz="6" w:space="0" w:color="auto"/>
            </w:tcBorders>
            <w:vAlign w:val="center"/>
          </w:tcPr>
          <w:p w14:paraId="2E5AD1A4" w14:textId="77777777" w:rsidR="00F4046F" w:rsidRDefault="00A14B09" w:rsidP="006B75AB">
            <w:pPr>
              <w:widowControl/>
              <w:jc w:val="center"/>
              <w:rPr>
                <w:szCs w:val="20"/>
              </w:rPr>
            </w:pPr>
            <w:r>
              <w:rPr>
                <w:szCs w:val="20"/>
              </w:rPr>
              <w:t>X</w:t>
            </w:r>
          </w:p>
        </w:tc>
        <w:tc>
          <w:tcPr>
            <w:tcW w:w="1296" w:type="dxa"/>
            <w:vAlign w:val="center"/>
          </w:tcPr>
          <w:p w14:paraId="6D293CD1" w14:textId="77777777" w:rsidR="00F4046F" w:rsidRDefault="00F4046F" w:rsidP="008A57C6">
            <w:pPr>
              <w:widowControl/>
              <w:jc w:val="left"/>
              <w:rPr>
                <w:szCs w:val="20"/>
              </w:rPr>
            </w:pPr>
            <w:r>
              <w:rPr>
                <w:szCs w:val="20"/>
              </w:rPr>
              <w:t>Stable</w:t>
            </w:r>
          </w:p>
        </w:tc>
        <w:tc>
          <w:tcPr>
            <w:tcW w:w="576" w:type="dxa"/>
            <w:tcBorders>
              <w:bottom w:val="single" w:sz="6" w:space="0" w:color="auto"/>
            </w:tcBorders>
            <w:vAlign w:val="center"/>
          </w:tcPr>
          <w:p w14:paraId="620F1FA0" w14:textId="77777777" w:rsidR="00F4046F" w:rsidRDefault="00F4046F" w:rsidP="006B75AB">
            <w:pPr>
              <w:widowControl/>
              <w:jc w:val="center"/>
              <w:rPr>
                <w:szCs w:val="20"/>
              </w:rPr>
            </w:pPr>
          </w:p>
        </w:tc>
        <w:tc>
          <w:tcPr>
            <w:tcW w:w="1296" w:type="dxa"/>
            <w:vAlign w:val="center"/>
          </w:tcPr>
          <w:p w14:paraId="793D2725" w14:textId="77777777" w:rsidR="00F4046F" w:rsidRDefault="00F4046F" w:rsidP="008A57C6">
            <w:pPr>
              <w:widowControl/>
              <w:jc w:val="left"/>
              <w:rPr>
                <w:szCs w:val="20"/>
              </w:rPr>
            </w:pPr>
            <w:r>
              <w:rPr>
                <w:szCs w:val="20"/>
              </w:rPr>
              <w:t>Unstable</w:t>
            </w:r>
          </w:p>
        </w:tc>
      </w:tr>
    </w:tbl>
    <w:p w14:paraId="21724858" w14:textId="77777777" w:rsidR="00D2295A" w:rsidRPr="00A00A2B" w:rsidRDefault="00D2295A" w:rsidP="006B75AB">
      <w:pPr>
        <w:widowControl/>
        <w:spacing w:before="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14:paraId="384E11F7" w14:textId="77777777" w:rsidR="00DC1232" w:rsidRPr="00373DC9" w:rsidRDefault="00BF5DD9" w:rsidP="006B75AB">
      <w:pPr>
        <w:widowControl/>
        <w:spacing w:before="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Minimize contact with material.  Avoid inhalation of material or combustion by</w:t>
      </w:r>
      <w:r w:rsidR="00343DF9">
        <w:rPr>
          <w:rFonts w:eastAsia="Times New Roman"/>
          <w:bCs/>
          <w:szCs w:val="20"/>
        </w:rPr>
        <w:noBreakHyphen/>
      </w:r>
      <w:r w:rsidR="00937016" w:rsidRPr="00937016">
        <w:rPr>
          <w:rFonts w:eastAsia="Times New Roman"/>
          <w:bCs/>
          <w:szCs w:val="20"/>
        </w:rPr>
        <w:t xml:space="preserve">products.  </w:t>
      </w:r>
      <w:r w:rsidR="00EB76F7" w:rsidRPr="00937016">
        <w:rPr>
          <w:rFonts w:eastAsia="Times New Roman"/>
          <w:bCs/>
          <w:szCs w:val="20"/>
        </w:rPr>
        <w:t>Keep out of water supplies and sewers.</w:t>
      </w:r>
      <w:r w:rsidR="00EB76F7">
        <w:rPr>
          <w:rFonts w:eastAsia="Times New Roman"/>
          <w:bCs/>
          <w:szCs w:val="20"/>
        </w:rPr>
        <w:t xml:space="preserve"> </w:t>
      </w:r>
    </w:p>
    <w:p w14:paraId="2613FAD6" w14:textId="77777777" w:rsidR="00E24579" w:rsidRPr="00A00A2B" w:rsidRDefault="00BF5DD9" w:rsidP="006B75AB">
      <w:pPr>
        <w:widowControl/>
        <w:spacing w:before="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C250AF" w:rsidRPr="00783B7C">
        <w:t>Oxidizing materials, halogens, combustible materials</w:t>
      </w:r>
      <w:r w:rsidR="00042B56">
        <w:t>.</w:t>
      </w:r>
    </w:p>
    <w:p w14:paraId="678AAFDE" w14:textId="77777777" w:rsidR="00E24579" w:rsidRPr="00A00A2B" w:rsidRDefault="00BF5DD9" w:rsidP="000771A0">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14:paraId="40FC3F88" w14:textId="77777777" w:rsidTr="00EB5E4A">
        <w:tc>
          <w:tcPr>
            <w:tcW w:w="2898" w:type="dxa"/>
            <w:vAlign w:val="center"/>
          </w:tcPr>
          <w:p w14:paraId="4E89C678" w14:textId="77777777" w:rsidR="00A00A2B" w:rsidRPr="00F4046F" w:rsidRDefault="00A00A2B" w:rsidP="006B75AB">
            <w:pPr>
              <w:widowControl/>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14:paraId="168FB5E0" w14:textId="77777777" w:rsidR="00A00A2B" w:rsidRDefault="00A00A2B" w:rsidP="006B75AB">
            <w:pPr>
              <w:widowControl/>
              <w:jc w:val="center"/>
              <w:rPr>
                <w:szCs w:val="20"/>
              </w:rPr>
            </w:pPr>
          </w:p>
        </w:tc>
        <w:tc>
          <w:tcPr>
            <w:tcW w:w="1728" w:type="dxa"/>
            <w:vAlign w:val="center"/>
          </w:tcPr>
          <w:p w14:paraId="22410268" w14:textId="77777777" w:rsidR="00A00A2B" w:rsidRDefault="00A00A2B" w:rsidP="006B75AB">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14:paraId="330613D1" w14:textId="77777777" w:rsidR="00A00A2B" w:rsidRDefault="00A14B09" w:rsidP="006B75AB">
            <w:pPr>
              <w:widowControl/>
              <w:jc w:val="center"/>
              <w:rPr>
                <w:szCs w:val="20"/>
              </w:rPr>
            </w:pPr>
            <w:r>
              <w:rPr>
                <w:szCs w:val="20"/>
              </w:rPr>
              <w:t>X</w:t>
            </w:r>
          </w:p>
        </w:tc>
        <w:tc>
          <w:tcPr>
            <w:tcW w:w="1728" w:type="dxa"/>
            <w:vAlign w:val="center"/>
          </w:tcPr>
          <w:p w14:paraId="0B331012" w14:textId="77777777" w:rsidR="00A00A2B" w:rsidRDefault="00A00A2B" w:rsidP="006B75AB">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14:paraId="281E18B4" w14:textId="77777777" w:rsidR="00A00A2B" w:rsidRPr="00A00A2B" w:rsidRDefault="00A00A2B" w:rsidP="006B75AB">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14:paraId="7D75336D" w14:textId="77777777" w:rsidTr="00783F68">
        <w:trPr>
          <w:trHeight w:hRule="exact" w:val="360"/>
        </w:trPr>
        <w:tc>
          <w:tcPr>
            <w:tcW w:w="9576" w:type="dxa"/>
            <w:vAlign w:val="center"/>
          </w:tcPr>
          <w:p w14:paraId="25A67221" w14:textId="77777777" w:rsidR="00783F68" w:rsidRDefault="00783F68" w:rsidP="006B75AB">
            <w:pPr>
              <w:keepNext/>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1442DBD4" w14:textId="77777777" w:rsidR="00A00A2B" w:rsidRPr="00A00A2B" w:rsidRDefault="00A00A2B" w:rsidP="006B75AB">
      <w:pPr>
        <w:keepNext/>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14:paraId="7457B1B6" w14:textId="77777777" w:rsidTr="00252092">
        <w:tc>
          <w:tcPr>
            <w:tcW w:w="2016" w:type="dxa"/>
            <w:vAlign w:val="center"/>
          </w:tcPr>
          <w:p w14:paraId="63F817F9" w14:textId="77777777" w:rsidR="00EB5E4A" w:rsidRPr="000B4B5B" w:rsidRDefault="00EB5E4A" w:rsidP="006B75AB">
            <w:pPr>
              <w:widowControl/>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14:paraId="3FBCA1FE" w14:textId="77777777" w:rsidR="00EB5E4A" w:rsidRPr="000B4B5B" w:rsidRDefault="00E12D28" w:rsidP="006B75AB">
            <w:pPr>
              <w:widowControl/>
              <w:jc w:val="center"/>
              <w:rPr>
                <w:szCs w:val="20"/>
              </w:rPr>
            </w:pPr>
            <w:r w:rsidRPr="000B4B5B">
              <w:rPr>
                <w:szCs w:val="20"/>
              </w:rPr>
              <w:t>X</w:t>
            </w:r>
          </w:p>
        </w:tc>
        <w:tc>
          <w:tcPr>
            <w:tcW w:w="1440" w:type="dxa"/>
            <w:shd w:val="clear" w:color="auto" w:fill="auto"/>
            <w:vAlign w:val="center"/>
          </w:tcPr>
          <w:p w14:paraId="429F74C0" w14:textId="77777777" w:rsidR="00EB5E4A" w:rsidRPr="000B4B5B" w:rsidRDefault="00EB5E4A" w:rsidP="006B75AB">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14:paraId="7A4EBDAB" w14:textId="77777777" w:rsidR="00EB5E4A" w:rsidRPr="000B4B5B" w:rsidRDefault="00D76D7D" w:rsidP="006B75AB">
            <w:pPr>
              <w:widowControl/>
              <w:jc w:val="center"/>
              <w:rPr>
                <w:szCs w:val="20"/>
              </w:rPr>
            </w:pPr>
            <w:r w:rsidRPr="000B4B5B">
              <w:rPr>
                <w:szCs w:val="20"/>
              </w:rPr>
              <w:t>X</w:t>
            </w:r>
          </w:p>
        </w:tc>
        <w:tc>
          <w:tcPr>
            <w:tcW w:w="1440" w:type="dxa"/>
            <w:shd w:val="clear" w:color="auto" w:fill="auto"/>
            <w:vAlign w:val="center"/>
          </w:tcPr>
          <w:p w14:paraId="39CF33BF" w14:textId="77777777" w:rsidR="00EB5E4A" w:rsidRPr="000B4B5B" w:rsidRDefault="00EB5E4A" w:rsidP="006B75AB">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14:paraId="5D00EC25" w14:textId="77777777" w:rsidR="00EB5E4A" w:rsidRPr="000B4B5B" w:rsidRDefault="00484EF6" w:rsidP="006B75AB">
            <w:pPr>
              <w:widowControl/>
              <w:jc w:val="center"/>
              <w:rPr>
                <w:szCs w:val="20"/>
              </w:rPr>
            </w:pPr>
            <w:r w:rsidRPr="000B4B5B">
              <w:rPr>
                <w:szCs w:val="20"/>
              </w:rPr>
              <w:t>X</w:t>
            </w:r>
          </w:p>
        </w:tc>
        <w:tc>
          <w:tcPr>
            <w:tcW w:w="1440" w:type="dxa"/>
            <w:shd w:val="clear" w:color="auto" w:fill="auto"/>
            <w:vAlign w:val="center"/>
          </w:tcPr>
          <w:p w14:paraId="07702568" w14:textId="77777777" w:rsidR="00EB5E4A" w:rsidRPr="000B4B5B" w:rsidRDefault="00EB5E4A" w:rsidP="006B75AB">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14:paraId="63499664" w14:textId="77777777" w:rsidR="00522E29" w:rsidRPr="00716F59" w:rsidRDefault="00C12A63" w:rsidP="006B75AB">
      <w:pPr>
        <w:widowControl/>
        <w:spacing w:before="120"/>
        <w:rPr>
          <w:rFonts w:eastAsia="Times New Roman"/>
          <w:bCs/>
          <w:szCs w:val="20"/>
        </w:rPr>
      </w:pPr>
      <w:r w:rsidRPr="00716F59">
        <w:rPr>
          <w:rFonts w:eastAsia="Times New Roman"/>
          <w:b/>
          <w:bCs/>
          <w:szCs w:val="20"/>
        </w:rPr>
        <w:t>Symptoms Related to the Physical, Chemical and Toxicological Characteristics:</w:t>
      </w:r>
      <w:r w:rsidR="00A31815" w:rsidRPr="00716F59">
        <w:rPr>
          <w:rFonts w:eastAsia="Times New Roman"/>
          <w:bCs/>
          <w:szCs w:val="20"/>
        </w:rPr>
        <w:t xml:space="preserve">  </w:t>
      </w:r>
      <w:r w:rsidR="005172D0" w:rsidRPr="008E4313">
        <w:rPr>
          <w:rFonts w:eastAsia="Times New Roman"/>
          <w:bCs/>
          <w:szCs w:val="20"/>
        </w:rPr>
        <w:t>Respiratory tract, skin, and eye irritation; aspiration hazard, nervous system depression, and nerve damage.</w:t>
      </w:r>
    </w:p>
    <w:p w14:paraId="191B5D29" w14:textId="77777777" w:rsidR="00A00A2B" w:rsidRPr="00716F59" w:rsidRDefault="00EB5E4A" w:rsidP="007D37AF">
      <w:pPr>
        <w:widowControl/>
        <w:spacing w:before="120"/>
        <w:rPr>
          <w:rFonts w:eastAsia="Times New Roman"/>
          <w:b/>
          <w:bCs/>
          <w:szCs w:val="20"/>
        </w:rPr>
      </w:pPr>
      <w:r w:rsidRPr="00716F59">
        <w:rPr>
          <w:rFonts w:eastAsia="Times New Roman"/>
          <w:b/>
          <w:bCs/>
          <w:szCs w:val="20"/>
        </w:rPr>
        <w:t>Potential Health Effects (Acute</w:t>
      </w:r>
      <w:r w:rsidR="00957B26" w:rsidRPr="00716F59">
        <w:rPr>
          <w:rFonts w:eastAsia="Times New Roman"/>
          <w:b/>
          <w:bCs/>
          <w:szCs w:val="20"/>
        </w:rPr>
        <w:t>,</w:t>
      </w:r>
      <w:r w:rsidRPr="00716F59">
        <w:rPr>
          <w:rFonts w:eastAsia="Times New Roman"/>
          <w:b/>
          <w:bCs/>
          <w:szCs w:val="20"/>
        </w:rPr>
        <w:t xml:space="preserve"> </w:t>
      </w:r>
      <w:r w:rsidR="00957B26" w:rsidRPr="00716F59">
        <w:rPr>
          <w:rFonts w:eastAsia="Times New Roman"/>
          <w:b/>
          <w:bCs/>
          <w:szCs w:val="20"/>
        </w:rPr>
        <w:t>C</w:t>
      </w:r>
      <w:r w:rsidRPr="00716F59">
        <w:rPr>
          <w:rFonts w:eastAsia="Times New Roman"/>
          <w:b/>
          <w:bCs/>
          <w:szCs w:val="20"/>
        </w:rPr>
        <w:t>hronic</w:t>
      </w:r>
      <w:r w:rsidR="00373DC9" w:rsidRPr="00716F59">
        <w:rPr>
          <w:rFonts w:eastAsia="Times New Roman"/>
          <w:b/>
          <w:bCs/>
          <w:szCs w:val="20"/>
        </w:rPr>
        <w:t>,</w:t>
      </w:r>
      <w:r w:rsidR="00957B26" w:rsidRPr="00716F59">
        <w:rPr>
          <w:rFonts w:eastAsia="Times New Roman"/>
          <w:b/>
          <w:bCs/>
          <w:szCs w:val="20"/>
        </w:rPr>
        <w:t xml:space="preserve"> and Delayed</w:t>
      </w:r>
      <w:r w:rsidRPr="00716F59">
        <w:rPr>
          <w:rFonts w:eastAsia="Times New Roman"/>
          <w:b/>
          <w:bCs/>
          <w:szCs w:val="20"/>
        </w:rPr>
        <w:t>)</w:t>
      </w:r>
    </w:p>
    <w:p w14:paraId="49D1B7C6" w14:textId="77777777" w:rsidR="005172D0" w:rsidRPr="00D511CD" w:rsidRDefault="005172D0" w:rsidP="005172D0">
      <w:pPr>
        <w:widowControl/>
        <w:spacing w:before="120"/>
        <w:ind w:left="360"/>
        <w:rPr>
          <w:rFonts w:eastAsia="Times New Roman"/>
          <w:bCs/>
          <w:szCs w:val="20"/>
        </w:rPr>
      </w:pPr>
      <w:r w:rsidRPr="00D511CD">
        <w:rPr>
          <w:rFonts w:eastAsia="Times New Roman"/>
          <w:b/>
          <w:bCs/>
          <w:szCs w:val="20"/>
        </w:rPr>
        <w:t>Inhalation:</w:t>
      </w:r>
      <w:r w:rsidRPr="00D511CD">
        <w:rPr>
          <w:rFonts w:eastAsia="Times New Roman"/>
          <w:bCs/>
          <w:szCs w:val="20"/>
        </w:rPr>
        <w:t xml:space="preserve">  Inhalation of hexane can cause eye, nose, throat and respiratory irritation.  Acute exposure to considerable concentrations may cause cough, wheezing, headache, dizziness, nausea, gastrointestinal symptoms, central nervous system depression and asphyxia.  Prolonged exposure may result in motor sensory and central nervous system abnormalities.</w:t>
      </w:r>
    </w:p>
    <w:p w14:paraId="0D840485" w14:textId="77777777" w:rsidR="005172D0" w:rsidRPr="00D511CD" w:rsidRDefault="005172D0" w:rsidP="005172D0">
      <w:pPr>
        <w:widowControl/>
        <w:spacing w:before="120"/>
        <w:ind w:left="360"/>
        <w:rPr>
          <w:rFonts w:eastAsia="Times New Roman"/>
          <w:szCs w:val="20"/>
        </w:rPr>
      </w:pPr>
      <w:r w:rsidRPr="00D511CD">
        <w:rPr>
          <w:rFonts w:eastAsia="Times New Roman"/>
          <w:b/>
          <w:bCs/>
          <w:szCs w:val="20"/>
        </w:rPr>
        <w:t>Skin Contact:</w:t>
      </w:r>
      <w:r w:rsidRPr="00D511CD">
        <w:rPr>
          <w:rFonts w:eastAsia="Times New Roman"/>
          <w:bCs/>
          <w:szCs w:val="20"/>
        </w:rPr>
        <w:t xml:space="preserve">  </w:t>
      </w:r>
      <w:r>
        <w:rPr>
          <w:rFonts w:eastAsia="Times New Roman"/>
          <w:bCs/>
          <w:szCs w:val="20"/>
        </w:rPr>
        <w:t>Contact with liquid may cause i</w:t>
      </w:r>
      <w:r w:rsidRPr="00D511CD">
        <w:rPr>
          <w:rFonts w:eastAsia="Times New Roman"/>
          <w:szCs w:val="20"/>
        </w:rPr>
        <w:t>rritation and dermatitis due to defatting.</w:t>
      </w:r>
    </w:p>
    <w:p w14:paraId="1CAE10C6" w14:textId="77777777" w:rsidR="005172D0" w:rsidRPr="00D511CD" w:rsidRDefault="005172D0" w:rsidP="00553A75">
      <w:pPr>
        <w:widowControl/>
        <w:spacing w:before="120"/>
        <w:ind w:left="360"/>
        <w:rPr>
          <w:rFonts w:eastAsia="Times New Roman"/>
          <w:bCs/>
          <w:szCs w:val="20"/>
        </w:rPr>
      </w:pPr>
      <w:r w:rsidRPr="00D511CD">
        <w:rPr>
          <w:rFonts w:eastAsia="Times New Roman"/>
          <w:b/>
          <w:bCs/>
          <w:szCs w:val="20"/>
        </w:rPr>
        <w:lastRenderedPageBreak/>
        <w:t>Eye Contact:</w:t>
      </w:r>
      <w:r w:rsidRPr="00D511CD">
        <w:rPr>
          <w:rFonts w:eastAsia="Times New Roman"/>
          <w:bCs/>
          <w:szCs w:val="20"/>
        </w:rPr>
        <w:t xml:space="preserve">  Irritation with redness and pain and conjunctivitis.</w:t>
      </w:r>
    </w:p>
    <w:p w14:paraId="5CC64715" w14:textId="77777777" w:rsidR="001E70E0" w:rsidRPr="0066361E" w:rsidRDefault="005172D0" w:rsidP="00553A75">
      <w:pPr>
        <w:spacing w:before="120"/>
        <w:ind w:left="360"/>
        <w:rPr>
          <w:bCs/>
        </w:rPr>
      </w:pPr>
      <w:r w:rsidRPr="00D511CD">
        <w:rPr>
          <w:rFonts w:eastAsia="Times New Roman"/>
          <w:b/>
          <w:bCs/>
          <w:szCs w:val="20"/>
        </w:rPr>
        <w:t>Ingestion:</w:t>
      </w:r>
      <w:r w:rsidRPr="00D511CD">
        <w:rPr>
          <w:rFonts w:eastAsia="Times New Roman"/>
          <w:bCs/>
          <w:szCs w:val="20"/>
        </w:rPr>
        <w:t xml:space="preserve">  Aspiration hazard; </w:t>
      </w:r>
      <w:r>
        <w:rPr>
          <w:rFonts w:eastAsia="Times New Roman"/>
          <w:bCs/>
          <w:szCs w:val="20"/>
        </w:rPr>
        <w:t xml:space="preserve">ingestion of </w:t>
      </w:r>
      <w:r w:rsidRPr="00D511CD">
        <w:rPr>
          <w:rFonts w:eastAsia="Times New Roman"/>
          <w:bCs/>
          <w:szCs w:val="20"/>
        </w:rPr>
        <w:t>hexane can cause lung damage</w:t>
      </w:r>
      <w:r>
        <w:rPr>
          <w:rFonts w:eastAsia="Times New Roman"/>
          <w:bCs/>
          <w:szCs w:val="20"/>
        </w:rPr>
        <w:t xml:space="preserve"> and death</w:t>
      </w:r>
      <w:r w:rsidRPr="00D511CD">
        <w:rPr>
          <w:rFonts w:eastAsia="Times New Roman"/>
          <w:bCs/>
          <w:szCs w:val="20"/>
        </w:rPr>
        <w:t>.</w:t>
      </w:r>
    </w:p>
    <w:p w14:paraId="3DA1D196" w14:textId="77777777" w:rsidR="00A00A2B" w:rsidRDefault="00EB5E4A" w:rsidP="00553A75">
      <w:pPr>
        <w:keepNext/>
        <w:widowControl/>
        <w:spacing w:before="120" w:after="60"/>
        <w:rPr>
          <w:rFonts w:eastAsia="Times New Roman"/>
          <w:b/>
          <w:bCs/>
          <w:szCs w:val="20"/>
        </w:rPr>
      </w:pPr>
      <w:r w:rsidRPr="008C4669">
        <w:rPr>
          <w:rFonts w:eastAsia="Times New Roman"/>
          <w:b/>
          <w:bCs/>
          <w:szCs w:val="20"/>
        </w:rPr>
        <w:t>Numerical Measures of Toxicity</w:t>
      </w:r>
    </w:p>
    <w:p w14:paraId="03F242FC" w14:textId="77777777" w:rsidR="008F166E" w:rsidRDefault="008F166E" w:rsidP="007D37AF">
      <w:pPr>
        <w:widowControl/>
        <w:spacing w:after="60"/>
        <w:ind w:left="360"/>
        <w:rPr>
          <w:rFonts w:eastAsia="Times New Roman"/>
          <w:bCs/>
          <w:szCs w:val="20"/>
        </w:rPr>
      </w:pPr>
      <w:r w:rsidRPr="008C4669">
        <w:rPr>
          <w:rFonts w:eastAsia="Times New Roman"/>
          <w:b/>
          <w:bCs/>
          <w:szCs w:val="20"/>
        </w:rPr>
        <w:t>Acute toxicity:</w:t>
      </w:r>
      <w:r w:rsidRPr="008C4669">
        <w:rPr>
          <w:rFonts w:eastAsia="Times New Roman"/>
          <w:bCs/>
          <w:szCs w:val="20"/>
        </w:rPr>
        <w:t xml:space="preserve"> </w:t>
      </w:r>
      <w:r>
        <w:rPr>
          <w:rFonts w:eastAsia="Times New Roman"/>
          <w:bCs/>
          <w:szCs w:val="20"/>
        </w:rPr>
        <w:t xml:space="preserve"> </w:t>
      </w:r>
      <w:r w:rsidR="007F1F70" w:rsidRPr="001A77EB">
        <w:rPr>
          <w:rFonts w:eastAsia="Times New Roman"/>
          <w:bCs/>
          <w:szCs w:val="20"/>
        </w:rPr>
        <w:t>Not classified.</w:t>
      </w:r>
    </w:p>
    <w:p w14:paraId="000068B6" w14:textId="77777777" w:rsidR="008F166E" w:rsidRPr="008F166E" w:rsidRDefault="008F166E" w:rsidP="007D37AF">
      <w:pPr>
        <w:widowControl/>
        <w:tabs>
          <w:tab w:val="left" w:pos="2700"/>
        </w:tabs>
        <w:ind w:left="720"/>
        <w:jc w:val="left"/>
        <w:rPr>
          <w:rFonts w:eastAsia="Times New Roman"/>
          <w:bCs/>
          <w:szCs w:val="20"/>
        </w:rPr>
      </w:pPr>
      <w:r w:rsidRPr="008F166E">
        <w:rPr>
          <w:rFonts w:eastAsia="Times New Roman"/>
          <w:bCs/>
          <w:szCs w:val="20"/>
        </w:rPr>
        <w:t xml:space="preserve">Rat, Oral, LD50:  15 840 mg/kg </w:t>
      </w:r>
    </w:p>
    <w:p w14:paraId="2ABDB335" w14:textId="77777777" w:rsidR="008F166E" w:rsidRPr="008F166E" w:rsidRDefault="008F166E" w:rsidP="007D37AF">
      <w:pPr>
        <w:widowControl/>
        <w:tabs>
          <w:tab w:val="left" w:pos="2700"/>
        </w:tabs>
        <w:ind w:left="720"/>
        <w:jc w:val="left"/>
        <w:rPr>
          <w:rFonts w:eastAsia="Times New Roman"/>
          <w:bCs/>
          <w:szCs w:val="20"/>
        </w:rPr>
      </w:pPr>
      <w:r w:rsidRPr="008F166E">
        <w:rPr>
          <w:rFonts w:eastAsia="Times New Roman"/>
          <w:bCs/>
          <w:szCs w:val="20"/>
        </w:rPr>
        <w:t>Rat, Inhalation, LC50:  48 000 ppm (4 h)</w:t>
      </w:r>
    </w:p>
    <w:p w14:paraId="4A90CEB9" w14:textId="77777777" w:rsidR="008F166E" w:rsidRDefault="008F166E" w:rsidP="007D37AF">
      <w:pPr>
        <w:widowControl/>
        <w:spacing w:after="60"/>
        <w:ind w:left="720"/>
        <w:rPr>
          <w:rFonts w:eastAsia="Times New Roman"/>
          <w:bCs/>
          <w:szCs w:val="20"/>
        </w:rPr>
      </w:pPr>
      <w:r w:rsidRPr="008F166E">
        <w:rPr>
          <w:rFonts w:eastAsia="Times New Roman"/>
          <w:bCs/>
          <w:szCs w:val="20"/>
        </w:rPr>
        <w:t>Rabbit, Dermal LD50:  3000 mg/kg</w:t>
      </w:r>
    </w:p>
    <w:p w14:paraId="30576800" w14:textId="77777777" w:rsidR="005172D0" w:rsidRPr="006D78BD" w:rsidRDefault="005172D0" w:rsidP="005172D0">
      <w:pPr>
        <w:widowControl/>
        <w:ind w:left="360"/>
        <w:rPr>
          <w:rFonts w:eastAsia="Times New Roman"/>
          <w:bCs/>
          <w:szCs w:val="20"/>
        </w:rPr>
      </w:pPr>
      <w:r w:rsidRPr="006D78BD">
        <w:rPr>
          <w:rFonts w:eastAsia="Times New Roman"/>
          <w:b/>
          <w:bCs/>
          <w:szCs w:val="20"/>
        </w:rPr>
        <w:t>Skin Corrosion/Irritation:</w:t>
      </w:r>
      <w:r w:rsidRPr="006D78BD">
        <w:rPr>
          <w:rFonts w:eastAsia="Times New Roman"/>
          <w:bCs/>
          <w:szCs w:val="20"/>
        </w:rPr>
        <w:t xml:space="preserve">  Category 2</w:t>
      </w:r>
    </w:p>
    <w:p w14:paraId="243D84D8" w14:textId="77777777" w:rsidR="00B24306" w:rsidRPr="008C4669" w:rsidRDefault="005172D0" w:rsidP="007D37AF">
      <w:pPr>
        <w:widowControl/>
        <w:tabs>
          <w:tab w:val="left" w:pos="2700"/>
        </w:tabs>
        <w:ind w:left="720" w:hanging="360"/>
        <w:rPr>
          <w:rFonts w:eastAsia="Times New Roman"/>
          <w:bCs/>
          <w:szCs w:val="20"/>
        </w:rPr>
      </w:pPr>
      <w:r>
        <w:rPr>
          <w:rFonts w:eastAsia="Times New Roman"/>
          <w:bCs/>
          <w:szCs w:val="20"/>
        </w:rPr>
        <w:tab/>
      </w:r>
      <w:r w:rsidRPr="00D47736">
        <w:rPr>
          <w:rFonts w:eastAsia="Times New Roman"/>
          <w:bCs/>
          <w:szCs w:val="20"/>
        </w:rPr>
        <w:t>Hexane is irritating to skin, and can cause</w:t>
      </w:r>
      <w:r>
        <w:rPr>
          <w:rFonts w:eastAsia="Times New Roman"/>
          <w:bCs/>
          <w:szCs w:val="20"/>
        </w:rPr>
        <w:t xml:space="preserve"> </w:t>
      </w:r>
      <w:r w:rsidRPr="00D47736">
        <w:rPr>
          <w:rFonts w:eastAsia="Times New Roman"/>
          <w:bCs/>
          <w:szCs w:val="20"/>
        </w:rPr>
        <w:t>redness, pain and blister formation.</w:t>
      </w:r>
    </w:p>
    <w:p w14:paraId="671E18D3" w14:textId="77777777" w:rsidR="00F53018" w:rsidRPr="00047B6D" w:rsidRDefault="00EE1F37" w:rsidP="007D37AF">
      <w:pPr>
        <w:widowControl/>
        <w:spacing w:before="120"/>
        <w:ind w:left="720" w:hanging="360"/>
        <w:rPr>
          <w:rFonts w:eastAsia="Times New Roman"/>
          <w:bCs/>
          <w:szCs w:val="20"/>
        </w:rPr>
      </w:pPr>
      <w:r w:rsidRPr="00047B6D">
        <w:rPr>
          <w:rFonts w:eastAsia="Times New Roman"/>
          <w:b/>
          <w:bCs/>
          <w:szCs w:val="20"/>
        </w:rPr>
        <w:t>Serious eye damage/eye irritat</w:t>
      </w:r>
      <w:r w:rsidRPr="00704A6D">
        <w:rPr>
          <w:rFonts w:eastAsia="Times New Roman"/>
          <w:b/>
          <w:bCs/>
          <w:szCs w:val="20"/>
        </w:rPr>
        <w:t>ion</w:t>
      </w:r>
      <w:r w:rsidR="00405269" w:rsidRPr="00704A6D">
        <w:rPr>
          <w:rFonts w:eastAsia="Times New Roman"/>
          <w:b/>
          <w:bCs/>
          <w:szCs w:val="20"/>
        </w:rPr>
        <w:t>:</w:t>
      </w:r>
      <w:r w:rsidR="008F1308" w:rsidRPr="00704A6D">
        <w:rPr>
          <w:rFonts w:eastAsia="Times New Roman"/>
          <w:bCs/>
          <w:szCs w:val="20"/>
        </w:rPr>
        <w:t xml:space="preserve"> </w:t>
      </w:r>
      <w:r w:rsidR="00B7052B" w:rsidRPr="00704A6D">
        <w:rPr>
          <w:rFonts w:eastAsia="Times New Roman"/>
          <w:bCs/>
          <w:szCs w:val="20"/>
        </w:rPr>
        <w:t xml:space="preserve"> </w:t>
      </w:r>
      <w:r w:rsidR="005172D0" w:rsidRPr="00543FB7">
        <w:rPr>
          <w:rFonts w:eastAsia="Times New Roman"/>
          <w:bCs/>
          <w:szCs w:val="20"/>
        </w:rPr>
        <w:t>Category 2B</w:t>
      </w:r>
    </w:p>
    <w:p w14:paraId="08AB4600" w14:textId="77777777" w:rsidR="005172D0" w:rsidRDefault="006E0117" w:rsidP="007D37AF">
      <w:pPr>
        <w:widowControl/>
        <w:tabs>
          <w:tab w:val="left" w:pos="2700"/>
        </w:tabs>
        <w:ind w:left="720" w:hanging="360"/>
        <w:rPr>
          <w:rFonts w:eastAsia="Times New Roman"/>
          <w:bCs/>
          <w:szCs w:val="20"/>
        </w:rPr>
      </w:pPr>
      <w:r w:rsidRPr="00047B6D">
        <w:rPr>
          <w:rFonts w:eastAsia="Times New Roman"/>
          <w:bCs/>
          <w:szCs w:val="20"/>
        </w:rPr>
        <w:tab/>
        <w:t>Rabbit, eyes</w:t>
      </w:r>
      <w:r w:rsidR="00522E29" w:rsidRPr="00047B6D">
        <w:rPr>
          <w:rFonts w:eastAsia="Times New Roman"/>
          <w:bCs/>
          <w:szCs w:val="20"/>
        </w:rPr>
        <w:t xml:space="preserve">: </w:t>
      </w:r>
      <w:r w:rsidRPr="00047B6D">
        <w:rPr>
          <w:rFonts w:eastAsia="Times New Roman"/>
          <w:bCs/>
          <w:szCs w:val="20"/>
        </w:rPr>
        <w:t xml:space="preserve"> </w:t>
      </w:r>
      <w:r w:rsidR="00522E29" w:rsidRPr="00047B6D">
        <w:rPr>
          <w:rFonts w:eastAsia="Times New Roman"/>
          <w:bCs/>
          <w:szCs w:val="20"/>
        </w:rPr>
        <w:t>10 </w:t>
      </w:r>
      <w:r w:rsidR="00025217" w:rsidRPr="00047B6D">
        <w:rPr>
          <w:rFonts w:eastAsia="Times New Roman"/>
          <w:bCs/>
          <w:szCs w:val="20"/>
        </w:rPr>
        <w:t>m</w:t>
      </w:r>
      <w:r w:rsidR="00025217">
        <w:rPr>
          <w:rFonts w:eastAsia="Times New Roman"/>
          <w:bCs/>
          <w:szCs w:val="20"/>
        </w:rPr>
        <w:t>g</w:t>
      </w:r>
      <w:r w:rsidR="00025217" w:rsidRPr="00047B6D">
        <w:rPr>
          <w:rFonts w:eastAsia="Times New Roman"/>
          <w:bCs/>
          <w:szCs w:val="20"/>
        </w:rPr>
        <w:t xml:space="preserve"> </w:t>
      </w:r>
      <w:r w:rsidR="007F1F70">
        <w:rPr>
          <w:rFonts w:eastAsia="Times New Roman"/>
          <w:bCs/>
          <w:szCs w:val="20"/>
        </w:rPr>
        <w:t>mild</w:t>
      </w:r>
      <w:r w:rsidR="005172D0">
        <w:rPr>
          <w:rFonts w:eastAsia="Times New Roman"/>
          <w:bCs/>
          <w:szCs w:val="20"/>
        </w:rPr>
        <w:t>;</w:t>
      </w:r>
    </w:p>
    <w:p w14:paraId="2DA91E55" w14:textId="77777777" w:rsidR="006E0117" w:rsidRDefault="005172D0" w:rsidP="007D37AF">
      <w:pPr>
        <w:widowControl/>
        <w:tabs>
          <w:tab w:val="left" w:pos="2700"/>
        </w:tabs>
        <w:ind w:left="720" w:hanging="360"/>
        <w:rPr>
          <w:rFonts w:eastAsia="Times New Roman"/>
          <w:bCs/>
          <w:szCs w:val="20"/>
        </w:rPr>
      </w:pPr>
      <w:r>
        <w:rPr>
          <w:rFonts w:eastAsia="Times New Roman"/>
          <w:bCs/>
          <w:szCs w:val="20"/>
        </w:rPr>
        <w:tab/>
      </w:r>
      <w:r w:rsidRPr="00543FB7">
        <w:rPr>
          <w:rFonts w:eastAsia="Times New Roman"/>
          <w:bCs/>
          <w:szCs w:val="20"/>
        </w:rPr>
        <w:t>Inhalation of hexane has been report to cause eye irritation, but is rapidly reversible when exposure is discontinued.</w:t>
      </w:r>
      <w:r>
        <w:rPr>
          <w:rFonts w:eastAsia="Times New Roman"/>
          <w:bCs/>
          <w:szCs w:val="20"/>
        </w:rPr>
        <w:t xml:space="preserve">  </w:t>
      </w:r>
      <w:r w:rsidRPr="00543FB7">
        <w:rPr>
          <w:rFonts w:eastAsia="Times New Roman"/>
          <w:bCs/>
          <w:szCs w:val="20"/>
        </w:rPr>
        <w:t>Vapors at 880</w:t>
      </w:r>
      <w:r>
        <w:rPr>
          <w:rFonts w:eastAsia="Times New Roman"/>
          <w:bCs/>
          <w:szCs w:val="20"/>
        </w:rPr>
        <w:t> </w:t>
      </w:r>
      <w:r w:rsidRPr="00543FB7">
        <w:rPr>
          <w:rFonts w:eastAsia="Times New Roman"/>
          <w:bCs/>
          <w:szCs w:val="20"/>
        </w:rPr>
        <w:t>ppm for 15 minutes caused</w:t>
      </w:r>
      <w:r>
        <w:rPr>
          <w:rFonts w:eastAsia="Times New Roman"/>
          <w:bCs/>
          <w:szCs w:val="20"/>
        </w:rPr>
        <w:t xml:space="preserve"> </w:t>
      </w:r>
      <w:r w:rsidRPr="00543FB7">
        <w:rPr>
          <w:rFonts w:eastAsia="Times New Roman"/>
          <w:bCs/>
          <w:szCs w:val="20"/>
        </w:rPr>
        <w:t>irritation.</w:t>
      </w:r>
    </w:p>
    <w:p w14:paraId="4BFD5C6C" w14:textId="77777777" w:rsidR="00EE1F37" w:rsidRPr="008C4669" w:rsidRDefault="00EE1F37" w:rsidP="007D37AF">
      <w:pPr>
        <w:widowControl/>
        <w:spacing w:before="120"/>
        <w:ind w:left="720" w:hanging="360"/>
        <w:rPr>
          <w:rFonts w:eastAsia="Times New Roman"/>
          <w:bCs/>
          <w:szCs w:val="20"/>
        </w:rPr>
      </w:pPr>
      <w:r w:rsidRPr="008C4669">
        <w:rPr>
          <w:rFonts w:eastAsia="Times New Roman"/>
          <w:b/>
          <w:bCs/>
          <w:szCs w:val="20"/>
        </w:rPr>
        <w:t>Respiratory sensitization</w:t>
      </w:r>
      <w:r w:rsidR="00405269" w:rsidRPr="008C4669">
        <w:rPr>
          <w:rFonts w:eastAsia="Times New Roman"/>
          <w:b/>
          <w:bCs/>
          <w:szCs w:val="20"/>
        </w:rPr>
        <w:t>:</w:t>
      </w:r>
      <w:r w:rsidR="0001504A" w:rsidRPr="008C4669">
        <w:rPr>
          <w:rFonts w:eastAsia="Times New Roman"/>
          <w:bCs/>
          <w:szCs w:val="20"/>
        </w:rPr>
        <w:t xml:space="preserve">  </w:t>
      </w:r>
      <w:r w:rsidR="004355ED" w:rsidRPr="00A933D2">
        <w:rPr>
          <w:rFonts w:eastAsia="Times New Roman"/>
          <w:bCs/>
          <w:szCs w:val="20"/>
        </w:rPr>
        <w:t>No data available.</w:t>
      </w:r>
    </w:p>
    <w:p w14:paraId="51CF8841" w14:textId="77777777" w:rsidR="00C3000E" w:rsidRDefault="00EE1F37" w:rsidP="006B75AB">
      <w:pPr>
        <w:widowControl/>
        <w:spacing w:before="120"/>
        <w:ind w:left="720" w:hanging="360"/>
        <w:rPr>
          <w:rFonts w:eastAsia="Times New Roman"/>
          <w:bCs/>
          <w:szCs w:val="20"/>
        </w:rPr>
      </w:pPr>
      <w:r w:rsidRPr="008C4669">
        <w:rPr>
          <w:rFonts w:eastAsia="Times New Roman"/>
          <w:b/>
          <w:bCs/>
          <w:szCs w:val="20"/>
        </w:rPr>
        <w:t>Skin sensitization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A933D2">
        <w:rPr>
          <w:rFonts w:eastAsia="Times New Roman"/>
          <w:bCs/>
          <w:szCs w:val="20"/>
        </w:rPr>
        <w:t>No data available.</w:t>
      </w:r>
    </w:p>
    <w:p w14:paraId="21AB0A78" w14:textId="77777777" w:rsidR="00DA74AE" w:rsidRDefault="00EE1F37" w:rsidP="006B75AB">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F16E34" w:rsidRPr="00B6107F">
        <w:rPr>
          <w:rFonts w:eastAsia="Times New Roman"/>
          <w:bCs/>
          <w:szCs w:val="20"/>
        </w:rPr>
        <w:t>Not classified.</w:t>
      </w:r>
    </w:p>
    <w:p w14:paraId="39BD63CD" w14:textId="77777777" w:rsidR="00F16E34" w:rsidRDefault="00F16E34" w:rsidP="00F16E34">
      <w:pPr>
        <w:widowControl/>
        <w:tabs>
          <w:tab w:val="left" w:pos="2430"/>
        </w:tabs>
        <w:ind w:left="720"/>
        <w:rPr>
          <w:rFonts w:eastAsia="Times New Roman"/>
          <w:bCs/>
          <w:szCs w:val="20"/>
        </w:rPr>
      </w:pPr>
      <w:r w:rsidRPr="00B6107F">
        <w:rPr>
          <w:rFonts w:eastAsia="Times New Roman"/>
          <w:bCs/>
          <w:szCs w:val="20"/>
        </w:rPr>
        <w:t>Saccharomy</w:t>
      </w:r>
      <w:r>
        <w:rPr>
          <w:rFonts w:eastAsia="Times New Roman"/>
          <w:bCs/>
          <w:szCs w:val="20"/>
        </w:rPr>
        <w:t>c</w:t>
      </w:r>
      <w:r w:rsidRPr="00B6107F">
        <w:rPr>
          <w:rFonts w:eastAsia="Times New Roman"/>
          <w:bCs/>
          <w:szCs w:val="20"/>
        </w:rPr>
        <w:t>es cerevisiae</w:t>
      </w:r>
      <w:r>
        <w:rPr>
          <w:rFonts w:eastAsia="Times New Roman"/>
          <w:bCs/>
          <w:szCs w:val="20"/>
        </w:rPr>
        <w:t>, sex chromosome loss and nondisjunction</w:t>
      </w:r>
      <w:r w:rsidRPr="00CF3C0A">
        <w:rPr>
          <w:rFonts w:eastAsia="Times New Roman"/>
          <w:bCs/>
          <w:szCs w:val="20"/>
        </w:rPr>
        <w:t xml:space="preserve">:  </w:t>
      </w:r>
      <w:r>
        <w:rPr>
          <w:rFonts w:eastAsia="Times New Roman"/>
          <w:bCs/>
          <w:szCs w:val="20"/>
        </w:rPr>
        <w:t>132 mmol/L</w:t>
      </w:r>
    </w:p>
    <w:p w14:paraId="31AA90E1" w14:textId="77777777" w:rsidR="00EE1F37" w:rsidRPr="008C4669" w:rsidRDefault="00EE1F37" w:rsidP="00FB18CE">
      <w:pPr>
        <w:widowControl/>
        <w:spacing w:before="120" w:after="120"/>
        <w:ind w:left="720" w:hanging="360"/>
        <w:rPr>
          <w:rFonts w:eastAsia="Times New Roman"/>
          <w:bCs/>
          <w:szCs w:val="20"/>
        </w:rPr>
      </w:pPr>
      <w:r w:rsidRPr="008C4669">
        <w:rPr>
          <w:rFonts w:eastAsia="Times New Roman"/>
          <w:b/>
          <w:bCs/>
          <w:szCs w:val="20"/>
        </w:rPr>
        <w:t>Carcinogenicity</w:t>
      </w:r>
      <w:r w:rsidR="00405269" w:rsidRPr="008C4669">
        <w:rPr>
          <w:rFonts w:eastAsia="Times New Roman"/>
          <w:b/>
          <w:bCs/>
          <w:szCs w:val="20"/>
        </w:rPr>
        <w:t>:</w:t>
      </w:r>
      <w:r w:rsidR="00462DA5">
        <w:rPr>
          <w:rFonts w:eastAsia="Times New Roman"/>
          <w:bCs/>
          <w:szCs w:val="20"/>
        </w:rPr>
        <w:t xml:space="preserve">  </w:t>
      </w:r>
      <w:r w:rsidR="00AB7602">
        <w:rPr>
          <w:rFonts w:eastAsia="Times New Roman"/>
          <w:bCs/>
          <w:szCs w:val="20"/>
        </w:rPr>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570"/>
        <w:gridCol w:w="1423"/>
        <w:gridCol w:w="572"/>
        <w:gridCol w:w="715"/>
      </w:tblGrid>
      <w:tr w:rsidR="00CA4187" w:rsidRPr="008C4669" w14:paraId="4163E110" w14:textId="77777777" w:rsidTr="00DD4757">
        <w:tc>
          <w:tcPr>
            <w:tcW w:w="5598" w:type="dxa"/>
          </w:tcPr>
          <w:p w14:paraId="7784E6AB" w14:textId="77777777" w:rsidR="00CA4187" w:rsidRPr="008C4669" w:rsidRDefault="00CA4187" w:rsidP="006B75AB">
            <w:pPr>
              <w:widowControl/>
              <w:ind w:left="360"/>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14:paraId="409233A5" w14:textId="77777777" w:rsidR="00CA4187" w:rsidRPr="008C4669" w:rsidRDefault="00CA4187" w:rsidP="006B75AB">
            <w:pPr>
              <w:widowControl/>
              <w:tabs>
                <w:tab w:val="left" w:pos="2900"/>
                <w:tab w:val="left" w:pos="3360"/>
                <w:tab w:val="left" w:pos="4780"/>
                <w:tab w:val="left" w:pos="5340"/>
              </w:tabs>
              <w:jc w:val="center"/>
              <w:rPr>
                <w:rFonts w:eastAsia="Times New Roman"/>
                <w:b/>
                <w:bCs/>
                <w:spacing w:val="1"/>
                <w:position w:val="-1"/>
                <w:szCs w:val="20"/>
              </w:rPr>
            </w:pPr>
          </w:p>
        </w:tc>
        <w:tc>
          <w:tcPr>
            <w:tcW w:w="1440" w:type="dxa"/>
            <w:vAlign w:val="center"/>
          </w:tcPr>
          <w:p w14:paraId="43D40ECB" w14:textId="77777777" w:rsidR="00CA4187" w:rsidRPr="008C4669"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8C4669">
              <w:rPr>
                <w:rFonts w:eastAsia="Times New Roman"/>
                <w:b/>
                <w:bCs/>
                <w:spacing w:val="1"/>
                <w:position w:val="-1"/>
                <w:szCs w:val="20"/>
              </w:rPr>
              <w:t>Yes</w:t>
            </w:r>
          </w:p>
        </w:tc>
        <w:tc>
          <w:tcPr>
            <w:tcW w:w="576" w:type="dxa"/>
            <w:tcBorders>
              <w:bottom w:val="single" w:sz="4" w:space="0" w:color="auto"/>
            </w:tcBorders>
          </w:tcPr>
          <w:p w14:paraId="39485105" w14:textId="77777777" w:rsidR="00CA4187" w:rsidRPr="008C4669" w:rsidRDefault="009269FC" w:rsidP="006B75AB">
            <w:pPr>
              <w:widowControl/>
              <w:tabs>
                <w:tab w:val="left" w:pos="2900"/>
                <w:tab w:val="left" w:pos="3360"/>
                <w:tab w:val="left" w:pos="4780"/>
                <w:tab w:val="left" w:pos="5340"/>
              </w:tabs>
              <w:jc w:val="center"/>
              <w:rPr>
                <w:rFonts w:eastAsia="Times New Roman"/>
                <w:bCs/>
                <w:spacing w:val="1"/>
                <w:position w:val="-1"/>
                <w:szCs w:val="20"/>
              </w:rPr>
            </w:pPr>
            <w:r>
              <w:rPr>
                <w:rFonts w:eastAsia="Times New Roman"/>
                <w:bCs/>
                <w:spacing w:val="1"/>
                <w:position w:val="-1"/>
                <w:szCs w:val="20"/>
              </w:rPr>
              <w:t>X</w:t>
            </w:r>
          </w:p>
        </w:tc>
        <w:tc>
          <w:tcPr>
            <w:tcW w:w="720" w:type="dxa"/>
            <w:vAlign w:val="center"/>
          </w:tcPr>
          <w:p w14:paraId="26590D67" w14:textId="77777777" w:rsidR="00CA4187" w:rsidRPr="008C4669"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8C4669">
              <w:rPr>
                <w:rFonts w:eastAsia="Times New Roman"/>
                <w:b/>
                <w:bCs/>
                <w:spacing w:val="1"/>
                <w:position w:val="-1"/>
                <w:szCs w:val="20"/>
              </w:rPr>
              <w:t>No</w:t>
            </w:r>
          </w:p>
        </w:tc>
      </w:tr>
    </w:tbl>
    <w:p w14:paraId="2FBE08F1" w14:textId="77777777" w:rsidR="000B4B5B" w:rsidRPr="007F1F70" w:rsidRDefault="007F1F70" w:rsidP="007F1F70">
      <w:pPr>
        <w:spacing w:before="120"/>
        <w:ind w:left="720"/>
        <w:rPr>
          <w:rFonts w:eastAsia="Times New Roman"/>
          <w:bCs/>
          <w:spacing w:val="-1"/>
          <w:szCs w:val="20"/>
        </w:rPr>
      </w:pPr>
      <w:r w:rsidRPr="007F1F70">
        <w:rPr>
          <w:rFonts w:eastAsia="Times New Roman"/>
          <w:bCs/>
          <w:spacing w:val="-1"/>
          <w:szCs w:val="20"/>
        </w:rPr>
        <w:t>Hexane is</w:t>
      </w:r>
      <w:r w:rsidR="00593457" w:rsidRPr="007F1F70">
        <w:rPr>
          <w:lang w:val="it-IT"/>
        </w:rPr>
        <w:t xml:space="preserve"> </w:t>
      </w:r>
      <w:r w:rsidR="000B4B5B" w:rsidRPr="007F1F70">
        <w:rPr>
          <w:rFonts w:eastAsia="Times New Roman"/>
          <w:bCs/>
          <w:spacing w:val="-1"/>
          <w:szCs w:val="20"/>
        </w:rPr>
        <w:t>not listed by IARC, NTP, or OSHA as a carcinogen</w:t>
      </w:r>
      <w:r w:rsidR="00593457" w:rsidRPr="007F1F70">
        <w:rPr>
          <w:rFonts w:eastAsia="Times New Roman"/>
          <w:bCs/>
          <w:spacing w:val="-1"/>
          <w:szCs w:val="20"/>
        </w:rPr>
        <w:t>/potential carcinogen</w:t>
      </w:r>
      <w:r w:rsidR="000B4B5B" w:rsidRPr="007F1F70">
        <w:rPr>
          <w:rFonts w:eastAsia="Times New Roman"/>
          <w:bCs/>
          <w:spacing w:val="-1"/>
          <w:szCs w:val="20"/>
        </w:rPr>
        <w:t>.</w:t>
      </w:r>
    </w:p>
    <w:p w14:paraId="2869CF22" w14:textId="77777777" w:rsidR="007F1F70" w:rsidRPr="007F1F70" w:rsidRDefault="007F1F70" w:rsidP="007F1F70">
      <w:pPr>
        <w:keepNext/>
        <w:tabs>
          <w:tab w:val="left" w:pos="2430"/>
        </w:tabs>
        <w:ind w:left="1080"/>
        <w:rPr>
          <w:rFonts w:eastAsia="Times New Roman"/>
          <w:bCs/>
          <w:spacing w:val="-1"/>
          <w:szCs w:val="20"/>
        </w:rPr>
      </w:pPr>
      <w:r w:rsidRPr="007F1F70">
        <w:rPr>
          <w:rFonts w:eastAsia="Times New Roman"/>
          <w:bCs/>
          <w:spacing w:val="-1"/>
          <w:szCs w:val="20"/>
        </w:rPr>
        <w:t>Tumorigenic:</w:t>
      </w:r>
      <w:r w:rsidRPr="007F1F70">
        <w:rPr>
          <w:rFonts w:eastAsia="Times New Roman"/>
          <w:bCs/>
          <w:spacing w:val="-1"/>
          <w:szCs w:val="20"/>
        </w:rPr>
        <w:tab/>
      </w:r>
      <w:r w:rsidRPr="007F1F70">
        <w:rPr>
          <w:rFonts w:eastAsia="Times New Roman"/>
          <w:bCs/>
          <w:i/>
          <w:spacing w:val="-1"/>
          <w:szCs w:val="20"/>
        </w:rPr>
        <w:t>n</w:t>
      </w:r>
      <w:r w:rsidRPr="007F1F70">
        <w:rPr>
          <w:rFonts w:eastAsia="Times New Roman"/>
          <w:bCs/>
          <w:spacing w:val="-1"/>
          <w:szCs w:val="20"/>
        </w:rPr>
        <w:t>-Hexane, Rat, Inhalation, TCLo:  1000 ppm (4 h)</w:t>
      </w:r>
    </w:p>
    <w:p w14:paraId="7E3C0D0F" w14:textId="77777777" w:rsidR="007F1F70" w:rsidRPr="007F1F70" w:rsidRDefault="007F1F70" w:rsidP="007F1F70">
      <w:pPr>
        <w:tabs>
          <w:tab w:val="left" w:pos="2430"/>
        </w:tabs>
        <w:ind w:left="1080"/>
      </w:pPr>
      <w:r w:rsidRPr="007F1F70">
        <w:t xml:space="preserve">Mutagenic: </w:t>
      </w:r>
      <w:r w:rsidRPr="007F1F70">
        <w:tab/>
      </w:r>
      <w:r w:rsidRPr="007F1F70">
        <w:rPr>
          <w:rFonts w:eastAsia="Times New Roman"/>
          <w:bCs/>
          <w:i/>
          <w:spacing w:val="-1"/>
          <w:szCs w:val="20"/>
        </w:rPr>
        <w:t>n</w:t>
      </w:r>
      <w:r w:rsidRPr="007F1F70">
        <w:rPr>
          <w:rFonts w:eastAsia="Times New Roman"/>
          <w:bCs/>
          <w:spacing w:val="-1"/>
          <w:szCs w:val="20"/>
        </w:rPr>
        <w:t xml:space="preserve">-Hexane, </w:t>
      </w:r>
      <w:r w:rsidR="001B0766">
        <w:rPr>
          <w:rFonts w:eastAsia="Times New Roman"/>
          <w:bCs/>
          <w:spacing w:val="-1"/>
          <w:szCs w:val="20"/>
        </w:rPr>
        <w:t>H</w:t>
      </w:r>
      <w:r w:rsidRPr="007F1F70">
        <w:rPr>
          <w:rFonts w:eastAsia="Times New Roman"/>
          <w:bCs/>
          <w:spacing w:val="-1"/>
          <w:szCs w:val="20"/>
        </w:rPr>
        <w:t xml:space="preserve">amster, </w:t>
      </w:r>
      <w:r w:rsidRPr="007F1F70">
        <w:t>500 mg/L</w:t>
      </w:r>
    </w:p>
    <w:p w14:paraId="60CE041D" w14:textId="77777777" w:rsidR="00F16E34" w:rsidRPr="00F7249E" w:rsidRDefault="00F16E34" w:rsidP="00F16E34">
      <w:pPr>
        <w:widowControl/>
        <w:spacing w:before="120"/>
        <w:ind w:left="360"/>
        <w:rPr>
          <w:rFonts w:eastAsia="Times New Roman"/>
          <w:bCs/>
          <w:szCs w:val="20"/>
        </w:rPr>
      </w:pPr>
      <w:r w:rsidRPr="00F7249E">
        <w:rPr>
          <w:rFonts w:eastAsia="Times New Roman"/>
          <w:b/>
          <w:bCs/>
          <w:szCs w:val="20"/>
        </w:rPr>
        <w:t>Reproductive Toxicity:</w:t>
      </w:r>
      <w:r w:rsidRPr="00F7249E">
        <w:rPr>
          <w:rFonts w:eastAsia="Times New Roman"/>
          <w:bCs/>
          <w:szCs w:val="20"/>
        </w:rPr>
        <w:t xml:space="preserve">  </w:t>
      </w:r>
      <w:r w:rsidRPr="00543FB7">
        <w:rPr>
          <w:rFonts w:eastAsia="Times New Roman"/>
          <w:bCs/>
          <w:szCs w:val="20"/>
        </w:rPr>
        <w:t>Category 2B</w:t>
      </w:r>
    </w:p>
    <w:p w14:paraId="5A80BC8D" w14:textId="77777777" w:rsidR="00F16E34" w:rsidRPr="0088448B" w:rsidRDefault="00F16E34" w:rsidP="00F16E34">
      <w:pPr>
        <w:widowControl/>
        <w:tabs>
          <w:tab w:val="left" w:pos="720"/>
          <w:tab w:val="left" w:pos="1530"/>
        </w:tabs>
        <w:spacing w:after="60"/>
        <w:ind w:left="720"/>
        <w:rPr>
          <w:szCs w:val="20"/>
        </w:rPr>
      </w:pPr>
      <w:r>
        <w:rPr>
          <w:rFonts w:eastAsia="Times New Roman"/>
          <w:bCs/>
          <w:szCs w:val="20"/>
        </w:rPr>
        <w:t>Endpoints listed for reproductive e</w:t>
      </w:r>
      <w:r w:rsidRPr="00F7249E">
        <w:rPr>
          <w:szCs w:val="20"/>
        </w:rPr>
        <w:t>ffects on embryo or fetus: fetotoxicity (except death</w:t>
      </w:r>
      <w:r>
        <w:rPr>
          <w:szCs w:val="20"/>
        </w:rPr>
        <w:t>, e.g., stunted fetus).</w:t>
      </w:r>
    </w:p>
    <w:p w14:paraId="17CE5C45" w14:textId="77777777" w:rsidR="00F16E34" w:rsidRDefault="00F16E34" w:rsidP="0028680F">
      <w:pPr>
        <w:widowControl/>
        <w:tabs>
          <w:tab w:val="left" w:pos="1080"/>
        </w:tabs>
        <w:ind w:left="720"/>
        <w:rPr>
          <w:szCs w:val="20"/>
        </w:rPr>
      </w:pPr>
      <w:r>
        <w:rPr>
          <w:rFonts w:eastAsia="Times New Roman"/>
          <w:bCs/>
          <w:szCs w:val="20"/>
        </w:rPr>
        <w:tab/>
      </w:r>
      <w:r w:rsidR="00506E99">
        <w:rPr>
          <w:szCs w:val="20"/>
        </w:rPr>
        <w:t>Mouse</w:t>
      </w:r>
      <w:r w:rsidRPr="00F7249E">
        <w:rPr>
          <w:szCs w:val="20"/>
        </w:rPr>
        <w:t xml:space="preserve">, Inhalation, TCLo:  </w:t>
      </w:r>
      <w:r>
        <w:rPr>
          <w:szCs w:val="20"/>
        </w:rPr>
        <w:t>238 g/kg</w:t>
      </w:r>
      <w:r w:rsidRPr="00F7249E">
        <w:rPr>
          <w:szCs w:val="20"/>
        </w:rPr>
        <w:t xml:space="preserve"> (pregnant </w:t>
      </w:r>
      <w:r>
        <w:rPr>
          <w:szCs w:val="20"/>
        </w:rPr>
        <w:t>6</w:t>
      </w:r>
      <w:r w:rsidRPr="00F7249E">
        <w:rPr>
          <w:szCs w:val="20"/>
        </w:rPr>
        <w:t> d to 1</w:t>
      </w:r>
      <w:r>
        <w:rPr>
          <w:szCs w:val="20"/>
        </w:rPr>
        <w:t>5</w:t>
      </w:r>
      <w:r w:rsidRPr="00F7249E">
        <w:rPr>
          <w:szCs w:val="20"/>
        </w:rPr>
        <w:t xml:space="preserve"> d)</w:t>
      </w:r>
    </w:p>
    <w:p w14:paraId="62B67DE2" w14:textId="77777777" w:rsidR="00F16E34" w:rsidRPr="0088448B" w:rsidRDefault="00F16E34" w:rsidP="0028680F">
      <w:pPr>
        <w:widowControl/>
        <w:tabs>
          <w:tab w:val="left" w:pos="1080"/>
        </w:tabs>
        <w:ind w:left="720"/>
        <w:rPr>
          <w:szCs w:val="20"/>
        </w:rPr>
      </w:pPr>
      <w:r>
        <w:rPr>
          <w:szCs w:val="20"/>
        </w:rPr>
        <w:tab/>
      </w:r>
      <w:r w:rsidRPr="00F7249E">
        <w:rPr>
          <w:szCs w:val="20"/>
        </w:rPr>
        <w:t xml:space="preserve">Rat, Inhalation, TCLo:  1000 ppm (6 h, pregnant 8 d to 16 d) </w:t>
      </w:r>
    </w:p>
    <w:p w14:paraId="0E08377F" w14:textId="77777777" w:rsidR="00F16E34" w:rsidRPr="0088448B" w:rsidRDefault="00F16E34" w:rsidP="0028680F">
      <w:pPr>
        <w:widowControl/>
        <w:tabs>
          <w:tab w:val="left" w:pos="1080"/>
        </w:tabs>
        <w:spacing w:after="60"/>
        <w:ind w:left="720"/>
        <w:rPr>
          <w:szCs w:val="20"/>
        </w:rPr>
      </w:pPr>
      <w:r>
        <w:rPr>
          <w:szCs w:val="20"/>
        </w:rPr>
        <w:tab/>
      </w:r>
      <w:r w:rsidRPr="00F7249E">
        <w:rPr>
          <w:szCs w:val="20"/>
        </w:rPr>
        <w:t xml:space="preserve">Rat, Inhalation, TCLo:  </w:t>
      </w:r>
      <w:r>
        <w:rPr>
          <w:szCs w:val="20"/>
        </w:rPr>
        <w:t>5</w:t>
      </w:r>
      <w:r w:rsidRPr="00F7249E">
        <w:rPr>
          <w:szCs w:val="20"/>
        </w:rPr>
        <w:t>000 ppm (</w:t>
      </w:r>
      <w:r>
        <w:rPr>
          <w:szCs w:val="20"/>
        </w:rPr>
        <w:t>20</w:t>
      </w:r>
      <w:r w:rsidRPr="00F7249E">
        <w:rPr>
          <w:szCs w:val="20"/>
        </w:rPr>
        <w:t xml:space="preserve"> h, pregnant </w:t>
      </w:r>
      <w:r>
        <w:rPr>
          <w:szCs w:val="20"/>
        </w:rPr>
        <w:t>6</w:t>
      </w:r>
      <w:r w:rsidRPr="00F7249E">
        <w:rPr>
          <w:szCs w:val="20"/>
        </w:rPr>
        <w:t xml:space="preserve"> d to </w:t>
      </w:r>
      <w:r>
        <w:rPr>
          <w:szCs w:val="20"/>
        </w:rPr>
        <w:t>19</w:t>
      </w:r>
      <w:r w:rsidRPr="00F7249E">
        <w:rPr>
          <w:szCs w:val="20"/>
        </w:rPr>
        <w:t xml:space="preserve"> d) </w:t>
      </w:r>
    </w:p>
    <w:p w14:paraId="6C45C84B" w14:textId="77777777" w:rsidR="005E6640" w:rsidRPr="009B4CC2" w:rsidRDefault="00EE1F37" w:rsidP="00593457">
      <w:pPr>
        <w:keepNext/>
        <w:widowControl/>
        <w:spacing w:before="120"/>
        <w:ind w:left="720" w:hanging="360"/>
        <w:rPr>
          <w:rFonts w:eastAsia="Times New Roman"/>
          <w:bCs/>
          <w:szCs w:val="20"/>
        </w:rPr>
      </w:pPr>
      <w:r w:rsidRPr="009B4CC2">
        <w:rPr>
          <w:rFonts w:eastAsia="Times New Roman"/>
          <w:b/>
          <w:bCs/>
          <w:szCs w:val="20"/>
        </w:rPr>
        <w:t>Specific target organ toxicity, single exposure</w:t>
      </w:r>
      <w:r w:rsidR="00405269" w:rsidRPr="009B4CC2">
        <w:rPr>
          <w:rFonts w:eastAsia="Times New Roman"/>
          <w:b/>
          <w:bCs/>
          <w:szCs w:val="20"/>
        </w:rPr>
        <w:t>:</w:t>
      </w:r>
      <w:r w:rsidR="0009639E" w:rsidRPr="009B4CC2">
        <w:rPr>
          <w:rFonts w:eastAsia="Times New Roman"/>
          <w:bCs/>
          <w:szCs w:val="20"/>
        </w:rPr>
        <w:t xml:space="preserve">  </w:t>
      </w:r>
      <w:r w:rsidR="00785934" w:rsidRPr="009B4CC2">
        <w:rPr>
          <w:rFonts w:eastAsia="Times New Roman"/>
          <w:bCs/>
          <w:szCs w:val="20"/>
        </w:rPr>
        <w:t>Category</w:t>
      </w:r>
      <w:r w:rsidR="00924BCB" w:rsidRPr="009B4CC2">
        <w:rPr>
          <w:rFonts w:eastAsia="Times New Roman"/>
          <w:bCs/>
          <w:szCs w:val="20"/>
        </w:rPr>
        <w:t> </w:t>
      </w:r>
      <w:r w:rsidR="007F1F70" w:rsidRPr="009B4CC2">
        <w:rPr>
          <w:rFonts w:eastAsia="Times New Roman"/>
          <w:bCs/>
          <w:szCs w:val="20"/>
        </w:rPr>
        <w:t>3</w:t>
      </w:r>
      <w:r w:rsidR="00AB7602">
        <w:rPr>
          <w:rFonts w:eastAsia="Times New Roman"/>
          <w:bCs/>
          <w:szCs w:val="20"/>
        </w:rPr>
        <w:t>, Narcotic effects.</w:t>
      </w:r>
    </w:p>
    <w:p w14:paraId="4C21D830" w14:textId="77777777" w:rsidR="004355ED" w:rsidRPr="009B4CC2" w:rsidRDefault="00F16E34" w:rsidP="00553A75">
      <w:pPr>
        <w:keepNext/>
        <w:keepLines/>
        <w:widowControl/>
        <w:spacing w:after="120"/>
        <w:ind w:left="720"/>
        <w:rPr>
          <w:rFonts w:eastAsia="Times New Roman"/>
          <w:bCs/>
          <w:szCs w:val="20"/>
        </w:rPr>
      </w:pPr>
      <w:r>
        <w:rPr>
          <w:rFonts w:eastAsia="Times New Roman"/>
          <w:bCs/>
          <w:szCs w:val="20"/>
        </w:rPr>
        <w:t>Acute exposure by i</w:t>
      </w:r>
      <w:r w:rsidRPr="00D12F93">
        <w:rPr>
          <w:rFonts w:eastAsia="Times New Roman"/>
          <w:bCs/>
          <w:szCs w:val="20"/>
        </w:rPr>
        <w:t>nhal</w:t>
      </w:r>
      <w:r>
        <w:rPr>
          <w:rFonts w:eastAsia="Times New Roman"/>
          <w:bCs/>
          <w:szCs w:val="20"/>
        </w:rPr>
        <w:t xml:space="preserve">ing </w:t>
      </w:r>
      <w:r w:rsidRPr="0071580C">
        <w:rPr>
          <w:rFonts w:eastAsia="Times New Roman"/>
          <w:bCs/>
          <w:szCs w:val="20"/>
        </w:rPr>
        <w:t xml:space="preserve">considerable concentrations </w:t>
      </w:r>
      <w:r>
        <w:rPr>
          <w:rFonts w:eastAsia="Times New Roman"/>
          <w:bCs/>
          <w:szCs w:val="20"/>
        </w:rPr>
        <w:t xml:space="preserve">of </w:t>
      </w:r>
      <w:r w:rsidRPr="00D12F93">
        <w:rPr>
          <w:rFonts w:eastAsia="Times New Roman"/>
          <w:bCs/>
          <w:szCs w:val="20"/>
        </w:rPr>
        <w:t xml:space="preserve">hexane may cause </w:t>
      </w:r>
      <w:r>
        <w:rPr>
          <w:rFonts w:eastAsia="Times New Roman"/>
          <w:bCs/>
          <w:szCs w:val="20"/>
        </w:rPr>
        <w:t xml:space="preserve">nervous system depression including headache, nausea, dizziness, </w:t>
      </w:r>
      <w:r w:rsidRPr="00D12F93">
        <w:rPr>
          <w:rFonts w:eastAsia="Times New Roman"/>
          <w:bCs/>
          <w:szCs w:val="20"/>
        </w:rPr>
        <w:t xml:space="preserve">giddiness, coughing, numbness in the extremities, difficulty walking, defects of memory, excitement followed by depression, </w:t>
      </w:r>
      <w:r w:rsidRPr="0088448B">
        <w:rPr>
          <w:rFonts w:eastAsia="Times New Roman"/>
          <w:bCs/>
          <w:szCs w:val="20"/>
        </w:rPr>
        <w:t>and unconsciousness.</w:t>
      </w:r>
    </w:p>
    <w:p w14:paraId="496F757D" w14:textId="77777777" w:rsidR="0063268F" w:rsidRPr="00B86F9D" w:rsidRDefault="00EE1F37" w:rsidP="008C4669">
      <w:pPr>
        <w:widowControl/>
        <w:spacing w:before="120"/>
        <w:ind w:left="720" w:hanging="360"/>
        <w:rPr>
          <w:rFonts w:eastAsia="Times New Roman"/>
          <w:bCs/>
          <w:szCs w:val="20"/>
        </w:rPr>
      </w:pPr>
      <w:r w:rsidRPr="00B86F9D">
        <w:rPr>
          <w:rFonts w:eastAsia="Times New Roman"/>
          <w:b/>
          <w:bCs/>
          <w:szCs w:val="20"/>
        </w:rPr>
        <w:t>Specific target organ toxicity, repeated exposure</w:t>
      </w:r>
      <w:r w:rsidR="00405269" w:rsidRPr="00B86F9D">
        <w:rPr>
          <w:rFonts w:eastAsia="Times New Roman"/>
          <w:b/>
          <w:bCs/>
          <w:szCs w:val="20"/>
        </w:rPr>
        <w:t>:</w:t>
      </w:r>
      <w:r w:rsidR="00EC06B0" w:rsidRPr="00B86F9D">
        <w:rPr>
          <w:rFonts w:eastAsia="Times New Roman"/>
          <w:bCs/>
          <w:szCs w:val="20"/>
        </w:rPr>
        <w:t xml:space="preserve">  </w:t>
      </w:r>
      <w:r w:rsidR="00385DBD">
        <w:rPr>
          <w:rFonts w:eastAsia="Times New Roman"/>
          <w:bCs/>
          <w:szCs w:val="20"/>
        </w:rPr>
        <w:t xml:space="preserve">Category </w:t>
      </w:r>
      <w:r w:rsidR="00F16E34">
        <w:rPr>
          <w:rFonts w:eastAsia="Times New Roman"/>
          <w:bCs/>
          <w:szCs w:val="20"/>
        </w:rPr>
        <w:t>2</w:t>
      </w:r>
      <w:r w:rsidR="00A933D2" w:rsidRPr="00B86F9D">
        <w:rPr>
          <w:rFonts w:eastAsia="Times New Roman"/>
          <w:bCs/>
          <w:szCs w:val="20"/>
        </w:rPr>
        <w:t>.</w:t>
      </w:r>
    </w:p>
    <w:p w14:paraId="53FB2443" w14:textId="77777777" w:rsidR="00F16E34" w:rsidRPr="000121EA" w:rsidRDefault="00F16E34" w:rsidP="00F16E34">
      <w:pPr>
        <w:keepNext/>
        <w:keepLines/>
        <w:widowControl/>
        <w:spacing w:after="120"/>
        <w:ind w:left="720"/>
        <w:rPr>
          <w:rFonts w:eastAsia="Times New Roman"/>
          <w:bCs/>
          <w:szCs w:val="20"/>
        </w:rPr>
      </w:pPr>
      <w:r>
        <w:rPr>
          <w:rFonts w:eastAsia="Times New Roman"/>
          <w:bCs/>
          <w:szCs w:val="20"/>
        </w:rPr>
        <w:t>Prolonged or repeated exposure to hexane may cause damage to organs (e</w:t>
      </w:r>
      <w:r w:rsidRPr="00A24659">
        <w:rPr>
          <w:rFonts w:eastAsia="Times New Roman"/>
          <w:bCs/>
          <w:szCs w:val="20"/>
        </w:rPr>
        <w:t>yes, skin, respiratory system, central nervous system, liver, kidneys</w:t>
      </w:r>
      <w:r>
        <w:rPr>
          <w:rFonts w:eastAsia="Times New Roman"/>
          <w:bCs/>
          <w:szCs w:val="20"/>
        </w:rPr>
        <w:t>)</w:t>
      </w:r>
      <w:r w:rsidRPr="0088448B">
        <w:rPr>
          <w:rFonts w:eastAsia="Times New Roman"/>
          <w:bCs/>
          <w:szCs w:val="20"/>
        </w:rPr>
        <w:t>.</w:t>
      </w:r>
    </w:p>
    <w:p w14:paraId="64AAEEBC" w14:textId="77777777" w:rsidR="001E70E0" w:rsidRPr="00AB7602" w:rsidRDefault="00EE1F37" w:rsidP="00AB7602">
      <w:pPr>
        <w:widowControl/>
        <w:spacing w:before="120" w:after="120"/>
        <w:ind w:left="360"/>
        <w:rPr>
          <w:rFonts w:eastAsia="Times New Roman"/>
          <w:szCs w:val="20"/>
        </w:rPr>
      </w:pPr>
      <w:r w:rsidRPr="009B4CC2">
        <w:rPr>
          <w:rFonts w:eastAsia="Times New Roman"/>
          <w:b/>
          <w:bCs/>
          <w:szCs w:val="20"/>
        </w:rPr>
        <w:t>Aspiration hazard</w:t>
      </w:r>
      <w:r w:rsidR="00405269" w:rsidRPr="009B4CC2">
        <w:rPr>
          <w:rFonts w:eastAsia="Times New Roman"/>
          <w:b/>
          <w:bCs/>
          <w:szCs w:val="20"/>
        </w:rPr>
        <w:t>:</w:t>
      </w:r>
      <w:r w:rsidR="00405269" w:rsidRPr="009B4CC2">
        <w:rPr>
          <w:rFonts w:eastAsia="Times New Roman"/>
          <w:bCs/>
          <w:szCs w:val="20"/>
        </w:rPr>
        <w:t xml:space="preserve"> </w:t>
      </w:r>
      <w:r w:rsidR="00B7052B" w:rsidRPr="009B4CC2">
        <w:t xml:space="preserve"> </w:t>
      </w:r>
      <w:r w:rsidR="007F1F70" w:rsidRPr="009B4CC2">
        <w:t>Category 1.</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14:paraId="62F540C4" w14:textId="77777777" w:rsidTr="004521E9">
        <w:trPr>
          <w:trHeight w:hRule="exact" w:val="360"/>
        </w:trPr>
        <w:tc>
          <w:tcPr>
            <w:tcW w:w="9576" w:type="dxa"/>
            <w:vAlign w:val="center"/>
          </w:tcPr>
          <w:p w14:paraId="0C959EAE" w14:textId="77777777" w:rsidR="004521E9" w:rsidRDefault="004521E9" w:rsidP="006B75AB">
            <w:pPr>
              <w:keepNext/>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5C28AF2" w14:textId="77777777" w:rsidR="00955576" w:rsidRDefault="004521E9" w:rsidP="00AB7602">
      <w:pPr>
        <w:keepNext/>
        <w:widowControl/>
        <w:spacing w:before="120"/>
        <w:rPr>
          <w:rFonts w:eastAsia="Times New Roman"/>
          <w:b/>
          <w:bCs/>
          <w:szCs w:val="20"/>
        </w:rPr>
      </w:pPr>
      <w:r w:rsidRPr="00D22C9B">
        <w:rPr>
          <w:rFonts w:eastAsia="Times New Roman"/>
          <w:b/>
          <w:bCs/>
          <w:spacing w:val="-1"/>
          <w:szCs w:val="20"/>
        </w:rPr>
        <w:t>E</w:t>
      </w:r>
      <w:r w:rsidRPr="00D22C9B">
        <w:rPr>
          <w:rFonts w:eastAsia="Times New Roman"/>
          <w:b/>
          <w:bCs/>
          <w:szCs w:val="20"/>
        </w:rPr>
        <w:t>c</w:t>
      </w:r>
      <w:r w:rsidRPr="00D22C9B">
        <w:rPr>
          <w:rFonts w:eastAsia="Times New Roman"/>
          <w:b/>
          <w:bCs/>
          <w:spacing w:val="1"/>
          <w:szCs w:val="20"/>
        </w:rPr>
        <w:t>oto</w:t>
      </w:r>
      <w:r w:rsidRPr="00D22C9B">
        <w:rPr>
          <w:rFonts w:eastAsia="Times New Roman"/>
          <w:b/>
          <w:bCs/>
          <w:spacing w:val="-1"/>
          <w:szCs w:val="20"/>
        </w:rPr>
        <w:t>x</w:t>
      </w:r>
      <w:r w:rsidRPr="008C4669">
        <w:rPr>
          <w:rFonts w:eastAsia="Times New Roman"/>
          <w:b/>
          <w:bCs/>
          <w:szCs w:val="20"/>
        </w:rPr>
        <w:t>ici</w:t>
      </w:r>
      <w:r w:rsidRPr="008C4669">
        <w:rPr>
          <w:rFonts w:eastAsia="Times New Roman"/>
          <w:b/>
          <w:bCs/>
          <w:spacing w:val="1"/>
          <w:szCs w:val="20"/>
        </w:rPr>
        <w:t>t</w:t>
      </w:r>
      <w:r w:rsidRPr="008C4669">
        <w:rPr>
          <w:rFonts w:eastAsia="Times New Roman"/>
          <w:b/>
          <w:bCs/>
          <w:szCs w:val="20"/>
        </w:rPr>
        <w:t>y</w:t>
      </w:r>
      <w:r w:rsidRPr="008C4669">
        <w:rPr>
          <w:rFonts w:eastAsia="Times New Roman"/>
          <w:b/>
          <w:bCs/>
          <w:spacing w:val="-8"/>
          <w:szCs w:val="20"/>
        </w:rPr>
        <w:t xml:space="preserve"> </w:t>
      </w:r>
      <w:r w:rsidRPr="008C4669">
        <w:rPr>
          <w:rFonts w:eastAsia="Times New Roman"/>
          <w:b/>
          <w:bCs/>
          <w:szCs w:val="20"/>
        </w:rPr>
        <w:t>D</w:t>
      </w:r>
      <w:r w:rsidRPr="008C4669">
        <w:rPr>
          <w:rFonts w:eastAsia="Times New Roman"/>
          <w:b/>
          <w:bCs/>
          <w:spacing w:val="1"/>
          <w:szCs w:val="20"/>
        </w:rPr>
        <w:t>at</w:t>
      </w:r>
      <w:r w:rsidRPr="008C4669">
        <w:rPr>
          <w:rFonts w:eastAsia="Times New Roman"/>
          <w:b/>
          <w:bCs/>
          <w:szCs w:val="20"/>
        </w:rPr>
        <w:t>a</w:t>
      </w:r>
    </w:p>
    <w:p w14:paraId="43596DC2" w14:textId="77777777" w:rsidR="00FF1591" w:rsidRPr="00586D6E" w:rsidRDefault="00FF1591" w:rsidP="00862254">
      <w:pPr>
        <w:pStyle w:val="Default"/>
        <w:tabs>
          <w:tab w:val="left" w:pos="540"/>
        </w:tabs>
        <w:rPr>
          <w:rFonts w:eastAsia="Times New Roman"/>
          <w:bCs/>
          <w:i/>
          <w:sz w:val="20"/>
          <w:szCs w:val="20"/>
        </w:rPr>
      </w:pPr>
      <w:r w:rsidRPr="00AB7602">
        <w:rPr>
          <w:rFonts w:eastAsia="Times New Roman"/>
          <w:bCs/>
          <w:szCs w:val="20"/>
        </w:rPr>
        <w:tab/>
      </w:r>
      <w:r w:rsidR="009269FC" w:rsidRPr="009269FC">
        <w:rPr>
          <w:sz w:val="20"/>
          <w:szCs w:val="20"/>
        </w:rPr>
        <w:t>Fish Toxicity: fathead minnow (</w:t>
      </w:r>
      <w:r w:rsidR="009269FC" w:rsidRPr="009269FC">
        <w:rPr>
          <w:i/>
          <w:iCs/>
          <w:sz w:val="20"/>
          <w:szCs w:val="20"/>
        </w:rPr>
        <w:t>Pimephales promelas</w:t>
      </w:r>
      <w:r w:rsidR="009269FC" w:rsidRPr="009269FC">
        <w:rPr>
          <w:sz w:val="20"/>
          <w:szCs w:val="20"/>
        </w:rPr>
        <w:t>) LC50 (flow-through): 2.1</w:t>
      </w:r>
      <w:r w:rsidR="00DA1629">
        <w:rPr>
          <w:sz w:val="20"/>
          <w:szCs w:val="20"/>
        </w:rPr>
        <w:t> </w:t>
      </w:r>
      <w:r w:rsidR="009269FC" w:rsidRPr="009269FC">
        <w:rPr>
          <w:sz w:val="20"/>
          <w:szCs w:val="20"/>
        </w:rPr>
        <w:t>mg/L to 2.98</w:t>
      </w:r>
      <w:r w:rsidR="00DA1629">
        <w:rPr>
          <w:sz w:val="20"/>
          <w:szCs w:val="20"/>
        </w:rPr>
        <w:t> </w:t>
      </w:r>
      <w:r w:rsidR="009269FC" w:rsidRPr="009269FC">
        <w:rPr>
          <w:sz w:val="20"/>
          <w:szCs w:val="20"/>
        </w:rPr>
        <w:t>mg/L (96</w:t>
      </w:r>
      <w:r w:rsidR="00DA1629">
        <w:rPr>
          <w:sz w:val="20"/>
          <w:szCs w:val="20"/>
        </w:rPr>
        <w:t> </w:t>
      </w:r>
      <w:r w:rsidR="009269FC" w:rsidRPr="009269FC">
        <w:rPr>
          <w:sz w:val="20"/>
          <w:szCs w:val="20"/>
        </w:rPr>
        <w:t xml:space="preserve">h) </w:t>
      </w:r>
    </w:p>
    <w:p w14:paraId="58D49174" w14:textId="77777777" w:rsidR="00DA1629" w:rsidRPr="00DA1629" w:rsidRDefault="00DA1629" w:rsidP="00553A75">
      <w:pPr>
        <w:widowControl/>
        <w:autoSpaceDE w:val="0"/>
        <w:autoSpaceDN w:val="0"/>
        <w:adjustRightInd w:val="0"/>
        <w:spacing w:before="120" w:after="120"/>
        <w:jc w:val="left"/>
        <w:rPr>
          <w:color w:val="000000"/>
          <w:szCs w:val="20"/>
        </w:rPr>
      </w:pPr>
      <w:r w:rsidRPr="00DA1629">
        <w:rPr>
          <w:b/>
          <w:bCs/>
          <w:color w:val="000000"/>
          <w:szCs w:val="20"/>
        </w:rPr>
        <w:t xml:space="preserve">Persistence and Degradability: </w:t>
      </w:r>
      <w:r w:rsidRPr="00DA1629">
        <w:rPr>
          <w:color w:val="000000"/>
          <w:szCs w:val="20"/>
        </w:rPr>
        <w:t xml:space="preserve">Degradation of hexane by microorganisms. </w:t>
      </w:r>
    </w:p>
    <w:p w14:paraId="6DDCF125" w14:textId="77777777" w:rsidR="00DA1629" w:rsidRPr="00DA1629" w:rsidRDefault="00DA1629" w:rsidP="00553A75">
      <w:pPr>
        <w:widowControl/>
        <w:autoSpaceDE w:val="0"/>
        <w:autoSpaceDN w:val="0"/>
        <w:adjustRightInd w:val="0"/>
        <w:spacing w:before="120" w:after="120"/>
        <w:jc w:val="left"/>
        <w:rPr>
          <w:color w:val="000000"/>
          <w:szCs w:val="20"/>
        </w:rPr>
      </w:pPr>
      <w:r w:rsidRPr="00DA1629">
        <w:rPr>
          <w:b/>
          <w:bCs/>
          <w:color w:val="000000"/>
          <w:szCs w:val="20"/>
        </w:rPr>
        <w:t xml:space="preserve">Bioaccumulative Potential: </w:t>
      </w:r>
      <w:r w:rsidRPr="00DA1629">
        <w:rPr>
          <w:color w:val="000000"/>
          <w:szCs w:val="20"/>
        </w:rPr>
        <w:t xml:space="preserve">Potentially high for hexane based on estimated BCF of 170 in fish. </w:t>
      </w:r>
    </w:p>
    <w:p w14:paraId="501C08C2" w14:textId="77777777" w:rsidR="00DA1629" w:rsidRDefault="00DA1629" w:rsidP="00553A75">
      <w:pPr>
        <w:widowControl/>
        <w:spacing w:before="120" w:after="120"/>
        <w:rPr>
          <w:color w:val="000000"/>
          <w:szCs w:val="20"/>
        </w:rPr>
      </w:pPr>
      <w:r w:rsidRPr="00DA1629">
        <w:rPr>
          <w:b/>
          <w:bCs/>
          <w:color w:val="000000"/>
          <w:szCs w:val="20"/>
        </w:rPr>
        <w:t xml:space="preserve">Mobility in Soil: </w:t>
      </w:r>
      <w:r w:rsidRPr="00DA1629">
        <w:rPr>
          <w:color w:val="000000"/>
          <w:szCs w:val="20"/>
        </w:rPr>
        <w:t xml:space="preserve">High mobility for hexane based on estimated Koc of 130. </w:t>
      </w:r>
    </w:p>
    <w:p w14:paraId="5E88DF1B" w14:textId="77777777" w:rsidR="004521E9" w:rsidRPr="00B7052B" w:rsidRDefault="004521E9" w:rsidP="00AA55EE">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14:paraId="190D9DBB" w14:textId="77777777" w:rsidTr="004521E9">
        <w:trPr>
          <w:trHeight w:hRule="exact" w:val="360"/>
        </w:trPr>
        <w:tc>
          <w:tcPr>
            <w:tcW w:w="9576" w:type="dxa"/>
            <w:vAlign w:val="center"/>
          </w:tcPr>
          <w:p w14:paraId="43E3E67A" w14:textId="77777777" w:rsidR="004521E9" w:rsidRDefault="004521E9" w:rsidP="006B75AB">
            <w:pPr>
              <w:keepNext/>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3A68C662" w14:textId="77777777" w:rsidR="004521E9" w:rsidRPr="001E7A76" w:rsidRDefault="004521E9" w:rsidP="006B75AB">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Pr>
          <w:rFonts w:eastAsia="Times New Roman"/>
          <w:szCs w:val="20"/>
        </w:rPr>
        <w:t>all</w:t>
      </w:r>
      <w:r>
        <w:rPr>
          <w:rFonts w:eastAsia="Times New Roman"/>
          <w:spacing w:val="5"/>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 xml:space="preserve">le </w:t>
      </w:r>
      <w:r>
        <w:rPr>
          <w:rFonts w:eastAsia="Times New Roman"/>
          <w:spacing w:val="-2"/>
          <w:szCs w:val="20"/>
        </w:rPr>
        <w:t>f</w:t>
      </w:r>
      <w:r>
        <w:rPr>
          <w:rFonts w:eastAsia="Times New Roman"/>
          <w:szCs w:val="20"/>
        </w:rPr>
        <w:t>e</w:t>
      </w:r>
      <w:r>
        <w:rPr>
          <w:rFonts w:eastAsia="Times New Roman"/>
          <w:spacing w:val="1"/>
          <w:szCs w:val="20"/>
        </w:rPr>
        <w:t>d</w:t>
      </w:r>
      <w:r>
        <w:rPr>
          <w:rFonts w:eastAsia="Times New Roman"/>
          <w:szCs w:val="20"/>
        </w:rPr>
        <w:t>e</w:t>
      </w:r>
      <w:r>
        <w:rPr>
          <w:rFonts w:eastAsia="Times New Roman"/>
          <w:spacing w:val="1"/>
          <w:szCs w:val="20"/>
        </w:rPr>
        <w:t>r</w:t>
      </w:r>
      <w:r>
        <w:rPr>
          <w:rFonts w:eastAsia="Times New Roman"/>
          <w:szCs w:val="20"/>
        </w:rPr>
        <w:t>al,</w:t>
      </w:r>
      <w:r>
        <w:rPr>
          <w:rFonts w:eastAsia="Times New Roman"/>
          <w:spacing w:val="2"/>
          <w:szCs w:val="20"/>
        </w:rPr>
        <w:t xml:space="preserve"> </w:t>
      </w:r>
      <w:r>
        <w:rPr>
          <w:rFonts w:eastAsia="Times New Roman"/>
          <w:spacing w:val="-1"/>
          <w:szCs w:val="20"/>
        </w:rPr>
        <w:t>s</w:t>
      </w:r>
      <w:r>
        <w:rPr>
          <w:rFonts w:eastAsia="Times New Roman"/>
          <w:szCs w:val="20"/>
        </w:rPr>
        <w:t>tate,</w:t>
      </w:r>
      <w:r>
        <w:rPr>
          <w:rFonts w:eastAsia="Times New Roman"/>
          <w:spacing w:val="4"/>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6"/>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3"/>
          <w:szCs w:val="20"/>
        </w:rPr>
        <w:t xml:space="preserve"> </w:t>
      </w:r>
      <w:r>
        <w:rPr>
          <w:rFonts w:eastAsia="Times New Roman"/>
          <w:spacing w:val="1"/>
          <w:szCs w:val="20"/>
        </w:rPr>
        <w:t>r</w:t>
      </w:r>
      <w:r>
        <w:rPr>
          <w:rFonts w:eastAsia="Times New Roman"/>
          <w:szCs w:val="20"/>
        </w:rPr>
        <w:t>e</w:t>
      </w:r>
      <w:r>
        <w:rPr>
          <w:rFonts w:eastAsia="Times New Roman"/>
          <w:spacing w:val="-1"/>
          <w:szCs w:val="20"/>
        </w:rPr>
        <w:t>gu</w:t>
      </w:r>
      <w:r>
        <w:rPr>
          <w:rFonts w:eastAsia="Times New Roman"/>
          <w:szCs w:val="20"/>
        </w:rPr>
        <w:t>lati</w:t>
      </w:r>
      <w:r>
        <w:rPr>
          <w:rFonts w:eastAsia="Times New Roman"/>
          <w:spacing w:val="1"/>
          <w:szCs w:val="20"/>
        </w:rPr>
        <w:t>o</w:t>
      </w:r>
      <w:r>
        <w:rPr>
          <w:rFonts w:eastAsia="Times New Roman"/>
          <w:spacing w:val="-1"/>
          <w:szCs w:val="20"/>
        </w:rPr>
        <w:t>ns</w:t>
      </w:r>
      <w:r w:rsidR="001E7A76">
        <w:rPr>
          <w:rFonts w:eastAsia="Times New Roman"/>
          <w:szCs w:val="20"/>
        </w:rPr>
        <w:t>.</w:t>
      </w:r>
      <w:r w:rsidR="00DA1629">
        <w:rPr>
          <w:rFonts w:eastAsia="Times New Roman"/>
          <w:szCs w:val="20"/>
        </w:rPr>
        <w:t xml:space="preserve">  </w:t>
      </w:r>
      <w:r w:rsidR="00DA1629">
        <w:rPr>
          <w:szCs w:val="20"/>
        </w:rPr>
        <w:t>Subject to disposal regulations: U.S. EPA 40 CFR 262, Hazardous Waste Number: D001 (Hexane).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14:paraId="7787A284" w14:textId="77777777" w:rsidTr="004521E9">
        <w:trPr>
          <w:trHeight w:hRule="exact" w:val="360"/>
        </w:trPr>
        <w:tc>
          <w:tcPr>
            <w:tcW w:w="9576" w:type="dxa"/>
            <w:vAlign w:val="center"/>
          </w:tcPr>
          <w:p w14:paraId="608F60F6" w14:textId="77777777" w:rsidR="004521E9" w:rsidRDefault="004521E9" w:rsidP="006B75AB">
            <w:pPr>
              <w:keepNext/>
              <w:widowControl/>
              <w:rPr>
                <w:rFonts w:eastAsia="Times New Roman"/>
                <w:bCs/>
                <w:spacing w:val="1"/>
                <w:position w:val="-1"/>
                <w:szCs w:val="20"/>
              </w:rPr>
            </w:pPr>
            <w:r>
              <w:rPr>
                <w:rFonts w:eastAsia="Times New Roman"/>
                <w:b/>
                <w:bCs/>
                <w:sz w:val="24"/>
                <w:szCs w:val="24"/>
              </w:rPr>
              <w:t>14.</w:t>
            </w:r>
            <w:r>
              <w:rPr>
                <w:rFonts w:eastAsia="Times New Roman"/>
                <w:b/>
                <w:bCs/>
                <w:spacing w:val="36"/>
                <w:sz w:val="24"/>
                <w:szCs w:val="24"/>
              </w:rPr>
              <w:t xml:space="preserve"> </w:t>
            </w:r>
            <w:r>
              <w:rPr>
                <w:rFonts w:eastAsia="Times New Roman"/>
                <w:b/>
                <w:bCs/>
                <w:spacing w:val="1"/>
                <w:sz w:val="24"/>
                <w:szCs w:val="24"/>
              </w:rPr>
              <w:t>T</w:t>
            </w:r>
            <w:r>
              <w:rPr>
                <w:rFonts w:eastAsia="Times New Roman"/>
                <w:b/>
                <w:bCs/>
                <w:sz w:val="19"/>
                <w:szCs w:val="19"/>
              </w:rPr>
              <w:t>RANS</w:t>
            </w:r>
            <w:r>
              <w:rPr>
                <w:rFonts w:eastAsia="Times New Roman"/>
                <w:b/>
                <w:bCs/>
                <w:spacing w:val="-1"/>
                <w:sz w:val="19"/>
                <w:szCs w:val="19"/>
              </w:rPr>
              <w:t>PO</w:t>
            </w:r>
            <w:r>
              <w:rPr>
                <w:rFonts w:eastAsia="Times New Roman"/>
                <w:b/>
                <w:bCs/>
                <w:sz w:val="19"/>
                <w:szCs w:val="19"/>
              </w:rPr>
              <w:t>R</w:t>
            </w:r>
            <w:r>
              <w:rPr>
                <w:rFonts w:eastAsia="Times New Roman"/>
                <w:b/>
                <w:bCs/>
                <w:spacing w:val="1"/>
                <w:sz w:val="19"/>
                <w:szCs w:val="19"/>
              </w:rPr>
              <w:t>T</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6"/>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2972AA66" w14:textId="77777777" w:rsidR="00466137" w:rsidRPr="008C4669" w:rsidRDefault="004521E9" w:rsidP="008C4669">
      <w:pPr>
        <w:tabs>
          <w:tab w:val="left" w:pos="0"/>
        </w:tabs>
        <w:spacing w:before="120" w:after="120"/>
        <w:rPr>
          <w:bCs/>
        </w:rPr>
      </w:pPr>
      <w:r w:rsidRPr="001E7A76">
        <w:rPr>
          <w:rFonts w:eastAsia="Times New Roman"/>
          <w:b/>
          <w:bCs/>
          <w:szCs w:val="20"/>
        </w:rPr>
        <w:t>U</w:t>
      </w:r>
      <w:r w:rsidRPr="001E7A76">
        <w:rPr>
          <w:rFonts w:eastAsia="Times New Roman"/>
          <w:b/>
          <w:bCs/>
          <w:spacing w:val="1"/>
          <w:szCs w:val="20"/>
        </w:rPr>
        <w:t>.</w:t>
      </w:r>
      <w:r w:rsidRPr="001E7A76">
        <w:rPr>
          <w:rFonts w:eastAsia="Times New Roman"/>
          <w:b/>
          <w:bCs/>
          <w:szCs w:val="20"/>
        </w:rPr>
        <w:t>S.</w:t>
      </w:r>
      <w:r w:rsidRPr="001E7A76">
        <w:rPr>
          <w:rFonts w:eastAsia="Times New Roman"/>
          <w:b/>
          <w:bCs/>
          <w:spacing w:val="4"/>
          <w:szCs w:val="20"/>
        </w:rPr>
        <w:t xml:space="preserve"> </w:t>
      </w:r>
      <w:r w:rsidRPr="001E7A76">
        <w:rPr>
          <w:rFonts w:eastAsia="Times New Roman"/>
          <w:b/>
          <w:bCs/>
          <w:szCs w:val="20"/>
        </w:rPr>
        <w:t>D</w:t>
      </w:r>
      <w:r w:rsidRPr="001E7A76">
        <w:rPr>
          <w:rFonts w:eastAsia="Times New Roman"/>
          <w:b/>
          <w:bCs/>
          <w:spacing w:val="1"/>
          <w:szCs w:val="20"/>
        </w:rPr>
        <w:t>O</w:t>
      </w:r>
      <w:r w:rsidRPr="001E7A76">
        <w:rPr>
          <w:rFonts w:eastAsia="Times New Roman"/>
          <w:b/>
          <w:bCs/>
          <w:szCs w:val="20"/>
        </w:rPr>
        <w:t>T</w:t>
      </w:r>
      <w:r w:rsidRPr="001E7A76">
        <w:rPr>
          <w:rFonts w:eastAsia="Times New Roman"/>
          <w:b/>
          <w:bCs/>
          <w:spacing w:val="3"/>
          <w:szCs w:val="20"/>
        </w:rPr>
        <w:t xml:space="preserve"> </w:t>
      </w:r>
      <w:r w:rsidRPr="001E7A76">
        <w:rPr>
          <w:rFonts w:eastAsia="Times New Roman"/>
          <w:b/>
          <w:bCs/>
          <w:spacing w:val="1"/>
          <w:szCs w:val="20"/>
        </w:rPr>
        <w:t>a</w:t>
      </w:r>
      <w:r w:rsidRPr="001E7A76">
        <w:rPr>
          <w:rFonts w:eastAsia="Times New Roman"/>
          <w:b/>
          <w:bCs/>
          <w:szCs w:val="20"/>
        </w:rPr>
        <w:t>nd</w:t>
      </w:r>
      <w:r w:rsidRPr="001E7A76">
        <w:rPr>
          <w:rFonts w:eastAsia="Times New Roman"/>
          <w:b/>
          <w:bCs/>
          <w:spacing w:val="4"/>
          <w:szCs w:val="20"/>
        </w:rPr>
        <w:t xml:space="preserve"> </w:t>
      </w:r>
      <w:r w:rsidRPr="001E7A76">
        <w:rPr>
          <w:rFonts w:eastAsia="Times New Roman"/>
          <w:b/>
          <w:bCs/>
          <w:spacing w:val="-1"/>
          <w:szCs w:val="20"/>
        </w:rPr>
        <w:t>I</w:t>
      </w:r>
      <w:r w:rsidRPr="001E7A76">
        <w:rPr>
          <w:rFonts w:eastAsia="Times New Roman"/>
          <w:b/>
          <w:bCs/>
          <w:szCs w:val="20"/>
        </w:rPr>
        <w:t>A</w:t>
      </w:r>
      <w:r w:rsidRPr="001E7A76">
        <w:rPr>
          <w:rFonts w:eastAsia="Times New Roman"/>
          <w:b/>
          <w:bCs/>
          <w:spacing w:val="-1"/>
          <w:szCs w:val="20"/>
        </w:rPr>
        <w:t>T</w:t>
      </w:r>
      <w:r w:rsidRPr="001E7A76">
        <w:rPr>
          <w:rFonts w:eastAsia="Times New Roman"/>
          <w:b/>
          <w:bCs/>
          <w:szCs w:val="20"/>
        </w:rPr>
        <w:t>A:</w:t>
      </w:r>
      <w:r w:rsidRPr="0048626D">
        <w:rPr>
          <w:rFonts w:eastAsia="Times New Roman"/>
          <w:bCs/>
          <w:szCs w:val="20"/>
        </w:rPr>
        <w:t xml:space="preserve"> </w:t>
      </w:r>
      <w:r w:rsidRPr="0048626D">
        <w:rPr>
          <w:rFonts w:eastAsia="Times New Roman"/>
          <w:bCs/>
          <w:spacing w:val="10"/>
          <w:szCs w:val="20"/>
        </w:rPr>
        <w:t xml:space="preserve"> </w:t>
      </w:r>
      <w:r w:rsidR="009269FC" w:rsidRPr="009269FC">
        <w:rPr>
          <w:rFonts w:eastAsia="Times New Roman"/>
          <w:bCs/>
          <w:spacing w:val="10"/>
          <w:szCs w:val="20"/>
        </w:rPr>
        <w:t>UN1208</w:t>
      </w:r>
      <w:r w:rsidR="009269FC">
        <w:rPr>
          <w:rFonts w:eastAsia="Times New Roman"/>
          <w:bCs/>
          <w:spacing w:val="10"/>
          <w:szCs w:val="20"/>
        </w:rPr>
        <w:t xml:space="preserve">, </w:t>
      </w:r>
      <w:r w:rsidR="00221CD6" w:rsidRPr="00233D7C">
        <w:t>Hexanes, Hazard Class 3, Packing Group II.</w:t>
      </w:r>
      <w:r w:rsidR="00221CD6" w:rsidRPr="00917463">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14:paraId="28A9C620" w14:textId="77777777" w:rsidTr="003D5857">
        <w:trPr>
          <w:trHeight w:hRule="exact" w:val="360"/>
        </w:trPr>
        <w:tc>
          <w:tcPr>
            <w:tcW w:w="9576" w:type="dxa"/>
            <w:vAlign w:val="center"/>
          </w:tcPr>
          <w:p w14:paraId="2EFFDC0E" w14:textId="77777777" w:rsidR="003D5857" w:rsidRDefault="003D5857" w:rsidP="006B75AB">
            <w:pPr>
              <w:keepNext/>
              <w:widowControl/>
              <w:rPr>
                <w:rFonts w:eastAsia="Times New Roman"/>
                <w:bCs/>
                <w:spacing w:val="1"/>
                <w:position w:val="-1"/>
                <w:szCs w:val="20"/>
              </w:rPr>
            </w:pPr>
            <w:r>
              <w:rPr>
                <w:rFonts w:eastAsia="Times New Roman"/>
                <w:b/>
                <w:bCs/>
                <w:sz w:val="24"/>
                <w:szCs w:val="24"/>
              </w:rPr>
              <w:lastRenderedPageBreak/>
              <w:t>15.</w:t>
            </w:r>
            <w:r>
              <w:rPr>
                <w:rFonts w:eastAsia="Times New Roman"/>
                <w:b/>
                <w:bCs/>
                <w:spacing w:val="36"/>
                <w:sz w:val="24"/>
                <w:szCs w:val="24"/>
              </w:rPr>
              <w:t xml:space="preserve"> </w:t>
            </w:r>
            <w:r>
              <w:rPr>
                <w:rFonts w:eastAsia="Times New Roman"/>
                <w:b/>
                <w:bCs/>
                <w:sz w:val="24"/>
                <w:szCs w:val="24"/>
              </w:rPr>
              <w:t>R</w:t>
            </w:r>
            <w:r>
              <w:rPr>
                <w:rFonts w:eastAsia="Times New Roman"/>
                <w:b/>
                <w:bCs/>
                <w:spacing w:val="1"/>
                <w:sz w:val="19"/>
                <w:szCs w:val="19"/>
              </w:rPr>
              <w:t>E</w:t>
            </w:r>
            <w:r>
              <w:rPr>
                <w:rFonts w:eastAsia="Times New Roman"/>
                <w:b/>
                <w:bCs/>
                <w:spacing w:val="-1"/>
                <w:sz w:val="19"/>
                <w:szCs w:val="19"/>
              </w:rPr>
              <w:t>G</w:t>
            </w:r>
            <w:r>
              <w:rPr>
                <w:rFonts w:eastAsia="Times New Roman"/>
                <w:b/>
                <w:bCs/>
                <w:sz w:val="19"/>
                <w:szCs w:val="19"/>
              </w:rPr>
              <w:t>U</w:t>
            </w:r>
            <w:r>
              <w:rPr>
                <w:rFonts w:eastAsia="Times New Roman"/>
                <w:b/>
                <w:bCs/>
                <w:spacing w:val="1"/>
                <w:sz w:val="19"/>
                <w:szCs w:val="19"/>
              </w:rPr>
              <w:t>L</w:t>
            </w:r>
            <w:r>
              <w:rPr>
                <w:rFonts w:eastAsia="Times New Roman"/>
                <w:b/>
                <w:bCs/>
                <w:sz w:val="19"/>
                <w:szCs w:val="19"/>
              </w:rPr>
              <w:t>A</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RY</w:t>
            </w:r>
            <w:r>
              <w:rPr>
                <w:rFonts w:eastAsia="Times New Roman"/>
                <w:b/>
                <w:bCs/>
                <w:spacing w:val="-11"/>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14228694" w14:textId="77777777" w:rsidR="003D5857" w:rsidRDefault="003D5857" w:rsidP="006B75AB">
      <w:pPr>
        <w:keepNext/>
        <w:widowControl/>
        <w:spacing w:before="120"/>
        <w:rPr>
          <w:rFonts w:eastAsia="Times New Roman"/>
          <w:bCs/>
          <w:spacing w:val="1"/>
          <w:position w:val="-1"/>
          <w:szCs w:val="20"/>
        </w:rPr>
      </w:pPr>
      <w:r>
        <w:rPr>
          <w:rFonts w:eastAsia="Times New Roman"/>
          <w:b/>
          <w:bCs/>
          <w:szCs w:val="20"/>
        </w:rPr>
        <w:t>U</w:t>
      </w:r>
      <w:r>
        <w:rPr>
          <w:rFonts w:eastAsia="Times New Roman"/>
          <w:b/>
          <w:bCs/>
          <w:spacing w:val="1"/>
          <w:szCs w:val="20"/>
        </w:rPr>
        <w:t>.</w:t>
      </w:r>
      <w:r>
        <w:rPr>
          <w:rFonts w:eastAsia="Times New Roman"/>
          <w:b/>
          <w:bCs/>
          <w:szCs w:val="20"/>
        </w:rPr>
        <w:t>S.</w:t>
      </w:r>
      <w:r>
        <w:rPr>
          <w:rFonts w:eastAsia="Times New Roman"/>
          <w:b/>
          <w:bCs/>
          <w:spacing w:val="-3"/>
          <w:szCs w:val="20"/>
        </w:rPr>
        <w:t xml:space="preserve"> </w:t>
      </w:r>
      <w:r>
        <w:rPr>
          <w:rFonts w:eastAsia="Times New Roman"/>
          <w:b/>
          <w:bCs/>
          <w:szCs w:val="20"/>
        </w:rPr>
        <w:t>R</w:t>
      </w:r>
      <w:r w:rsidR="008E1B26">
        <w:rPr>
          <w:rFonts w:eastAsia="Times New Roman"/>
          <w:b/>
          <w:bCs/>
          <w:szCs w:val="20"/>
        </w:rPr>
        <w:t>egulations</w:t>
      </w:r>
    </w:p>
    <w:p w14:paraId="0B91A426" w14:textId="77777777" w:rsidR="00A933D2" w:rsidRDefault="005E6640" w:rsidP="00A933D2">
      <w:pPr>
        <w:keepNext/>
        <w:tabs>
          <w:tab w:val="left" w:pos="360"/>
          <w:tab w:val="decimal" w:pos="2700"/>
        </w:tabs>
        <w:ind w:left="360"/>
      </w:pPr>
      <w:r>
        <w:t>C</w:t>
      </w:r>
      <w:r w:rsidR="00A933D2">
        <w:t xml:space="preserve">ERCLA Sections 102a/103 (40 CFR 302.4):  </w:t>
      </w:r>
      <w:r w:rsidR="00A933D2" w:rsidRPr="00074F9F">
        <w:rPr>
          <w:bCs/>
        </w:rPr>
        <w:t>5000 lb</w:t>
      </w:r>
      <w:r w:rsidR="009269FC">
        <w:rPr>
          <w:bCs/>
        </w:rPr>
        <w:t>s</w:t>
      </w:r>
      <w:r w:rsidR="00A933D2" w:rsidRPr="00074F9F">
        <w:rPr>
          <w:bCs/>
        </w:rPr>
        <w:t xml:space="preserve"> (2270 kg) </w:t>
      </w:r>
      <w:r w:rsidR="0078182A">
        <w:rPr>
          <w:bCs/>
        </w:rPr>
        <w:t>f</w:t>
      </w:r>
      <w:r w:rsidR="00025217">
        <w:rPr>
          <w:bCs/>
        </w:rPr>
        <w:t xml:space="preserve">inal </w:t>
      </w:r>
      <w:r w:rsidR="00A933D2" w:rsidRPr="00074F9F">
        <w:rPr>
          <w:bCs/>
        </w:rPr>
        <w:t>RQ.</w:t>
      </w:r>
    </w:p>
    <w:p w14:paraId="6D530B1C" w14:textId="77777777" w:rsidR="00A933D2" w:rsidRDefault="00A933D2" w:rsidP="00A933D2">
      <w:pPr>
        <w:keepNext/>
        <w:tabs>
          <w:tab w:val="left" w:pos="360"/>
          <w:tab w:val="decimal" w:pos="2700"/>
        </w:tabs>
        <w:ind w:left="360"/>
      </w:pPr>
      <w:r>
        <w:t xml:space="preserve">SARA Title III Section 302 (40 CFR 355.30):  </w:t>
      </w:r>
      <w:r w:rsidRPr="00074F9F">
        <w:t>Not regulated</w:t>
      </w:r>
      <w:r>
        <w:rPr>
          <w:bCs/>
        </w:rPr>
        <w:t>.</w:t>
      </w:r>
    </w:p>
    <w:p w14:paraId="25DE320D" w14:textId="77777777" w:rsidR="00A933D2" w:rsidRPr="00FF06B8" w:rsidRDefault="00A933D2" w:rsidP="00A933D2">
      <w:pPr>
        <w:tabs>
          <w:tab w:val="left" w:pos="360"/>
          <w:tab w:val="decimal" w:pos="2700"/>
        </w:tabs>
        <w:ind w:left="360"/>
      </w:pPr>
      <w:r>
        <w:t xml:space="preserve">SARA Title III Section 304 (40 CFR 355.40):  </w:t>
      </w:r>
      <w:r w:rsidRPr="00074F9F">
        <w:t>Not regulated</w:t>
      </w:r>
      <w:r>
        <w:rPr>
          <w:bCs/>
        </w:rPr>
        <w:t>.</w:t>
      </w:r>
    </w:p>
    <w:p w14:paraId="5832E062" w14:textId="77777777" w:rsidR="00A933D2" w:rsidRDefault="00A933D2" w:rsidP="00A933D2">
      <w:pPr>
        <w:tabs>
          <w:tab w:val="left" w:pos="360"/>
          <w:tab w:val="decimal" w:pos="2700"/>
        </w:tabs>
        <w:ind w:left="360"/>
      </w:pPr>
      <w:r>
        <w:t xml:space="preserve">SARA Title III Section 313 (40 CFR 372.65):  </w:t>
      </w:r>
      <w:r w:rsidRPr="00074F9F">
        <w:t>1.0 % de minimis concentration</w:t>
      </w:r>
      <w:r>
        <w:rPr>
          <w:bCs/>
        </w:rPr>
        <w:t>.</w:t>
      </w:r>
    </w:p>
    <w:p w14:paraId="32D6EA44" w14:textId="77777777" w:rsidR="00A933D2" w:rsidRDefault="00A933D2" w:rsidP="00A933D2">
      <w:pPr>
        <w:tabs>
          <w:tab w:val="left" w:pos="360"/>
          <w:tab w:val="decimal" w:pos="2700"/>
        </w:tabs>
        <w:ind w:left="360"/>
      </w:pPr>
      <w:r>
        <w:t>OSHA Process Safety (29 CFR 1910.119):</w:t>
      </w:r>
      <w:bookmarkStart w:id="1" w:name="OLE_LINK1"/>
      <w:bookmarkStart w:id="2" w:name="OLE_LINK2"/>
      <w:r>
        <w:t xml:space="preserve">  </w:t>
      </w:r>
      <w:r w:rsidRPr="00074F9F">
        <w:t>Not regulated</w:t>
      </w:r>
      <w:r>
        <w:rPr>
          <w:bCs/>
        </w:rPr>
        <w:t>.</w:t>
      </w:r>
      <w:bookmarkEnd w:id="1"/>
      <w:bookmarkEnd w:id="2"/>
    </w:p>
    <w:p w14:paraId="79E6044C" w14:textId="77777777" w:rsidR="00A933D2" w:rsidRDefault="00A933D2" w:rsidP="00A933D2">
      <w:pPr>
        <w:tabs>
          <w:tab w:val="left" w:pos="360"/>
          <w:tab w:val="decimal" w:pos="2700"/>
        </w:tabs>
        <w:ind w:left="360"/>
      </w:pPr>
      <w:r>
        <w:t>SARA Title III Sections 311/312 Hazardous Categories (40 CFR 370.21):</w:t>
      </w:r>
    </w:p>
    <w:p w14:paraId="083FD066" w14:textId="77777777" w:rsidR="00A933D2" w:rsidRPr="00021350" w:rsidRDefault="00A933D2" w:rsidP="00A933D2">
      <w:pPr>
        <w:keepNext/>
        <w:tabs>
          <w:tab w:val="left" w:pos="3060"/>
        </w:tabs>
        <w:ind w:left="720"/>
      </w:pPr>
      <w:r w:rsidRPr="00021350">
        <w:t>ACUTE HEALTH:</w:t>
      </w:r>
      <w:r w:rsidRPr="00021350">
        <w:tab/>
        <w:t>Yes</w:t>
      </w:r>
    </w:p>
    <w:p w14:paraId="132A850A" w14:textId="77777777" w:rsidR="00A933D2" w:rsidRPr="00021350" w:rsidRDefault="00A933D2" w:rsidP="00A933D2">
      <w:pPr>
        <w:keepNext/>
        <w:tabs>
          <w:tab w:val="left" w:pos="3060"/>
        </w:tabs>
        <w:ind w:left="720"/>
      </w:pPr>
      <w:r w:rsidRPr="00021350">
        <w:t>CHRONIC HEALTH:</w:t>
      </w:r>
      <w:r w:rsidRPr="00021350">
        <w:tab/>
        <w:t>Yes</w:t>
      </w:r>
    </w:p>
    <w:p w14:paraId="613E9C02" w14:textId="77777777" w:rsidR="00A933D2" w:rsidRPr="00021350" w:rsidRDefault="00A933D2" w:rsidP="00A933D2">
      <w:pPr>
        <w:keepNext/>
        <w:tabs>
          <w:tab w:val="left" w:pos="3060"/>
        </w:tabs>
        <w:ind w:left="720"/>
      </w:pPr>
      <w:r w:rsidRPr="00021350">
        <w:t>FIRE:</w:t>
      </w:r>
      <w:r w:rsidRPr="00021350">
        <w:tab/>
        <w:t>Yes</w:t>
      </w:r>
    </w:p>
    <w:p w14:paraId="39F3EE97" w14:textId="77777777" w:rsidR="00A933D2" w:rsidRPr="00021350" w:rsidRDefault="00A933D2" w:rsidP="00A933D2">
      <w:pPr>
        <w:keepNext/>
        <w:tabs>
          <w:tab w:val="left" w:pos="3060"/>
        </w:tabs>
        <w:ind w:left="720"/>
      </w:pPr>
      <w:r w:rsidRPr="00021350">
        <w:t>REACTIVE:</w:t>
      </w:r>
      <w:r w:rsidRPr="00021350">
        <w:tab/>
        <w:t>No</w:t>
      </w:r>
    </w:p>
    <w:p w14:paraId="5E14E5FA" w14:textId="77777777" w:rsidR="00A933D2" w:rsidRDefault="00A933D2" w:rsidP="00A933D2">
      <w:pPr>
        <w:tabs>
          <w:tab w:val="left" w:pos="3060"/>
        </w:tabs>
        <w:ind w:left="720"/>
      </w:pPr>
      <w:r w:rsidRPr="00021350">
        <w:t>PRESSURE:</w:t>
      </w:r>
      <w:r w:rsidRPr="00021350">
        <w:tab/>
        <w:t>No</w:t>
      </w:r>
    </w:p>
    <w:p w14:paraId="62C7A0D4" w14:textId="77777777" w:rsidR="00A933D2" w:rsidRPr="00654FC0" w:rsidRDefault="003D5857" w:rsidP="000D36D6">
      <w:pPr>
        <w:tabs>
          <w:tab w:val="left" w:pos="3060"/>
        </w:tabs>
        <w:spacing w:before="60" w:after="120"/>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r w:rsidR="0015774C" w:rsidRPr="00A933D2">
        <w:rPr>
          <w:rFonts w:eastAsia="Times New Roman"/>
          <w:bCs/>
          <w:szCs w:val="20"/>
        </w:rPr>
        <w:t>Not listed.</w:t>
      </w:r>
    </w:p>
    <w:p w14:paraId="1F71CC45" w14:textId="77777777" w:rsidR="004521E9" w:rsidRPr="00A933D2" w:rsidRDefault="008E1B26" w:rsidP="00E12D28">
      <w:pPr>
        <w:keepNext/>
        <w:widowControl/>
        <w:spacing w:before="6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15774C">
        <w:rPr>
          <w:rFonts w:eastAsia="Times New Roman"/>
          <w:bCs/>
          <w:szCs w:val="20"/>
        </w:rPr>
        <w:t>Hexane is</w:t>
      </w:r>
      <w:r w:rsidR="00180EF6" w:rsidRPr="00A933D2">
        <w:rPr>
          <w:rFonts w:eastAsia="Times New Roman"/>
          <w:bCs/>
          <w:szCs w:val="20"/>
        </w:rPr>
        <w:t xml:space="preserve"> </w:t>
      </w:r>
      <w:r w:rsidR="001E7A76" w:rsidRPr="00A933D2">
        <w:rPr>
          <w:rFonts w:eastAsia="Times New Roman"/>
          <w:bCs/>
          <w:szCs w:val="20"/>
        </w:rPr>
        <w:t>listed.</w:t>
      </w:r>
    </w:p>
    <w:p w14:paraId="6BB63214" w14:textId="77777777" w:rsidR="003D5857" w:rsidRPr="00A933D2" w:rsidRDefault="003D5857" w:rsidP="00E12D28">
      <w:pPr>
        <w:widowControl/>
        <w:spacing w:before="6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Not listed.</w:t>
      </w:r>
    </w:p>
    <w:p w14:paraId="47AC2040" w14:textId="77777777" w:rsidR="003D5857" w:rsidRDefault="003D5857" w:rsidP="00E12D28">
      <w:pPr>
        <w:widowControl/>
        <w:spacing w:before="60" w:after="120"/>
        <w:rPr>
          <w:rFonts w:eastAsia="Times New Roman"/>
          <w:b/>
          <w:bCs/>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005E6640">
        <w:rPr>
          <w:rFonts w:eastAsia="Times New Roman"/>
          <w:szCs w:val="20"/>
        </w:rPr>
        <w:t xml:space="preserve"> is 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14:paraId="0351D38C" w14:textId="77777777" w:rsidTr="0067534E">
        <w:trPr>
          <w:trHeight w:hRule="exact" w:val="360"/>
        </w:trPr>
        <w:tc>
          <w:tcPr>
            <w:tcW w:w="9576" w:type="dxa"/>
            <w:vAlign w:val="center"/>
          </w:tcPr>
          <w:p w14:paraId="315E222D" w14:textId="77777777" w:rsidR="0067534E" w:rsidRDefault="0067534E" w:rsidP="006B75AB">
            <w:pPr>
              <w:keepNext/>
              <w:widowControl/>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752D4200" w14:textId="34B6D6C6" w:rsidR="00622AE4" w:rsidRPr="00C14BD3" w:rsidRDefault="00622AE4" w:rsidP="006B75AB">
      <w:pPr>
        <w:widowControl/>
        <w:spacing w:before="120"/>
        <w:rPr>
          <w:rFonts w:eastAsia="Times New Roman"/>
          <w:bCs/>
          <w:szCs w:val="20"/>
        </w:rPr>
      </w:pPr>
      <w:r>
        <w:rPr>
          <w:rFonts w:eastAsia="Times New Roman"/>
          <w:b/>
          <w:bCs/>
          <w:szCs w:val="20"/>
        </w:rPr>
        <w:t>Issue Date:</w:t>
      </w:r>
      <w:r w:rsidR="00C14BD3" w:rsidRPr="00C14BD3">
        <w:rPr>
          <w:rFonts w:eastAsia="Times New Roman"/>
          <w:bCs/>
          <w:szCs w:val="20"/>
        </w:rPr>
        <w:t xml:space="preserve"> </w:t>
      </w:r>
      <w:r w:rsidRPr="00622AE4">
        <w:rPr>
          <w:rFonts w:eastAsia="Times New Roman"/>
          <w:bCs/>
          <w:szCs w:val="20"/>
        </w:rPr>
        <w:t xml:space="preserve"> </w:t>
      </w:r>
      <w:r w:rsidR="000B3F24" w:rsidRPr="000B3F24">
        <w:rPr>
          <w:rFonts w:eastAsia="Times New Roman"/>
          <w:bCs/>
          <w:szCs w:val="20"/>
        </w:rPr>
        <w:t>2</w:t>
      </w:r>
      <w:r w:rsidR="003E7137">
        <w:rPr>
          <w:rFonts w:eastAsia="Times New Roman"/>
          <w:bCs/>
          <w:szCs w:val="20"/>
        </w:rPr>
        <w:t>7</w:t>
      </w:r>
      <w:bookmarkStart w:id="3" w:name="_GoBack"/>
      <w:bookmarkEnd w:id="3"/>
      <w:r w:rsidR="000B3F24" w:rsidRPr="000B3F24">
        <w:rPr>
          <w:rFonts w:eastAsia="Times New Roman"/>
          <w:bCs/>
          <w:szCs w:val="20"/>
        </w:rPr>
        <w:t xml:space="preserve"> March </w:t>
      </w:r>
      <w:r w:rsidR="00334E80">
        <w:rPr>
          <w:rFonts w:eastAsia="Times New Roman"/>
          <w:bCs/>
          <w:szCs w:val="20"/>
        </w:rPr>
        <w:t>2015</w:t>
      </w:r>
    </w:p>
    <w:p w14:paraId="6449F748" w14:textId="1DF072CB" w:rsidR="004355ED" w:rsidRDefault="00622AE4" w:rsidP="006B75AB">
      <w:pPr>
        <w:widowControl/>
        <w:tabs>
          <w:tab w:val="left" w:pos="900"/>
        </w:tabs>
        <w:spacing w:before="120"/>
        <w:rPr>
          <w:rFonts w:eastAsia="Times New Roman"/>
          <w:szCs w:val="20"/>
        </w:rPr>
      </w:pPr>
      <w:r>
        <w:rPr>
          <w:rFonts w:eastAsia="Times New Roman"/>
          <w:b/>
          <w:bCs/>
          <w:spacing w:val="1"/>
          <w:position w:val="-1"/>
          <w:szCs w:val="20"/>
        </w:rPr>
        <w:t>Sources:</w:t>
      </w:r>
      <w:r w:rsidR="00537670">
        <w:rPr>
          <w:rFonts w:eastAsia="Times New Roman"/>
          <w:bCs/>
          <w:spacing w:val="1"/>
          <w:position w:val="-1"/>
          <w:szCs w:val="20"/>
        </w:rPr>
        <w:tab/>
      </w:r>
      <w:r w:rsidR="008C4669">
        <w:rPr>
          <w:rFonts w:eastAsia="Times New Roman"/>
          <w:spacing w:val="-1"/>
          <w:szCs w:val="20"/>
        </w:rPr>
        <w:t>Ch</w:t>
      </w:r>
      <w:r w:rsidR="008C4669">
        <w:rPr>
          <w:rFonts w:eastAsia="Times New Roman"/>
          <w:szCs w:val="20"/>
        </w:rPr>
        <w:t>e</w:t>
      </w:r>
      <w:r w:rsidR="008C4669">
        <w:rPr>
          <w:rFonts w:eastAsia="Times New Roman"/>
          <w:spacing w:val="-4"/>
          <w:szCs w:val="20"/>
        </w:rPr>
        <w:t>m</w:t>
      </w:r>
      <w:r w:rsidR="008C4669">
        <w:rPr>
          <w:rFonts w:eastAsia="Times New Roman"/>
          <w:spacing w:val="-2"/>
          <w:szCs w:val="20"/>
        </w:rPr>
        <w:t>A</w:t>
      </w:r>
      <w:r w:rsidR="008C4669">
        <w:rPr>
          <w:rFonts w:eastAsia="Times New Roman"/>
          <w:szCs w:val="20"/>
        </w:rPr>
        <w:t>DV</w:t>
      </w:r>
      <w:r w:rsidR="008C4669">
        <w:rPr>
          <w:rFonts w:eastAsia="Times New Roman"/>
          <w:spacing w:val="1"/>
          <w:szCs w:val="20"/>
        </w:rPr>
        <w:t>I</w:t>
      </w:r>
      <w:r w:rsidR="008C4669">
        <w:rPr>
          <w:rFonts w:eastAsia="Times New Roman"/>
          <w:szCs w:val="20"/>
        </w:rPr>
        <w:t>SO</w:t>
      </w:r>
      <w:r w:rsidR="008C4669">
        <w:rPr>
          <w:rFonts w:eastAsia="Times New Roman"/>
          <w:spacing w:val="-1"/>
          <w:szCs w:val="20"/>
        </w:rPr>
        <w:t>R</w:t>
      </w:r>
      <w:r w:rsidR="008C4669">
        <w:rPr>
          <w:rFonts w:eastAsia="Times New Roman"/>
          <w:szCs w:val="20"/>
        </w:rPr>
        <w:t>,</w:t>
      </w:r>
      <w:r w:rsidR="008C4669">
        <w:rPr>
          <w:rFonts w:eastAsia="Times New Roman"/>
          <w:spacing w:val="-13"/>
          <w:szCs w:val="20"/>
        </w:rPr>
        <w:t xml:space="preserve"> </w:t>
      </w:r>
      <w:r w:rsidR="008C4669">
        <w:rPr>
          <w:rFonts w:eastAsia="Times New Roman"/>
          <w:spacing w:val="1"/>
          <w:szCs w:val="20"/>
        </w:rPr>
        <w:t>I</w:t>
      </w:r>
      <w:r w:rsidR="008C4669">
        <w:rPr>
          <w:rFonts w:eastAsia="Times New Roman"/>
          <w:spacing w:val="-1"/>
          <w:szCs w:val="20"/>
        </w:rPr>
        <w:t>n</w:t>
      </w:r>
      <w:r w:rsidR="008C4669">
        <w:rPr>
          <w:rFonts w:eastAsia="Times New Roman"/>
          <w:szCs w:val="20"/>
        </w:rPr>
        <w:t>c</w:t>
      </w:r>
      <w:r w:rsidR="008C4669">
        <w:rPr>
          <w:rFonts w:eastAsia="Times New Roman"/>
          <w:spacing w:val="1"/>
          <w:szCs w:val="20"/>
        </w:rPr>
        <w:t>.</w:t>
      </w:r>
      <w:r w:rsidR="008C4669">
        <w:rPr>
          <w:rFonts w:eastAsia="Times New Roman"/>
          <w:szCs w:val="20"/>
        </w:rPr>
        <w:t>,</w:t>
      </w:r>
      <w:r w:rsidR="008C4669">
        <w:rPr>
          <w:rFonts w:eastAsia="Times New Roman"/>
          <w:spacing w:val="-3"/>
          <w:szCs w:val="20"/>
        </w:rPr>
        <w:t xml:space="preserve"> </w:t>
      </w:r>
      <w:r w:rsidR="008C4669">
        <w:rPr>
          <w:rFonts w:eastAsia="Times New Roman"/>
          <w:szCs w:val="20"/>
        </w:rPr>
        <w:t>SDS</w:t>
      </w:r>
      <w:r w:rsidR="008C4669">
        <w:rPr>
          <w:rFonts w:eastAsia="Times New Roman"/>
          <w:spacing w:val="-5"/>
          <w:szCs w:val="20"/>
        </w:rPr>
        <w:t xml:space="preserve"> </w:t>
      </w:r>
      <w:r w:rsidR="00791728">
        <w:rPr>
          <w:rFonts w:eastAsia="Times New Roman"/>
          <w:i/>
          <w:spacing w:val="-1"/>
          <w:szCs w:val="20"/>
        </w:rPr>
        <w:t>N-Hexane</w:t>
      </w:r>
      <w:r w:rsidR="008C4669">
        <w:rPr>
          <w:rFonts w:eastAsia="Times New Roman"/>
          <w:szCs w:val="20"/>
        </w:rPr>
        <w:t>,</w:t>
      </w:r>
      <w:r w:rsidR="008C4669">
        <w:rPr>
          <w:rFonts w:eastAsia="Times New Roman"/>
          <w:spacing w:val="-4"/>
          <w:szCs w:val="20"/>
        </w:rPr>
        <w:t xml:space="preserve"> </w:t>
      </w:r>
      <w:r w:rsidR="005C78EA">
        <w:rPr>
          <w:rFonts w:eastAsia="Times New Roman"/>
          <w:szCs w:val="20"/>
        </w:rPr>
        <w:t>15</w:t>
      </w:r>
      <w:r w:rsidR="005C78EA">
        <w:rPr>
          <w:rFonts w:eastAsia="Times New Roman"/>
          <w:spacing w:val="1"/>
          <w:szCs w:val="20"/>
        </w:rPr>
        <w:t> December 2014</w:t>
      </w:r>
      <w:r w:rsidR="008C4669">
        <w:rPr>
          <w:rFonts w:eastAsia="Times New Roman"/>
          <w:szCs w:val="20"/>
        </w:rPr>
        <w:t>.</w:t>
      </w:r>
    </w:p>
    <w:p w14:paraId="04A06AB0" w14:textId="77777777" w:rsidR="00553A75" w:rsidRDefault="00553A75" w:rsidP="00553A75">
      <w:pPr>
        <w:widowControl/>
        <w:tabs>
          <w:tab w:val="left" w:pos="900"/>
        </w:tabs>
        <w:spacing w:before="120" w:after="120"/>
        <w:ind w:left="900" w:hanging="900"/>
        <w:rPr>
          <w:rFonts w:eastAsia="Times New Roman"/>
          <w:bCs/>
          <w:spacing w:val="1"/>
          <w:position w:val="-1"/>
          <w:szCs w:val="20"/>
        </w:rPr>
      </w:pPr>
      <w:r>
        <w:rPr>
          <w:rFonts w:eastAsia="Times New Roman"/>
          <w:bCs/>
          <w:spacing w:val="1"/>
          <w:position w:val="-1"/>
          <w:szCs w:val="20"/>
        </w:rPr>
        <w:tab/>
      </w:r>
      <w:r w:rsidRPr="0071580C">
        <w:rPr>
          <w:rFonts w:eastAsia="Times New Roman"/>
          <w:bCs/>
          <w:spacing w:val="1"/>
          <w:position w:val="-1"/>
          <w:szCs w:val="20"/>
        </w:rPr>
        <w:t xml:space="preserve">Hazardous Substances Data Bank, National Library of Medicine, </w:t>
      </w:r>
      <w:r w:rsidRPr="0071580C">
        <w:rPr>
          <w:rFonts w:eastAsia="Times New Roman"/>
          <w:bCs/>
          <w:i/>
          <w:spacing w:val="1"/>
          <w:position w:val="-1"/>
          <w:szCs w:val="20"/>
        </w:rPr>
        <w:t>Hexane CAS 110</w:t>
      </w:r>
      <w:r w:rsidRPr="0071580C">
        <w:rPr>
          <w:rFonts w:eastAsia="Times New Roman"/>
          <w:bCs/>
          <w:i/>
          <w:spacing w:val="1"/>
          <w:position w:val="-1"/>
          <w:szCs w:val="20"/>
        </w:rPr>
        <w:noBreakHyphen/>
        <w:t>54</w:t>
      </w:r>
      <w:r w:rsidRPr="0071580C">
        <w:rPr>
          <w:rFonts w:eastAsia="Times New Roman"/>
          <w:bCs/>
          <w:i/>
          <w:spacing w:val="1"/>
          <w:position w:val="-1"/>
          <w:szCs w:val="20"/>
        </w:rPr>
        <w:noBreakHyphen/>
        <w:t>3</w:t>
      </w:r>
      <w:r w:rsidRPr="0071580C">
        <w:rPr>
          <w:rFonts w:eastAsia="Times New Roman"/>
          <w:bCs/>
          <w:spacing w:val="1"/>
          <w:position w:val="-1"/>
          <w:szCs w:val="20"/>
        </w:rPr>
        <w:t xml:space="preserve">, </w:t>
      </w:r>
      <w:r>
        <w:rPr>
          <w:rFonts w:eastAsia="Times New Roman"/>
          <w:bCs/>
          <w:spacing w:val="1"/>
          <w:position w:val="-1"/>
          <w:szCs w:val="20"/>
        </w:rPr>
        <w:t>Full Record</w:t>
      </w:r>
      <w:r w:rsidRPr="0071580C">
        <w:rPr>
          <w:rFonts w:eastAsia="Times New Roman"/>
          <w:bCs/>
          <w:spacing w:val="1"/>
          <w:position w:val="-1"/>
          <w:szCs w:val="20"/>
        </w:rPr>
        <w:t xml:space="preserve">, available at </w:t>
      </w:r>
      <w:hyperlink r:id="rId14" w:history="1">
        <w:r w:rsidRPr="0071580C">
          <w:rPr>
            <w:rStyle w:val="Hyperlink"/>
            <w:rFonts w:eastAsia="Times New Roman"/>
            <w:bCs/>
            <w:spacing w:val="1"/>
            <w:position w:val="-1"/>
            <w:szCs w:val="20"/>
          </w:rPr>
          <w:t>http://toxnet.nlm.nih.gov/cgi-bin/sis/htmlgen?HSDB</w:t>
        </w:r>
      </w:hyperlink>
      <w:r w:rsidRPr="0071580C">
        <w:rPr>
          <w:rFonts w:eastAsia="Times New Roman"/>
          <w:bCs/>
          <w:spacing w:val="1"/>
          <w:position w:val="-1"/>
          <w:szCs w:val="20"/>
        </w:rPr>
        <w:t xml:space="preserve"> (accessed </w:t>
      </w:r>
      <w:r w:rsidR="00334E80">
        <w:rPr>
          <w:rFonts w:eastAsia="Times New Roman"/>
          <w:bCs/>
          <w:spacing w:val="1"/>
          <w:position w:val="-1"/>
          <w:szCs w:val="20"/>
        </w:rPr>
        <w:t>Mar 2015</w:t>
      </w:r>
      <w:r w:rsidRPr="0071580C">
        <w:rPr>
          <w:rFonts w:eastAsia="Times New Roman"/>
          <w:bCs/>
          <w:spacing w:val="1"/>
          <w:position w:val="-1"/>
          <w:szCs w:val="20"/>
        </w:rPr>
        <w:t>).</w:t>
      </w:r>
    </w:p>
    <w:p w14:paraId="19299A23" w14:textId="77777777" w:rsidR="00553A75" w:rsidRPr="0071580C" w:rsidRDefault="00553A75" w:rsidP="00553A75">
      <w:pPr>
        <w:widowControl/>
        <w:tabs>
          <w:tab w:val="left" w:pos="900"/>
        </w:tabs>
        <w:spacing w:before="120" w:after="120"/>
        <w:ind w:left="900" w:hanging="900"/>
        <w:rPr>
          <w:rFonts w:eastAsia="Times New Roman"/>
          <w:bCs/>
          <w:spacing w:val="1"/>
          <w:position w:val="-1"/>
          <w:szCs w:val="20"/>
        </w:rPr>
      </w:pPr>
      <w:r w:rsidRPr="0071580C">
        <w:rPr>
          <w:rFonts w:eastAsia="Times New Roman"/>
          <w:bCs/>
          <w:spacing w:val="1"/>
          <w:position w:val="-1"/>
          <w:szCs w:val="20"/>
        </w:rPr>
        <w:tab/>
        <w:t xml:space="preserve">NIOSH Pocket Guide to Chemical Hazards, </w:t>
      </w:r>
      <w:r w:rsidRPr="0071580C">
        <w:rPr>
          <w:rFonts w:eastAsia="Times New Roman"/>
          <w:bCs/>
          <w:i/>
          <w:spacing w:val="1"/>
          <w:position w:val="-1"/>
          <w:szCs w:val="20"/>
        </w:rPr>
        <w:t xml:space="preserve">Hexane CAS 110-54-3, </w:t>
      </w:r>
      <w:r w:rsidRPr="0071580C">
        <w:rPr>
          <w:rFonts w:eastAsia="Times New Roman"/>
          <w:bCs/>
          <w:spacing w:val="1"/>
          <w:position w:val="-1"/>
          <w:szCs w:val="20"/>
        </w:rPr>
        <w:t xml:space="preserve">(4 April 2011), available at </w:t>
      </w:r>
      <w:hyperlink r:id="rId15" w:history="1">
        <w:r w:rsidRPr="0071580C">
          <w:rPr>
            <w:rStyle w:val="Hyperlink"/>
            <w:szCs w:val="20"/>
          </w:rPr>
          <w:t>http://www.cdc.gov/niosh/npg/npgd0322.html</w:t>
        </w:r>
      </w:hyperlink>
      <w:r w:rsidRPr="0071580C">
        <w:rPr>
          <w:rFonts w:eastAsia="Times New Roman"/>
          <w:bCs/>
          <w:spacing w:val="1"/>
          <w:position w:val="-1"/>
          <w:szCs w:val="20"/>
        </w:rPr>
        <w:t xml:space="preserve"> (accessed </w:t>
      </w:r>
      <w:r w:rsidR="00334E80" w:rsidRPr="00334E80">
        <w:rPr>
          <w:rFonts w:eastAsia="Times New Roman"/>
          <w:bCs/>
          <w:spacing w:val="1"/>
          <w:position w:val="-1"/>
          <w:szCs w:val="20"/>
        </w:rPr>
        <w:t>Mar 2015</w:t>
      </w:r>
      <w:r w:rsidRPr="0071580C">
        <w:rPr>
          <w:rFonts w:eastAsia="Times New Roman"/>
          <w:bCs/>
          <w:spacing w:val="1"/>
          <w:position w:val="-1"/>
          <w:szCs w:val="20"/>
        </w:rPr>
        <w:t xml:space="preserve">); also see </w:t>
      </w:r>
      <w:r w:rsidRPr="0071580C">
        <w:rPr>
          <w:rFonts w:eastAsia="Times New Roman"/>
          <w:bCs/>
          <w:i/>
          <w:spacing w:val="1"/>
          <w:position w:val="-1"/>
          <w:szCs w:val="20"/>
        </w:rPr>
        <w:t>RTECS #: MN9275000</w:t>
      </w:r>
      <w:r w:rsidRPr="0071580C">
        <w:rPr>
          <w:rFonts w:eastAsia="Times New Roman"/>
          <w:bCs/>
          <w:spacing w:val="1"/>
          <w:position w:val="-1"/>
          <w:szCs w:val="20"/>
        </w:rPr>
        <w:t xml:space="preserve">, (May 2009); at </w:t>
      </w:r>
      <w:hyperlink r:id="rId16" w:history="1">
        <w:r w:rsidRPr="0071580C">
          <w:rPr>
            <w:rStyle w:val="Hyperlink"/>
            <w:rFonts w:eastAsia="Times New Roman"/>
            <w:bCs/>
            <w:spacing w:val="1"/>
            <w:position w:val="-1"/>
            <w:szCs w:val="20"/>
          </w:rPr>
          <w:t>http://www.cdc.gov/niosh-rtecs/MN8D8678.html</w:t>
        </w:r>
      </w:hyperlink>
      <w:r w:rsidRPr="0071580C">
        <w:rPr>
          <w:rFonts w:eastAsia="Times New Roman"/>
          <w:bCs/>
          <w:spacing w:val="1"/>
          <w:position w:val="-1"/>
          <w:szCs w:val="20"/>
        </w:rPr>
        <w:t xml:space="preserve"> (accessed </w:t>
      </w:r>
      <w:r w:rsidR="00334E80" w:rsidRPr="00334E80">
        <w:rPr>
          <w:rFonts w:eastAsia="Times New Roman"/>
          <w:bCs/>
          <w:spacing w:val="1"/>
          <w:position w:val="-1"/>
          <w:szCs w:val="20"/>
        </w:rPr>
        <w:t>Mar 2015</w:t>
      </w:r>
      <w:r w:rsidRPr="0071580C">
        <w:rPr>
          <w:rFonts w:eastAsia="Times New Roman"/>
          <w:bCs/>
          <w:spacing w:val="1"/>
          <w:position w:val="-1"/>
          <w:szCs w:val="20"/>
        </w:rPr>
        <w:t>)</w:t>
      </w:r>
      <w:r w:rsidR="009A603D">
        <w:rPr>
          <w:rFonts w:eastAsia="Times New Roman"/>
          <w:bCs/>
          <w:spacing w:val="1"/>
          <w:position w:val="-1"/>
          <w:szCs w:val="20"/>
        </w:rPr>
        <w:t>.</w:t>
      </w:r>
    </w:p>
    <w:p w14:paraId="6C0AED08" w14:textId="77777777" w:rsidR="00553A75" w:rsidRDefault="00553A75" w:rsidP="00553A75">
      <w:pPr>
        <w:widowControl/>
        <w:tabs>
          <w:tab w:val="left" w:pos="900"/>
        </w:tabs>
        <w:spacing w:before="120"/>
        <w:ind w:left="900" w:hanging="900"/>
        <w:rPr>
          <w:rFonts w:eastAsia="Times New Roman"/>
          <w:szCs w:val="20"/>
        </w:rPr>
      </w:pPr>
    </w:p>
    <w:p w14:paraId="7A342E35" w14:textId="77777777" w:rsidR="0095497C" w:rsidRDefault="00EC2C72" w:rsidP="006B75AB">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14:paraId="6A9D0388" w14:textId="77777777" w:rsidTr="00484EF6">
        <w:trPr>
          <w:trHeight w:val="197"/>
        </w:trPr>
        <w:tc>
          <w:tcPr>
            <w:tcW w:w="1024" w:type="dxa"/>
            <w:vAlign w:val="center"/>
          </w:tcPr>
          <w:p w14:paraId="3EDDB372" w14:textId="77777777" w:rsidR="0095497C" w:rsidRPr="006545B0" w:rsidRDefault="0095497C" w:rsidP="006B75AB">
            <w:pPr>
              <w:widowControl/>
              <w:ind w:right="-86"/>
              <w:contextualSpacing/>
              <w:rPr>
                <w:sz w:val="16"/>
                <w:szCs w:val="16"/>
              </w:rPr>
            </w:pPr>
            <w:r w:rsidRPr="006545B0">
              <w:rPr>
                <w:sz w:val="16"/>
                <w:szCs w:val="16"/>
              </w:rPr>
              <w:t>ACGIH</w:t>
            </w:r>
          </w:p>
        </w:tc>
        <w:tc>
          <w:tcPr>
            <w:tcW w:w="4034" w:type="dxa"/>
            <w:vAlign w:val="center"/>
          </w:tcPr>
          <w:p w14:paraId="5A39F08F" w14:textId="77777777" w:rsidR="0095497C" w:rsidRPr="006545B0" w:rsidRDefault="0095497C" w:rsidP="006B75AB">
            <w:pPr>
              <w:widowControl/>
              <w:ind w:right="-86"/>
              <w:contextualSpacing/>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vAlign w:val="center"/>
          </w:tcPr>
          <w:p w14:paraId="7BCE771C" w14:textId="77777777" w:rsidR="0095497C" w:rsidRPr="006545B0" w:rsidRDefault="0095497C" w:rsidP="006B75AB">
            <w:pPr>
              <w:widowControl/>
              <w:ind w:right="-86"/>
              <w:contextualSpacing/>
              <w:rPr>
                <w:sz w:val="16"/>
                <w:szCs w:val="16"/>
              </w:rPr>
            </w:pPr>
            <w:r w:rsidRPr="006545B0">
              <w:rPr>
                <w:sz w:val="16"/>
                <w:szCs w:val="16"/>
              </w:rPr>
              <w:t>NTP</w:t>
            </w:r>
            <w:r w:rsidRPr="006545B0" w:rsidDel="00D91361">
              <w:rPr>
                <w:sz w:val="16"/>
                <w:szCs w:val="16"/>
              </w:rPr>
              <w:t xml:space="preserve"> </w:t>
            </w:r>
          </w:p>
        </w:tc>
        <w:tc>
          <w:tcPr>
            <w:tcW w:w="3600" w:type="dxa"/>
            <w:vAlign w:val="center"/>
          </w:tcPr>
          <w:p w14:paraId="3ABC7338" w14:textId="77777777" w:rsidR="0095497C" w:rsidRPr="006545B0" w:rsidRDefault="0095497C" w:rsidP="006B75AB">
            <w:pPr>
              <w:widowControl/>
              <w:ind w:right="-86"/>
              <w:contextualSpacing/>
              <w:rPr>
                <w:sz w:val="16"/>
                <w:szCs w:val="16"/>
              </w:rPr>
            </w:pPr>
            <w:r w:rsidRPr="006545B0">
              <w:rPr>
                <w:sz w:val="16"/>
                <w:szCs w:val="16"/>
              </w:rPr>
              <w:t>National Toxicology Program</w:t>
            </w:r>
          </w:p>
        </w:tc>
      </w:tr>
      <w:tr w:rsidR="0095497C" w:rsidRPr="006545B0" w14:paraId="1CB08594" w14:textId="77777777" w:rsidTr="00484EF6">
        <w:trPr>
          <w:trHeight w:val="144"/>
        </w:trPr>
        <w:tc>
          <w:tcPr>
            <w:tcW w:w="1024" w:type="dxa"/>
            <w:vAlign w:val="center"/>
          </w:tcPr>
          <w:p w14:paraId="249D7098" w14:textId="77777777" w:rsidR="0095497C" w:rsidRPr="006545B0" w:rsidRDefault="0095497C" w:rsidP="006B75AB">
            <w:pPr>
              <w:widowControl/>
              <w:ind w:right="-86"/>
              <w:contextualSpacing/>
              <w:rPr>
                <w:sz w:val="16"/>
                <w:szCs w:val="16"/>
              </w:rPr>
            </w:pPr>
            <w:r w:rsidRPr="006545B0">
              <w:rPr>
                <w:sz w:val="16"/>
                <w:szCs w:val="16"/>
              </w:rPr>
              <w:t>CAS</w:t>
            </w:r>
            <w:r w:rsidRPr="006545B0" w:rsidDel="00D91361">
              <w:rPr>
                <w:sz w:val="16"/>
                <w:szCs w:val="16"/>
              </w:rPr>
              <w:t xml:space="preserve"> </w:t>
            </w:r>
          </w:p>
        </w:tc>
        <w:tc>
          <w:tcPr>
            <w:tcW w:w="4034" w:type="dxa"/>
            <w:vAlign w:val="center"/>
          </w:tcPr>
          <w:p w14:paraId="46F5382E" w14:textId="77777777" w:rsidR="0095497C" w:rsidRPr="006545B0" w:rsidRDefault="0095497C" w:rsidP="006B75AB">
            <w:pPr>
              <w:widowControl/>
              <w:ind w:right="-86"/>
              <w:contextualSpacing/>
              <w:rPr>
                <w:sz w:val="16"/>
                <w:szCs w:val="16"/>
              </w:rPr>
            </w:pPr>
            <w:r w:rsidRPr="006545B0">
              <w:rPr>
                <w:sz w:val="16"/>
                <w:szCs w:val="16"/>
              </w:rPr>
              <w:t>Chemical Abstracts Service</w:t>
            </w:r>
            <w:r w:rsidRPr="006545B0" w:rsidDel="00D91361">
              <w:rPr>
                <w:sz w:val="16"/>
                <w:szCs w:val="16"/>
              </w:rPr>
              <w:t xml:space="preserve"> </w:t>
            </w:r>
          </w:p>
        </w:tc>
        <w:tc>
          <w:tcPr>
            <w:tcW w:w="720" w:type="dxa"/>
            <w:vAlign w:val="center"/>
          </w:tcPr>
          <w:p w14:paraId="4879290F" w14:textId="77777777" w:rsidR="0095497C" w:rsidRPr="006545B0" w:rsidRDefault="0095497C" w:rsidP="006B75AB">
            <w:pPr>
              <w:widowControl/>
              <w:ind w:right="-86"/>
              <w:contextualSpacing/>
              <w:rPr>
                <w:sz w:val="16"/>
                <w:szCs w:val="16"/>
              </w:rPr>
            </w:pPr>
            <w:r w:rsidRPr="006545B0">
              <w:rPr>
                <w:sz w:val="16"/>
                <w:szCs w:val="16"/>
              </w:rPr>
              <w:t>OSHA</w:t>
            </w:r>
            <w:r w:rsidRPr="006545B0" w:rsidDel="00D91361">
              <w:rPr>
                <w:sz w:val="16"/>
                <w:szCs w:val="16"/>
              </w:rPr>
              <w:t xml:space="preserve"> </w:t>
            </w:r>
          </w:p>
        </w:tc>
        <w:tc>
          <w:tcPr>
            <w:tcW w:w="3600" w:type="dxa"/>
            <w:vAlign w:val="center"/>
          </w:tcPr>
          <w:p w14:paraId="6B28F0F3" w14:textId="77777777" w:rsidR="0095497C" w:rsidRPr="006545B0" w:rsidRDefault="0095497C" w:rsidP="006B75AB">
            <w:pPr>
              <w:widowControl/>
              <w:ind w:right="-86"/>
              <w:contextualSpacing/>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14:paraId="717461FA" w14:textId="77777777" w:rsidTr="00484EF6">
        <w:trPr>
          <w:trHeight w:val="144"/>
        </w:trPr>
        <w:tc>
          <w:tcPr>
            <w:tcW w:w="1024" w:type="dxa"/>
            <w:vAlign w:val="center"/>
          </w:tcPr>
          <w:p w14:paraId="3B013670" w14:textId="77777777" w:rsidR="0095497C" w:rsidRPr="006545B0" w:rsidRDefault="0095497C" w:rsidP="006B75AB">
            <w:pPr>
              <w:widowControl/>
              <w:ind w:right="-90"/>
              <w:contextualSpacing/>
              <w:rPr>
                <w:sz w:val="16"/>
                <w:szCs w:val="16"/>
              </w:rPr>
            </w:pPr>
            <w:r w:rsidRPr="006545B0">
              <w:rPr>
                <w:sz w:val="16"/>
                <w:szCs w:val="16"/>
              </w:rPr>
              <w:t>CERCLA</w:t>
            </w:r>
            <w:r w:rsidRPr="006545B0" w:rsidDel="00D91361">
              <w:rPr>
                <w:sz w:val="16"/>
                <w:szCs w:val="16"/>
              </w:rPr>
              <w:t xml:space="preserve"> </w:t>
            </w:r>
          </w:p>
        </w:tc>
        <w:tc>
          <w:tcPr>
            <w:tcW w:w="4034" w:type="dxa"/>
            <w:vAlign w:val="center"/>
          </w:tcPr>
          <w:p w14:paraId="38923EF4" w14:textId="77777777" w:rsidR="0095497C" w:rsidRPr="006545B0" w:rsidRDefault="0095497C" w:rsidP="006B75AB">
            <w:pPr>
              <w:widowControl/>
              <w:ind w:right="-90"/>
              <w:contextualSpacing/>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vAlign w:val="center"/>
          </w:tcPr>
          <w:p w14:paraId="5D85EF6E" w14:textId="77777777" w:rsidR="0095497C" w:rsidRPr="006545B0" w:rsidRDefault="0095497C" w:rsidP="006B75AB">
            <w:pPr>
              <w:widowControl/>
              <w:ind w:right="-90"/>
              <w:contextualSpacing/>
              <w:rPr>
                <w:sz w:val="16"/>
                <w:szCs w:val="16"/>
              </w:rPr>
            </w:pPr>
            <w:r w:rsidRPr="006545B0">
              <w:rPr>
                <w:sz w:val="16"/>
                <w:szCs w:val="16"/>
              </w:rPr>
              <w:t>PEL</w:t>
            </w:r>
            <w:r w:rsidRPr="006545B0" w:rsidDel="00D91361">
              <w:rPr>
                <w:sz w:val="16"/>
                <w:szCs w:val="16"/>
              </w:rPr>
              <w:t xml:space="preserve"> </w:t>
            </w:r>
          </w:p>
        </w:tc>
        <w:tc>
          <w:tcPr>
            <w:tcW w:w="3600" w:type="dxa"/>
            <w:vAlign w:val="center"/>
          </w:tcPr>
          <w:p w14:paraId="763F322A" w14:textId="77777777" w:rsidR="0095497C" w:rsidRPr="006545B0" w:rsidRDefault="0095497C" w:rsidP="009269FC">
            <w:pPr>
              <w:widowControl/>
              <w:ind w:right="-90"/>
              <w:contextualSpacing/>
              <w:rPr>
                <w:sz w:val="16"/>
                <w:szCs w:val="16"/>
              </w:rPr>
            </w:pPr>
            <w:r w:rsidRPr="006545B0">
              <w:rPr>
                <w:sz w:val="16"/>
                <w:szCs w:val="16"/>
              </w:rPr>
              <w:t>Permissible Exposure L</w:t>
            </w:r>
            <w:r w:rsidR="009269FC">
              <w:rPr>
                <w:sz w:val="16"/>
                <w:szCs w:val="16"/>
              </w:rPr>
              <w:t>imit</w:t>
            </w:r>
          </w:p>
        </w:tc>
      </w:tr>
      <w:tr w:rsidR="0095497C" w:rsidRPr="006545B0" w14:paraId="3AB48F38" w14:textId="77777777" w:rsidTr="00484EF6">
        <w:trPr>
          <w:trHeight w:val="144"/>
        </w:trPr>
        <w:tc>
          <w:tcPr>
            <w:tcW w:w="1024" w:type="dxa"/>
            <w:vAlign w:val="center"/>
          </w:tcPr>
          <w:p w14:paraId="18DFA33E" w14:textId="77777777" w:rsidR="0095497C" w:rsidRPr="006545B0" w:rsidRDefault="0095497C" w:rsidP="006B75AB">
            <w:pPr>
              <w:widowControl/>
              <w:ind w:right="-90"/>
              <w:contextualSpacing/>
              <w:rPr>
                <w:sz w:val="16"/>
                <w:szCs w:val="16"/>
              </w:rPr>
            </w:pPr>
            <w:r w:rsidRPr="006545B0">
              <w:rPr>
                <w:sz w:val="16"/>
                <w:szCs w:val="16"/>
              </w:rPr>
              <w:t>CFR</w:t>
            </w:r>
            <w:r w:rsidRPr="006545B0" w:rsidDel="00D91361">
              <w:rPr>
                <w:sz w:val="16"/>
                <w:szCs w:val="16"/>
              </w:rPr>
              <w:t xml:space="preserve"> </w:t>
            </w:r>
          </w:p>
        </w:tc>
        <w:tc>
          <w:tcPr>
            <w:tcW w:w="4034" w:type="dxa"/>
            <w:vAlign w:val="center"/>
          </w:tcPr>
          <w:p w14:paraId="568638E5" w14:textId="77777777" w:rsidR="0095497C" w:rsidRPr="006545B0" w:rsidRDefault="0095497C" w:rsidP="006B75AB">
            <w:pPr>
              <w:widowControl/>
              <w:ind w:right="-90"/>
              <w:contextualSpacing/>
              <w:rPr>
                <w:sz w:val="16"/>
                <w:szCs w:val="16"/>
              </w:rPr>
            </w:pPr>
            <w:r w:rsidRPr="006545B0">
              <w:rPr>
                <w:sz w:val="16"/>
                <w:szCs w:val="16"/>
              </w:rPr>
              <w:t>Code of Federal Regulations</w:t>
            </w:r>
            <w:r w:rsidRPr="006545B0" w:rsidDel="00D91361">
              <w:rPr>
                <w:sz w:val="16"/>
                <w:szCs w:val="16"/>
              </w:rPr>
              <w:t xml:space="preserve"> </w:t>
            </w:r>
          </w:p>
        </w:tc>
        <w:tc>
          <w:tcPr>
            <w:tcW w:w="720" w:type="dxa"/>
            <w:vAlign w:val="center"/>
          </w:tcPr>
          <w:p w14:paraId="76418BF2" w14:textId="77777777" w:rsidR="0095497C" w:rsidRPr="006545B0" w:rsidRDefault="0095497C" w:rsidP="006B75AB">
            <w:pPr>
              <w:widowControl/>
              <w:ind w:right="-90"/>
              <w:contextualSpacing/>
              <w:rPr>
                <w:sz w:val="16"/>
                <w:szCs w:val="16"/>
              </w:rPr>
            </w:pPr>
            <w:r w:rsidRPr="006545B0">
              <w:rPr>
                <w:sz w:val="16"/>
                <w:szCs w:val="16"/>
              </w:rPr>
              <w:t>RCRA</w:t>
            </w:r>
            <w:r w:rsidRPr="006545B0" w:rsidDel="00D91361">
              <w:rPr>
                <w:sz w:val="16"/>
                <w:szCs w:val="16"/>
              </w:rPr>
              <w:t xml:space="preserve"> </w:t>
            </w:r>
          </w:p>
        </w:tc>
        <w:tc>
          <w:tcPr>
            <w:tcW w:w="3600" w:type="dxa"/>
            <w:vAlign w:val="center"/>
          </w:tcPr>
          <w:p w14:paraId="4BA2AC30" w14:textId="77777777" w:rsidR="0095497C" w:rsidRPr="006545B0" w:rsidRDefault="0095497C" w:rsidP="006B75AB">
            <w:pPr>
              <w:widowControl/>
              <w:ind w:right="-90"/>
              <w:contextualSpacing/>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14:paraId="3D6F09D1" w14:textId="77777777" w:rsidTr="00484EF6">
        <w:trPr>
          <w:trHeight w:val="144"/>
        </w:trPr>
        <w:tc>
          <w:tcPr>
            <w:tcW w:w="1024" w:type="dxa"/>
            <w:vAlign w:val="center"/>
          </w:tcPr>
          <w:p w14:paraId="3BE732C2" w14:textId="77777777" w:rsidR="0095497C" w:rsidRPr="006545B0" w:rsidRDefault="0095497C" w:rsidP="006B75AB">
            <w:pPr>
              <w:widowControl/>
              <w:ind w:right="-90"/>
              <w:contextualSpacing/>
              <w:rPr>
                <w:sz w:val="16"/>
                <w:szCs w:val="16"/>
              </w:rPr>
            </w:pPr>
            <w:r w:rsidRPr="006545B0">
              <w:rPr>
                <w:sz w:val="16"/>
                <w:szCs w:val="16"/>
              </w:rPr>
              <w:t>DOT</w:t>
            </w:r>
            <w:r w:rsidRPr="006545B0" w:rsidDel="00D91361">
              <w:rPr>
                <w:sz w:val="16"/>
                <w:szCs w:val="16"/>
              </w:rPr>
              <w:t xml:space="preserve"> </w:t>
            </w:r>
          </w:p>
        </w:tc>
        <w:tc>
          <w:tcPr>
            <w:tcW w:w="4034" w:type="dxa"/>
            <w:vAlign w:val="center"/>
          </w:tcPr>
          <w:p w14:paraId="2F930708" w14:textId="77777777" w:rsidR="0095497C" w:rsidRPr="006545B0" w:rsidRDefault="0095497C" w:rsidP="006B75AB">
            <w:pPr>
              <w:widowControl/>
              <w:ind w:right="-90"/>
              <w:contextualSpacing/>
              <w:rPr>
                <w:sz w:val="16"/>
                <w:szCs w:val="16"/>
              </w:rPr>
            </w:pPr>
            <w:r w:rsidRPr="006545B0">
              <w:rPr>
                <w:sz w:val="16"/>
                <w:szCs w:val="16"/>
              </w:rPr>
              <w:t>Department of Transportation</w:t>
            </w:r>
            <w:r w:rsidRPr="006545B0" w:rsidDel="00D91361">
              <w:rPr>
                <w:sz w:val="16"/>
                <w:szCs w:val="16"/>
              </w:rPr>
              <w:t xml:space="preserve"> </w:t>
            </w:r>
          </w:p>
        </w:tc>
        <w:tc>
          <w:tcPr>
            <w:tcW w:w="720" w:type="dxa"/>
            <w:vAlign w:val="center"/>
          </w:tcPr>
          <w:p w14:paraId="36818D7B" w14:textId="77777777" w:rsidR="0095497C" w:rsidRPr="006545B0" w:rsidRDefault="0095497C" w:rsidP="006B75AB">
            <w:pPr>
              <w:widowControl/>
              <w:ind w:right="-90"/>
              <w:contextualSpacing/>
              <w:rPr>
                <w:sz w:val="16"/>
                <w:szCs w:val="16"/>
              </w:rPr>
            </w:pPr>
            <w:r w:rsidRPr="006545B0">
              <w:rPr>
                <w:sz w:val="16"/>
                <w:szCs w:val="16"/>
              </w:rPr>
              <w:t>REL</w:t>
            </w:r>
            <w:r w:rsidRPr="006545B0" w:rsidDel="00D91361">
              <w:rPr>
                <w:sz w:val="16"/>
                <w:szCs w:val="16"/>
              </w:rPr>
              <w:t xml:space="preserve"> </w:t>
            </w:r>
          </w:p>
        </w:tc>
        <w:tc>
          <w:tcPr>
            <w:tcW w:w="3600" w:type="dxa"/>
            <w:vAlign w:val="center"/>
          </w:tcPr>
          <w:p w14:paraId="231D7DC7" w14:textId="77777777" w:rsidR="0095497C" w:rsidRPr="006545B0" w:rsidRDefault="0095497C" w:rsidP="006B75AB">
            <w:pPr>
              <w:widowControl/>
              <w:ind w:right="-90"/>
              <w:contextualSpacing/>
              <w:rPr>
                <w:sz w:val="16"/>
                <w:szCs w:val="16"/>
              </w:rPr>
            </w:pPr>
            <w:r w:rsidRPr="006545B0">
              <w:rPr>
                <w:sz w:val="16"/>
                <w:szCs w:val="16"/>
              </w:rPr>
              <w:t>Recommended Exposure Limit</w:t>
            </w:r>
            <w:r w:rsidRPr="006545B0" w:rsidDel="00D91361">
              <w:rPr>
                <w:sz w:val="16"/>
                <w:szCs w:val="16"/>
              </w:rPr>
              <w:t xml:space="preserve"> </w:t>
            </w:r>
          </w:p>
        </w:tc>
      </w:tr>
      <w:tr w:rsidR="0095497C" w:rsidRPr="006545B0" w14:paraId="1B84E67B" w14:textId="77777777" w:rsidTr="00484EF6">
        <w:trPr>
          <w:trHeight w:val="144"/>
        </w:trPr>
        <w:tc>
          <w:tcPr>
            <w:tcW w:w="1024" w:type="dxa"/>
            <w:vAlign w:val="center"/>
          </w:tcPr>
          <w:p w14:paraId="67D87E8D" w14:textId="77777777" w:rsidR="0095497C" w:rsidRPr="006545B0" w:rsidRDefault="0095497C" w:rsidP="006B75AB">
            <w:pPr>
              <w:widowControl/>
              <w:ind w:right="-90"/>
              <w:contextualSpacing/>
              <w:rPr>
                <w:sz w:val="16"/>
                <w:szCs w:val="16"/>
              </w:rPr>
            </w:pPr>
            <w:r w:rsidRPr="006545B0">
              <w:rPr>
                <w:sz w:val="16"/>
                <w:szCs w:val="16"/>
              </w:rPr>
              <w:t>EINECS</w:t>
            </w:r>
          </w:p>
        </w:tc>
        <w:tc>
          <w:tcPr>
            <w:tcW w:w="4034" w:type="dxa"/>
            <w:vAlign w:val="center"/>
          </w:tcPr>
          <w:p w14:paraId="777BC913" w14:textId="77777777" w:rsidR="0095497C" w:rsidRPr="006545B0" w:rsidRDefault="0095497C" w:rsidP="006B75AB">
            <w:pPr>
              <w:widowControl/>
              <w:ind w:right="-90"/>
              <w:contextualSpacing/>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vAlign w:val="center"/>
          </w:tcPr>
          <w:p w14:paraId="62DDE6A5" w14:textId="77777777" w:rsidR="0095497C" w:rsidRPr="006545B0" w:rsidRDefault="0095497C" w:rsidP="006B75AB">
            <w:pPr>
              <w:widowControl/>
              <w:ind w:right="-90"/>
              <w:contextualSpacing/>
              <w:rPr>
                <w:sz w:val="16"/>
                <w:szCs w:val="16"/>
              </w:rPr>
            </w:pPr>
            <w:r w:rsidRPr="006545B0">
              <w:rPr>
                <w:sz w:val="16"/>
                <w:szCs w:val="16"/>
              </w:rPr>
              <w:t>RQ</w:t>
            </w:r>
            <w:r w:rsidRPr="006545B0" w:rsidDel="00D91361">
              <w:rPr>
                <w:sz w:val="16"/>
                <w:szCs w:val="16"/>
              </w:rPr>
              <w:t xml:space="preserve"> </w:t>
            </w:r>
          </w:p>
        </w:tc>
        <w:tc>
          <w:tcPr>
            <w:tcW w:w="3600" w:type="dxa"/>
            <w:vAlign w:val="center"/>
          </w:tcPr>
          <w:p w14:paraId="75E634CF" w14:textId="77777777" w:rsidR="0095497C" w:rsidRPr="006545B0" w:rsidRDefault="0095497C" w:rsidP="006B75AB">
            <w:pPr>
              <w:widowControl/>
              <w:ind w:right="-90"/>
              <w:contextualSpacing/>
              <w:rPr>
                <w:sz w:val="16"/>
                <w:szCs w:val="16"/>
              </w:rPr>
            </w:pPr>
            <w:r w:rsidRPr="006545B0">
              <w:rPr>
                <w:sz w:val="16"/>
                <w:szCs w:val="16"/>
              </w:rPr>
              <w:t>Reportable Quantity</w:t>
            </w:r>
            <w:r w:rsidRPr="006545B0" w:rsidDel="00D91361">
              <w:rPr>
                <w:sz w:val="16"/>
                <w:szCs w:val="16"/>
              </w:rPr>
              <w:t xml:space="preserve"> </w:t>
            </w:r>
          </w:p>
        </w:tc>
      </w:tr>
      <w:tr w:rsidR="0095497C" w:rsidRPr="006545B0" w14:paraId="36405BE1" w14:textId="77777777" w:rsidTr="00484EF6">
        <w:trPr>
          <w:trHeight w:val="144"/>
        </w:trPr>
        <w:tc>
          <w:tcPr>
            <w:tcW w:w="1024" w:type="dxa"/>
            <w:vAlign w:val="center"/>
          </w:tcPr>
          <w:p w14:paraId="548ACB22" w14:textId="77777777" w:rsidR="0095497C" w:rsidRPr="006545B0" w:rsidRDefault="0095497C" w:rsidP="006B75AB">
            <w:pPr>
              <w:widowControl/>
              <w:ind w:right="-90"/>
              <w:contextualSpacing/>
              <w:rPr>
                <w:sz w:val="16"/>
                <w:szCs w:val="16"/>
              </w:rPr>
            </w:pPr>
            <w:r w:rsidRPr="006545B0">
              <w:rPr>
                <w:sz w:val="16"/>
                <w:szCs w:val="16"/>
              </w:rPr>
              <w:t>EPCRA</w:t>
            </w:r>
            <w:r w:rsidRPr="006545B0" w:rsidDel="00D91361">
              <w:rPr>
                <w:sz w:val="16"/>
                <w:szCs w:val="16"/>
              </w:rPr>
              <w:t xml:space="preserve"> </w:t>
            </w:r>
          </w:p>
        </w:tc>
        <w:tc>
          <w:tcPr>
            <w:tcW w:w="4034" w:type="dxa"/>
            <w:vAlign w:val="center"/>
          </w:tcPr>
          <w:p w14:paraId="6B9FB802" w14:textId="77777777" w:rsidR="0095497C" w:rsidRPr="006545B0" w:rsidRDefault="0095497C" w:rsidP="006B75AB">
            <w:pPr>
              <w:widowControl/>
              <w:ind w:right="-90"/>
              <w:contextualSpacing/>
              <w:rPr>
                <w:sz w:val="16"/>
                <w:szCs w:val="16"/>
              </w:rPr>
            </w:pPr>
            <w:r w:rsidRPr="006545B0">
              <w:rPr>
                <w:sz w:val="16"/>
                <w:szCs w:val="16"/>
              </w:rPr>
              <w:t>Emergency Planning and Community Right</w:t>
            </w:r>
            <w:r w:rsidR="00343DF9">
              <w:rPr>
                <w:sz w:val="16"/>
                <w:szCs w:val="16"/>
              </w:rPr>
              <w:noBreakHyphen/>
            </w:r>
            <w:r w:rsidRPr="006545B0">
              <w:rPr>
                <w:sz w:val="16"/>
                <w:szCs w:val="16"/>
              </w:rPr>
              <w:t>to</w:t>
            </w:r>
            <w:r w:rsidR="00343DF9">
              <w:rPr>
                <w:sz w:val="16"/>
                <w:szCs w:val="16"/>
              </w:rPr>
              <w:noBreakHyphen/>
            </w:r>
            <w:r w:rsidRPr="006545B0">
              <w:rPr>
                <w:sz w:val="16"/>
                <w:szCs w:val="16"/>
              </w:rPr>
              <w:t>Know Act</w:t>
            </w:r>
            <w:r w:rsidRPr="006545B0" w:rsidDel="00D91361">
              <w:rPr>
                <w:sz w:val="16"/>
                <w:szCs w:val="16"/>
              </w:rPr>
              <w:t xml:space="preserve"> </w:t>
            </w:r>
          </w:p>
        </w:tc>
        <w:tc>
          <w:tcPr>
            <w:tcW w:w="720" w:type="dxa"/>
            <w:vAlign w:val="center"/>
          </w:tcPr>
          <w:p w14:paraId="69630AB4" w14:textId="77777777" w:rsidR="0095497C" w:rsidRPr="006545B0" w:rsidRDefault="0095497C" w:rsidP="006B75AB">
            <w:pPr>
              <w:widowControl/>
              <w:ind w:right="-90"/>
              <w:contextualSpacing/>
              <w:rPr>
                <w:sz w:val="16"/>
                <w:szCs w:val="16"/>
              </w:rPr>
            </w:pPr>
            <w:r w:rsidRPr="006545B0">
              <w:rPr>
                <w:sz w:val="16"/>
                <w:szCs w:val="16"/>
              </w:rPr>
              <w:t>RTECS</w:t>
            </w:r>
          </w:p>
        </w:tc>
        <w:tc>
          <w:tcPr>
            <w:tcW w:w="3600" w:type="dxa"/>
            <w:vAlign w:val="center"/>
          </w:tcPr>
          <w:p w14:paraId="179E7D79" w14:textId="77777777" w:rsidR="0095497C" w:rsidRPr="006545B0" w:rsidRDefault="0095497C" w:rsidP="006B75AB">
            <w:pPr>
              <w:widowControl/>
              <w:ind w:right="-90"/>
              <w:contextualSpacing/>
              <w:rPr>
                <w:sz w:val="16"/>
                <w:szCs w:val="16"/>
              </w:rPr>
            </w:pPr>
            <w:r w:rsidRPr="006545B0">
              <w:rPr>
                <w:sz w:val="16"/>
                <w:szCs w:val="16"/>
              </w:rPr>
              <w:t>Registry of Toxic Effects of Chemical Substances</w:t>
            </w:r>
          </w:p>
        </w:tc>
      </w:tr>
      <w:tr w:rsidR="0095497C" w:rsidRPr="006545B0" w14:paraId="081DFC00" w14:textId="77777777" w:rsidTr="00484EF6">
        <w:trPr>
          <w:trHeight w:val="144"/>
        </w:trPr>
        <w:tc>
          <w:tcPr>
            <w:tcW w:w="1024" w:type="dxa"/>
            <w:vAlign w:val="center"/>
          </w:tcPr>
          <w:p w14:paraId="5E11A72B" w14:textId="77777777" w:rsidR="0095497C" w:rsidRPr="006545B0" w:rsidRDefault="0095497C" w:rsidP="006B75AB">
            <w:pPr>
              <w:widowControl/>
              <w:ind w:right="-90"/>
              <w:contextualSpacing/>
              <w:rPr>
                <w:sz w:val="16"/>
                <w:szCs w:val="16"/>
              </w:rPr>
            </w:pPr>
            <w:r w:rsidRPr="006545B0">
              <w:rPr>
                <w:sz w:val="16"/>
                <w:szCs w:val="16"/>
              </w:rPr>
              <w:t>IARC</w:t>
            </w:r>
            <w:r w:rsidRPr="006545B0" w:rsidDel="00D91361">
              <w:rPr>
                <w:sz w:val="16"/>
                <w:szCs w:val="16"/>
              </w:rPr>
              <w:t xml:space="preserve"> </w:t>
            </w:r>
          </w:p>
        </w:tc>
        <w:tc>
          <w:tcPr>
            <w:tcW w:w="4034" w:type="dxa"/>
            <w:vAlign w:val="center"/>
          </w:tcPr>
          <w:p w14:paraId="6647140E" w14:textId="77777777" w:rsidR="0095497C" w:rsidRPr="006545B0" w:rsidRDefault="0095497C" w:rsidP="006B75AB">
            <w:pPr>
              <w:widowControl/>
              <w:ind w:right="-90"/>
              <w:contextualSpacing/>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vAlign w:val="center"/>
          </w:tcPr>
          <w:p w14:paraId="4FD94B74" w14:textId="77777777" w:rsidR="0095497C" w:rsidRPr="006545B0" w:rsidRDefault="0095497C" w:rsidP="006B75AB">
            <w:pPr>
              <w:widowControl/>
              <w:ind w:right="-90"/>
              <w:contextualSpacing/>
              <w:rPr>
                <w:sz w:val="16"/>
                <w:szCs w:val="16"/>
              </w:rPr>
            </w:pPr>
            <w:r w:rsidRPr="006545B0">
              <w:rPr>
                <w:sz w:val="16"/>
                <w:szCs w:val="16"/>
              </w:rPr>
              <w:t>SARA</w:t>
            </w:r>
            <w:r w:rsidRPr="006545B0" w:rsidDel="00D91361">
              <w:rPr>
                <w:sz w:val="16"/>
                <w:szCs w:val="16"/>
              </w:rPr>
              <w:t xml:space="preserve"> </w:t>
            </w:r>
          </w:p>
        </w:tc>
        <w:tc>
          <w:tcPr>
            <w:tcW w:w="3600" w:type="dxa"/>
            <w:vAlign w:val="center"/>
          </w:tcPr>
          <w:p w14:paraId="5E309055" w14:textId="77777777" w:rsidR="0095497C" w:rsidRPr="006545B0" w:rsidRDefault="0095497C" w:rsidP="006B75AB">
            <w:pPr>
              <w:widowControl/>
              <w:ind w:right="-90"/>
              <w:contextualSpacing/>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14:paraId="32B3B2FE" w14:textId="77777777" w:rsidTr="00484EF6">
        <w:trPr>
          <w:trHeight w:val="144"/>
        </w:trPr>
        <w:tc>
          <w:tcPr>
            <w:tcW w:w="1024" w:type="dxa"/>
            <w:vAlign w:val="center"/>
          </w:tcPr>
          <w:p w14:paraId="01594DCB" w14:textId="77777777" w:rsidR="0095497C" w:rsidRPr="006545B0" w:rsidRDefault="0095497C" w:rsidP="006B75AB">
            <w:pPr>
              <w:widowControl/>
              <w:ind w:right="-90"/>
              <w:contextualSpacing/>
              <w:rPr>
                <w:sz w:val="16"/>
                <w:szCs w:val="16"/>
              </w:rPr>
            </w:pPr>
            <w:r w:rsidRPr="006545B0">
              <w:rPr>
                <w:sz w:val="16"/>
                <w:szCs w:val="16"/>
              </w:rPr>
              <w:t>IATA</w:t>
            </w:r>
            <w:r w:rsidRPr="006545B0" w:rsidDel="00D91361">
              <w:rPr>
                <w:sz w:val="16"/>
                <w:szCs w:val="16"/>
              </w:rPr>
              <w:t xml:space="preserve"> </w:t>
            </w:r>
          </w:p>
        </w:tc>
        <w:tc>
          <w:tcPr>
            <w:tcW w:w="4034" w:type="dxa"/>
            <w:vAlign w:val="center"/>
          </w:tcPr>
          <w:p w14:paraId="5A0A044A" w14:textId="77777777" w:rsidR="0095497C" w:rsidRPr="006545B0" w:rsidRDefault="0095497C" w:rsidP="006B75AB">
            <w:pPr>
              <w:widowControl/>
              <w:ind w:right="-90"/>
              <w:contextualSpacing/>
              <w:rPr>
                <w:sz w:val="16"/>
                <w:szCs w:val="16"/>
              </w:rPr>
            </w:pPr>
            <w:r w:rsidRPr="006545B0">
              <w:rPr>
                <w:sz w:val="16"/>
                <w:szCs w:val="16"/>
              </w:rPr>
              <w:t>International Air Transportation Agency</w:t>
            </w:r>
            <w:r w:rsidRPr="006545B0" w:rsidDel="00D91361">
              <w:rPr>
                <w:sz w:val="16"/>
                <w:szCs w:val="16"/>
              </w:rPr>
              <w:t xml:space="preserve"> </w:t>
            </w:r>
          </w:p>
        </w:tc>
        <w:tc>
          <w:tcPr>
            <w:tcW w:w="720" w:type="dxa"/>
            <w:vAlign w:val="center"/>
          </w:tcPr>
          <w:p w14:paraId="4D5376C8" w14:textId="77777777" w:rsidR="0095497C" w:rsidRPr="006545B0" w:rsidRDefault="0095497C" w:rsidP="006B75AB">
            <w:pPr>
              <w:widowControl/>
              <w:ind w:right="-90"/>
              <w:contextualSpacing/>
              <w:rPr>
                <w:sz w:val="16"/>
                <w:szCs w:val="16"/>
              </w:rPr>
            </w:pPr>
            <w:r w:rsidRPr="006545B0">
              <w:rPr>
                <w:sz w:val="16"/>
                <w:szCs w:val="16"/>
              </w:rPr>
              <w:t>SCBA</w:t>
            </w:r>
            <w:r w:rsidRPr="006545B0" w:rsidDel="00D91361">
              <w:rPr>
                <w:sz w:val="16"/>
                <w:szCs w:val="16"/>
              </w:rPr>
              <w:t xml:space="preserve"> </w:t>
            </w:r>
          </w:p>
        </w:tc>
        <w:tc>
          <w:tcPr>
            <w:tcW w:w="3600" w:type="dxa"/>
            <w:vAlign w:val="center"/>
          </w:tcPr>
          <w:p w14:paraId="1600AB2E" w14:textId="77777777" w:rsidR="0095497C" w:rsidRPr="006545B0" w:rsidRDefault="0095497C" w:rsidP="006B75AB">
            <w:pPr>
              <w:widowControl/>
              <w:ind w:right="-90"/>
              <w:contextualSpacing/>
              <w:rPr>
                <w:sz w:val="16"/>
                <w:szCs w:val="16"/>
              </w:rPr>
            </w:pPr>
            <w:r w:rsidRPr="006545B0">
              <w:rPr>
                <w:sz w:val="16"/>
                <w:szCs w:val="16"/>
              </w:rPr>
              <w:t>Self</w:t>
            </w:r>
            <w:r w:rsidR="00343DF9">
              <w:rPr>
                <w:sz w:val="16"/>
                <w:szCs w:val="16"/>
              </w:rPr>
              <w:noBreakHyphen/>
            </w:r>
            <w:r w:rsidRPr="006545B0">
              <w:rPr>
                <w:sz w:val="16"/>
                <w:szCs w:val="16"/>
              </w:rPr>
              <w:t>Contained Breathing Apparatus</w:t>
            </w:r>
            <w:r w:rsidRPr="006545B0" w:rsidDel="00D91361">
              <w:rPr>
                <w:sz w:val="16"/>
                <w:szCs w:val="16"/>
              </w:rPr>
              <w:t xml:space="preserve"> </w:t>
            </w:r>
          </w:p>
        </w:tc>
      </w:tr>
      <w:tr w:rsidR="0095497C" w:rsidRPr="006545B0" w14:paraId="248529AF" w14:textId="77777777" w:rsidTr="00484EF6">
        <w:trPr>
          <w:trHeight w:val="144"/>
        </w:trPr>
        <w:tc>
          <w:tcPr>
            <w:tcW w:w="1024" w:type="dxa"/>
            <w:vAlign w:val="center"/>
          </w:tcPr>
          <w:p w14:paraId="32E6855A" w14:textId="77777777" w:rsidR="0095497C" w:rsidRPr="006545B0" w:rsidRDefault="0095497C" w:rsidP="006B75AB">
            <w:pPr>
              <w:widowControl/>
              <w:ind w:right="-90"/>
              <w:contextualSpacing/>
              <w:rPr>
                <w:sz w:val="16"/>
                <w:szCs w:val="16"/>
              </w:rPr>
            </w:pPr>
            <w:r w:rsidRPr="006545B0">
              <w:rPr>
                <w:sz w:val="16"/>
                <w:szCs w:val="16"/>
              </w:rPr>
              <w:t>IDLH</w:t>
            </w:r>
            <w:r w:rsidRPr="006545B0" w:rsidDel="00D91361">
              <w:rPr>
                <w:sz w:val="16"/>
                <w:szCs w:val="16"/>
              </w:rPr>
              <w:t xml:space="preserve"> </w:t>
            </w:r>
          </w:p>
        </w:tc>
        <w:tc>
          <w:tcPr>
            <w:tcW w:w="4034" w:type="dxa"/>
            <w:vAlign w:val="center"/>
          </w:tcPr>
          <w:p w14:paraId="5096A7AF" w14:textId="77777777" w:rsidR="0095497C" w:rsidRPr="006545B0" w:rsidRDefault="0095497C" w:rsidP="006B75AB">
            <w:pPr>
              <w:widowControl/>
              <w:ind w:right="-90"/>
              <w:contextualSpacing/>
              <w:rPr>
                <w:sz w:val="16"/>
                <w:szCs w:val="16"/>
              </w:rPr>
            </w:pPr>
            <w:r w:rsidRPr="006545B0">
              <w:rPr>
                <w:sz w:val="16"/>
                <w:szCs w:val="16"/>
              </w:rPr>
              <w:t>Immediately Dangerous to Life and Health</w:t>
            </w:r>
            <w:r w:rsidRPr="006545B0" w:rsidDel="00D91361">
              <w:rPr>
                <w:sz w:val="16"/>
                <w:szCs w:val="16"/>
              </w:rPr>
              <w:t xml:space="preserve"> </w:t>
            </w:r>
          </w:p>
        </w:tc>
        <w:tc>
          <w:tcPr>
            <w:tcW w:w="720" w:type="dxa"/>
            <w:vAlign w:val="center"/>
          </w:tcPr>
          <w:p w14:paraId="3EABC42F" w14:textId="77777777" w:rsidR="0095497C" w:rsidRPr="006545B0" w:rsidRDefault="0095497C" w:rsidP="006B75AB">
            <w:pPr>
              <w:widowControl/>
              <w:ind w:right="-90"/>
              <w:contextualSpacing/>
              <w:rPr>
                <w:sz w:val="16"/>
                <w:szCs w:val="16"/>
              </w:rPr>
            </w:pPr>
            <w:r w:rsidRPr="006545B0">
              <w:rPr>
                <w:sz w:val="16"/>
                <w:szCs w:val="16"/>
              </w:rPr>
              <w:t>SRM</w:t>
            </w:r>
            <w:r w:rsidRPr="006545B0" w:rsidDel="00D91361">
              <w:rPr>
                <w:sz w:val="16"/>
                <w:szCs w:val="16"/>
              </w:rPr>
              <w:t xml:space="preserve"> </w:t>
            </w:r>
          </w:p>
        </w:tc>
        <w:tc>
          <w:tcPr>
            <w:tcW w:w="3600" w:type="dxa"/>
            <w:vAlign w:val="center"/>
          </w:tcPr>
          <w:p w14:paraId="5E921038" w14:textId="77777777" w:rsidR="0095497C" w:rsidRPr="006545B0" w:rsidRDefault="0095497C" w:rsidP="006B75AB">
            <w:pPr>
              <w:widowControl/>
              <w:ind w:right="-90"/>
              <w:contextualSpacing/>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4080852E" w14:textId="77777777" w:rsidTr="00484EF6">
        <w:trPr>
          <w:trHeight w:val="144"/>
        </w:trPr>
        <w:tc>
          <w:tcPr>
            <w:tcW w:w="1024" w:type="dxa"/>
            <w:vAlign w:val="center"/>
          </w:tcPr>
          <w:p w14:paraId="239CE349" w14:textId="77777777" w:rsidR="0095497C" w:rsidRPr="006545B0" w:rsidRDefault="0095497C" w:rsidP="006B75AB">
            <w:pPr>
              <w:widowControl/>
              <w:ind w:right="-90"/>
              <w:contextualSpacing/>
              <w:rPr>
                <w:sz w:val="16"/>
                <w:szCs w:val="16"/>
              </w:rPr>
            </w:pPr>
            <w:r w:rsidRPr="006545B0">
              <w:rPr>
                <w:sz w:val="16"/>
                <w:szCs w:val="16"/>
              </w:rPr>
              <w:t>LC50</w:t>
            </w:r>
          </w:p>
        </w:tc>
        <w:tc>
          <w:tcPr>
            <w:tcW w:w="4034" w:type="dxa"/>
            <w:vAlign w:val="center"/>
          </w:tcPr>
          <w:p w14:paraId="54C830A6" w14:textId="77777777" w:rsidR="0095497C" w:rsidRPr="006545B0" w:rsidRDefault="0095497C" w:rsidP="006B75AB">
            <w:pPr>
              <w:widowControl/>
              <w:ind w:right="-90"/>
              <w:contextualSpacing/>
              <w:rPr>
                <w:sz w:val="16"/>
                <w:szCs w:val="16"/>
              </w:rPr>
            </w:pPr>
            <w:r w:rsidRPr="006545B0">
              <w:rPr>
                <w:sz w:val="16"/>
                <w:szCs w:val="16"/>
              </w:rPr>
              <w:t>Lethal Concentration</w:t>
            </w:r>
            <w:r w:rsidRPr="006545B0" w:rsidDel="00D91361">
              <w:rPr>
                <w:sz w:val="16"/>
                <w:szCs w:val="16"/>
              </w:rPr>
              <w:t xml:space="preserve"> </w:t>
            </w:r>
          </w:p>
        </w:tc>
        <w:tc>
          <w:tcPr>
            <w:tcW w:w="720" w:type="dxa"/>
            <w:vAlign w:val="center"/>
          </w:tcPr>
          <w:p w14:paraId="1EFF34F0" w14:textId="77777777" w:rsidR="0095497C" w:rsidRPr="006545B0" w:rsidRDefault="0095497C" w:rsidP="006B75AB">
            <w:pPr>
              <w:widowControl/>
              <w:ind w:right="-90"/>
              <w:contextualSpacing/>
              <w:rPr>
                <w:sz w:val="16"/>
                <w:szCs w:val="16"/>
              </w:rPr>
            </w:pPr>
            <w:r w:rsidRPr="006545B0">
              <w:rPr>
                <w:sz w:val="16"/>
                <w:szCs w:val="16"/>
              </w:rPr>
              <w:t>STEL</w:t>
            </w:r>
            <w:r w:rsidRPr="006545B0" w:rsidDel="00D91361">
              <w:rPr>
                <w:sz w:val="16"/>
                <w:szCs w:val="16"/>
              </w:rPr>
              <w:t xml:space="preserve"> </w:t>
            </w:r>
          </w:p>
        </w:tc>
        <w:tc>
          <w:tcPr>
            <w:tcW w:w="3600" w:type="dxa"/>
            <w:vAlign w:val="center"/>
          </w:tcPr>
          <w:p w14:paraId="3F9E8C7E" w14:textId="77777777" w:rsidR="0095497C" w:rsidRPr="006545B0" w:rsidRDefault="0095497C" w:rsidP="009269FC">
            <w:pPr>
              <w:widowControl/>
              <w:ind w:right="-90"/>
              <w:contextualSpacing/>
              <w:rPr>
                <w:sz w:val="16"/>
                <w:szCs w:val="16"/>
              </w:rPr>
            </w:pPr>
            <w:r w:rsidRPr="006545B0">
              <w:rPr>
                <w:sz w:val="16"/>
                <w:szCs w:val="16"/>
              </w:rPr>
              <w:t>Short  Term Exposure L</w:t>
            </w:r>
            <w:r w:rsidR="009269FC">
              <w:rPr>
                <w:sz w:val="16"/>
                <w:szCs w:val="16"/>
              </w:rPr>
              <w:t>imit</w:t>
            </w:r>
            <w:r w:rsidRPr="006545B0" w:rsidDel="00D91361">
              <w:rPr>
                <w:sz w:val="16"/>
                <w:szCs w:val="16"/>
              </w:rPr>
              <w:t xml:space="preserve"> </w:t>
            </w:r>
          </w:p>
        </w:tc>
      </w:tr>
      <w:tr w:rsidR="0095497C" w:rsidRPr="006545B0" w14:paraId="5B31525E" w14:textId="77777777" w:rsidTr="00484EF6">
        <w:trPr>
          <w:trHeight w:val="144"/>
        </w:trPr>
        <w:tc>
          <w:tcPr>
            <w:tcW w:w="1024" w:type="dxa"/>
            <w:vAlign w:val="center"/>
          </w:tcPr>
          <w:p w14:paraId="1D821386" w14:textId="77777777" w:rsidR="0095497C" w:rsidRPr="006545B0" w:rsidRDefault="0095497C" w:rsidP="006B75AB">
            <w:pPr>
              <w:widowControl/>
              <w:ind w:right="-90"/>
              <w:contextualSpacing/>
              <w:rPr>
                <w:sz w:val="16"/>
                <w:szCs w:val="16"/>
              </w:rPr>
            </w:pPr>
            <w:r w:rsidRPr="006545B0">
              <w:rPr>
                <w:sz w:val="16"/>
                <w:szCs w:val="16"/>
              </w:rPr>
              <w:t>LD50</w:t>
            </w:r>
          </w:p>
        </w:tc>
        <w:tc>
          <w:tcPr>
            <w:tcW w:w="4034" w:type="dxa"/>
            <w:vAlign w:val="center"/>
          </w:tcPr>
          <w:p w14:paraId="2233BF0B" w14:textId="77777777" w:rsidR="0095497C" w:rsidRPr="006545B0" w:rsidRDefault="0095497C" w:rsidP="006B75AB">
            <w:pPr>
              <w:widowControl/>
              <w:ind w:right="-90"/>
              <w:contextualSpacing/>
              <w:rPr>
                <w:sz w:val="16"/>
                <w:szCs w:val="16"/>
              </w:rPr>
            </w:pPr>
            <w:r w:rsidRPr="006545B0">
              <w:rPr>
                <w:sz w:val="16"/>
                <w:szCs w:val="16"/>
              </w:rPr>
              <w:t>Median Lethal Dose or Lethal Dose, 50 %</w:t>
            </w:r>
          </w:p>
        </w:tc>
        <w:tc>
          <w:tcPr>
            <w:tcW w:w="720" w:type="dxa"/>
            <w:vAlign w:val="center"/>
          </w:tcPr>
          <w:p w14:paraId="3634C7C9" w14:textId="77777777" w:rsidR="0095497C" w:rsidRPr="006545B0" w:rsidRDefault="0095497C" w:rsidP="006B75AB">
            <w:pPr>
              <w:widowControl/>
              <w:ind w:right="-90"/>
              <w:contextualSpacing/>
              <w:rPr>
                <w:sz w:val="16"/>
                <w:szCs w:val="16"/>
              </w:rPr>
            </w:pPr>
            <w:r w:rsidRPr="006545B0">
              <w:rPr>
                <w:sz w:val="16"/>
                <w:szCs w:val="16"/>
              </w:rPr>
              <w:t>TLV</w:t>
            </w:r>
            <w:r w:rsidRPr="006545B0" w:rsidDel="00D91361">
              <w:rPr>
                <w:sz w:val="16"/>
                <w:szCs w:val="16"/>
              </w:rPr>
              <w:t xml:space="preserve"> </w:t>
            </w:r>
          </w:p>
        </w:tc>
        <w:tc>
          <w:tcPr>
            <w:tcW w:w="3600" w:type="dxa"/>
            <w:vAlign w:val="center"/>
          </w:tcPr>
          <w:p w14:paraId="21E14C1A" w14:textId="77777777" w:rsidR="0095497C" w:rsidRPr="006545B0" w:rsidRDefault="0095497C" w:rsidP="006B75AB">
            <w:pPr>
              <w:widowControl/>
              <w:ind w:right="-90"/>
              <w:contextualSpacing/>
              <w:rPr>
                <w:sz w:val="16"/>
                <w:szCs w:val="16"/>
              </w:rPr>
            </w:pPr>
            <w:r w:rsidRPr="006545B0">
              <w:rPr>
                <w:sz w:val="16"/>
                <w:szCs w:val="16"/>
              </w:rPr>
              <w:t>Threshold Limit Value</w:t>
            </w:r>
            <w:r w:rsidRPr="006545B0" w:rsidDel="00D91361">
              <w:rPr>
                <w:sz w:val="16"/>
                <w:szCs w:val="16"/>
              </w:rPr>
              <w:t xml:space="preserve"> </w:t>
            </w:r>
          </w:p>
        </w:tc>
      </w:tr>
      <w:tr w:rsidR="0095497C" w:rsidRPr="006545B0" w14:paraId="762BF9B8" w14:textId="77777777" w:rsidTr="00484EF6">
        <w:trPr>
          <w:trHeight w:val="144"/>
        </w:trPr>
        <w:tc>
          <w:tcPr>
            <w:tcW w:w="1024" w:type="dxa"/>
            <w:vAlign w:val="center"/>
          </w:tcPr>
          <w:p w14:paraId="0E31C096" w14:textId="77777777" w:rsidR="0095497C" w:rsidRPr="006545B0" w:rsidRDefault="0095497C" w:rsidP="006B75AB">
            <w:pPr>
              <w:widowControl/>
              <w:ind w:right="-90"/>
              <w:contextualSpacing/>
              <w:rPr>
                <w:sz w:val="16"/>
                <w:szCs w:val="16"/>
              </w:rPr>
            </w:pPr>
            <w:r w:rsidRPr="006545B0">
              <w:rPr>
                <w:sz w:val="16"/>
                <w:szCs w:val="16"/>
              </w:rPr>
              <w:t>LEL</w:t>
            </w:r>
            <w:r w:rsidRPr="006545B0" w:rsidDel="00D91361">
              <w:rPr>
                <w:sz w:val="16"/>
                <w:szCs w:val="16"/>
              </w:rPr>
              <w:t xml:space="preserve"> </w:t>
            </w:r>
          </w:p>
        </w:tc>
        <w:tc>
          <w:tcPr>
            <w:tcW w:w="4034" w:type="dxa"/>
            <w:vAlign w:val="center"/>
          </w:tcPr>
          <w:p w14:paraId="25B5E534" w14:textId="77777777" w:rsidR="0095497C" w:rsidRPr="006545B0" w:rsidRDefault="0095497C" w:rsidP="006B75AB">
            <w:pPr>
              <w:widowControl/>
              <w:ind w:right="-90"/>
              <w:contextualSpacing/>
              <w:rPr>
                <w:sz w:val="16"/>
                <w:szCs w:val="16"/>
              </w:rPr>
            </w:pPr>
            <w:r w:rsidRPr="006545B0">
              <w:rPr>
                <w:sz w:val="16"/>
                <w:szCs w:val="16"/>
              </w:rPr>
              <w:t>Lower Explosive Limit</w:t>
            </w:r>
            <w:r w:rsidRPr="006545B0" w:rsidDel="00D91361">
              <w:rPr>
                <w:sz w:val="16"/>
                <w:szCs w:val="16"/>
              </w:rPr>
              <w:t xml:space="preserve"> </w:t>
            </w:r>
          </w:p>
        </w:tc>
        <w:tc>
          <w:tcPr>
            <w:tcW w:w="720" w:type="dxa"/>
            <w:vAlign w:val="center"/>
          </w:tcPr>
          <w:p w14:paraId="4E26C3E5" w14:textId="77777777" w:rsidR="0095497C" w:rsidRPr="006545B0" w:rsidRDefault="0095497C" w:rsidP="006B75AB">
            <w:pPr>
              <w:widowControl/>
              <w:ind w:right="-90"/>
              <w:contextualSpacing/>
              <w:rPr>
                <w:sz w:val="16"/>
                <w:szCs w:val="16"/>
              </w:rPr>
            </w:pPr>
            <w:r w:rsidRPr="006545B0">
              <w:rPr>
                <w:sz w:val="16"/>
                <w:szCs w:val="16"/>
              </w:rPr>
              <w:t>TPQ</w:t>
            </w:r>
            <w:r w:rsidRPr="006545B0" w:rsidDel="00D91361">
              <w:rPr>
                <w:sz w:val="16"/>
                <w:szCs w:val="16"/>
              </w:rPr>
              <w:t xml:space="preserve"> </w:t>
            </w:r>
          </w:p>
        </w:tc>
        <w:tc>
          <w:tcPr>
            <w:tcW w:w="3600" w:type="dxa"/>
            <w:vAlign w:val="center"/>
          </w:tcPr>
          <w:p w14:paraId="40361763" w14:textId="77777777" w:rsidR="0095497C" w:rsidRPr="006545B0" w:rsidRDefault="0095497C" w:rsidP="006B75AB">
            <w:pPr>
              <w:widowControl/>
              <w:ind w:right="-90"/>
              <w:contextualSpacing/>
              <w:rPr>
                <w:sz w:val="16"/>
                <w:szCs w:val="16"/>
              </w:rPr>
            </w:pPr>
            <w:r w:rsidRPr="006545B0">
              <w:rPr>
                <w:sz w:val="16"/>
                <w:szCs w:val="16"/>
              </w:rPr>
              <w:t>Threshold Planning Quantity</w:t>
            </w:r>
            <w:r w:rsidRPr="006545B0" w:rsidDel="00D91361">
              <w:rPr>
                <w:sz w:val="16"/>
                <w:szCs w:val="16"/>
              </w:rPr>
              <w:t xml:space="preserve"> </w:t>
            </w:r>
          </w:p>
        </w:tc>
      </w:tr>
      <w:tr w:rsidR="0095497C" w:rsidRPr="006545B0" w14:paraId="4D9A52F4" w14:textId="77777777" w:rsidTr="00484EF6">
        <w:trPr>
          <w:trHeight w:val="144"/>
        </w:trPr>
        <w:tc>
          <w:tcPr>
            <w:tcW w:w="1024" w:type="dxa"/>
            <w:vAlign w:val="center"/>
          </w:tcPr>
          <w:p w14:paraId="1017EFFF" w14:textId="77777777" w:rsidR="0095497C" w:rsidRPr="006545B0" w:rsidRDefault="0095497C" w:rsidP="006B75AB">
            <w:pPr>
              <w:widowControl/>
              <w:ind w:right="-90"/>
              <w:contextualSpacing/>
              <w:rPr>
                <w:sz w:val="16"/>
                <w:szCs w:val="16"/>
              </w:rPr>
            </w:pPr>
            <w:r w:rsidRPr="006545B0">
              <w:rPr>
                <w:sz w:val="16"/>
                <w:szCs w:val="16"/>
              </w:rPr>
              <w:t>MSDS</w:t>
            </w:r>
            <w:r w:rsidRPr="006545B0" w:rsidDel="00D91361">
              <w:rPr>
                <w:sz w:val="16"/>
                <w:szCs w:val="16"/>
              </w:rPr>
              <w:t xml:space="preserve"> </w:t>
            </w:r>
          </w:p>
        </w:tc>
        <w:tc>
          <w:tcPr>
            <w:tcW w:w="4034" w:type="dxa"/>
            <w:vAlign w:val="center"/>
          </w:tcPr>
          <w:p w14:paraId="015ECFB3" w14:textId="77777777" w:rsidR="0095497C" w:rsidRPr="006545B0" w:rsidRDefault="0095497C" w:rsidP="006B75AB">
            <w:pPr>
              <w:widowControl/>
              <w:ind w:right="-90"/>
              <w:contextualSpacing/>
              <w:rPr>
                <w:sz w:val="16"/>
                <w:szCs w:val="16"/>
              </w:rPr>
            </w:pPr>
            <w:r w:rsidRPr="006545B0">
              <w:rPr>
                <w:sz w:val="16"/>
                <w:szCs w:val="16"/>
              </w:rPr>
              <w:t>Material Safety Data Sheet</w:t>
            </w:r>
            <w:r w:rsidRPr="006545B0" w:rsidDel="00D91361">
              <w:rPr>
                <w:sz w:val="16"/>
                <w:szCs w:val="16"/>
              </w:rPr>
              <w:t xml:space="preserve"> </w:t>
            </w:r>
          </w:p>
        </w:tc>
        <w:tc>
          <w:tcPr>
            <w:tcW w:w="720" w:type="dxa"/>
            <w:vAlign w:val="center"/>
          </w:tcPr>
          <w:p w14:paraId="2D52B323" w14:textId="77777777" w:rsidR="0095497C" w:rsidRPr="006545B0" w:rsidRDefault="0095497C" w:rsidP="006B75AB">
            <w:pPr>
              <w:widowControl/>
              <w:ind w:right="-90"/>
              <w:contextualSpacing/>
              <w:rPr>
                <w:sz w:val="16"/>
                <w:szCs w:val="16"/>
              </w:rPr>
            </w:pPr>
            <w:r w:rsidRPr="006545B0">
              <w:rPr>
                <w:sz w:val="16"/>
                <w:szCs w:val="16"/>
              </w:rPr>
              <w:t>TSCA</w:t>
            </w:r>
            <w:r w:rsidRPr="006545B0" w:rsidDel="00D91361">
              <w:rPr>
                <w:sz w:val="16"/>
                <w:szCs w:val="16"/>
              </w:rPr>
              <w:t xml:space="preserve"> </w:t>
            </w:r>
          </w:p>
        </w:tc>
        <w:tc>
          <w:tcPr>
            <w:tcW w:w="3600" w:type="dxa"/>
            <w:vAlign w:val="center"/>
          </w:tcPr>
          <w:p w14:paraId="58AF0687" w14:textId="77777777" w:rsidR="0095497C" w:rsidRPr="006545B0" w:rsidRDefault="0095497C" w:rsidP="006B75AB">
            <w:pPr>
              <w:widowControl/>
              <w:ind w:right="-90"/>
              <w:contextualSpacing/>
              <w:rPr>
                <w:sz w:val="16"/>
                <w:szCs w:val="16"/>
              </w:rPr>
            </w:pPr>
            <w:r w:rsidRPr="006545B0">
              <w:rPr>
                <w:sz w:val="16"/>
                <w:szCs w:val="16"/>
              </w:rPr>
              <w:t>Toxic Substances Control Act</w:t>
            </w:r>
            <w:r w:rsidRPr="006545B0" w:rsidDel="00D91361">
              <w:rPr>
                <w:sz w:val="16"/>
                <w:szCs w:val="16"/>
              </w:rPr>
              <w:t xml:space="preserve"> </w:t>
            </w:r>
          </w:p>
        </w:tc>
      </w:tr>
      <w:tr w:rsidR="0095497C" w:rsidRPr="006545B0" w14:paraId="7C447BFA" w14:textId="77777777" w:rsidTr="00484EF6">
        <w:trPr>
          <w:trHeight w:val="144"/>
        </w:trPr>
        <w:tc>
          <w:tcPr>
            <w:tcW w:w="1024" w:type="dxa"/>
            <w:vAlign w:val="center"/>
          </w:tcPr>
          <w:p w14:paraId="346D3DFF" w14:textId="77777777" w:rsidR="0095497C" w:rsidRPr="006545B0" w:rsidRDefault="0095497C" w:rsidP="006B75AB">
            <w:pPr>
              <w:widowControl/>
              <w:ind w:right="-90"/>
              <w:contextualSpacing/>
              <w:rPr>
                <w:sz w:val="16"/>
                <w:szCs w:val="16"/>
              </w:rPr>
            </w:pPr>
            <w:r w:rsidRPr="006545B0">
              <w:rPr>
                <w:sz w:val="16"/>
                <w:szCs w:val="16"/>
              </w:rPr>
              <w:t>NFPA</w:t>
            </w:r>
            <w:r w:rsidRPr="006545B0" w:rsidDel="00D91361">
              <w:rPr>
                <w:sz w:val="16"/>
                <w:szCs w:val="16"/>
              </w:rPr>
              <w:t xml:space="preserve"> </w:t>
            </w:r>
          </w:p>
        </w:tc>
        <w:tc>
          <w:tcPr>
            <w:tcW w:w="4034" w:type="dxa"/>
            <w:vAlign w:val="center"/>
          </w:tcPr>
          <w:p w14:paraId="5DF033EE" w14:textId="77777777" w:rsidR="0095497C" w:rsidRPr="006545B0" w:rsidRDefault="0095497C" w:rsidP="006B75AB">
            <w:pPr>
              <w:widowControl/>
              <w:ind w:right="-90"/>
              <w:contextualSpacing/>
              <w:rPr>
                <w:sz w:val="16"/>
                <w:szCs w:val="16"/>
              </w:rPr>
            </w:pPr>
            <w:r w:rsidRPr="006545B0">
              <w:rPr>
                <w:sz w:val="16"/>
                <w:szCs w:val="16"/>
              </w:rPr>
              <w:t>National Fire Protection Association</w:t>
            </w:r>
            <w:r w:rsidRPr="006545B0" w:rsidDel="00D91361">
              <w:rPr>
                <w:sz w:val="16"/>
                <w:szCs w:val="16"/>
              </w:rPr>
              <w:t xml:space="preserve"> </w:t>
            </w:r>
          </w:p>
        </w:tc>
        <w:tc>
          <w:tcPr>
            <w:tcW w:w="720" w:type="dxa"/>
            <w:vAlign w:val="center"/>
          </w:tcPr>
          <w:p w14:paraId="6305188F" w14:textId="77777777" w:rsidR="0095497C" w:rsidRPr="006545B0" w:rsidRDefault="0095497C" w:rsidP="006B75AB">
            <w:pPr>
              <w:widowControl/>
              <w:ind w:right="-90"/>
              <w:contextualSpacing/>
              <w:rPr>
                <w:sz w:val="16"/>
                <w:szCs w:val="16"/>
              </w:rPr>
            </w:pPr>
            <w:r w:rsidRPr="006545B0">
              <w:rPr>
                <w:sz w:val="16"/>
                <w:szCs w:val="16"/>
              </w:rPr>
              <w:t>TWA</w:t>
            </w:r>
            <w:r w:rsidRPr="006545B0" w:rsidDel="00D91361">
              <w:rPr>
                <w:sz w:val="16"/>
                <w:szCs w:val="16"/>
              </w:rPr>
              <w:t xml:space="preserve"> </w:t>
            </w:r>
          </w:p>
        </w:tc>
        <w:tc>
          <w:tcPr>
            <w:tcW w:w="3600" w:type="dxa"/>
            <w:vAlign w:val="center"/>
          </w:tcPr>
          <w:p w14:paraId="558C23C1" w14:textId="77777777" w:rsidR="0095497C" w:rsidRPr="006545B0" w:rsidRDefault="0095497C" w:rsidP="006B75AB">
            <w:pPr>
              <w:widowControl/>
              <w:ind w:right="-90"/>
              <w:contextualSpacing/>
              <w:rPr>
                <w:sz w:val="16"/>
                <w:szCs w:val="16"/>
              </w:rPr>
            </w:pPr>
            <w:r w:rsidRPr="006545B0">
              <w:rPr>
                <w:sz w:val="16"/>
                <w:szCs w:val="16"/>
              </w:rPr>
              <w:t>Time Weighted Average</w:t>
            </w:r>
            <w:r w:rsidRPr="006545B0" w:rsidDel="00D91361">
              <w:rPr>
                <w:sz w:val="16"/>
                <w:szCs w:val="16"/>
              </w:rPr>
              <w:t xml:space="preserve"> </w:t>
            </w:r>
          </w:p>
        </w:tc>
      </w:tr>
      <w:tr w:rsidR="0095497C" w:rsidRPr="006545B0" w14:paraId="6C79BD50" w14:textId="77777777" w:rsidTr="00484EF6">
        <w:trPr>
          <w:trHeight w:val="144"/>
        </w:trPr>
        <w:tc>
          <w:tcPr>
            <w:tcW w:w="1024" w:type="dxa"/>
            <w:vAlign w:val="center"/>
          </w:tcPr>
          <w:p w14:paraId="6A550FFE" w14:textId="77777777" w:rsidR="0095497C" w:rsidRPr="006545B0" w:rsidRDefault="0095497C" w:rsidP="006B75AB">
            <w:pPr>
              <w:widowControl/>
              <w:ind w:right="-90"/>
              <w:contextualSpacing/>
              <w:rPr>
                <w:sz w:val="16"/>
                <w:szCs w:val="16"/>
              </w:rPr>
            </w:pPr>
            <w:r w:rsidRPr="006545B0">
              <w:rPr>
                <w:sz w:val="16"/>
                <w:szCs w:val="16"/>
              </w:rPr>
              <w:t>NIOSH</w:t>
            </w:r>
            <w:r w:rsidRPr="006545B0" w:rsidDel="00D91361">
              <w:rPr>
                <w:sz w:val="16"/>
                <w:szCs w:val="16"/>
              </w:rPr>
              <w:t xml:space="preserve"> </w:t>
            </w:r>
          </w:p>
        </w:tc>
        <w:tc>
          <w:tcPr>
            <w:tcW w:w="4034" w:type="dxa"/>
            <w:vAlign w:val="center"/>
          </w:tcPr>
          <w:p w14:paraId="5C536BF2" w14:textId="77777777" w:rsidR="0095497C" w:rsidRPr="006545B0" w:rsidRDefault="0095497C" w:rsidP="006B75AB">
            <w:pPr>
              <w:widowControl/>
              <w:ind w:right="-90"/>
              <w:contextualSpacing/>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vAlign w:val="center"/>
          </w:tcPr>
          <w:p w14:paraId="0761199B" w14:textId="77777777" w:rsidR="0095497C" w:rsidRPr="006545B0" w:rsidRDefault="0095497C" w:rsidP="006B75AB">
            <w:pPr>
              <w:widowControl/>
              <w:ind w:right="-90"/>
              <w:contextualSpacing/>
              <w:rPr>
                <w:sz w:val="16"/>
                <w:szCs w:val="16"/>
              </w:rPr>
            </w:pPr>
            <w:r w:rsidRPr="006545B0">
              <w:rPr>
                <w:sz w:val="16"/>
                <w:szCs w:val="16"/>
              </w:rPr>
              <w:t>UEL</w:t>
            </w:r>
            <w:r w:rsidRPr="006545B0" w:rsidDel="00D91361">
              <w:rPr>
                <w:sz w:val="16"/>
                <w:szCs w:val="16"/>
              </w:rPr>
              <w:t xml:space="preserve"> </w:t>
            </w:r>
          </w:p>
        </w:tc>
        <w:tc>
          <w:tcPr>
            <w:tcW w:w="3600" w:type="dxa"/>
            <w:vAlign w:val="center"/>
          </w:tcPr>
          <w:p w14:paraId="331FF7FF" w14:textId="77777777" w:rsidR="0095497C" w:rsidRPr="006545B0" w:rsidRDefault="0095497C" w:rsidP="006B75AB">
            <w:pPr>
              <w:widowControl/>
              <w:ind w:right="-90"/>
              <w:contextualSpacing/>
              <w:rPr>
                <w:sz w:val="16"/>
                <w:szCs w:val="16"/>
              </w:rPr>
            </w:pPr>
            <w:r w:rsidRPr="006545B0">
              <w:rPr>
                <w:sz w:val="16"/>
                <w:szCs w:val="16"/>
              </w:rPr>
              <w:t>Upper Explosive Limit</w:t>
            </w:r>
            <w:r w:rsidRPr="006545B0" w:rsidDel="00D91361">
              <w:rPr>
                <w:sz w:val="16"/>
                <w:szCs w:val="16"/>
              </w:rPr>
              <w:t xml:space="preserve"> </w:t>
            </w:r>
          </w:p>
        </w:tc>
      </w:tr>
      <w:tr w:rsidR="0095497C" w:rsidRPr="006545B0" w14:paraId="1243D7D7" w14:textId="77777777" w:rsidTr="00484EF6">
        <w:trPr>
          <w:trHeight w:val="144"/>
        </w:trPr>
        <w:tc>
          <w:tcPr>
            <w:tcW w:w="1024" w:type="dxa"/>
            <w:vAlign w:val="center"/>
          </w:tcPr>
          <w:p w14:paraId="15609170" w14:textId="77777777" w:rsidR="0095497C" w:rsidRPr="006545B0" w:rsidRDefault="0095497C" w:rsidP="006B75AB">
            <w:pPr>
              <w:widowControl/>
              <w:ind w:right="-90"/>
              <w:contextualSpacing/>
              <w:rPr>
                <w:sz w:val="16"/>
                <w:szCs w:val="16"/>
              </w:rPr>
            </w:pPr>
            <w:r w:rsidRPr="006545B0">
              <w:rPr>
                <w:sz w:val="16"/>
                <w:szCs w:val="16"/>
              </w:rPr>
              <w:t>NIST</w:t>
            </w:r>
          </w:p>
        </w:tc>
        <w:tc>
          <w:tcPr>
            <w:tcW w:w="4034" w:type="dxa"/>
            <w:vAlign w:val="center"/>
          </w:tcPr>
          <w:p w14:paraId="34B83467" w14:textId="77777777" w:rsidR="0095497C" w:rsidRPr="006545B0" w:rsidRDefault="0095497C" w:rsidP="006B75AB">
            <w:pPr>
              <w:widowControl/>
              <w:ind w:right="-90"/>
              <w:contextualSpacing/>
              <w:rPr>
                <w:sz w:val="16"/>
                <w:szCs w:val="16"/>
              </w:rPr>
            </w:pPr>
            <w:r w:rsidRPr="006545B0">
              <w:rPr>
                <w:sz w:val="16"/>
                <w:szCs w:val="16"/>
              </w:rPr>
              <w:t>National Institute of Standards and Technology</w:t>
            </w:r>
          </w:p>
        </w:tc>
        <w:tc>
          <w:tcPr>
            <w:tcW w:w="720" w:type="dxa"/>
            <w:vAlign w:val="center"/>
          </w:tcPr>
          <w:p w14:paraId="19BF2E89" w14:textId="77777777" w:rsidR="0095497C" w:rsidRPr="006545B0" w:rsidRDefault="0095497C" w:rsidP="006B75AB">
            <w:pPr>
              <w:widowControl/>
              <w:ind w:right="-90"/>
              <w:contextualSpacing/>
              <w:rPr>
                <w:sz w:val="16"/>
                <w:szCs w:val="16"/>
              </w:rPr>
            </w:pPr>
            <w:r w:rsidRPr="006545B0">
              <w:rPr>
                <w:sz w:val="16"/>
                <w:szCs w:val="16"/>
              </w:rPr>
              <w:t>WHMIS</w:t>
            </w:r>
          </w:p>
        </w:tc>
        <w:tc>
          <w:tcPr>
            <w:tcW w:w="3600" w:type="dxa"/>
            <w:vAlign w:val="center"/>
          </w:tcPr>
          <w:p w14:paraId="5668EC73" w14:textId="77777777" w:rsidR="0095497C" w:rsidRPr="006545B0" w:rsidRDefault="0095497C" w:rsidP="006B75AB">
            <w:pPr>
              <w:widowControl/>
              <w:ind w:right="-90"/>
              <w:contextualSpacing/>
              <w:rPr>
                <w:sz w:val="16"/>
                <w:szCs w:val="16"/>
              </w:rPr>
            </w:pPr>
            <w:r w:rsidRPr="006545B0">
              <w:rPr>
                <w:sz w:val="16"/>
                <w:szCs w:val="16"/>
              </w:rPr>
              <w:t>Workplace Hazardous Materials Information System</w:t>
            </w:r>
          </w:p>
        </w:tc>
      </w:tr>
      <w:tr w:rsidR="00252092" w:rsidRPr="006545B0" w14:paraId="24A39D76" w14:textId="77777777" w:rsidTr="00484EF6">
        <w:trPr>
          <w:trHeight w:val="144"/>
        </w:trPr>
        <w:tc>
          <w:tcPr>
            <w:tcW w:w="1024" w:type="dxa"/>
            <w:vAlign w:val="center"/>
          </w:tcPr>
          <w:p w14:paraId="4FBC0156" w14:textId="77777777" w:rsidR="00252092" w:rsidRPr="006545B0" w:rsidRDefault="00252092" w:rsidP="006B75AB">
            <w:pPr>
              <w:widowControl/>
              <w:ind w:right="-90"/>
              <w:contextualSpacing/>
              <w:rPr>
                <w:sz w:val="16"/>
                <w:szCs w:val="16"/>
              </w:rPr>
            </w:pPr>
            <w:r>
              <w:rPr>
                <w:sz w:val="16"/>
                <w:szCs w:val="16"/>
              </w:rPr>
              <w:t>n.o.s.</w:t>
            </w:r>
          </w:p>
        </w:tc>
        <w:tc>
          <w:tcPr>
            <w:tcW w:w="4034" w:type="dxa"/>
            <w:vAlign w:val="center"/>
          </w:tcPr>
          <w:p w14:paraId="7A8C1CDA" w14:textId="77777777" w:rsidR="00252092" w:rsidRPr="006545B0" w:rsidRDefault="00252092" w:rsidP="006B75AB">
            <w:pPr>
              <w:widowControl/>
              <w:ind w:right="-90"/>
              <w:contextualSpacing/>
              <w:rPr>
                <w:sz w:val="16"/>
                <w:szCs w:val="16"/>
              </w:rPr>
            </w:pPr>
            <w:r>
              <w:rPr>
                <w:sz w:val="16"/>
                <w:szCs w:val="16"/>
              </w:rPr>
              <w:t>Not Otherwise Specified</w:t>
            </w:r>
          </w:p>
        </w:tc>
        <w:tc>
          <w:tcPr>
            <w:tcW w:w="720" w:type="dxa"/>
            <w:vAlign w:val="center"/>
          </w:tcPr>
          <w:p w14:paraId="6C3BC483" w14:textId="77777777" w:rsidR="00252092" w:rsidRPr="006545B0" w:rsidRDefault="00252092" w:rsidP="006B75AB">
            <w:pPr>
              <w:widowControl/>
              <w:ind w:right="-90"/>
              <w:contextualSpacing/>
              <w:rPr>
                <w:sz w:val="16"/>
                <w:szCs w:val="16"/>
              </w:rPr>
            </w:pPr>
          </w:p>
        </w:tc>
        <w:tc>
          <w:tcPr>
            <w:tcW w:w="3600" w:type="dxa"/>
            <w:vAlign w:val="center"/>
          </w:tcPr>
          <w:p w14:paraId="4BEED664" w14:textId="77777777" w:rsidR="00252092" w:rsidRPr="006545B0" w:rsidRDefault="00252092" w:rsidP="006B75AB">
            <w:pPr>
              <w:widowControl/>
              <w:ind w:right="-90"/>
              <w:contextualSpacing/>
              <w:rPr>
                <w:sz w:val="16"/>
                <w:szCs w:val="16"/>
              </w:rPr>
            </w:pPr>
          </w:p>
        </w:tc>
      </w:tr>
    </w:tbl>
    <w:p w14:paraId="33DC7742" w14:textId="77777777" w:rsidR="00B43B6F" w:rsidRDefault="00B43B6F" w:rsidP="006B75AB">
      <w:pPr>
        <w:widowControl/>
        <w:spacing w:before="120"/>
        <w:rPr>
          <w:rFonts w:eastAsia="Times New Roman"/>
          <w:b/>
          <w:bCs/>
          <w:szCs w:val="20"/>
        </w:rPr>
      </w:pPr>
    </w:p>
    <w:p w14:paraId="2BD7EC14" w14:textId="77777777" w:rsidR="00537670" w:rsidRPr="00A933D2" w:rsidRDefault="00BF5DD9" w:rsidP="006B75AB">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8C4669" w:rsidRPr="00A933D2">
        <w:rPr>
          <w:rFonts w:eastAsia="Times New Roman"/>
          <w:spacing w:val="-1"/>
          <w:szCs w:val="20"/>
        </w:rPr>
        <w:t>Certificate of Analysis</w:t>
      </w:r>
      <w:r w:rsidRPr="00A933D2">
        <w:rPr>
          <w:rFonts w:eastAsia="Times New Roman"/>
          <w:szCs w:val="20"/>
        </w:rPr>
        <w:t>.</w:t>
      </w:r>
    </w:p>
    <w:p w14:paraId="15889196" w14:textId="77777777" w:rsidR="0076501C" w:rsidRPr="00E2089A" w:rsidRDefault="001E2F4C" w:rsidP="006B75AB">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w:t>
      </w:r>
      <w:r w:rsidR="00343DF9">
        <w:rPr>
          <w:iCs/>
          <w:szCs w:val="20"/>
        </w:rPr>
        <w:noBreakHyphen/>
      </w:r>
      <w:r w:rsidR="001948EA" w:rsidRPr="00A933D2">
        <w:rPr>
          <w:iCs/>
          <w:szCs w:val="20"/>
        </w:rPr>
        <w:t>2200; fax (301) 948</w:t>
      </w:r>
      <w:r w:rsidR="00343DF9">
        <w:rPr>
          <w:iCs/>
          <w:szCs w:val="20"/>
        </w:rPr>
        <w:noBreakHyphen/>
      </w:r>
      <w:r w:rsidR="001948EA" w:rsidRPr="00A933D2">
        <w:rPr>
          <w:iCs/>
          <w:szCs w:val="20"/>
        </w:rPr>
        <w:t>3730; e</w:t>
      </w:r>
      <w:r w:rsidR="00343DF9">
        <w:rPr>
          <w:iCs/>
          <w:szCs w:val="20"/>
        </w:rPr>
        <w:noBreakHyphen/>
      </w:r>
      <w:r w:rsidR="001948EA" w:rsidRPr="00A933D2">
        <w:rPr>
          <w:iCs/>
          <w:szCs w:val="20"/>
        </w:rPr>
        <w:t>mail srm</w:t>
      </w:r>
      <w:r w:rsidR="00A148AB" w:rsidRPr="00A933D2">
        <w:rPr>
          <w:iCs/>
          <w:szCs w:val="20"/>
        </w:rPr>
        <w:t>msds</w:t>
      </w:r>
      <w:r w:rsidR="001948EA" w:rsidRPr="00A933D2">
        <w:rPr>
          <w:iCs/>
          <w:szCs w:val="20"/>
        </w:rPr>
        <w:t xml:space="preserve">@nist.gov; or via the Internet at </w:t>
      </w:r>
      <w:hyperlink r:id="rId17" w:history="1">
        <w:r w:rsidR="0076501C" w:rsidRPr="00A933D2">
          <w:rPr>
            <w:rStyle w:val="Hyperlink"/>
            <w:iCs/>
            <w:szCs w:val="20"/>
          </w:rPr>
          <w:t>http://www.nist.gov/srm</w:t>
        </w:r>
      </w:hyperlink>
      <w:r w:rsidR="001948EA" w:rsidRPr="00E2089A">
        <w:rPr>
          <w:iCs/>
          <w:szCs w:val="20"/>
        </w:rPr>
        <w:t>.</w:t>
      </w:r>
    </w:p>
    <w:sectPr w:rsidR="0076501C" w:rsidRPr="00E2089A" w:rsidSect="007B1D3D">
      <w:footerReference w:type="default" r:id="rId18"/>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FC2AA" w14:textId="77777777" w:rsidR="00537431" w:rsidRDefault="00537431" w:rsidP="00E24579">
      <w:r>
        <w:separator/>
      </w:r>
    </w:p>
  </w:endnote>
  <w:endnote w:type="continuationSeparator" w:id="0">
    <w:p w14:paraId="3461449D" w14:textId="77777777" w:rsidR="00537431" w:rsidRDefault="00537431"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631EA" w14:textId="77777777" w:rsidR="00537431" w:rsidRPr="00371ED3" w:rsidRDefault="00537431" w:rsidP="006D10B0">
    <w:pPr>
      <w:pStyle w:val="Footer"/>
      <w:rPr>
        <w:szCs w:val="20"/>
      </w:rPr>
    </w:pPr>
    <w:r>
      <w:rPr>
        <w:szCs w:val="20"/>
      </w:rPr>
      <w:t>S</w:t>
    </w:r>
    <w:r w:rsidRPr="00371ED3">
      <w:rPr>
        <w:szCs w:val="20"/>
      </w:rPr>
      <w:t>RM</w:t>
    </w:r>
    <w:r>
      <w:rPr>
        <w:szCs w:val="20"/>
      </w:rPr>
      <w:t xml:space="preserve"> </w:t>
    </w:r>
    <w:r w:rsidR="00334E80">
      <w:rPr>
        <w:szCs w:val="20"/>
      </w:rPr>
      <w:t>1492</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3E7137">
      <w:rPr>
        <w:noProof/>
        <w:szCs w:val="20"/>
      </w:rPr>
      <w:t>5</w:t>
    </w:r>
    <w:r>
      <w:rPr>
        <w:szCs w:val="20"/>
      </w:rPr>
      <w:fldChar w:fldCharType="end"/>
    </w:r>
    <w:r w:rsidRPr="00371ED3">
      <w:rPr>
        <w:szCs w:val="20"/>
      </w:rPr>
      <w:t xml:space="preserve"> of </w:t>
    </w:r>
    <w:fldSimple w:instr=" SECTIONPAGES  \* Arabic  \* MERGEFORMAT ">
      <w:r w:rsidR="003E7137" w:rsidRPr="003E7137">
        <w:rPr>
          <w:noProof/>
          <w:szCs w:val="20"/>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93257" w14:textId="77777777" w:rsidR="00537431" w:rsidRDefault="00537431" w:rsidP="00E24579">
      <w:r>
        <w:separator/>
      </w:r>
    </w:p>
  </w:footnote>
  <w:footnote w:type="continuationSeparator" w:id="0">
    <w:p w14:paraId="7B10D0B6" w14:textId="77777777" w:rsidR="00537431" w:rsidRDefault="00537431"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10"/>
  <w:displayHorizontalDrawingGridEvery w:val="2"/>
  <w:characterSpacingControl w:val="doNotCompress"/>
  <w:hdrShapeDefaults>
    <o:shapedefaults v:ext="edit" spidmax="798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667"/>
    <w:rsid w:val="00011CAC"/>
    <w:rsid w:val="00012393"/>
    <w:rsid w:val="0001504A"/>
    <w:rsid w:val="00020BB2"/>
    <w:rsid w:val="0002326B"/>
    <w:rsid w:val="00023D30"/>
    <w:rsid w:val="00025217"/>
    <w:rsid w:val="00041F06"/>
    <w:rsid w:val="000425F7"/>
    <w:rsid w:val="00042B56"/>
    <w:rsid w:val="00047B6D"/>
    <w:rsid w:val="0005067D"/>
    <w:rsid w:val="00062493"/>
    <w:rsid w:val="00071655"/>
    <w:rsid w:val="00073E78"/>
    <w:rsid w:val="000743D8"/>
    <w:rsid w:val="000771A0"/>
    <w:rsid w:val="00081FFA"/>
    <w:rsid w:val="00085816"/>
    <w:rsid w:val="00092471"/>
    <w:rsid w:val="00092D45"/>
    <w:rsid w:val="000954E8"/>
    <w:rsid w:val="0009639E"/>
    <w:rsid w:val="000A4203"/>
    <w:rsid w:val="000B3F24"/>
    <w:rsid w:val="000B4B5B"/>
    <w:rsid w:val="000B4BD9"/>
    <w:rsid w:val="000B79EB"/>
    <w:rsid w:val="000D31BB"/>
    <w:rsid w:val="000D36D6"/>
    <w:rsid w:val="000D447C"/>
    <w:rsid w:val="000E147E"/>
    <w:rsid w:val="000E1EBF"/>
    <w:rsid w:val="000F1959"/>
    <w:rsid w:val="000F255D"/>
    <w:rsid w:val="000F304F"/>
    <w:rsid w:val="00106B17"/>
    <w:rsid w:val="0012362A"/>
    <w:rsid w:val="001248AA"/>
    <w:rsid w:val="00125FD4"/>
    <w:rsid w:val="00137ED6"/>
    <w:rsid w:val="00144362"/>
    <w:rsid w:val="00145900"/>
    <w:rsid w:val="00145AD5"/>
    <w:rsid w:val="00145B5B"/>
    <w:rsid w:val="00150BAB"/>
    <w:rsid w:val="0015316C"/>
    <w:rsid w:val="0015774C"/>
    <w:rsid w:val="00170609"/>
    <w:rsid w:val="00170F65"/>
    <w:rsid w:val="00172026"/>
    <w:rsid w:val="00173730"/>
    <w:rsid w:val="00180DF2"/>
    <w:rsid w:val="00180EF6"/>
    <w:rsid w:val="00193FA9"/>
    <w:rsid w:val="001948EA"/>
    <w:rsid w:val="00194A53"/>
    <w:rsid w:val="0019668F"/>
    <w:rsid w:val="001A0E78"/>
    <w:rsid w:val="001A49C6"/>
    <w:rsid w:val="001A77EB"/>
    <w:rsid w:val="001B0766"/>
    <w:rsid w:val="001B5577"/>
    <w:rsid w:val="001B69CD"/>
    <w:rsid w:val="001C4515"/>
    <w:rsid w:val="001C4AA7"/>
    <w:rsid w:val="001C4F6D"/>
    <w:rsid w:val="001D7FE4"/>
    <w:rsid w:val="001E0E50"/>
    <w:rsid w:val="001E1EEB"/>
    <w:rsid w:val="001E2F4C"/>
    <w:rsid w:val="001E45BD"/>
    <w:rsid w:val="001E4B05"/>
    <w:rsid w:val="001E6672"/>
    <w:rsid w:val="001E70E0"/>
    <w:rsid w:val="001E7A76"/>
    <w:rsid w:val="001F04F7"/>
    <w:rsid w:val="001F0A6E"/>
    <w:rsid w:val="001F1A2E"/>
    <w:rsid w:val="001F7628"/>
    <w:rsid w:val="00205783"/>
    <w:rsid w:val="002065AA"/>
    <w:rsid w:val="00206AE7"/>
    <w:rsid w:val="0021772B"/>
    <w:rsid w:val="00217D24"/>
    <w:rsid w:val="002214BB"/>
    <w:rsid w:val="00221CD6"/>
    <w:rsid w:val="002256F0"/>
    <w:rsid w:val="0023218B"/>
    <w:rsid w:val="002326AE"/>
    <w:rsid w:val="00242591"/>
    <w:rsid w:val="00244659"/>
    <w:rsid w:val="0024476A"/>
    <w:rsid w:val="0024766E"/>
    <w:rsid w:val="00252092"/>
    <w:rsid w:val="002678D7"/>
    <w:rsid w:val="002779BE"/>
    <w:rsid w:val="0028318C"/>
    <w:rsid w:val="0028680F"/>
    <w:rsid w:val="002A0775"/>
    <w:rsid w:val="002A4B34"/>
    <w:rsid w:val="002B22C8"/>
    <w:rsid w:val="002B6BCB"/>
    <w:rsid w:val="002C541F"/>
    <w:rsid w:val="002C593F"/>
    <w:rsid w:val="002C7D84"/>
    <w:rsid w:val="002D1849"/>
    <w:rsid w:val="002D4E7C"/>
    <w:rsid w:val="002D63F4"/>
    <w:rsid w:val="002E6B30"/>
    <w:rsid w:val="002F0794"/>
    <w:rsid w:val="002F1207"/>
    <w:rsid w:val="002F3AF7"/>
    <w:rsid w:val="002F7FCE"/>
    <w:rsid w:val="0031663D"/>
    <w:rsid w:val="0032412F"/>
    <w:rsid w:val="003266A0"/>
    <w:rsid w:val="00334E80"/>
    <w:rsid w:val="00335DD7"/>
    <w:rsid w:val="00343B25"/>
    <w:rsid w:val="00343DF9"/>
    <w:rsid w:val="003466CD"/>
    <w:rsid w:val="00361EED"/>
    <w:rsid w:val="00371ED3"/>
    <w:rsid w:val="0037222D"/>
    <w:rsid w:val="00373DC9"/>
    <w:rsid w:val="00377BA9"/>
    <w:rsid w:val="00384802"/>
    <w:rsid w:val="00385DBD"/>
    <w:rsid w:val="0039599D"/>
    <w:rsid w:val="00397BAA"/>
    <w:rsid w:val="003A25DA"/>
    <w:rsid w:val="003A6E9A"/>
    <w:rsid w:val="003B54FB"/>
    <w:rsid w:val="003C08AC"/>
    <w:rsid w:val="003D5857"/>
    <w:rsid w:val="003D6279"/>
    <w:rsid w:val="003E0999"/>
    <w:rsid w:val="003E5314"/>
    <w:rsid w:val="003E7137"/>
    <w:rsid w:val="003F3387"/>
    <w:rsid w:val="004021D2"/>
    <w:rsid w:val="00405269"/>
    <w:rsid w:val="00416E1E"/>
    <w:rsid w:val="00421148"/>
    <w:rsid w:val="0042250E"/>
    <w:rsid w:val="0042415F"/>
    <w:rsid w:val="00431A54"/>
    <w:rsid w:val="0043249C"/>
    <w:rsid w:val="004355ED"/>
    <w:rsid w:val="00444104"/>
    <w:rsid w:val="004457B0"/>
    <w:rsid w:val="004521E9"/>
    <w:rsid w:val="004618AC"/>
    <w:rsid w:val="004621B9"/>
    <w:rsid w:val="00462DA5"/>
    <w:rsid w:val="0046462D"/>
    <w:rsid w:val="00466137"/>
    <w:rsid w:val="00470A5F"/>
    <w:rsid w:val="00476E72"/>
    <w:rsid w:val="00484293"/>
    <w:rsid w:val="00484EF6"/>
    <w:rsid w:val="0048626D"/>
    <w:rsid w:val="004906A4"/>
    <w:rsid w:val="00492783"/>
    <w:rsid w:val="004C5973"/>
    <w:rsid w:val="004D386E"/>
    <w:rsid w:val="004D676C"/>
    <w:rsid w:val="004E06D8"/>
    <w:rsid w:val="004E267A"/>
    <w:rsid w:val="004F48BC"/>
    <w:rsid w:val="00506E99"/>
    <w:rsid w:val="00510CBD"/>
    <w:rsid w:val="0051359D"/>
    <w:rsid w:val="005172D0"/>
    <w:rsid w:val="00522E29"/>
    <w:rsid w:val="00523A63"/>
    <w:rsid w:val="00534548"/>
    <w:rsid w:val="00537431"/>
    <w:rsid w:val="00537670"/>
    <w:rsid w:val="00545460"/>
    <w:rsid w:val="00550D9B"/>
    <w:rsid w:val="0055271F"/>
    <w:rsid w:val="00553A75"/>
    <w:rsid w:val="00556719"/>
    <w:rsid w:val="00560801"/>
    <w:rsid w:val="00565AA3"/>
    <w:rsid w:val="005662E1"/>
    <w:rsid w:val="00573C49"/>
    <w:rsid w:val="00577BCD"/>
    <w:rsid w:val="005840FA"/>
    <w:rsid w:val="005842D2"/>
    <w:rsid w:val="00584A22"/>
    <w:rsid w:val="00586D6E"/>
    <w:rsid w:val="005908A4"/>
    <w:rsid w:val="00592BBC"/>
    <w:rsid w:val="0059305E"/>
    <w:rsid w:val="00593457"/>
    <w:rsid w:val="005A374B"/>
    <w:rsid w:val="005B71B4"/>
    <w:rsid w:val="005C78EA"/>
    <w:rsid w:val="005D0F87"/>
    <w:rsid w:val="005D25B6"/>
    <w:rsid w:val="005D3405"/>
    <w:rsid w:val="005D4616"/>
    <w:rsid w:val="005D4E15"/>
    <w:rsid w:val="005D5238"/>
    <w:rsid w:val="005D632D"/>
    <w:rsid w:val="005E0A42"/>
    <w:rsid w:val="005E15C7"/>
    <w:rsid w:val="005E4108"/>
    <w:rsid w:val="005E4F60"/>
    <w:rsid w:val="005E6640"/>
    <w:rsid w:val="005F10FA"/>
    <w:rsid w:val="00601872"/>
    <w:rsid w:val="00617BDE"/>
    <w:rsid w:val="00620718"/>
    <w:rsid w:val="00622AE4"/>
    <w:rsid w:val="006236C0"/>
    <w:rsid w:val="00623C6E"/>
    <w:rsid w:val="006251CA"/>
    <w:rsid w:val="00631E15"/>
    <w:rsid w:val="0063268F"/>
    <w:rsid w:val="00632742"/>
    <w:rsid w:val="006347B9"/>
    <w:rsid w:val="0064486D"/>
    <w:rsid w:val="00645989"/>
    <w:rsid w:val="0065223F"/>
    <w:rsid w:val="00652654"/>
    <w:rsid w:val="0065367D"/>
    <w:rsid w:val="00655EC3"/>
    <w:rsid w:val="00661CCC"/>
    <w:rsid w:val="0066464E"/>
    <w:rsid w:val="00667439"/>
    <w:rsid w:val="0067534E"/>
    <w:rsid w:val="00676339"/>
    <w:rsid w:val="00676966"/>
    <w:rsid w:val="0068405F"/>
    <w:rsid w:val="00690218"/>
    <w:rsid w:val="006A4555"/>
    <w:rsid w:val="006A5336"/>
    <w:rsid w:val="006B1A53"/>
    <w:rsid w:val="006B276B"/>
    <w:rsid w:val="006B33F5"/>
    <w:rsid w:val="006B4B3A"/>
    <w:rsid w:val="006B75AB"/>
    <w:rsid w:val="006D10B0"/>
    <w:rsid w:val="006E0117"/>
    <w:rsid w:val="006E3B49"/>
    <w:rsid w:val="006E6A17"/>
    <w:rsid w:val="006F0F73"/>
    <w:rsid w:val="00704A6D"/>
    <w:rsid w:val="00716F59"/>
    <w:rsid w:val="0072264A"/>
    <w:rsid w:val="00730686"/>
    <w:rsid w:val="0073150A"/>
    <w:rsid w:val="007315EF"/>
    <w:rsid w:val="00740111"/>
    <w:rsid w:val="007502B5"/>
    <w:rsid w:val="0076501C"/>
    <w:rsid w:val="007666FB"/>
    <w:rsid w:val="00766DBA"/>
    <w:rsid w:val="00772840"/>
    <w:rsid w:val="0078182A"/>
    <w:rsid w:val="00783F68"/>
    <w:rsid w:val="00785934"/>
    <w:rsid w:val="00791728"/>
    <w:rsid w:val="00792BC0"/>
    <w:rsid w:val="00795575"/>
    <w:rsid w:val="0079674D"/>
    <w:rsid w:val="007971BD"/>
    <w:rsid w:val="00797B3C"/>
    <w:rsid w:val="007A47D1"/>
    <w:rsid w:val="007B05AA"/>
    <w:rsid w:val="007B1D3D"/>
    <w:rsid w:val="007C1CDE"/>
    <w:rsid w:val="007C3ED7"/>
    <w:rsid w:val="007D37AF"/>
    <w:rsid w:val="007E1EA1"/>
    <w:rsid w:val="007E453B"/>
    <w:rsid w:val="007E48DA"/>
    <w:rsid w:val="007E6EDD"/>
    <w:rsid w:val="007F1F70"/>
    <w:rsid w:val="007F5046"/>
    <w:rsid w:val="007F56B8"/>
    <w:rsid w:val="007F5C40"/>
    <w:rsid w:val="007F660E"/>
    <w:rsid w:val="00801DFF"/>
    <w:rsid w:val="00803F61"/>
    <w:rsid w:val="008047B3"/>
    <w:rsid w:val="00812E27"/>
    <w:rsid w:val="008167F8"/>
    <w:rsid w:val="00831EA0"/>
    <w:rsid w:val="00832544"/>
    <w:rsid w:val="008354ED"/>
    <w:rsid w:val="00841B6B"/>
    <w:rsid w:val="008435DD"/>
    <w:rsid w:val="008606FD"/>
    <w:rsid w:val="008609A4"/>
    <w:rsid w:val="00862254"/>
    <w:rsid w:val="008660ED"/>
    <w:rsid w:val="00886C5A"/>
    <w:rsid w:val="00887E8D"/>
    <w:rsid w:val="008925FA"/>
    <w:rsid w:val="00893F73"/>
    <w:rsid w:val="008942D0"/>
    <w:rsid w:val="008A3CC1"/>
    <w:rsid w:val="008A57C6"/>
    <w:rsid w:val="008A5F10"/>
    <w:rsid w:val="008B6774"/>
    <w:rsid w:val="008B7968"/>
    <w:rsid w:val="008C2B82"/>
    <w:rsid w:val="008C4669"/>
    <w:rsid w:val="008C79A0"/>
    <w:rsid w:val="008D3C28"/>
    <w:rsid w:val="008E1B26"/>
    <w:rsid w:val="008E5F63"/>
    <w:rsid w:val="008F0A9D"/>
    <w:rsid w:val="008F1308"/>
    <w:rsid w:val="008F166E"/>
    <w:rsid w:val="008F646B"/>
    <w:rsid w:val="00900AC7"/>
    <w:rsid w:val="00904688"/>
    <w:rsid w:val="0090699C"/>
    <w:rsid w:val="00910EA2"/>
    <w:rsid w:val="009111BC"/>
    <w:rsid w:val="00911A75"/>
    <w:rsid w:val="00911DCF"/>
    <w:rsid w:val="00911E81"/>
    <w:rsid w:val="00915962"/>
    <w:rsid w:val="00916606"/>
    <w:rsid w:val="009175D1"/>
    <w:rsid w:val="00922515"/>
    <w:rsid w:val="00924BCB"/>
    <w:rsid w:val="0092503A"/>
    <w:rsid w:val="009269FC"/>
    <w:rsid w:val="0093254E"/>
    <w:rsid w:val="00937016"/>
    <w:rsid w:val="00944226"/>
    <w:rsid w:val="00952745"/>
    <w:rsid w:val="00953EFC"/>
    <w:rsid w:val="0095497C"/>
    <w:rsid w:val="00955576"/>
    <w:rsid w:val="00957B26"/>
    <w:rsid w:val="00961BEA"/>
    <w:rsid w:val="009721CD"/>
    <w:rsid w:val="00981AAE"/>
    <w:rsid w:val="0098347B"/>
    <w:rsid w:val="009838CE"/>
    <w:rsid w:val="009854B2"/>
    <w:rsid w:val="0099264D"/>
    <w:rsid w:val="0099505F"/>
    <w:rsid w:val="009963CD"/>
    <w:rsid w:val="009A603D"/>
    <w:rsid w:val="009B4CC2"/>
    <w:rsid w:val="009C2A82"/>
    <w:rsid w:val="009C5E2F"/>
    <w:rsid w:val="009D3B06"/>
    <w:rsid w:val="009F18A8"/>
    <w:rsid w:val="009F3C46"/>
    <w:rsid w:val="009F6A9E"/>
    <w:rsid w:val="00A00A2B"/>
    <w:rsid w:val="00A148AB"/>
    <w:rsid w:val="00A14B09"/>
    <w:rsid w:val="00A161C5"/>
    <w:rsid w:val="00A2133B"/>
    <w:rsid w:val="00A267BD"/>
    <w:rsid w:val="00A31815"/>
    <w:rsid w:val="00A467AF"/>
    <w:rsid w:val="00A5395F"/>
    <w:rsid w:val="00A55EFF"/>
    <w:rsid w:val="00A56380"/>
    <w:rsid w:val="00A73159"/>
    <w:rsid w:val="00A8310B"/>
    <w:rsid w:val="00A902E3"/>
    <w:rsid w:val="00A926B4"/>
    <w:rsid w:val="00A933D2"/>
    <w:rsid w:val="00AA55EE"/>
    <w:rsid w:val="00AA5906"/>
    <w:rsid w:val="00AB0EC3"/>
    <w:rsid w:val="00AB1BB8"/>
    <w:rsid w:val="00AB1DE0"/>
    <w:rsid w:val="00AB21A2"/>
    <w:rsid w:val="00AB7602"/>
    <w:rsid w:val="00AC2A20"/>
    <w:rsid w:val="00AD050B"/>
    <w:rsid w:val="00AE0BA9"/>
    <w:rsid w:val="00AE61C9"/>
    <w:rsid w:val="00AF1AA4"/>
    <w:rsid w:val="00AF3E0B"/>
    <w:rsid w:val="00AF488F"/>
    <w:rsid w:val="00AF5702"/>
    <w:rsid w:val="00AF68F9"/>
    <w:rsid w:val="00AF7E1C"/>
    <w:rsid w:val="00B0155D"/>
    <w:rsid w:val="00B07DA6"/>
    <w:rsid w:val="00B124D7"/>
    <w:rsid w:val="00B173FB"/>
    <w:rsid w:val="00B177FF"/>
    <w:rsid w:val="00B208C0"/>
    <w:rsid w:val="00B235B9"/>
    <w:rsid w:val="00B24306"/>
    <w:rsid w:val="00B263D0"/>
    <w:rsid w:val="00B33652"/>
    <w:rsid w:val="00B33D41"/>
    <w:rsid w:val="00B358FF"/>
    <w:rsid w:val="00B43B6F"/>
    <w:rsid w:val="00B44158"/>
    <w:rsid w:val="00B45C19"/>
    <w:rsid w:val="00B4602F"/>
    <w:rsid w:val="00B52092"/>
    <w:rsid w:val="00B52943"/>
    <w:rsid w:val="00B54925"/>
    <w:rsid w:val="00B55CD5"/>
    <w:rsid w:val="00B57E61"/>
    <w:rsid w:val="00B67214"/>
    <w:rsid w:val="00B7052B"/>
    <w:rsid w:val="00B84208"/>
    <w:rsid w:val="00B84C4C"/>
    <w:rsid w:val="00B86F9D"/>
    <w:rsid w:val="00B874FA"/>
    <w:rsid w:val="00B97847"/>
    <w:rsid w:val="00BA10D3"/>
    <w:rsid w:val="00BA5F80"/>
    <w:rsid w:val="00BB0995"/>
    <w:rsid w:val="00BB2176"/>
    <w:rsid w:val="00BB55E8"/>
    <w:rsid w:val="00BC4C2D"/>
    <w:rsid w:val="00BD0059"/>
    <w:rsid w:val="00BD69BA"/>
    <w:rsid w:val="00BE2058"/>
    <w:rsid w:val="00BE3E93"/>
    <w:rsid w:val="00BF0592"/>
    <w:rsid w:val="00BF230B"/>
    <w:rsid w:val="00BF5DD9"/>
    <w:rsid w:val="00C04BAA"/>
    <w:rsid w:val="00C10BCF"/>
    <w:rsid w:val="00C12A63"/>
    <w:rsid w:val="00C131D0"/>
    <w:rsid w:val="00C1391B"/>
    <w:rsid w:val="00C14BD3"/>
    <w:rsid w:val="00C250AF"/>
    <w:rsid w:val="00C264F5"/>
    <w:rsid w:val="00C3000E"/>
    <w:rsid w:val="00C30FD3"/>
    <w:rsid w:val="00C34D5C"/>
    <w:rsid w:val="00C40E05"/>
    <w:rsid w:val="00C508A0"/>
    <w:rsid w:val="00C53DC1"/>
    <w:rsid w:val="00C54708"/>
    <w:rsid w:val="00C605BC"/>
    <w:rsid w:val="00C6302D"/>
    <w:rsid w:val="00C647E1"/>
    <w:rsid w:val="00C72FFB"/>
    <w:rsid w:val="00C82019"/>
    <w:rsid w:val="00C85DA2"/>
    <w:rsid w:val="00C87FA4"/>
    <w:rsid w:val="00C9625A"/>
    <w:rsid w:val="00CA1914"/>
    <w:rsid w:val="00CA4187"/>
    <w:rsid w:val="00CB2A88"/>
    <w:rsid w:val="00CC0284"/>
    <w:rsid w:val="00CC6D25"/>
    <w:rsid w:val="00CD0FFB"/>
    <w:rsid w:val="00CD3DE8"/>
    <w:rsid w:val="00CD76D3"/>
    <w:rsid w:val="00CF50B6"/>
    <w:rsid w:val="00D023F4"/>
    <w:rsid w:val="00D03028"/>
    <w:rsid w:val="00D17604"/>
    <w:rsid w:val="00D2295A"/>
    <w:rsid w:val="00D22C9B"/>
    <w:rsid w:val="00D243BE"/>
    <w:rsid w:val="00D34188"/>
    <w:rsid w:val="00D409AB"/>
    <w:rsid w:val="00D50720"/>
    <w:rsid w:val="00D60608"/>
    <w:rsid w:val="00D60A36"/>
    <w:rsid w:val="00D61695"/>
    <w:rsid w:val="00D71B8F"/>
    <w:rsid w:val="00D76D7D"/>
    <w:rsid w:val="00D77265"/>
    <w:rsid w:val="00D81C94"/>
    <w:rsid w:val="00D86180"/>
    <w:rsid w:val="00D90F89"/>
    <w:rsid w:val="00D97002"/>
    <w:rsid w:val="00D972F6"/>
    <w:rsid w:val="00DA1629"/>
    <w:rsid w:val="00DA1821"/>
    <w:rsid w:val="00DA74AE"/>
    <w:rsid w:val="00DB4D63"/>
    <w:rsid w:val="00DB53D1"/>
    <w:rsid w:val="00DC1232"/>
    <w:rsid w:val="00DD1943"/>
    <w:rsid w:val="00DD4757"/>
    <w:rsid w:val="00DD6DEB"/>
    <w:rsid w:val="00DE0622"/>
    <w:rsid w:val="00DE64B4"/>
    <w:rsid w:val="00DF29FF"/>
    <w:rsid w:val="00DF36DB"/>
    <w:rsid w:val="00DF400B"/>
    <w:rsid w:val="00DF7399"/>
    <w:rsid w:val="00E01681"/>
    <w:rsid w:val="00E0337A"/>
    <w:rsid w:val="00E05484"/>
    <w:rsid w:val="00E12D28"/>
    <w:rsid w:val="00E12EF1"/>
    <w:rsid w:val="00E175A0"/>
    <w:rsid w:val="00E2089A"/>
    <w:rsid w:val="00E24579"/>
    <w:rsid w:val="00E277D0"/>
    <w:rsid w:val="00E31138"/>
    <w:rsid w:val="00E31C5E"/>
    <w:rsid w:val="00E37538"/>
    <w:rsid w:val="00E3778C"/>
    <w:rsid w:val="00E4393B"/>
    <w:rsid w:val="00E568E7"/>
    <w:rsid w:val="00E7130C"/>
    <w:rsid w:val="00E73C74"/>
    <w:rsid w:val="00E7608D"/>
    <w:rsid w:val="00E76DFD"/>
    <w:rsid w:val="00E81150"/>
    <w:rsid w:val="00E81BD0"/>
    <w:rsid w:val="00E83E6E"/>
    <w:rsid w:val="00E85FA9"/>
    <w:rsid w:val="00E87747"/>
    <w:rsid w:val="00E90621"/>
    <w:rsid w:val="00E93523"/>
    <w:rsid w:val="00E93DD1"/>
    <w:rsid w:val="00E969F3"/>
    <w:rsid w:val="00E97C87"/>
    <w:rsid w:val="00EA617B"/>
    <w:rsid w:val="00EB5E4A"/>
    <w:rsid w:val="00EB7190"/>
    <w:rsid w:val="00EB76F7"/>
    <w:rsid w:val="00EC06B0"/>
    <w:rsid w:val="00EC2C72"/>
    <w:rsid w:val="00EC5ED5"/>
    <w:rsid w:val="00ED034D"/>
    <w:rsid w:val="00ED2AB8"/>
    <w:rsid w:val="00EE1F37"/>
    <w:rsid w:val="00EE34CA"/>
    <w:rsid w:val="00EF0F7C"/>
    <w:rsid w:val="00EF2775"/>
    <w:rsid w:val="00EF3E03"/>
    <w:rsid w:val="00F057E8"/>
    <w:rsid w:val="00F14C49"/>
    <w:rsid w:val="00F16E34"/>
    <w:rsid w:val="00F2490E"/>
    <w:rsid w:val="00F301FA"/>
    <w:rsid w:val="00F353D7"/>
    <w:rsid w:val="00F4046F"/>
    <w:rsid w:val="00F4079E"/>
    <w:rsid w:val="00F464C4"/>
    <w:rsid w:val="00F47E92"/>
    <w:rsid w:val="00F53018"/>
    <w:rsid w:val="00F55E2E"/>
    <w:rsid w:val="00F5790E"/>
    <w:rsid w:val="00F64644"/>
    <w:rsid w:val="00F7593E"/>
    <w:rsid w:val="00F76F7E"/>
    <w:rsid w:val="00F77790"/>
    <w:rsid w:val="00F92458"/>
    <w:rsid w:val="00F941BF"/>
    <w:rsid w:val="00FA5DC8"/>
    <w:rsid w:val="00FA673A"/>
    <w:rsid w:val="00FB05DA"/>
    <w:rsid w:val="00FB18CE"/>
    <w:rsid w:val="00FB5F8A"/>
    <w:rsid w:val="00FC0A87"/>
    <w:rsid w:val="00FC2284"/>
    <w:rsid w:val="00FC3C8B"/>
    <w:rsid w:val="00FC4026"/>
    <w:rsid w:val="00FE535F"/>
    <w:rsid w:val="00FF0E87"/>
    <w:rsid w:val="00FF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49FD451"/>
  <w15:docId w15:val="{EC1F33B1-96DB-45C5-BE8D-2A80F9AB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nist.gov/srm" TargetMode="External"/><Relationship Id="rId2" Type="http://schemas.openxmlformats.org/officeDocument/2006/relationships/numbering" Target="numbering.xml"/><Relationship Id="rId16" Type="http://schemas.openxmlformats.org/officeDocument/2006/relationships/hyperlink" Target="http://www.cdc.gov/niosh-rtecs/MN8D867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cdc.gov/niosh/npg/npgd0322.html" TargetMode="External"/><Relationship Id="rId10" Type="http://schemas.openxmlformats.org/officeDocument/2006/relationships/hyperlink" Target="http://www.nist.gov/sr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toxnet.nlm.nih.gov/cgi-bin/sis/htmlgen?HS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3DF961-3C05-49D5-84D9-6EA1ADAF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16953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Bercik, Ilse</cp:lastModifiedBy>
  <cp:revision>3</cp:revision>
  <cp:lastPrinted>2013-12-03T19:01:00Z</cp:lastPrinted>
  <dcterms:created xsi:type="dcterms:W3CDTF">2015-03-27T14:07:00Z</dcterms:created>
  <dcterms:modified xsi:type="dcterms:W3CDTF">2015-03-27T14:08:00Z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