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6ED0F" w14:textId="77777777" w:rsidR="00FD5524" w:rsidRDefault="00FD5524" w:rsidP="00FD5524">
      <w:pPr>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4E4F6A33" wp14:editId="57AA180B">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 xml:space="preserve">Date of Issue: </w:t>
      </w:r>
    </w:p>
    <w:p w14:paraId="39E138BC" w14:textId="7CB6F0C6" w:rsidR="00FD5524" w:rsidRPr="00A45A14" w:rsidRDefault="009F663A" w:rsidP="00FD5524">
      <w:pPr>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0</w:t>
      </w:r>
      <w:r w:rsidR="004F17CA">
        <w:rPr>
          <w:rFonts w:ascii="Times New Roman" w:eastAsia="Times New Roman" w:hAnsi="Times New Roman"/>
          <w:bCs/>
          <w:sz w:val="24"/>
          <w:szCs w:val="24"/>
        </w:rPr>
        <w:t>5</w:t>
      </w:r>
      <w:r>
        <w:rPr>
          <w:rFonts w:ascii="Times New Roman" w:eastAsia="Times New Roman" w:hAnsi="Times New Roman"/>
          <w:bCs/>
          <w:sz w:val="24"/>
          <w:szCs w:val="24"/>
        </w:rPr>
        <w:t xml:space="preserve"> May</w:t>
      </w:r>
      <w:r w:rsidR="006662F0">
        <w:rPr>
          <w:rFonts w:ascii="Times New Roman" w:eastAsia="Times New Roman" w:hAnsi="Times New Roman"/>
          <w:bCs/>
          <w:sz w:val="24"/>
          <w:szCs w:val="24"/>
        </w:rPr>
        <w:t xml:space="preserve"> </w:t>
      </w:r>
      <w:r w:rsidR="00FD5524" w:rsidRPr="00A45A14">
        <w:rPr>
          <w:rFonts w:ascii="Times New Roman" w:eastAsia="Times New Roman" w:hAnsi="Times New Roman"/>
          <w:bCs/>
          <w:sz w:val="24"/>
          <w:szCs w:val="24"/>
        </w:rPr>
        <w:t>201</w:t>
      </w:r>
      <w:r w:rsidR="00FD5025">
        <w:rPr>
          <w:rFonts w:ascii="Times New Roman" w:eastAsia="Times New Roman" w:hAnsi="Times New Roman"/>
          <w:bCs/>
          <w:sz w:val="24"/>
          <w:szCs w:val="24"/>
        </w:rPr>
        <w:t>5</w:t>
      </w:r>
    </w:p>
    <w:p w14:paraId="104A4770" w14:textId="77777777" w:rsidR="00FD5524" w:rsidRPr="00FD5524" w:rsidRDefault="00FD5524" w:rsidP="002B22C8">
      <w:pPr>
        <w:spacing w:after="0" w:line="240" w:lineRule="auto"/>
        <w:ind w:left="2242" w:right="2104"/>
        <w:jc w:val="center"/>
        <w:rPr>
          <w:rFonts w:ascii="Times New Roman" w:eastAsia="Times New Roman" w:hAnsi="Times New Roman"/>
          <w:b/>
          <w:bCs/>
          <w:sz w:val="20"/>
          <w:szCs w:val="20"/>
        </w:rPr>
      </w:pPr>
    </w:p>
    <w:p w14:paraId="0CA33D93" w14:textId="77777777" w:rsidR="00E24579" w:rsidRPr="00D34188" w:rsidRDefault="00BF5DD9" w:rsidP="00FD5025">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6D7DF87B" w14:textId="77777777" w:rsidR="00D60A36" w:rsidRPr="00FD5524" w:rsidRDefault="00D60A36" w:rsidP="00FD5025">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1E6C558B" w14:textId="77777777" w:rsidTr="00D60A36">
        <w:trPr>
          <w:trHeight w:hRule="exact" w:val="360"/>
        </w:trPr>
        <w:tc>
          <w:tcPr>
            <w:tcW w:w="9576" w:type="dxa"/>
            <w:vAlign w:val="center"/>
          </w:tcPr>
          <w:p w14:paraId="14B27CD9" w14:textId="77777777" w:rsidR="00D60A36" w:rsidRPr="00D60A36" w:rsidRDefault="00D60A36" w:rsidP="00FD5025">
            <w:pPr>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3D1A7EA0" w14:textId="77777777" w:rsidR="00150BAB" w:rsidRPr="00455695" w:rsidRDefault="007666FB" w:rsidP="00FD5025">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3C78A4C1" w14:textId="77777777" w:rsidR="00150BAB" w:rsidRPr="00D25DBF" w:rsidRDefault="00FD5025" w:rsidP="00FD5025">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Pr>
          <w:rFonts w:ascii="Times New Roman" w:eastAsia="Times New Roman" w:hAnsi="Times New Roman"/>
          <w:b/>
          <w:bCs/>
          <w:spacing w:val="1"/>
          <w:sz w:val="20"/>
          <w:szCs w:val="20"/>
        </w:rPr>
        <w:t>SRM</w:t>
      </w:r>
      <w:r w:rsidR="00150BAB" w:rsidRPr="00D25DBF">
        <w:rPr>
          <w:rFonts w:ascii="Times New Roman" w:eastAsia="Times New Roman" w:hAnsi="Times New Roman"/>
          <w:b/>
          <w:bCs/>
          <w:spacing w:val="-5"/>
          <w:sz w:val="20"/>
          <w:szCs w:val="20"/>
        </w:rPr>
        <w:t xml:space="preserve"> </w:t>
      </w:r>
      <w:r w:rsidR="00150BAB" w:rsidRPr="00D25DBF">
        <w:rPr>
          <w:rFonts w:ascii="Times New Roman" w:eastAsia="Times New Roman" w:hAnsi="Times New Roman"/>
          <w:b/>
          <w:bCs/>
          <w:spacing w:val="1"/>
          <w:sz w:val="20"/>
          <w:szCs w:val="20"/>
        </w:rPr>
        <w:t>Nu</w:t>
      </w:r>
      <w:r w:rsidR="00150BAB" w:rsidRPr="00D25DBF">
        <w:rPr>
          <w:rFonts w:ascii="Times New Roman" w:eastAsia="Times New Roman" w:hAnsi="Times New Roman"/>
          <w:b/>
          <w:bCs/>
          <w:spacing w:val="3"/>
          <w:sz w:val="20"/>
          <w:szCs w:val="20"/>
        </w:rPr>
        <w:t>m</w:t>
      </w:r>
      <w:r w:rsidR="00150BAB" w:rsidRPr="00D25DBF">
        <w:rPr>
          <w:rFonts w:ascii="Times New Roman" w:eastAsia="Times New Roman" w:hAnsi="Times New Roman"/>
          <w:b/>
          <w:bCs/>
          <w:spacing w:val="1"/>
          <w:sz w:val="20"/>
          <w:szCs w:val="20"/>
        </w:rPr>
        <w:t>b</w:t>
      </w:r>
      <w:r w:rsidR="00150BAB" w:rsidRPr="00D25DBF">
        <w:rPr>
          <w:rFonts w:ascii="Times New Roman" w:eastAsia="Times New Roman" w:hAnsi="Times New Roman"/>
          <w:b/>
          <w:bCs/>
          <w:spacing w:val="-1"/>
          <w:sz w:val="20"/>
          <w:szCs w:val="20"/>
        </w:rPr>
        <w:t>er</w:t>
      </w:r>
      <w:r w:rsidR="00150BAB"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Pr>
          <w:rFonts w:ascii="Times New Roman" w:hAnsi="Times New Roman"/>
          <w:bCs/>
          <w:sz w:val="20"/>
          <w:szCs w:val="20"/>
        </w:rPr>
        <w:t>1939a</w:t>
      </w:r>
    </w:p>
    <w:p w14:paraId="7B5557C7" w14:textId="77777777" w:rsidR="00150BAB" w:rsidRPr="00D25DBF" w:rsidRDefault="00FD5025" w:rsidP="00FD5025">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Pr>
          <w:rFonts w:ascii="Times New Roman" w:eastAsia="Times New Roman" w:hAnsi="Times New Roman"/>
          <w:b/>
          <w:bCs/>
          <w:spacing w:val="1"/>
          <w:sz w:val="20"/>
          <w:szCs w:val="20"/>
        </w:rPr>
        <w:t>SRM</w:t>
      </w:r>
      <w:r w:rsidR="00150BAB" w:rsidRPr="00D25DBF">
        <w:rPr>
          <w:rFonts w:ascii="Times New Roman" w:eastAsia="Times New Roman" w:hAnsi="Times New Roman"/>
          <w:b/>
          <w:bCs/>
          <w:spacing w:val="-5"/>
          <w:sz w:val="20"/>
          <w:szCs w:val="20"/>
        </w:rPr>
        <w:t xml:space="preserve"> </w:t>
      </w:r>
      <w:r w:rsidR="00150BAB" w:rsidRPr="00D25DBF">
        <w:rPr>
          <w:rFonts w:ascii="Times New Roman" w:eastAsia="Times New Roman" w:hAnsi="Times New Roman"/>
          <w:b/>
          <w:bCs/>
          <w:spacing w:val="1"/>
          <w:sz w:val="20"/>
          <w:szCs w:val="20"/>
        </w:rPr>
        <w:t>Na</w:t>
      </w:r>
      <w:r w:rsidR="00150BAB" w:rsidRPr="00D25DBF">
        <w:rPr>
          <w:rFonts w:ascii="Times New Roman" w:eastAsia="Times New Roman" w:hAnsi="Times New Roman"/>
          <w:b/>
          <w:bCs/>
          <w:spacing w:val="3"/>
          <w:sz w:val="20"/>
          <w:szCs w:val="20"/>
        </w:rPr>
        <w:t>m</w:t>
      </w:r>
      <w:r w:rsidR="00150BAB" w:rsidRPr="00D25DBF">
        <w:rPr>
          <w:rFonts w:ascii="Times New Roman" w:eastAsia="Times New Roman" w:hAnsi="Times New Roman"/>
          <w:b/>
          <w:bCs/>
          <w:spacing w:val="-1"/>
          <w:sz w:val="20"/>
          <w:szCs w:val="20"/>
        </w:rPr>
        <w:t>e</w:t>
      </w:r>
      <w:r w:rsidR="00150BAB"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Pr="00FD5025">
        <w:rPr>
          <w:rFonts w:ascii="Times New Roman" w:eastAsia="Times New Roman" w:hAnsi="Times New Roman"/>
          <w:bCs/>
          <w:sz w:val="20"/>
          <w:szCs w:val="20"/>
        </w:rPr>
        <w:t>Polychlorinated Biphenyls (Congeners) in River Sediment A</w:t>
      </w:r>
    </w:p>
    <w:p w14:paraId="14155B11" w14:textId="77777777" w:rsidR="00FD5524" w:rsidRPr="00D25DBF" w:rsidRDefault="00FD5524" w:rsidP="00FD5025">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125352B3" w14:textId="77777777" w:rsidR="00150BAB" w:rsidRPr="00D25DBF" w:rsidRDefault="00150BAB" w:rsidP="00FD5025">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2198675C" w14:textId="5600B7A5" w:rsidR="00150BAB" w:rsidRDefault="00687432" w:rsidP="00FD5025">
      <w:pPr>
        <w:widowControl/>
        <w:autoSpaceDE w:val="0"/>
        <w:autoSpaceDN w:val="0"/>
        <w:adjustRightInd w:val="0"/>
        <w:spacing w:after="0" w:line="240" w:lineRule="auto"/>
        <w:jc w:val="both"/>
        <w:rPr>
          <w:rFonts w:ascii="Times New Roman" w:eastAsia="Times New Roman" w:hAnsi="Times New Roman"/>
          <w:sz w:val="20"/>
          <w:szCs w:val="20"/>
        </w:rPr>
      </w:pPr>
      <w:r w:rsidRPr="00687432">
        <w:rPr>
          <w:rFonts w:ascii="Times New Roman" w:eastAsia="Times New Roman" w:hAnsi="Times New Roman"/>
          <w:sz w:val="20"/>
          <w:szCs w:val="20"/>
        </w:rPr>
        <w:t>This Reference Material (</w:t>
      </w:r>
      <w:r w:rsidR="00FD5025">
        <w:rPr>
          <w:rFonts w:ascii="Times New Roman" w:eastAsia="Times New Roman" w:hAnsi="Times New Roman"/>
          <w:sz w:val="20"/>
          <w:szCs w:val="20"/>
        </w:rPr>
        <w:t>SRM</w:t>
      </w:r>
      <w:r w:rsidRPr="00687432">
        <w:rPr>
          <w:rFonts w:ascii="Times New Roman" w:eastAsia="Times New Roman" w:hAnsi="Times New Roman"/>
          <w:sz w:val="20"/>
          <w:szCs w:val="20"/>
        </w:rPr>
        <w:t xml:space="preserve">) </w:t>
      </w:r>
      <w:r w:rsidR="00FD5025" w:rsidRPr="00FD5025">
        <w:rPr>
          <w:rFonts w:ascii="Times New Roman" w:eastAsia="Times New Roman" w:hAnsi="Times New Roman"/>
          <w:sz w:val="20"/>
          <w:szCs w:val="20"/>
        </w:rPr>
        <w:t>is intended primarily for use in validating analytical methods used in determining selected polychlorinated biphenyl (PCB) congeners in sediments.  All of the constituents for which certified and reference values are provided in SRM 1939a are naturally present in the sediment material.  A unit of SRM 1939a consists of a bottle containing approximately 50 g of river sediment.</w:t>
      </w:r>
      <w:r w:rsidR="00C13DBB">
        <w:rPr>
          <w:rFonts w:ascii="Times New Roman" w:eastAsia="Times New Roman" w:hAnsi="Times New Roman"/>
          <w:sz w:val="20"/>
          <w:szCs w:val="20"/>
        </w:rPr>
        <w:t xml:space="preserve"> </w:t>
      </w:r>
    </w:p>
    <w:p w14:paraId="6EC1EF17" w14:textId="77777777" w:rsidR="00F6032E" w:rsidRPr="00D222CA" w:rsidRDefault="00F6032E" w:rsidP="00FD5025">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2458464D" w14:textId="77777777" w:rsidTr="002F28B5">
        <w:tc>
          <w:tcPr>
            <w:tcW w:w="4590" w:type="dxa"/>
          </w:tcPr>
          <w:p w14:paraId="20FE27D0"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514A241D"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00B54B47" w14:textId="77777777" w:rsidTr="002F28B5">
        <w:tc>
          <w:tcPr>
            <w:tcW w:w="4590" w:type="dxa"/>
          </w:tcPr>
          <w:p w14:paraId="698DC2AD"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7E72445B"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74B19CD1" w14:textId="77777777" w:rsidTr="002F28B5">
        <w:tc>
          <w:tcPr>
            <w:tcW w:w="4590" w:type="dxa"/>
          </w:tcPr>
          <w:p w14:paraId="46158BC7"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3A038D8" w14:textId="77777777" w:rsidR="00F6032E" w:rsidRPr="00193FA9" w:rsidRDefault="00F6032E" w:rsidP="00FD5025">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224AF6E1" w14:textId="77777777" w:rsidTr="002F28B5">
        <w:tc>
          <w:tcPr>
            <w:tcW w:w="4590" w:type="dxa"/>
          </w:tcPr>
          <w:p w14:paraId="5CDA02C6"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32A941B8" w14:textId="77777777" w:rsidR="00F6032E" w:rsidRPr="00193FA9" w:rsidRDefault="00F6032E" w:rsidP="00FD5025">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149F8120" w14:textId="77777777" w:rsidTr="002F28B5">
        <w:tc>
          <w:tcPr>
            <w:tcW w:w="4590" w:type="dxa"/>
          </w:tcPr>
          <w:p w14:paraId="30EDD0B5"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p>
        </w:tc>
        <w:tc>
          <w:tcPr>
            <w:tcW w:w="4230" w:type="dxa"/>
          </w:tcPr>
          <w:p w14:paraId="2E6C87B9" w14:textId="77777777" w:rsidR="00F6032E" w:rsidRPr="00193FA9" w:rsidRDefault="00F6032E" w:rsidP="00FD5025">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4B97C391" w14:textId="77777777" w:rsidTr="002F28B5">
        <w:tc>
          <w:tcPr>
            <w:tcW w:w="4590" w:type="dxa"/>
          </w:tcPr>
          <w:p w14:paraId="462975F3"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3F9ED680" w14:textId="77777777" w:rsidR="00F6032E" w:rsidRPr="00193FA9" w:rsidRDefault="00F6032E" w:rsidP="00FD5025">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Emergency Telephone </w:t>
            </w:r>
            <w:proofErr w:type="spellStart"/>
            <w:r w:rsidRPr="00193FA9">
              <w:rPr>
                <w:rFonts w:ascii="Times New Roman" w:eastAsia="Times New Roman" w:hAnsi="Times New Roman"/>
                <w:sz w:val="20"/>
                <w:szCs w:val="20"/>
              </w:rPr>
              <w:t>ChemTrec</w:t>
            </w:r>
            <w:proofErr w:type="spellEnd"/>
            <w:r w:rsidRPr="00193FA9">
              <w:rPr>
                <w:rFonts w:ascii="Times New Roman" w:eastAsia="Times New Roman" w:hAnsi="Times New Roman"/>
                <w:sz w:val="20"/>
                <w:szCs w:val="20"/>
              </w:rPr>
              <w:t>:</w:t>
            </w:r>
          </w:p>
        </w:tc>
      </w:tr>
      <w:tr w:rsidR="00F6032E" w:rsidRPr="00193FA9" w14:paraId="76C57BCB" w14:textId="77777777" w:rsidTr="002F28B5">
        <w:tc>
          <w:tcPr>
            <w:tcW w:w="4590" w:type="dxa"/>
          </w:tcPr>
          <w:p w14:paraId="18366E11"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7B293439" w14:textId="77777777" w:rsidR="00F6032E" w:rsidRPr="00193FA9" w:rsidRDefault="00F6032E" w:rsidP="00FD5025">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62489AC9" w14:textId="77777777" w:rsidTr="002F28B5">
        <w:tc>
          <w:tcPr>
            <w:tcW w:w="4590" w:type="dxa"/>
          </w:tcPr>
          <w:p w14:paraId="112B1C27"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3DE3ABF5" w14:textId="77777777" w:rsidR="00F6032E" w:rsidRPr="00193FA9" w:rsidRDefault="00F6032E" w:rsidP="00FD5025">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7B3D61D7" w14:textId="77777777" w:rsidTr="002F28B5">
        <w:tc>
          <w:tcPr>
            <w:tcW w:w="4590" w:type="dxa"/>
          </w:tcPr>
          <w:p w14:paraId="1667077C" w14:textId="77777777" w:rsidR="00F6032E" w:rsidRPr="00193FA9" w:rsidRDefault="00F6032E" w:rsidP="00FD5025">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0996DA32" w14:textId="77777777" w:rsidR="00F6032E" w:rsidRPr="00193FA9" w:rsidRDefault="00F6032E" w:rsidP="00FD5025">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2059EF6A" w14:textId="77777777" w:rsidTr="002B22C8">
        <w:trPr>
          <w:trHeight w:hRule="exact" w:val="360"/>
        </w:trPr>
        <w:tc>
          <w:tcPr>
            <w:tcW w:w="9576" w:type="dxa"/>
            <w:vAlign w:val="center"/>
          </w:tcPr>
          <w:p w14:paraId="7CDF5F5A" w14:textId="77777777" w:rsidR="002B22C8" w:rsidRDefault="002B22C8" w:rsidP="00FD5025">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354288C1" w14:textId="77777777" w:rsidR="001C4F6D" w:rsidRPr="00455695" w:rsidRDefault="002B22C8" w:rsidP="00FD5025">
      <w:pPr>
        <w:widowControl/>
        <w:spacing w:before="120" w:after="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Classification</w:t>
      </w:r>
      <w:r w:rsidR="006D24D9" w:rsidRPr="00455695">
        <w:rPr>
          <w:rFonts w:ascii="Times New Roman" w:eastAsia="Times New Roman" w:hAnsi="Times New Roman"/>
          <w:bCs/>
          <w:sz w:val="20"/>
          <w:szCs w:val="20"/>
        </w:rPr>
        <w:t xml:space="preserve"> </w:t>
      </w:r>
    </w:p>
    <w:p w14:paraId="54852662" w14:textId="77777777" w:rsidR="0073150A" w:rsidRPr="005550E0" w:rsidRDefault="0073150A" w:rsidP="00FD5025">
      <w:pPr>
        <w:widowControl/>
        <w:tabs>
          <w:tab w:val="left" w:pos="2520"/>
          <w:tab w:val="left" w:pos="531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Physical Hazard:</w:t>
      </w:r>
      <w:r w:rsidR="00303CFF">
        <w:rPr>
          <w:rFonts w:ascii="Times New Roman" w:eastAsia="Times New Roman" w:hAnsi="Times New Roman"/>
          <w:bCs/>
          <w:sz w:val="20"/>
          <w:szCs w:val="20"/>
        </w:rPr>
        <w:t xml:space="preserve">  </w:t>
      </w:r>
      <w:r w:rsidR="00195830">
        <w:rPr>
          <w:rFonts w:ascii="Times New Roman" w:eastAsia="Times New Roman" w:hAnsi="Times New Roman"/>
          <w:bCs/>
          <w:sz w:val="20"/>
          <w:szCs w:val="20"/>
        </w:rPr>
        <w:t>Not classified</w:t>
      </w:r>
      <w:r w:rsidR="004528A1">
        <w:rPr>
          <w:rFonts w:ascii="Times New Roman" w:eastAsia="Times New Roman" w:hAnsi="Times New Roman"/>
          <w:bCs/>
          <w:sz w:val="20"/>
          <w:szCs w:val="20"/>
        </w:rPr>
        <w:t>.</w:t>
      </w:r>
    </w:p>
    <w:p w14:paraId="131E6861" w14:textId="77777777" w:rsidR="00037080" w:rsidRPr="00015F8E" w:rsidRDefault="0073150A" w:rsidP="00FD5025">
      <w:pPr>
        <w:widowControl/>
        <w:tabs>
          <w:tab w:val="left" w:pos="2520"/>
          <w:tab w:val="left" w:pos="5310"/>
        </w:tabs>
        <w:spacing w:after="0" w:line="240" w:lineRule="auto"/>
        <w:ind w:left="360"/>
        <w:jc w:val="both"/>
        <w:rPr>
          <w:rFonts w:ascii="Times New Roman" w:eastAsia="Times New Roman" w:hAnsi="Times New Roman"/>
          <w:bCs/>
          <w:sz w:val="20"/>
          <w:szCs w:val="20"/>
        </w:rPr>
      </w:pPr>
      <w:r w:rsidRPr="005550E0">
        <w:rPr>
          <w:rFonts w:ascii="Times New Roman" w:eastAsia="Times New Roman" w:hAnsi="Times New Roman"/>
          <w:b/>
          <w:bCs/>
          <w:sz w:val="20"/>
          <w:szCs w:val="20"/>
        </w:rPr>
        <w:t>Health Hazard:</w:t>
      </w:r>
      <w:r w:rsidR="00303CFF">
        <w:rPr>
          <w:rFonts w:ascii="Times New Roman" w:eastAsia="Times New Roman" w:hAnsi="Times New Roman"/>
          <w:bCs/>
          <w:sz w:val="20"/>
          <w:szCs w:val="20"/>
        </w:rPr>
        <w:t xml:space="preserve">  </w:t>
      </w:r>
      <w:r w:rsidR="004528A1">
        <w:rPr>
          <w:rFonts w:ascii="Times New Roman" w:eastAsia="Times New Roman" w:hAnsi="Times New Roman"/>
          <w:bCs/>
          <w:sz w:val="20"/>
          <w:szCs w:val="20"/>
        </w:rPr>
        <w:t>Not classified.</w:t>
      </w:r>
    </w:p>
    <w:p w14:paraId="1096FE80" w14:textId="77777777" w:rsidR="006A07F8" w:rsidRDefault="006A07F8" w:rsidP="00FD5025">
      <w:pPr>
        <w:widowControl/>
        <w:tabs>
          <w:tab w:val="left" w:pos="1890"/>
          <w:tab w:val="left" w:pos="6120"/>
        </w:tabs>
        <w:spacing w:after="0" w:line="240" w:lineRule="auto"/>
        <w:ind w:left="360"/>
        <w:jc w:val="both"/>
        <w:rPr>
          <w:rFonts w:ascii="Times New Roman" w:eastAsia="Times New Roman" w:hAnsi="Times New Roman"/>
          <w:b/>
          <w:bCs/>
          <w:sz w:val="20"/>
          <w:szCs w:val="20"/>
        </w:rPr>
      </w:pPr>
    </w:p>
    <w:p w14:paraId="0BAE1CE4" w14:textId="77777777" w:rsidR="00730686" w:rsidRPr="00015F8E" w:rsidRDefault="00730686" w:rsidP="00FD5025">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Label Elements</w:t>
      </w:r>
    </w:p>
    <w:p w14:paraId="319706A2" w14:textId="77777777" w:rsidR="00910EA2" w:rsidRPr="00015F8E" w:rsidRDefault="00730686" w:rsidP="00FD5025">
      <w:pPr>
        <w:widowControl/>
        <w:tabs>
          <w:tab w:val="left" w:pos="2740"/>
          <w:tab w:val="left" w:pos="4540"/>
          <w:tab w:val="left" w:pos="6340"/>
        </w:tabs>
        <w:spacing w:after="0" w:line="240" w:lineRule="auto"/>
        <w:ind w:left="360"/>
        <w:rPr>
          <w:rFonts w:ascii="Times New Roman" w:eastAsia="Times New Roman" w:hAnsi="Times New Roman"/>
          <w:b/>
          <w:bCs/>
          <w:sz w:val="20"/>
          <w:szCs w:val="20"/>
        </w:rPr>
      </w:pPr>
      <w:r w:rsidRPr="00015F8E">
        <w:rPr>
          <w:rFonts w:ascii="Times New Roman" w:eastAsia="Times New Roman" w:hAnsi="Times New Roman"/>
          <w:b/>
          <w:bCs/>
          <w:sz w:val="20"/>
          <w:szCs w:val="20"/>
        </w:rPr>
        <w:t>Symbol</w:t>
      </w:r>
      <w:r w:rsidR="00910EA2" w:rsidRPr="00015F8E">
        <w:rPr>
          <w:rFonts w:ascii="Times New Roman" w:eastAsia="Times New Roman" w:hAnsi="Times New Roman"/>
          <w:b/>
          <w:bCs/>
          <w:sz w:val="20"/>
          <w:szCs w:val="20"/>
        </w:rPr>
        <w:t xml:space="preserve"> </w:t>
      </w:r>
    </w:p>
    <w:p w14:paraId="09E64A59" w14:textId="77777777" w:rsidR="00910EA2" w:rsidRPr="000338D3" w:rsidRDefault="00E06A19" w:rsidP="00FD5025">
      <w:pPr>
        <w:widowControl/>
        <w:tabs>
          <w:tab w:val="left" w:pos="2740"/>
          <w:tab w:val="left" w:pos="4540"/>
          <w:tab w:val="left" w:pos="6340"/>
        </w:tabs>
        <w:spacing w:after="0" w:line="240" w:lineRule="auto"/>
        <w:ind w:left="360"/>
        <w:rPr>
          <w:rFonts w:ascii="Times New Roman" w:eastAsia="Times New Roman" w:hAnsi="Times New Roman"/>
          <w:bCs/>
          <w:sz w:val="20"/>
          <w:szCs w:val="20"/>
        </w:rPr>
      </w:pPr>
      <w:r w:rsidRPr="000338D3">
        <w:rPr>
          <w:rFonts w:ascii="Times New Roman" w:eastAsia="Times New Roman" w:hAnsi="Times New Roman"/>
          <w:bCs/>
          <w:sz w:val="20"/>
          <w:szCs w:val="20"/>
        </w:rPr>
        <w:t>No Symbol</w:t>
      </w:r>
      <w:r w:rsidR="00DB683D">
        <w:rPr>
          <w:rFonts w:ascii="Times New Roman" w:eastAsia="Times New Roman" w:hAnsi="Times New Roman"/>
          <w:bCs/>
          <w:sz w:val="20"/>
          <w:szCs w:val="20"/>
        </w:rPr>
        <w:t>/Pictogram</w:t>
      </w:r>
    </w:p>
    <w:p w14:paraId="62BEF579" w14:textId="77777777" w:rsidR="00910EA2" w:rsidRPr="00015F8E" w:rsidRDefault="00730686" w:rsidP="00FD5025">
      <w:pPr>
        <w:widowControl/>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015F8E">
        <w:rPr>
          <w:rFonts w:ascii="Times New Roman" w:eastAsia="Times New Roman" w:hAnsi="Times New Roman"/>
          <w:b/>
          <w:bCs/>
          <w:sz w:val="20"/>
          <w:szCs w:val="20"/>
        </w:rPr>
        <w:t>Signal Word</w:t>
      </w:r>
    </w:p>
    <w:p w14:paraId="52DC0530" w14:textId="77777777" w:rsidR="008B70F0" w:rsidRPr="000338D3" w:rsidRDefault="001A0EA2" w:rsidP="00FD5025">
      <w:pPr>
        <w:widowControl/>
        <w:tabs>
          <w:tab w:val="left" w:pos="2740"/>
          <w:tab w:val="left" w:pos="4540"/>
          <w:tab w:val="left" w:pos="6340"/>
        </w:tabs>
        <w:spacing w:after="0" w:line="240" w:lineRule="auto"/>
        <w:ind w:left="360"/>
        <w:rPr>
          <w:rFonts w:ascii="Times New Roman" w:eastAsia="Times New Roman" w:hAnsi="Times New Roman"/>
          <w:bCs/>
          <w:sz w:val="20"/>
          <w:szCs w:val="20"/>
        </w:rPr>
      </w:pPr>
      <w:r>
        <w:rPr>
          <w:rFonts w:ascii="Times New Roman" w:eastAsia="Times New Roman" w:hAnsi="Times New Roman"/>
          <w:bCs/>
          <w:sz w:val="20"/>
          <w:szCs w:val="20"/>
        </w:rPr>
        <w:t>Not applicable.</w:t>
      </w:r>
    </w:p>
    <w:p w14:paraId="5DBFE14C" w14:textId="77777777" w:rsidR="008B70F0" w:rsidRPr="00A203EB" w:rsidRDefault="00730686" w:rsidP="00FD5025">
      <w:pPr>
        <w:widowControl/>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Hazard Statement(s</w:t>
      </w:r>
      <w:r w:rsidR="00FC3C8B" w:rsidRPr="00015F8E">
        <w:rPr>
          <w:rFonts w:ascii="Times New Roman" w:eastAsia="Times New Roman" w:hAnsi="Times New Roman"/>
          <w:b/>
          <w:bCs/>
          <w:sz w:val="20"/>
          <w:szCs w:val="20"/>
        </w:rPr>
        <w:t>)</w:t>
      </w:r>
      <w:r w:rsidR="008B70F0">
        <w:rPr>
          <w:rFonts w:ascii="Times New Roman" w:eastAsia="Times New Roman" w:hAnsi="Times New Roman"/>
          <w:b/>
          <w:bCs/>
          <w:sz w:val="20"/>
          <w:szCs w:val="20"/>
        </w:rPr>
        <w:t>:</w:t>
      </w:r>
      <w:r w:rsidR="008B70F0" w:rsidRPr="008B70F0">
        <w:rPr>
          <w:rFonts w:ascii="Times New Roman" w:eastAsia="Times New Roman" w:hAnsi="Times New Roman"/>
          <w:bCs/>
          <w:sz w:val="20"/>
          <w:szCs w:val="20"/>
        </w:rPr>
        <w:t xml:space="preserve"> </w:t>
      </w:r>
      <w:r w:rsidR="002B3137">
        <w:rPr>
          <w:rFonts w:ascii="Times New Roman" w:eastAsia="Times New Roman" w:hAnsi="Times New Roman"/>
          <w:bCs/>
          <w:sz w:val="20"/>
          <w:szCs w:val="20"/>
        </w:rPr>
        <w:t xml:space="preserve"> </w:t>
      </w:r>
      <w:r w:rsidR="006A07F8" w:rsidRPr="006A07F8">
        <w:rPr>
          <w:rFonts w:ascii="Times New Roman" w:eastAsia="Times New Roman" w:hAnsi="Times New Roman"/>
          <w:bCs/>
          <w:sz w:val="20"/>
          <w:szCs w:val="20"/>
        </w:rPr>
        <w:t>Not applicable</w:t>
      </w:r>
      <w:r w:rsidR="00DF05FF">
        <w:rPr>
          <w:rFonts w:ascii="Times New Roman" w:eastAsia="Times New Roman" w:hAnsi="Times New Roman"/>
          <w:bCs/>
          <w:sz w:val="20"/>
          <w:szCs w:val="20"/>
        </w:rPr>
        <w:t>.</w:t>
      </w:r>
      <w:r w:rsidR="006A07F8" w:rsidRPr="006A07F8" w:rsidDel="006A07F8">
        <w:rPr>
          <w:rFonts w:ascii="Times New Roman" w:eastAsia="Times New Roman" w:hAnsi="Times New Roman"/>
          <w:bCs/>
          <w:sz w:val="20"/>
          <w:szCs w:val="20"/>
        </w:rPr>
        <w:t xml:space="preserve"> </w:t>
      </w:r>
    </w:p>
    <w:p w14:paraId="2532F8CD" w14:textId="77777777" w:rsidR="00910EA2" w:rsidRPr="00A203EB" w:rsidRDefault="00730686" w:rsidP="00FD5025">
      <w:pPr>
        <w:widowControl/>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Precautionary Statement(s)</w:t>
      </w:r>
      <w:r w:rsidR="00F3381A">
        <w:rPr>
          <w:rFonts w:ascii="Times New Roman" w:eastAsia="Times New Roman" w:hAnsi="Times New Roman"/>
          <w:b/>
          <w:bCs/>
          <w:sz w:val="20"/>
          <w:szCs w:val="20"/>
        </w:rPr>
        <w:t>:</w:t>
      </w:r>
      <w:r w:rsidR="00F3381A" w:rsidRPr="00F3381A">
        <w:rPr>
          <w:rFonts w:ascii="Times New Roman" w:eastAsia="Times New Roman" w:hAnsi="Times New Roman"/>
          <w:bCs/>
          <w:sz w:val="20"/>
          <w:szCs w:val="20"/>
        </w:rPr>
        <w:t xml:space="preserve">  Not applicable.</w:t>
      </w:r>
    </w:p>
    <w:p w14:paraId="2F7FA24C" w14:textId="77777777" w:rsidR="002B22C8" w:rsidRPr="00A203EB" w:rsidRDefault="00910EA2" w:rsidP="00FD5025">
      <w:pPr>
        <w:widowControl/>
        <w:spacing w:before="120" w:after="120" w:line="240" w:lineRule="auto"/>
        <w:ind w:left="360"/>
        <w:jc w:val="both"/>
        <w:rPr>
          <w:rFonts w:ascii="Times New Roman" w:eastAsia="Times New Roman" w:hAnsi="Times New Roman"/>
          <w:bCs/>
          <w:sz w:val="20"/>
          <w:szCs w:val="20"/>
        </w:rPr>
      </w:pPr>
      <w:r w:rsidRPr="00BF72CB">
        <w:rPr>
          <w:rFonts w:ascii="Times New Roman" w:eastAsia="Times New Roman" w:hAnsi="Times New Roman"/>
          <w:b/>
          <w:bCs/>
          <w:sz w:val="20"/>
          <w:szCs w:val="20"/>
        </w:rPr>
        <w:t>Hazards Not Otherwise Classified:</w:t>
      </w:r>
      <w:r w:rsidR="00971EDC" w:rsidRPr="00BF72CB">
        <w:rPr>
          <w:rFonts w:ascii="Times New Roman" w:eastAsia="Times New Roman" w:hAnsi="Times New Roman"/>
          <w:bCs/>
          <w:sz w:val="20"/>
          <w:szCs w:val="20"/>
        </w:rPr>
        <w:t xml:space="preserve">  </w:t>
      </w:r>
      <w:r w:rsidR="008B70F0" w:rsidRPr="008B70F0">
        <w:rPr>
          <w:rFonts w:ascii="Times New Roman" w:eastAsia="Times New Roman" w:hAnsi="Times New Roman"/>
          <w:bCs/>
          <w:sz w:val="20"/>
          <w:szCs w:val="20"/>
        </w:rPr>
        <w:t>Not applicable.</w:t>
      </w:r>
    </w:p>
    <w:p w14:paraId="4E81FE92" w14:textId="77777777" w:rsidR="00371ED3" w:rsidRDefault="00910EA2" w:rsidP="00FD5025">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BF72CB">
        <w:rPr>
          <w:rFonts w:ascii="Times New Roman" w:eastAsia="Times New Roman" w:hAnsi="Times New Roman"/>
          <w:b/>
          <w:bCs/>
          <w:sz w:val="20"/>
          <w:szCs w:val="20"/>
        </w:rPr>
        <w:t>Ingredients(s) with Unknown Acute Toxicity</w:t>
      </w:r>
      <w:r w:rsidR="00971EDC" w:rsidRPr="00BF72CB">
        <w:rPr>
          <w:rFonts w:ascii="Times New Roman" w:eastAsia="Times New Roman" w:hAnsi="Times New Roman"/>
          <w:b/>
          <w:bCs/>
          <w:sz w:val="20"/>
          <w:szCs w:val="20"/>
        </w:rPr>
        <w:t>:</w:t>
      </w:r>
      <w:r w:rsidR="00971EDC" w:rsidRPr="00BF72CB">
        <w:rPr>
          <w:rFonts w:ascii="Times New Roman" w:eastAsia="Times New Roman" w:hAnsi="Times New Roman"/>
          <w:bCs/>
          <w:sz w:val="20"/>
          <w:szCs w:val="20"/>
        </w:rPr>
        <w:t xml:space="preserve">  </w:t>
      </w:r>
      <w:r w:rsidR="00743478">
        <w:rPr>
          <w:rFonts w:ascii="Times New Roman" w:eastAsia="Times New Roman" w:hAnsi="Times New Roman"/>
          <w:bCs/>
          <w:sz w:val="20"/>
          <w:szCs w:val="20"/>
        </w:rPr>
        <w:t>Not applicable</w:t>
      </w:r>
      <w:r w:rsidR="00EF4006">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3FC48978" w14:textId="77777777" w:rsidTr="00371ED3">
        <w:trPr>
          <w:trHeight w:hRule="exact" w:val="360"/>
        </w:trPr>
        <w:tc>
          <w:tcPr>
            <w:tcW w:w="9576" w:type="dxa"/>
            <w:vAlign w:val="center"/>
          </w:tcPr>
          <w:p w14:paraId="6C101362" w14:textId="77777777" w:rsidR="00371ED3" w:rsidRPr="00A91680" w:rsidRDefault="00371ED3" w:rsidP="00FD5025">
            <w:pPr>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71DA859A" w14:textId="77777777" w:rsidR="00BB0995" w:rsidRPr="00176501" w:rsidRDefault="00BB0995" w:rsidP="00FD5025">
      <w:pPr>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687432">
        <w:rPr>
          <w:rFonts w:ascii="Times New Roman" w:eastAsia="Times New Roman" w:hAnsi="Times New Roman"/>
          <w:bCs/>
          <w:spacing w:val="1"/>
          <w:sz w:val="20"/>
          <w:szCs w:val="20"/>
        </w:rPr>
        <w:t xml:space="preserve">River </w:t>
      </w:r>
      <w:r w:rsidR="00013A6F">
        <w:rPr>
          <w:rFonts w:ascii="Times New Roman" w:eastAsia="Times New Roman" w:hAnsi="Times New Roman"/>
          <w:bCs/>
          <w:spacing w:val="1"/>
          <w:sz w:val="20"/>
          <w:szCs w:val="20"/>
        </w:rPr>
        <w:t>sediment</w:t>
      </w:r>
    </w:p>
    <w:p w14:paraId="674449F2" w14:textId="77777777" w:rsidR="00037080" w:rsidRDefault="00BB0995" w:rsidP="00FD5025">
      <w:pPr>
        <w:widowControl/>
        <w:tabs>
          <w:tab w:val="left" w:pos="5440"/>
        </w:tabs>
        <w:spacing w:before="120" w:after="120" w:line="240" w:lineRule="auto"/>
        <w:jc w:val="both"/>
        <w:rPr>
          <w:rFonts w:ascii="Times New Roman" w:eastAsia="Times New Roman" w:hAnsi="Times New Roman"/>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DC0227" w:rsidRPr="00F3381A">
        <w:rPr>
          <w:rFonts w:ascii="Times New Roman" w:eastAsia="Times New Roman" w:hAnsi="Times New Roman"/>
          <w:spacing w:val="-1"/>
          <w:sz w:val="20"/>
          <w:szCs w:val="20"/>
        </w:rPr>
        <w:t xml:space="preserve"> </w:t>
      </w:r>
      <w:r w:rsidR="00013A6F">
        <w:rPr>
          <w:rFonts w:ascii="Times New Roman" w:eastAsia="Times New Roman" w:hAnsi="Times New Roman"/>
          <w:sz w:val="20"/>
          <w:szCs w:val="20"/>
        </w:rPr>
        <w:t>Sediment</w:t>
      </w:r>
      <w:r w:rsidR="00661CCC" w:rsidRPr="00455695">
        <w:rPr>
          <w:rFonts w:ascii="Times New Roman" w:eastAsia="Times New Roman" w:hAnsi="Times New Roman"/>
          <w:sz w:val="20"/>
          <w:szCs w:val="20"/>
        </w:rPr>
        <w:t>.</w:t>
      </w:r>
    </w:p>
    <w:p w14:paraId="41D5C36C" w14:textId="77777777" w:rsidR="00F54F3B" w:rsidRDefault="00F54F3B" w:rsidP="00FD5025">
      <w:pPr>
        <w:widowControl/>
        <w:tabs>
          <w:tab w:val="left" w:pos="5440"/>
        </w:tabs>
        <w:spacing w:before="120" w:after="120" w:line="240" w:lineRule="auto"/>
        <w:jc w:val="both"/>
        <w:rPr>
          <w:rFonts w:ascii="Times New Roman" w:eastAsia="Times New Roman" w:hAnsi="Times New Roman"/>
          <w:spacing w:val="1"/>
          <w:sz w:val="20"/>
          <w:szCs w:val="20"/>
        </w:rPr>
      </w:pPr>
      <w:r w:rsidRPr="00F54F3B">
        <w:rPr>
          <w:rFonts w:ascii="Times New Roman" w:eastAsia="Times New Roman" w:hAnsi="Times New Roman"/>
          <w:spacing w:val="1"/>
          <w:sz w:val="20"/>
          <w:szCs w:val="20"/>
        </w:rPr>
        <w:t xml:space="preserve">This material is naturally occurring </w:t>
      </w:r>
      <w:r>
        <w:rPr>
          <w:rFonts w:ascii="Times New Roman" w:eastAsia="Times New Roman" w:hAnsi="Times New Roman"/>
          <w:spacing w:val="1"/>
          <w:sz w:val="20"/>
          <w:szCs w:val="20"/>
        </w:rPr>
        <w:t>river</w:t>
      </w:r>
      <w:r w:rsidRPr="00F54F3B">
        <w:rPr>
          <w:rFonts w:ascii="Times New Roman" w:eastAsia="Times New Roman" w:hAnsi="Times New Roman"/>
          <w:spacing w:val="1"/>
          <w:sz w:val="20"/>
          <w:szCs w:val="20"/>
        </w:rPr>
        <w:t xml:space="preserve"> sediment.  The material contains trace amounts of </w:t>
      </w:r>
      <w:r w:rsidR="00FD5025" w:rsidRPr="00FD5025">
        <w:rPr>
          <w:rFonts w:ascii="Times New Roman" w:eastAsia="Times New Roman" w:hAnsi="Times New Roman"/>
          <w:spacing w:val="1"/>
          <w:sz w:val="20"/>
          <w:szCs w:val="20"/>
        </w:rPr>
        <w:t>(PCB) congeners</w:t>
      </w:r>
      <w:r w:rsidRPr="00F54F3B">
        <w:rPr>
          <w:rFonts w:ascii="Times New Roman" w:eastAsia="Times New Roman" w:hAnsi="Times New Roman"/>
          <w:spacing w:val="1"/>
          <w:sz w:val="20"/>
          <w:szCs w:val="20"/>
        </w:rPr>
        <w:t xml:space="preserve"> and </w:t>
      </w:r>
      <w:r w:rsidR="00FD5025">
        <w:rPr>
          <w:rFonts w:ascii="Times New Roman" w:eastAsia="Times New Roman" w:hAnsi="Times New Roman"/>
          <w:spacing w:val="1"/>
          <w:sz w:val="20"/>
          <w:szCs w:val="20"/>
        </w:rPr>
        <w:t>other</w:t>
      </w:r>
      <w:r w:rsidR="00FD5025" w:rsidRPr="00FD5025">
        <w:rPr>
          <w:rFonts w:ascii="Times New Roman" w:eastAsia="Times New Roman" w:hAnsi="Times New Roman"/>
          <w:spacing w:val="1"/>
          <w:sz w:val="20"/>
          <w:szCs w:val="20"/>
        </w:rPr>
        <w:t xml:space="preserve"> constituents of unknown toxicities; therefore, caution and care should be exercised during its handling and use</w:t>
      </w:r>
      <w:r w:rsidRPr="00F54F3B">
        <w:rPr>
          <w:rFonts w:ascii="Times New Roman" w:eastAsia="Times New Roman" w:hAnsi="Times New Roman"/>
          <w:spacing w:val="1"/>
          <w:sz w:val="20"/>
          <w:szCs w:val="20"/>
        </w:rPr>
        <w:t>.  Components are listed in compliance with OSHA’s 29</w:t>
      </w:r>
      <w:r w:rsidR="0086534D">
        <w:rPr>
          <w:rFonts w:ascii="Times New Roman" w:eastAsia="Times New Roman" w:hAnsi="Times New Roman"/>
          <w:spacing w:val="1"/>
          <w:sz w:val="20"/>
          <w:szCs w:val="20"/>
        </w:rPr>
        <w:t> </w:t>
      </w:r>
      <w:r w:rsidRPr="00F54F3B">
        <w:rPr>
          <w:rFonts w:ascii="Times New Roman" w:eastAsia="Times New Roman" w:hAnsi="Times New Roman"/>
          <w:spacing w:val="1"/>
          <w:sz w:val="20"/>
          <w:szCs w:val="20"/>
        </w:rPr>
        <w:t>CFR</w:t>
      </w:r>
      <w:r w:rsidR="0086534D">
        <w:rPr>
          <w:rFonts w:ascii="Times New Roman" w:eastAsia="Times New Roman" w:hAnsi="Times New Roman"/>
          <w:spacing w:val="1"/>
          <w:sz w:val="20"/>
          <w:szCs w:val="20"/>
        </w:rPr>
        <w:t> </w:t>
      </w:r>
      <w:r w:rsidRPr="00F54F3B">
        <w:rPr>
          <w:rFonts w:ascii="Times New Roman" w:eastAsia="Times New Roman" w:hAnsi="Times New Roman"/>
          <w:spacing w:val="1"/>
          <w:sz w:val="20"/>
          <w:szCs w:val="20"/>
        </w:rPr>
        <w:t>1910.1200; for the actual values see the Certificate of Analysis.</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1779"/>
        <w:gridCol w:w="1779"/>
        <w:gridCol w:w="2823"/>
      </w:tblGrid>
      <w:tr w:rsidR="00037080" w:rsidRPr="00037080" w14:paraId="27890097" w14:textId="77777777" w:rsidTr="00DE2CB0">
        <w:trPr>
          <w:trHeight w:val="576"/>
        </w:trPr>
        <w:tc>
          <w:tcPr>
            <w:tcW w:w="2907" w:type="dxa"/>
          </w:tcPr>
          <w:p w14:paraId="40B6DF66" w14:textId="77777777" w:rsidR="00037080" w:rsidRPr="00037080" w:rsidRDefault="00037080" w:rsidP="00FD5025">
            <w:pPr>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79" w:type="dxa"/>
          </w:tcPr>
          <w:p w14:paraId="42A52BBD" w14:textId="77777777" w:rsidR="00037080" w:rsidRPr="00037080" w:rsidRDefault="00037080" w:rsidP="00FD5025">
            <w:pPr>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1779" w:type="dxa"/>
          </w:tcPr>
          <w:p w14:paraId="558BC9C6" w14:textId="77777777" w:rsidR="00037080" w:rsidRPr="00037080" w:rsidRDefault="00037080" w:rsidP="00FD5025">
            <w:pPr>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6EC8A225" w14:textId="77777777" w:rsidR="00037080" w:rsidRPr="00037080" w:rsidRDefault="00037080" w:rsidP="00FD5025">
            <w:pPr>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23" w:type="dxa"/>
          </w:tcPr>
          <w:p w14:paraId="220150E4" w14:textId="77777777" w:rsidR="00037080" w:rsidRPr="00037080" w:rsidRDefault="00037080" w:rsidP="00FD5025">
            <w:pPr>
              <w:widowControl/>
              <w:spacing w:after="0" w:line="240" w:lineRule="auto"/>
              <w:jc w:val="center"/>
              <w:rPr>
                <w:rFonts w:ascii="Times New Roman" w:eastAsia="Times New Roman" w:hAnsi="Times New Roman"/>
                <w:b/>
                <w:bCs/>
                <w:sz w:val="20"/>
                <w:szCs w:val="20"/>
              </w:rPr>
            </w:pP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in</w:t>
            </w:r>
            <w:r w:rsidRPr="00037080">
              <w:rPr>
                <w:rFonts w:ascii="Times New Roman" w:eastAsia="Times New Roman" w:hAnsi="Times New Roman"/>
                <w:b/>
                <w:bCs/>
                <w:spacing w:val="1"/>
                <w:sz w:val="20"/>
                <w:szCs w:val="20"/>
              </w:rPr>
              <w:t>a</w:t>
            </w:r>
            <w:r w:rsidRPr="00037080">
              <w:rPr>
                <w:rFonts w:ascii="Times New Roman" w:eastAsia="Times New Roman" w:hAnsi="Times New Roman"/>
                <w:b/>
                <w:bCs/>
                <w:sz w:val="20"/>
                <w:szCs w:val="20"/>
              </w:rPr>
              <w:t>l</w:t>
            </w:r>
            <w:r w:rsidRPr="00037080">
              <w:rPr>
                <w:rFonts w:ascii="Times New Roman" w:eastAsia="Times New Roman" w:hAnsi="Times New Roman"/>
                <w:b/>
                <w:bCs/>
                <w:spacing w:val="-7"/>
                <w:sz w:val="20"/>
                <w:szCs w:val="20"/>
              </w:rPr>
              <w:t xml:space="preserve"> </w:t>
            </w:r>
            <w:r w:rsidRPr="00037080">
              <w:rPr>
                <w:rFonts w:ascii="Times New Roman" w:eastAsia="Times New Roman" w:hAnsi="Times New Roman"/>
                <w:b/>
                <w:bCs/>
                <w:spacing w:val="4"/>
                <w:sz w:val="20"/>
                <w:szCs w:val="20"/>
              </w:rPr>
              <w:t>M</w:t>
            </w:r>
            <w:r w:rsidRPr="00037080">
              <w:rPr>
                <w:rFonts w:ascii="Times New Roman" w:eastAsia="Times New Roman" w:hAnsi="Times New Roman"/>
                <w:b/>
                <w:bCs/>
                <w:spacing w:val="1"/>
                <w:sz w:val="20"/>
                <w:szCs w:val="20"/>
              </w:rPr>
              <w:t>a</w:t>
            </w:r>
            <w:r w:rsidRPr="00037080">
              <w:rPr>
                <w:rFonts w:ascii="Times New Roman" w:eastAsia="Times New Roman" w:hAnsi="Times New Roman"/>
                <w:b/>
                <w:bCs/>
                <w:spacing w:val="-1"/>
                <w:sz w:val="20"/>
                <w:szCs w:val="20"/>
              </w:rPr>
              <w:t>s</w:t>
            </w:r>
            <w:r w:rsidRPr="00037080">
              <w:rPr>
                <w:rFonts w:ascii="Times New Roman" w:eastAsia="Times New Roman" w:hAnsi="Times New Roman"/>
                <w:b/>
                <w:bCs/>
                <w:sz w:val="20"/>
                <w:szCs w:val="20"/>
              </w:rPr>
              <w:t>s</w:t>
            </w:r>
            <w:r w:rsidRPr="00037080">
              <w:rPr>
                <w:rFonts w:ascii="Times New Roman" w:eastAsia="Times New Roman" w:hAnsi="Times New Roman"/>
                <w:b/>
                <w:bCs/>
                <w:spacing w:val="-4"/>
                <w:sz w:val="20"/>
                <w:szCs w:val="20"/>
              </w:rPr>
              <w:t xml:space="preserve"> </w:t>
            </w:r>
            <w:r w:rsidR="00F3381A" w:rsidRPr="00037080">
              <w:rPr>
                <w:rFonts w:ascii="Times New Roman" w:eastAsia="Times New Roman" w:hAnsi="Times New Roman"/>
                <w:b/>
                <w:bCs/>
                <w:w w:val="99"/>
                <w:sz w:val="20"/>
                <w:szCs w:val="20"/>
              </w:rPr>
              <w:t>C</w:t>
            </w:r>
            <w:r w:rsidR="00F3381A" w:rsidRPr="00037080">
              <w:rPr>
                <w:rFonts w:ascii="Times New Roman" w:eastAsia="Times New Roman" w:hAnsi="Times New Roman"/>
                <w:b/>
                <w:bCs/>
                <w:spacing w:val="1"/>
                <w:w w:val="99"/>
                <w:sz w:val="20"/>
                <w:szCs w:val="20"/>
              </w:rPr>
              <w:t>o</w:t>
            </w:r>
            <w:r w:rsidR="00F3381A" w:rsidRPr="00037080">
              <w:rPr>
                <w:rFonts w:ascii="Times New Roman" w:eastAsia="Times New Roman" w:hAnsi="Times New Roman"/>
                <w:b/>
                <w:bCs/>
                <w:w w:val="99"/>
                <w:sz w:val="20"/>
                <w:szCs w:val="20"/>
              </w:rPr>
              <w:t>ncen</w:t>
            </w:r>
            <w:r w:rsidR="00F3381A" w:rsidRPr="00037080">
              <w:rPr>
                <w:rFonts w:ascii="Times New Roman" w:eastAsia="Times New Roman" w:hAnsi="Times New Roman"/>
                <w:b/>
                <w:bCs/>
                <w:spacing w:val="1"/>
                <w:w w:val="99"/>
                <w:sz w:val="20"/>
                <w:szCs w:val="20"/>
              </w:rPr>
              <w:t>t</w:t>
            </w:r>
            <w:r w:rsidR="00F3381A" w:rsidRPr="00037080">
              <w:rPr>
                <w:rFonts w:ascii="Times New Roman" w:eastAsia="Times New Roman" w:hAnsi="Times New Roman"/>
                <w:b/>
                <w:bCs/>
                <w:w w:val="99"/>
                <w:sz w:val="20"/>
                <w:szCs w:val="20"/>
              </w:rPr>
              <w:t>r</w:t>
            </w:r>
            <w:r w:rsidR="00F3381A" w:rsidRPr="00037080">
              <w:rPr>
                <w:rFonts w:ascii="Times New Roman" w:eastAsia="Times New Roman" w:hAnsi="Times New Roman"/>
                <w:b/>
                <w:bCs/>
                <w:spacing w:val="1"/>
                <w:w w:val="99"/>
                <w:sz w:val="20"/>
                <w:szCs w:val="20"/>
              </w:rPr>
              <w:t>at</w:t>
            </w:r>
            <w:r w:rsidR="00F3381A" w:rsidRPr="00037080">
              <w:rPr>
                <w:rFonts w:ascii="Times New Roman" w:eastAsia="Times New Roman" w:hAnsi="Times New Roman"/>
                <w:b/>
                <w:bCs/>
                <w:w w:val="99"/>
                <w:sz w:val="20"/>
                <w:szCs w:val="20"/>
              </w:rPr>
              <w:t>i</w:t>
            </w:r>
            <w:r w:rsidR="00F3381A" w:rsidRPr="00037080">
              <w:rPr>
                <w:rFonts w:ascii="Times New Roman" w:eastAsia="Times New Roman" w:hAnsi="Times New Roman"/>
                <w:b/>
                <w:bCs/>
                <w:spacing w:val="1"/>
                <w:w w:val="99"/>
                <w:sz w:val="20"/>
                <w:szCs w:val="20"/>
              </w:rPr>
              <w:t>o</w:t>
            </w:r>
            <w:r w:rsidR="00F3381A" w:rsidRPr="00037080">
              <w:rPr>
                <w:rFonts w:ascii="Times New Roman" w:eastAsia="Times New Roman" w:hAnsi="Times New Roman"/>
                <w:b/>
                <w:bCs/>
                <w:w w:val="99"/>
                <w:sz w:val="20"/>
                <w:szCs w:val="20"/>
              </w:rPr>
              <w:t xml:space="preserve">n </w:t>
            </w:r>
            <w:r w:rsidRPr="00037080">
              <w:rPr>
                <w:rFonts w:ascii="Times New Roman" w:eastAsia="Times New Roman" w:hAnsi="Times New Roman"/>
                <w:b/>
                <w:bCs/>
                <w:sz w:val="20"/>
                <w:szCs w:val="20"/>
              </w:rPr>
              <w:br/>
            </w:r>
            <w:r w:rsidRPr="00037080">
              <w:rPr>
                <w:rFonts w:ascii="Times New Roman" w:eastAsia="Times New Roman" w:hAnsi="Times New Roman"/>
                <w:b/>
                <w:bCs/>
                <w:spacing w:val="1"/>
                <w:w w:val="99"/>
                <w:sz w:val="20"/>
                <w:szCs w:val="20"/>
              </w:rPr>
              <w:t>(</w:t>
            </w:r>
            <w:r w:rsidRPr="00037080">
              <w:rPr>
                <w:rFonts w:ascii="Times New Roman" w:eastAsia="Times New Roman" w:hAnsi="Times New Roman"/>
                <w:b/>
                <w:bCs/>
                <w:w w:val="99"/>
                <w:sz w:val="20"/>
                <w:szCs w:val="20"/>
              </w:rPr>
              <w:t>%)</w:t>
            </w:r>
          </w:p>
        </w:tc>
      </w:tr>
      <w:tr w:rsidR="00037080" w:rsidRPr="00037080" w14:paraId="4E9DA063" w14:textId="77777777" w:rsidTr="00DE2CB0">
        <w:trPr>
          <w:trHeight w:val="288"/>
        </w:trPr>
        <w:tc>
          <w:tcPr>
            <w:tcW w:w="2907" w:type="dxa"/>
          </w:tcPr>
          <w:p w14:paraId="4DE85874" w14:textId="77777777" w:rsidR="00037080" w:rsidRPr="00D25DBF" w:rsidRDefault="00687432" w:rsidP="00FD5025">
            <w:pPr>
              <w:widowControl/>
              <w:spacing w:after="0" w:line="240" w:lineRule="auto"/>
              <w:ind w:right="-108"/>
              <w:rPr>
                <w:rFonts w:ascii="Times New Roman" w:eastAsia="Times New Roman" w:hAnsi="Times New Roman"/>
                <w:sz w:val="18"/>
                <w:szCs w:val="18"/>
              </w:rPr>
            </w:pPr>
            <w:r>
              <w:rPr>
                <w:rFonts w:ascii="Times New Roman" w:eastAsia="Times New Roman" w:hAnsi="Times New Roman"/>
                <w:spacing w:val="2"/>
                <w:sz w:val="20"/>
                <w:szCs w:val="20"/>
              </w:rPr>
              <w:t xml:space="preserve">River </w:t>
            </w:r>
            <w:r w:rsidR="00FD5025">
              <w:rPr>
                <w:rFonts w:ascii="Times New Roman" w:eastAsia="Times New Roman" w:hAnsi="Times New Roman"/>
                <w:spacing w:val="2"/>
                <w:sz w:val="20"/>
                <w:szCs w:val="20"/>
              </w:rPr>
              <w:t>s</w:t>
            </w:r>
            <w:r w:rsidR="00013A6F">
              <w:rPr>
                <w:rFonts w:ascii="Times New Roman" w:eastAsia="Times New Roman" w:hAnsi="Times New Roman"/>
                <w:spacing w:val="2"/>
                <w:sz w:val="20"/>
                <w:szCs w:val="20"/>
              </w:rPr>
              <w:t>ediment</w:t>
            </w:r>
          </w:p>
        </w:tc>
        <w:tc>
          <w:tcPr>
            <w:tcW w:w="1779" w:type="dxa"/>
          </w:tcPr>
          <w:p w14:paraId="65962B70" w14:textId="77777777" w:rsidR="00037080" w:rsidRPr="00D25DBF" w:rsidRDefault="00037080" w:rsidP="00FD5025">
            <w:pPr>
              <w:widowControl/>
              <w:tabs>
                <w:tab w:val="right" w:pos="1242"/>
              </w:tabs>
              <w:spacing w:after="0" w:line="240" w:lineRule="auto"/>
              <w:rPr>
                <w:rFonts w:ascii="Times New Roman" w:eastAsia="Times New Roman" w:hAnsi="Times New Roman"/>
                <w:sz w:val="18"/>
                <w:szCs w:val="18"/>
              </w:rPr>
            </w:pPr>
            <w:r w:rsidRPr="00D25DBF">
              <w:rPr>
                <w:rFonts w:ascii="Times New Roman" w:eastAsia="Times New Roman" w:hAnsi="Times New Roman"/>
                <w:spacing w:val="1"/>
                <w:sz w:val="20"/>
                <w:szCs w:val="20"/>
              </w:rPr>
              <w:tab/>
            </w:r>
            <w:r w:rsidR="00FD5025">
              <w:rPr>
                <w:rFonts w:ascii="Times New Roman" w:eastAsia="Times New Roman" w:hAnsi="Times New Roman"/>
                <w:spacing w:val="1"/>
                <w:sz w:val="20"/>
                <w:szCs w:val="20"/>
              </w:rPr>
              <w:t>n</w:t>
            </w:r>
            <w:r w:rsidR="00013A6F">
              <w:rPr>
                <w:rFonts w:ascii="Times New Roman" w:eastAsia="Times New Roman" w:hAnsi="Times New Roman"/>
                <w:spacing w:val="1"/>
                <w:sz w:val="20"/>
                <w:szCs w:val="20"/>
              </w:rPr>
              <w:t>ot available</w:t>
            </w:r>
          </w:p>
        </w:tc>
        <w:tc>
          <w:tcPr>
            <w:tcW w:w="1779" w:type="dxa"/>
          </w:tcPr>
          <w:p w14:paraId="4D0D4499" w14:textId="77777777" w:rsidR="00037080" w:rsidRPr="00D25DBF" w:rsidRDefault="00FD5025" w:rsidP="00FD5025">
            <w:pPr>
              <w:widowControl/>
              <w:spacing w:after="0" w:line="240" w:lineRule="auto"/>
              <w:jc w:val="center"/>
              <w:rPr>
                <w:rFonts w:ascii="Times New Roman" w:eastAsia="Times New Roman" w:hAnsi="Times New Roman"/>
                <w:sz w:val="18"/>
                <w:szCs w:val="18"/>
              </w:rPr>
            </w:pPr>
            <w:r>
              <w:rPr>
                <w:rFonts w:ascii="Times New Roman" w:eastAsia="Times New Roman" w:hAnsi="Times New Roman"/>
                <w:spacing w:val="1"/>
                <w:sz w:val="20"/>
                <w:szCs w:val="20"/>
              </w:rPr>
              <w:t>n</w:t>
            </w:r>
            <w:r w:rsidR="00013A6F" w:rsidRPr="00013A6F">
              <w:rPr>
                <w:rFonts w:ascii="Times New Roman" w:eastAsia="Times New Roman" w:hAnsi="Times New Roman"/>
                <w:spacing w:val="1"/>
                <w:sz w:val="20"/>
                <w:szCs w:val="20"/>
              </w:rPr>
              <w:t xml:space="preserve">ot </w:t>
            </w:r>
            <w:r w:rsidR="00013A6F">
              <w:rPr>
                <w:rFonts w:ascii="Times New Roman" w:eastAsia="Times New Roman" w:hAnsi="Times New Roman"/>
                <w:spacing w:val="1"/>
                <w:sz w:val="20"/>
                <w:szCs w:val="20"/>
              </w:rPr>
              <w:t>available</w:t>
            </w:r>
          </w:p>
        </w:tc>
        <w:tc>
          <w:tcPr>
            <w:tcW w:w="2823" w:type="dxa"/>
          </w:tcPr>
          <w:p w14:paraId="110D846A" w14:textId="77777777" w:rsidR="00037080" w:rsidRPr="00D25DBF" w:rsidRDefault="00DB683D" w:rsidP="00FD5025">
            <w:pPr>
              <w:widowControl/>
              <w:tabs>
                <w:tab w:val="decimal" w:pos="1275"/>
              </w:tabs>
              <w:spacing w:after="0" w:line="240" w:lineRule="auto"/>
              <w:rPr>
                <w:rFonts w:ascii="Times New Roman" w:eastAsia="Times New Roman" w:hAnsi="Times New Roman"/>
                <w:sz w:val="18"/>
                <w:szCs w:val="18"/>
              </w:rPr>
            </w:pPr>
            <w:r>
              <w:rPr>
                <w:rFonts w:ascii="Times New Roman" w:eastAsia="Times New Roman" w:hAnsi="Times New Roman"/>
                <w:spacing w:val="1"/>
                <w:w w:val="99"/>
                <w:sz w:val="20"/>
                <w:szCs w:val="20"/>
              </w:rPr>
              <w:t>100</w:t>
            </w:r>
          </w:p>
        </w:tc>
      </w:tr>
    </w:tbl>
    <w:p w14:paraId="101ED38E" w14:textId="77777777" w:rsidR="00FD5025" w:rsidRDefault="00FD5025">
      <w:pPr>
        <w:widowControl/>
        <w:spacing w:after="0" w:line="240" w:lineRule="auto"/>
        <w:rPr>
          <w:sz w:val="16"/>
          <w:szCs w:val="16"/>
        </w:rPr>
      </w:pPr>
      <w:r>
        <w:rPr>
          <w:sz w:val="16"/>
          <w:szCs w:val="16"/>
        </w:rPr>
        <w:br w:type="page"/>
      </w: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57E37A26" w14:textId="77777777" w:rsidTr="00FD5025">
        <w:trPr>
          <w:trHeight w:hRule="exact" w:val="360"/>
        </w:trPr>
        <w:tc>
          <w:tcPr>
            <w:tcW w:w="9648" w:type="dxa"/>
            <w:vAlign w:val="center"/>
          </w:tcPr>
          <w:p w14:paraId="09A69D0C" w14:textId="77777777" w:rsidR="00037080" w:rsidRPr="00037080" w:rsidRDefault="00037080" w:rsidP="00FD5025">
            <w:pPr>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lastRenderedPageBreak/>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4CD1E4C3" w14:textId="77777777" w:rsidR="00C508A0" w:rsidRPr="00F3381A" w:rsidRDefault="00BB0995" w:rsidP="00FD5025">
      <w:pPr>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2B41E854" w14:textId="77777777" w:rsidR="00C508A0" w:rsidRPr="00F3381A" w:rsidRDefault="00BF5DD9" w:rsidP="00FD5025">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1A7AB00A" w14:textId="77777777" w:rsidR="00C508A0" w:rsidRPr="00F3381A" w:rsidRDefault="00BF5DD9" w:rsidP="00FD5025">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w:t>
      </w:r>
    </w:p>
    <w:p w14:paraId="6FC03B15" w14:textId="77777777" w:rsidR="00C508A0" w:rsidRPr="00A203EB" w:rsidRDefault="00BF5DD9" w:rsidP="00FD5025">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3CA79176" w14:textId="77777777" w:rsidR="00E24579" w:rsidRPr="008C684F" w:rsidRDefault="00BF5DD9" w:rsidP="00FD5025">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03842706" w14:textId="77777777" w:rsidR="002D63F4" w:rsidRPr="00A203EB" w:rsidRDefault="002D63F4" w:rsidP="00FD5025">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DB683D">
        <w:rPr>
          <w:rFonts w:ascii="Times New Roman" w:eastAsia="Times New Roman" w:hAnsi="Times New Roman"/>
          <w:bCs/>
          <w:sz w:val="20"/>
          <w:szCs w:val="20"/>
        </w:rPr>
        <w:t>May cause irritation</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7FD9CBC5" w14:textId="77777777" w:rsidR="002D63F4" w:rsidRPr="00455695" w:rsidRDefault="002D63F4" w:rsidP="00FD5025">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6B794877" w14:textId="77777777" w:rsidTr="001D7FE4">
        <w:trPr>
          <w:trHeight w:hRule="exact" w:val="360"/>
        </w:trPr>
        <w:tc>
          <w:tcPr>
            <w:tcW w:w="9576" w:type="dxa"/>
            <w:vAlign w:val="center"/>
          </w:tcPr>
          <w:p w14:paraId="616B466A" w14:textId="77777777" w:rsidR="001D7FE4" w:rsidRPr="00A203EB" w:rsidRDefault="001D7FE4" w:rsidP="00FD5025">
            <w:pPr>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26DDF604" w14:textId="77777777" w:rsidR="001248AA" w:rsidRPr="00A203EB" w:rsidRDefault="001248AA" w:rsidP="00FD5025">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013A6F">
        <w:rPr>
          <w:rFonts w:ascii="Times New Roman" w:eastAsia="Times New Roman" w:hAnsi="Times New Roman"/>
          <w:bCs/>
          <w:spacing w:val="-1"/>
          <w:sz w:val="20"/>
          <w:szCs w:val="20"/>
        </w:rPr>
        <w:t xml:space="preserve">Negligible </w:t>
      </w:r>
      <w:r w:rsidR="00F15DCE">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F15DCE">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 xml:space="preserve">azard.  </w:t>
      </w:r>
      <w:r w:rsidR="006B712E" w:rsidRPr="006B712E">
        <w:rPr>
          <w:rFonts w:ascii="Times New Roman" w:eastAsia="Times New Roman" w:hAnsi="Times New Roman"/>
          <w:bCs/>
          <w:spacing w:val="-1"/>
          <w:sz w:val="20"/>
          <w:szCs w:val="20"/>
        </w:rPr>
        <w:t>Avoid generating dust.</w:t>
      </w:r>
      <w:r w:rsidR="00424C7F">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2C33C9CD" w14:textId="77777777" w:rsidR="006251CA" w:rsidRPr="00A203EB" w:rsidRDefault="00676966" w:rsidP="00FD5025">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59D188D9" w14:textId="77777777" w:rsidR="00E93DD1" w:rsidRPr="00A203EB" w:rsidRDefault="00E93DD1" w:rsidP="00FD5025">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013A6F" w:rsidRPr="00013A6F">
        <w:rPr>
          <w:rFonts w:ascii="Times New Roman" w:eastAsia="Times New Roman" w:hAnsi="Times New Roman"/>
          <w:bCs/>
          <w:sz w:val="20"/>
          <w:szCs w:val="20"/>
        </w:rPr>
        <w:t>Use extinguishing media appropriate for surrounding fire</w:t>
      </w:r>
      <w:r w:rsidR="00EF4006" w:rsidRPr="00A203EB">
        <w:rPr>
          <w:rFonts w:ascii="Times New Roman" w:eastAsia="Times New Roman" w:hAnsi="Times New Roman"/>
          <w:bCs/>
          <w:sz w:val="20"/>
          <w:szCs w:val="20"/>
        </w:rPr>
        <w:t>.</w:t>
      </w:r>
    </w:p>
    <w:p w14:paraId="567BE2B1" w14:textId="77777777" w:rsidR="00E93DD1" w:rsidRPr="00A203EB" w:rsidRDefault="0028318C" w:rsidP="00FD5025">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69B495C9" w14:textId="77777777" w:rsidR="00E24579" w:rsidRPr="00A203EB" w:rsidRDefault="00676966" w:rsidP="00FD5025">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4FE33907" w14:textId="77777777" w:rsidR="002B60F0" w:rsidRPr="00A203EB" w:rsidRDefault="00F057E8" w:rsidP="00FD5025">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5B0FA8CB" w14:textId="77777777" w:rsidR="00170F65" w:rsidRPr="00A203EB" w:rsidRDefault="000D31BB" w:rsidP="00FD5025">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02CB5921" w14:textId="77777777" w:rsidR="00170F65" w:rsidRPr="00A203EB" w:rsidRDefault="00170F65" w:rsidP="00FD5025">
      <w:pPr>
        <w:widowControl/>
        <w:tabs>
          <w:tab w:val="left" w:pos="360"/>
          <w:tab w:val="left" w:pos="2160"/>
          <w:tab w:val="left" w:pos="3600"/>
        </w:tabs>
        <w:spacing w:before="12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DB683D">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013A6F">
        <w:rPr>
          <w:rFonts w:ascii="Times New Roman" w:hAnsi="Times New Roman"/>
          <w:sz w:val="20"/>
          <w:szCs w:val="20"/>
        </w:rPr>
        <w:t>0</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4701E8D0" w14:textId="77777777" w:rsidTr="001D7FE4">
        <w:trPr>
          <w:trHeight w:hRule="exact" w:val="360"/>
        </w:trPr>
        <w:tc>
          <w:tcPr>
            <w:tcW w:w="9576" w:type="dxa"/>
            <w:vAlign w:val="center"/>
          </w:tcPr>
          <w:p w14:paraId="4E26F13F" w14:textId="77777777" w:rsidR="001D7FE4" w:rsidRPr="00A203EB" w:rsidRDefault="001D7FE4" w:rsidP="00FD5025">
            <w:pPr>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2F4D45C3" w14:textId="77777777" w:rsidR="00717B98" w:rsidRPr="00BE09C9" w:rsidRDefault="001D7FE4" w:rsidP="00FD5025">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5832A5">
        <w:rPr>
          <w:rFonts w:ascii="Times New Roman" w:eastAsia="Times New Roman" w:hAnsi="Times New Roman"/>
          <w:bCs/>
          <w:spacing w:val="1"/>
          <w:sz w:val="20"/>
          <w:szCs w:val="20"/>
        </w:rPr>
        <w:t xml:space="preserve">Any accumulated material on surfaces should be removed and properly disposed of.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427A0748" w14:textId="77777777" w:rsidR="00BC5C79" w:rsidRPr="00717B98" w:rsidRDefault="00BC5C79" w:rsidP="00FD5025">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E870D8">
        <w:rPr>
          <w:rFonts w:ascii="Times New Roman" w:hAnsi="Times New Roman"/>
          <w:sz w:val="20"/>
          <w:szCs w:val="20"/>
        </w:rPr>
        <w:t xml:space="preserve"> </w:t>
      </w:r>
      <w:r w:rsidR="007D4A25" w:rsidRPr="007D4A25">
        <w:rPr>
          <w:rFonts w:ascii="Times New Roman" w:eastAsia="Times New Roman" w:hAnsi="Times New Roman"/>
          <w:bCs/>
          <w:spacing w:val="1"/>
          <w:sz w:val="20"/>
          <w:szCs w:val="20"/>
        </w:rPr>
        <w:t xml:space="preserve">Collect spilled material in appropriate container for disposal. </w:t>
      </w:r>
      <w:r w:rsidR="00C13DBB">
        <w:rPr>
          <w:rFonts w:ascii="Times New Roman" w:eastAsia="Times New Roman" w:hAnsi="Times New Roman"/>
          <w:bCs/>
          <w:spacing w:val="1"/>
          <w:sz w:val="20"/>
          <w:szCs w:val="20"/>
        </w:rPr>
        <w:t xml:space="preserve"> </w:t>
      </w:r>
      <w:r w:rsidR="007D4A25" w:rsidRPr="007D4A25">
        <w:rPr>
          <w:rFonts w:ascii="Times New Roman" w:eastAsia="Times New Roman" w:hAnsi="Times New Roman"/>
          <w:bCs/>
          <w:spacing w:val="1"/>
          <w:sz w:val="20"/>
          <w:szCs w:val="20"/>
        </w:rPr>
        <w:t xml:space="preserve">Keep out of water supplies and sewers. </w:t>
      </w:r>
      <w:r w:rsidR="00C13DBB">
        <w:rPr>
          <w:rFonts w:ascii="Times New Roman" w:eastAsia="Times New Roman" w:hAnsi="Times New Roman"/>
          <w:bCs/>
          <w:spacing w:val="1"/>
          <w:sz w:val="20"/>
          <w:szCs w:val="20"/>
        </w:rPr>
        <w:t xml:space="preserve"> </w:t>
      </w:r>
      <w:r w:rsidR="007D4A25" w:rsidRPr="007D4A25">
        <w:rPr>
          <w:rFonts w:ascii="Times New Roman" w:eastAsia="Times New Roman" w:hAnsi="Times New Roman"/>
          <w:bCs/>
          <w:spacing w:val="1"/>
          <w:sz w:val="20"/>
          <w:szCs w:val="20"/>
        </w:rPr>
        <w:t>Keep unnecessary people away, isolate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76A541ED" w14:textId="77777777" w:rsidTr="001D7FE4">
        <w:trPr>
          <w:trHeight w:hRule="exact" w:val="360"/>
        </w:trPr>
        <w:tc>
          <w:tcPr>
            <w:tcW w:w="9576" w:type="dxa"/>
            <w:vAlign w:val="center"/>
          </w:tcPr>
          <w:p w14:paraId="5E762CE5" w14:textId="77777777" w:rsidR="001D7FE4" w:rsidRDefault="001D7FE4" w:rsidP="00FD5025">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3CDF2127" w14:textId="77777777" w:rsidR="001D7FE4" w:rsidRPr="00902F44" w:rsidRDefault="001D7FE4" w:rsidP="00FD5025">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 and accumulation</w:t>
      </w:r>
      <w:r w:rsidR="00622909">
        <w:rPr>
          <w:rFonts w:ascii="Times New Roman" w:eastAsia="Times New Roman" w:hAnsi="Times New Roman"/>
          <w:bCs/>
          <w:spacing w:val="-6"/>
          <w:sz w:val="20"/>
          <w:szCs w:val="20"/>
        </w:rPr>
        <w:t xml:space="preserve"> on surfaces</w:t>
      </w:r>
      <w:r w:rsidR="00E1552D" w:rsidRPr="006B712E">
        <w:rPr>
          <w:rFonts w:ascii="Times New Roman" w:eastAsia="Times New Roman" w:hAnsi="Times New Roman"/>
          <w:bCs/>
          <w:spacing w:val="-6"/>
          <w:sz w:val="20"/>
          <w:szCs w:val="20"/>
        </w:rPr>
        <w:t xml:space="preserve">.  </w:t>
      </w:r>
      <w:r w:rsidR="00040067" w:rsidRPr="00040067">
        <w:rPr>
          <w:rFonts w:ascii="Times New Roman" w:eastAsia="Times New Roman" w:hAnsi="Times New Roman"/>
          <w:bCs/>
          <w:spacing w:val="-6"/>
          <w:sz w:val="20"/>
          <w:szCs w:val="20"/>
        </w:rPr>
        <w:t xml:space="preserve">Routine housekeeping should be instituted to ensure that dusts do not accumulate on surfaces. </w:t>
      </w:r>
      <w:r w:rsidR="00040067">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570798FA" w14:textId="77777777" w:rsidR="00D25DBF" w:rsidRPr="00717B98" w:rsidRDefault="00FD5524" w:rsidP="00FD5025">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Pr>
          <w:rFonts w:ascii="Times New Roman" w:eastAsia="Times New Roman" w:hAnsi="Times New Roman"/>
          <w:b/>
          <w:bCs/>
          <w:sz w:val="20"/>
          <w:szCs w:val="20"/>
        </w:rPr>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Store and handl</w:t>
      </w:r>
      <w:r w:rsidR="00FD5025">
        <w:rPr>
          <w:rFonts w:ascii="Times New Roman" w:eastAsia="Times New Roman" w:hAnsi="Times New Roman"/>
          <w:bCs/>
          <w:sz w:val="20"/>
          <w:szCs w:val="20"/>
        </w:rPr>
        <w:t>e</w:t>
      </w:r>
      <w:r w:rsidRPr="00FD5524">
        <w:rPr>
          <w:rFonts w:ascii="Times New Roman" w:eastAsia="Times New Roman" w:hAnsi="Times New Roman"/>
          <w:bCs/>
          <w:sz w:val="20"/>
          <w:szCs w:val="20"/>
        </w:rPr>
        <w:t xml:space="preserve"> in accordance with all current regulations and standards.  </w:t>
      </w:r>
      <w:r w:rsidR="00C661E3" w:rsidRPr="00FE152A">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4EB1D397" w14:textId="77777777" w:rsidTr="00D25DBF">
        <w:trPr>
          <w:trHeight w:hRule="exact" w:val="360"/>
        </w:trPr>
        <w:tc>
          <w:tcPr>
            <w:tcW w:w="9576" w:type="dxa"/>
            <w:vAlign w:val="center"/>
          </w:tcPr>
          <w:p w14:paraId="5984976B" w14:textId="77777777" w:rsidR="00D25DBF" w:rsidRDefault="00D25DBF" w:rsidP="00FD5025">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170F1B07" w14:textId="77777777" w:rsidR="00013A6F" w:rsidRPr="00013A6F" w:rsidRDefault="00013A6F" w:rsidP="00FD5025">
      <w:pPr>
        <w:widowControl/>
        <w:tabs>
          <w:tab w:val="decimal" w:pos="1800"/>
          <w:tab w:val="right" w:pos="3150"/>
        </w:tabs>
        <w:overflowPunct w:val="0"/>
        <w:autoSpaceDE w:val="0"/>
        <w:autoSpaceDN w:val="0"/>
        <w:adjustRightInd w:val="0"/>
        <w:spacing w:before="120" w:after="120" w:line="240" w:lineRule="auto"/>
        <w:jc w:val="both"/>
        <w:textAlignment w:val="baseline"/>
        <w:rPr>
          <w:rFonts w:ascii="Times New Roman" w:eastAsia="Times New Roman" w:hAnsi="Times New Roman"/>
          <w:sz w:val="20"/>
          <w:szCs w:val="20"/>
        </w:rPr>
      </w:pPr>
      <w:r w:rsidRPr="00013A6F">
        <w:rPr>
          <w:rFonts w:ascii="Times New Roman" w:eastAsia="Times New Roman" w:hAnsi="Times New Roman"/>
          <w:b/>
          <w:sz w:val="20"/>
          <w:szCs w:val="20"/>
        </w:rPr>
        <w:t>Exposure Limits:</w:t>
      </w:r>
      <w:r w:rsidRPr="00013A6F">
        <w:rPr>
          <w:rFonts w:ascii="Times New Roman" w:eastAsia="Times New Roman" w:hAnsi="Times New Roman"/>
          <w:sz w:val="20"/>
          <w:szCs w:val="20"/>
        </w:rPr>
        <w:t xml:space="preserve">  No occupational exposure limits have been established for </w:t>
      </w:r>
      <w:r w:rsidR="00766D85">
        <w:rPr>
          <w:rFonts w:ascii="Times New Roman" w:eastAsia="Times New Roman" w:hAnsi="Times New Roman"/>
          <w:sz w:val="20"/>
          <w:szCs w:val="20"/>
        </w:rPr>
        <w:t>river</w:t>
      </w:r>
      <w:r w:rsidR="00766D85" w:rsidRPr="00013A6F">
        <w:rPr>
          <w:rFonts w:ascii="Times New Roman" w:eastAsia="Times New Roman" w:hAnsi="Times New Roman"/>
          <w:sz w:val="20"/>
          <w:szCs w:val="20"/>
        </w:rPr>
        <w:t xml:space="preserve"> </w:t>
      </w:r>
      <w:r w:rsidRPr="00013A6F">
        <w:rPr>
          <w:rFonts w:ascii="Times New Roman" w:eastAsia="Times New Roman" w:hAnsi="Times New Roman"/>
          <w:sz w:val="20"/>
          <w:szCs w:val="20"/>
        </w:rPr>
        <w:t>sediment.  This material is a particulate matter and adequate inhalation/respiratory protection should be used to minimize exposure.  The exposure limits for Particulates Not Otherwise Regulated (PNOR) are applicable.</w:t>
      </w:r>
    </w:p>
    <w:p w14:paraId="398CA6D9" w14:textId="77777777" w:rsidR="00013A6F" w:rsidRPr="00013A6F" w:rsidRDefault="00013A6F" w:rsidP="00FD5025">
      <w:pPr>
        <w:widowControl/>
        <w:tabs>
          <w:tab w:val="decimal" w:pos="1800"/>
          <w:tab w:val="right" w:pos="3150"/>
        </w:tabs>
        <w:overflowPunct w:val="0"/>
        <w:autoSpaceDE w:val="0"/>
        <w:autoSpaceDN w:val="0"/>
        <w:adjustRightInd w:val="0"/>
        <w:spacing w:after="0" w:line="240" w:lineRule="auto"/>
        <w:ind w:left="180" w:firstLine="180"/>
        <w:jc w:val="both"/>
        <w:textAlignment w:val="baseline"/>
        <w:rPr>
          <w:rFonts w:ascii="Times New Roman" w:eastAsia="Times New Roman" w:hAnsi="Times New Roman"/>
          <w:sz w:val="20"/>
          <w:szCs w:val="20"/>
        </w:rPr>
      </w:pPr>
      <w:r w:rsidRPr="00013A6F">
        <w:rPr>
          <w:rFonts w:ascii="Times New Roman" w:eastAsia="Times New Roman" w:hAnsi="Times New Roman"/>
          <w:sz w:val="20"/>
          <w:szCs w:val="20"/>
        </w:rPr>
        <w:t>OSHA (PEL):</w:t>
      </w:r>
      <w:r w:rsidRPr="00013A6F">
        <w:rPr>
          <w:rFonts w:ascii="Times New Roman" w:eastAsia="Times New Roman" w:hAnsi="Times New Roman"/>
          <w:sz w:val="20"/>
          <w:szCs w:val="20"/>
        </w:rPr>
        <w:tab/>
        <w:t>15 mg/m</w:t>
      </w:r>
      <w:r w:rsidRPr="00013A6F">
        <w:rPr>
          <w:rFonts w:ascii="Times New Roman" w:eastAsia="Times New Roman" w:hAnsi="Times New Roman"/>
          <w:sz w:val="20"/>
          <w:szCs w:val="20"/>
          <w:vertAlign w:val="superscript"/>
        </w:rPr>
        <w:t>3</w:t>
      </w:r>
      <w:r w:rsidRPr="00013A6F">
        <w:rPr>
          <w:rFonts w:ascii="Times New Roman" w:eastAsia="Times New Roman" w:hAnsi="Times New Roman"/>
          <w:sz w:val="20"/>
          <w:szCs w:val="20"/>
        </w:rPr>
        <w:t xml:space="preserve"> (TWA, total particulates)</w:t>
      </w:r>
    </w:p>
    <w:p w14:paraId="63E99B5C" w14:textId="77777777" w:rsidR="00013A6F" w:rsidRPr="00013A6F" w:rsidRDefault="00FD5025" w:rsidP="00FD5025">
      <w:pPr>
        <w:widowControl/>
        <w:tabs>
          <w:tab w:val="decimal" w:pos="1800"/>
          <w:tab w:val="right" w:pos="3150"/>
        </w:tabs>
        <w:overflowPunct w:val="0"/>
        <w:autoSpaceDE w:val="0"/>
        <w:autoSpaceDN w:val="0"/>
        <w:adjustRightInd w:val="0"/>
        <w:spacing w:after="0" w:line="240" w:lineRule="auto"/>
        <w:ind w:left="180" w:firstLine="180"/>
        <w:jc w:val="both"/>
        <w:textAlignment w:val="baseline"/>
        <w:rPr>
          <w:rFonts w:ascii="Times New Roman" w:eastAsia="Times New Roman" w:hAnsi="Times New Roman"/>
          <w:sz w:val="20"/>
          <w:szCs w:val="20"/>
        </w:rPr>
      </w:pPr>
      <w:r>
        <w:rPr>
          <w:rFonts w:ascii="Times New Roman" w:eastAsia="Times New Roman" w:hAnsi="Times New Roman"/>
          <w:sz w:val="20"/>
          <w:szCs w:val="20"/>
        </w:rPr>
        <w:tab/>
      </w:r>
      <w:r w:rsidR="00013A6F" w:rsidRPr="00013A6F">
        <w:rPr>
          <w:rFonts w:ascii="Times New Roman" w:eastAsia="Times New Roman" w:hAnsi="Times New Roman"/>
          <w:sz w:val="20"/>
          <w:szCs w:val="20"/>
        </w:rPr>
        <w:t>5 mg/m</w:t>
      </w:r>
      <w:r w:rsidR="00013A6F" w:rsidRPr="00013A6F">
        <w:rPr>
          <w:rFonts w:ascii="Times New Roman" w:eastAsia="Times New Roman" w:hAnsi="Times New Roman"/>
          <w:sz w:val="20"/>
          <w:szCs w:val="20"/>
          <w:vertAlign w:val="superscript"/>
        </w:rPr>
        <w:t>3</w:t>
      </w:r>
      <w:r w:rsidR="00013A6F" w:rsidRPr="00013A6F">
        <w:rPr>
          <w:rFonts w:ascii="Times New Roman" w:eastAsia="Times New Roman" w:hAnsi="Times New Roman"/>
          <w:sz w:val="20"/>
          <w:szCs w:val="20"/>
        </w:rPr>
        <w:t xml:space="preserve"> (TWA, </w:t>
      </w:r>
      <w:proofErr w:type="spellStart"/>
      <w:r w:rsidR="00013A6F" w:rsidRPr="00013A6F">
        <w:rPr>
          <w:rFonts w:ascii="Times New Roman" w:eastAsia="Times New Roman" w:hAnsi="Times New Roman"/>
          <w:sz w:val="20"/>
          <w:szCs w:val="20"/>
        </w:rPr>
        <w:t>respirable</w:t>
      </w:r>
      <w:proofErr w:type="spellEnd"/>
      <w:r w:rsidR="00013A6F" w:rsidRPr="00013A6F">
        <w:rPr>
          <w:rFonts w:ascii="Times New Roman" w:eastAsia="Times New Roman" w:hAnsi="Times New Roman"/>
          <w:sz w:val="20"/>
          <w:szCs w:val="20"/>
        </w:rPr>
        <w:t xml:space="preserve"> particulates)</w:t>
      </w:r>
    </w:p>
    <w:p w14:paraId="13FA1209" w14:textId="77777777" w:rsidR="00013A6F" w:rsidRPr="00013A6F" w:rsidRDefault="00013A6F" w:rsidP="00FD5025">
      <w:pPr>
        <w:widowControl/>
        <w:overflowPunct w:val="0"/>
        <w:autoSpaceDE w:val="0"/>
        <w:autoSpaceDN w:val="0"/>
        <w:adjustRightInd w:val="0"/>
        <w:spacing w:before="120" w:after="0" w:line="240" w:lineRule="auto"/>
        <w:ind w:left="360"/>
        <w:jc w:val="both"/>
        <w:textAlignment w:val="baseline"/>
        <w:rPr>
          <w:rFonts w:ascii="Times New Roman" w:eastAsia="Times New Roman" w:hAnsi="Times New Roman"/>
          <w:sz w:val="20"/>
          <w:szCs w:val="20"/>
        </w:rPr>
      </w:pPr>
      <w:r w:rsidRPr="00013A6F">
        <w:rPr>
          <w:rFonts w:ascii="Times New Roman" w:eastAsia="Times New Roman" w:hAnsi="Times New Roman"/>
          <w:sz w:val="20"/>
          <w:szCs w:val="20"/>
        </w:rPr>
        <w:t>NIOSH (REL):  10 mg/m</w:t>
      </w:r>
      <w:r w:rsidRPr="00013A6F">
        <w:rPr>
          <w:rFonts w:ascii="Times New Roman" w:eastAsia="Times New Roman" w:hAnsi="Times New Roman"/>
          <w:sz w:val="20"/>
          <w:szCs w:val="20"/>
          <w:vertAlign w:val="superscript"/>
        </w:rPr>
        <w:t>3</w:t>
      </w:r>
      <w:r w:rsidRPr="00013A6F">
        <w:rPr>
          <w:rFonts w:ascii="Times New Roman" w:eastAsia="Times New Roman" w:hAnsi="Times New Roman"/>
          <w:sz w:val="20"/>
          <w:szCs w:val="20"/>
        </w:rPr>
        <w:t xml:space="preserve"> (TWA, total particulates)</w:t>
      </w:r>
    </w:p>
    <w:p w14:paraId="7B928F2D" w14:textId="77777777" w:rsidR="00013A6F" w:rsidRPr="00013A6F" w:rsidRDefault="00FD5025" w:rsidP="00FD5025">
      <w:pPr>
        <w:widowControl/>
        <w:tabs>
          <w:tab w:val="decimal" w:pos="1800"/>
          <w:tab w:val="right" w:pos="3150"/>
        </w:tabs>
        <w:overflowPunct w:val="0"/>
        <w:autoSpaceDE w:val="0"/>
        <w:autoSpaceDN w:val="0"/>
        <w:adjustRightInd w:val="0"/>
        <w:spacing w:after="0" w:line="240" w:lineRule="auto"/>
        <w:ind w:left="180" w:firstLine="180"/>
        <w:jc w:val="both"/>
        <w:textAlignment w:val="baseline"/>
        <w:rPr>
          <w:rFonts w:ascii="Times New Roman" w:eastAsia="Times New Roman" w:hAnsi="Times New Roman"/>
          <w:sz w:val="20"/>
          <w:szCs w:val="20"/>
        </w:rPr>
      </w:pPr>
      <w:r>
        <w:rPr>
          <w:rFonts w:ascii="Times New Roman" w:eastAsia="Times New Roman" w:hAnsi="Times New Roman"/>
          <w:sz w:val="20"/>
          <w:szCs w:val="20"/>
        </w:rPr>
        <w:tab/>
      </w:r>
      <w:r w:rsidR="00013A6F" w:rsidRPr="00013A6F">
        <w:rPr>
          <w:rFonts w:ascii="Times New Roman" w:eastAsia="Times New Roman" w:hAnsi="Times New Roman"/>
          <w:sz w:val="20"/>
          <w:szCs w:val="20"/>
        </w:rPr>
        <w:t xml:space="preserve">  5 mg/m</w:t>
      </w:r>
      <w:r w:rsidR="00013A6F" w:rsidRPr="00013A6F">
        <w:rPr>
          <w:rFonts w:ascii="Times New Roman" w:eastAsia="Times New Roman" w:hAnsi="Times New Roman"/>
          <w:sz w:val="20"/>
          <w:szCs w:val="20"/>
          <w:vertAlign w:val="superscript"/>
        </w:rPr>
        <w:t>3</w:t>
      </w:r>
      <w:r w:rsidR="00013A6F" w:rsidRPr="00013A6F">
        <w:rPr>
          <w:rFonts w:ascii="Times New Roman" w:eastAsia="Times New Roman" w:hAnsi="Times New Roman"/>
          <w:sz w:val="20"/>
          <w:szCs w:val="20"/>
        </w:rPr>
        <w:t xml:space="preserve"> (TWA, </w:t>
      </w:r>
      <w:proofErr w:type="spellStart"/>
      <w:r w:rsidR="00013A6F" w:rsidRPr="00013A6F">
        <w:rPr>
          <w:rFonts w:ascii="Times New Roman" w:eastAsia="Times New Roman" w:hAnsi="Times New Roman"/>
          <w:sz w:val="20"/>
          <w:szCs w:val="20"/>
        </w:rPr>
        <w:t>respirable</w:t>
      </w:r>
      <w:proofErr w:type="spellEnd"/>
      <w:r w:rsidR="00013A6F" w:rsidRPr="00013A6F">
        <w:rPr>
          <w:rFonts w:ascii="Times New Roman" w:eastAsia="Times New Roman" w:hAnsi="Times New Roman"/>
          <w:sz w:val="20"/>
          <w:szCs w:val="20"/>
        </w:rPr>
        <w:t xml:space="preserve"> particulates)</w:t>
      </w:r>
    </w:p>
    <w:p w14:paraId="408B9C1F" w14:textId="77777777" w:rsidR="0031663D" w:rsidRDefault="0031663D" w:rsidP="00FD5025">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46F124F5" w14:textId="77777777" w:rsidR="0031663D" w:rsidRDefault="00194A53" w:rsidP="00FD5025">
      <w:pPr>
        <w:keepNext/>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lastRenderedPageBreak/>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2C23A0B9" w14:textId="77777777" w:rsidR="0031663D" w:rsidRDefault="0031663D" w:rsidP="00FD5025">
      <w:pPr>
        <w:keepNext/>
        <w:widowControl/>
        <w:spacing w:after="0" w:line="240" w:lineRule="auto"/>
        <w:ind w:left="360"/>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6DD9AB40" w14:textId="77777777" w:rsidR="0031663D" w:rsidRPr="00783F68" w:rsidRDefault="0031663D" w:rsidP="00FD5025">
      <w:pPr>
        <w:keepNext/>
        <w:widowControl/>
        <w:spacing w:before="120" w:after="120" w:line="240" w:lineRule="auto"/>
        <w:ind w:left="360"/>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 wash station should be readily available near areas of use.</w:t>
      </w:r>
    </w:p>
    <w:p w14:paraId="528BB27B" w14:textId="77777777" w:rsidR="00D25DBF" w:rsidRPr="00D25DBF" w:rsidRDefault="00194A53" w:rsidP="00FD5025">
      <w:pPr>
        <w:keepNext/>
        <w:widowControl/>
        <w:spacing w:before="120" w:after="120" w:line="240" w:lineRule="auto"/>
        <w:ind w:left="360"/>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5B38457D" w14:textId="77777777" w:rsidTr="00D25DBF">
        <w:trPr>
          <w:trHeight w:hRule="exact" w:val="360"/>
        </w:trPr>
        <w:tc>
          <w:tcPr>
            <w:tcW w:w="9576" w:type="dxa"/>
            <w:vAlign w:val="center"/>
          </w:tcPr>
          <w:p w14:paraId="544AF8D1" w14:textId="77777777" w:rsidR="00D25DBF" w:rsidRPr="00D25DBF" w:rsidRDefault="00D25DBF" w:rsidP="00FD5025">
            <w:pPr>
              <w:widowControl/>
              <w:overflowPunct w:val="0"/>
              <w:autoSpaceDE w:val="0"/>
              <w:autoSpaceDN w:val="0"/>
              <w:adjustRightInd w:val="0"/>
              <w:spacing w:after="0" w:line="24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18CEA4E7" w14:textId="77777777" w:rsidR="00D25DBF" w:rsidRPr="00D25DBF" w:rsidRDefault="00D25DBF" w:rsidP="00FD5025">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590"/>
      </w:tblGrid>
      <w:tr w:rsidR="00E06A19" w14:paraId="0F7AD734" w14:textId="77777777" w:rsidTr="00FD5025">
        <w:trPr>
          <w:trHeight w:val="144"/>
        </w:trPr>
        <w:tc>
          <w:tcPr>
            <w:tcW w:w="4428" w:type="dxa"/>
          </w:tcPr>
          <w:p w14:paraId="4A98F940" w14:textId="77777777" w:rsidR="00E06A19" w:rsidRPr="005A257B" w:rsidRDefault="00E06A19" w:rsidP="00FD5025">
            <w:pPr>
              <w:pStyle w:val="Default"/>
              <w:rPr>
                <w:b/>
                <w:color w:val="auto"/>
                <w:sz w:val="20"/>
                <w:szCs w:val="20"/>
              </w:rPr>
            </w:pPr>
            <w:r w:rsidRPr="005A257B">
              <w:rPr>
                <w:b/>
                <w:color w:val="auto"/>
                <w:sz w:val="20"/>
                <w:szCs w:val="20"/>
              </w:rPr>
              <w:t>Descriptive Properties</w:t>
            </w:r>
          </w:p>
        </w:tc>
        <w:tc>
          <w:tcPr>
            <w:tcW w:w="4590" w:type="dxa"/>
          </w:tcPr>
          <w:p w14:paraId="699EE317" w14:textId="77777777" w:rsidR="00E06A19" w:rsidRPr="005A257B" w:rsidRDefault="00E06A19" w:rsidP="00FD5025">
            <w:pPr>
              <w:pStyle w:val="Default"/>
              <w:jc w:val="center"/>
              <w:rPr>
                <w:b/>
                <w:color w:val="auto"/>
                <w:sz w:val="20"/>
                <w:szCs w:val="20"/>
              </w:rPr>
            </w:pPr>
          </w:p>
        </w:tc>
      </w:tr>
      <w:tr w:rsidR="00013A6F" w14:paraId="36DFC1B7" w14:textId="77777777" w:rsidTr="00FD5025">
        <w:trPr>
          <w:trHeight w:val="144"/>
        </w:trPr>
        <w:tc>
          <w:tcPr>
            <w:tcW w:w="4428" w:type="dxa"/>
          </w:tcPr>
          <w:p w14:paraId="769EA44E" w14:textId="77777777" w:rsidR="00013A6F" w:rsidRPr="005A257B" w:rsidRDefault="00013A6F" w:rsidP="00FD5025">
            <w:pPr>
              <w:pStyle w:val="Default"/>
              <w:ind w:left="360"/>
              <w:rPr>
                <w:b/>
                <w:color w:val="auto"/>
                <w:sz w:val="20"/>
                <w:szCs w:val="20"/>
              </w:rPr>
            </w:pPr>
            <w:r w:rsidRPr="005A257B">
              <w:rPr>
                <w:b/>
                <w:color w:val="auto"/>
                <w:sz w:val="20"/>
                <w:szCs w:val="20"/>
              </w:rPr>
              <w:t xml:space="preserve">Appearance </w:t>
            </w:r>
            <w:r w:rsidRPr="005A257B">
              <w:rPr>
                <w:b/>
                <w:color w:val="auto"/>
                <w:sz w:val="20"/>
                <w:szCs w:val="20"/>
              </w:rPr>
              <w:br/>
              <w:t>(physical state, color, etc.):</w:t>
            </w:r>
          </w:p>
        </w:tc>
        <w:tc>
          <w:tcPr>
            <w:tcW w:w="4590" w:type="dxa"/>
          </w:tcPr>
          <w:p w14:paraId="3F1229F0" w14:textId="77777777" w:rsidR="00013A6F" w:rsidRPr="00013A6F" w:rsidRDefault="00013A6F" w:rsidP="00FD5025">
            <w:pPr>
              <w:pStyle w:val="Default"/>
              <w:ind w:left="162"/>
              <w:rPr>
                <w:color w:val="auto"/>
                <w:sz w:val="20"/>
                <w:szCs w:val="20"/>
              </w:rPr>
            </w:pPr>
            <w:r w:rsidRPr="00013A6F">
              <w:rPr>
                <w:sz w:val="20"/>
                <w:szCs w:val="20"/>
              </w:rPr>
              <w:t>amorphous powder</w:t>
            </w:r>
          </w:p>
        </w:tc>
      </w:tr>
      <w:tr w:rsidR="00013A6F" w14:paraId="0D07215F" w14:textId="77777777" w:rsidTr="00FD5025">
        <w:trPr>
          <w:trHeight w:val="144"/>
        </w:trPr>
        <w:tc>
          <w:tcPr>
            <w:tcW w:w="4428" w:type="dxa"/>
          </w:tcPr>
          <w:p w14:paraId="4117680A" w14:textId="77777777" w:rsidR="00013A6F" w:rsidRPr="005A257B" w:rsidRDefault="00013A6F" w:rsidP="00FD5025">
            <w:pPr>
              <w:pStyle w:val="Default"/>
              <w:ind w:left="360"/>
              <w:rPr>
                <w:b/>
                <w:color w:val="auto"/>
                <w:sz w:val="20"/>
                <w:szCs w:val="20"/>
              </w:rPr>
            </w:pPr>
            <w:r w:rsidRPr="005A257B">
              <w:rPr>
                <w:b/>
                <w:color w:val="auto"/>
                <w:sz w:val="20"/>
                <w:szCs w:val="20"/>
              </w:rPr>
              <w:t>Molecular Formula:</w:t>
            </w:r>
          </w:p>
        </w:tc>
        <w:tc>
          <w:tcPr>
            <w:tcW w:w="4590" w:type="dxa"/>
          </w:tcPr>
          <w:p w14:paraId="39FF2A50" w14:textId="77777777" w:rsidR="00013A6F" w:rsidRPr="00013A6F" w:rsidRDefault="00013A6F" w:rsidP="00FD5025">
            <w:pPr>
              <w:pStyle w:val="Default"/>
              <w:ind w:left="162"/>
              <w:rPr>
                <w:b/>
                <w:color w:val="auto"/>
                <w:sz w:val="20"/>
                <w:szCs w:val="20"/>
              </w:rPr>
            </w:pPr>
            <w:r w:rsidRPr="00013A6F">
              <w:rPr>
                <w:sz w:val="20"/>
                <w:szCs w:val="20"/>
              </w:rPr>
              <w:t>not applicable</w:t>
            </w:r>
          </w:p>
        </w:tc>
      </w:tr>
      <w:tr w:rsidR="00013A6F" w14:paraId="71D99706" w14:textId="77777777" w:rsidTr="00FD5025">
        <w:trPr>
          <w:trHeight w:val="144"/>
        </w:trPr>
        <w:tc>
          <w:tcPr>
            <w:tcW w:w="4428" w:type="dxa"/>
          </w:tcPr>
          <w:p w14:paraId="6597F8F9" w14:textId="77777777" w:rsidR="00013A6F" w:rsidRPr="005A257B" w:rsidRDefault="00013A6F" w:rsidP="00FD5025">
            <w:pPr>
              <w:pStyle w:val="Default"/>
              <w:ind w:left="360"/>
              <w:rPr>
                <w:b/>
                <w:color w:val="auto"/>
                <w:sz w:val="20"/>
                <w:szCs w:val="20"/>
              </w:rPr>
            </w:pPr>
            <w:r w:rsidRPr="005A257B">
              <w:rPr>
                <w:b/>
                <w:sz w:val="20"/>
                <w:szCs w:val="20"/>
              </w:rPr>
              <w:t>Molar Mass (g/</w:t>
            </w:r>
            <w:proofErr w:type="spellStart"/>
            <w:r w:rsidRPr="005A257B">
              <w:rPr>
                <w:b/>
                <w:sz w:val="20"/>
                <w:szCs w:val="20"/>
              </w:rPr>
              <w:t>mol</w:t>
            </w:r>
            <w:proofErr w:type="spellEnd"/>
            <w:r w:rsidRPr="005A257B">
              <w:rPr>
                <w:b/>
                <w:sz w:val="20"/>
                <w:szCs w:val="20"/>
              </w:rPr>
              <w:t>):</w:t>
            </w:r>
          </w:p>
        </w:tc>
        <w:tc>
          <w:tcPr>
            <w:tcW w:w="4590" w:type="dxa"/>
          </w:tcPr>
          <w:p w14:paraId="123762E5" w14:textId="77777777" w:rsidR="00013A6F" w:rsidRPr="00013A6F" w:rsidRDefault="00013A6F" w:rsidP="00FD5025">
            <w:pPr>
              <w:pStyle w:val="Default"/>
              <w:ind w:left="162"/>
              <w:rPr>
                <w:color w:val="auto"/>
                <w:sz w:val="20"/>
                <w:szCs w:val="20"/>
              </w:rPr>
            </w:pPr>
            <w:r w:rsidRPr="00013A6F">
              <w:rPr>
                <w:sz w:val="20"/>
                <w:szCs w:val="20"/>
              </w:rPr>
              <w:t>not applicable</w:t>
            </w:r>
          </w:p>
        </w:tc>
      </w:tr>
      <w:tr w:rsidR="00013A6F" w14:paraId="0DEBF843" w14:textId="77777777" w:rsidTr="00FD5025">
        <w:trPr>
          <w:trHeight w:val="144"/>
        </w:trPr>
        <w:tc>
          <w:tcPr>
            <w:tcW w:w="4428" w:type="dxa"/>
          </w:tcPr>
          <w:p w14:paraId="4383A4FC" w14:textId="77777777" w:rsidR="00013A6F" w:rsidRPr="005A257B" w:rsidRDefault="00013A6F" w:rsidP="00FD5025">
            <w:pPr>
              <w:pStyle w:val="Default"/>
              <w:ind w:left="360"/>
              <w:rPr>
                <w:b/>
                <w:color w:val="auto"/>
                <w:sz w:val="20"/>
                <w:szCs w:val="20"/>
              </w:rPr>
            </w:pPr>
            <w:r w:rsidRPr="005A257B">
              <w:rPr>
                <w:b/>
                <w:color w:val="auto"/>
                <w:sz w:val="20"/>
                <w:szCs w:val="20"/>
              </w:rPr>
              <w:t>Odor:</w:t>
            </w:r>
          </w:p>
        </w:tc>
        <w:tc>
          <w:tcPr>
            <w:tcW w:w="4590" w:type="dxa"/>
          </w:tcPr>
          <w:p w14:paraId="2C5D2F4A"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4390E731" w14:textId="77777777" w:rsidTr="00FD5025">
        <w:trPr>
          <w:trHeight w:val="144"/>
        </w:trPr>
        <w:tc>
          <w:tcPr>
            <w:tcW w:w="4428" w:type="dxa"/>
          </w:tcPr>
          <w:p w14:paraId="309FD5AB" w14:textId="77777777" w:rsidR="00013A6F" w:rsidRPr="005A257B" w:rsidRDefault="00013A6F" w:rsidP="00FD5025">
            <w:pPr>
              <w:pStyle w:val="Default"/>
              <w:ind w:left="360"/>
              <w:rPr>
                <w:b/>
                <w:color w:val="auto"/>
                <w:sz w:val="20"/>
                <w:szCs w:val="20"/>
              </w:rPr>
            </w:pPr>
            <w:r w:rsidRPr="005A257B">
              <w:rPr>
                <w:b/>
                <w:color w:val="auto"/>
                <w:sz w:val="20"/>
                <w:szCs w:val="20"/>
              </w:rPr>
              <w:t>Odor threshold:</w:t>
            </w:r>
          </w:p>
        </w:tc>
        <w:tc>
          <w:tcPr>
            <w:tcW w:w="4590" w:type="dxa"/>
          </w:tcPr>
          <w:p w14:paraId="7ED4C4DA"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04E24793" w14:textId="77777777" w:rsidTr="00FD5025">
        <w:trPr>
          <w:trHeight w:val="144"/>
        </w:trPr>
        <w:tc>
          <w:tcPr>
            <w:tcW w:w="4428" w:type="dxa"/>
          </w:tcPr>
          <w:p w14:paraId="2902105A" w14:textId="77777777" w:rsidR="00013A6F" w:rsidRPr="005A257B" w:rsidRDefault="00013A6F" w:rsidP="00FD5025">
            <w:pPr>
              <w:pStyle w:val="Default"/>
              <w:ind w:left="360"/>
              <w:rPr>
                <w:b/>
                <w:color w:val="auto"/>
                <w:sz w:val="20"/>
                <w:szCs w:val="20"/>
              </w:rPr>
            </w:pPr>
            <w:r w:rsidRPr="005A257B">
              <w:rPr>
                <w:b/>
                <w:color w:val="auto"/>
                <w:sz w:val="20"/>
                <w:szCs w:val="20"/>
              </w:rPr>
              <w:t>pH:</w:t>
            </w:r>
          </w:p>
        </w:tc>
        <w:tc>
          <w:tcPr>
            <w:tcW w:w="4590" w:type="dxa"/>
          </w:tcPr>
          <w:p w14:paraId="4F3A2675"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1B4E0C41" w14:textId="77777777" w:rsidTr="00FD5025">
        <w:trPr>
          <w:trHeight w:val="144"/>
        </w:trPr>
        <w:tc>
          <w:tcPr>
            <w:tcW w:w="4428" w:type="dxa"/>
          </w:tcPr>
          <w:p w14:paraId="77E0898C" w14:textId="77777777" w:rsidR="00013A6F" w:rsidRPr="005A257B" w:rsidRDefault="00013A6F" w:rsidP="00FD5025">
            <w:pPr>
              <w:pStyle w:val="Default"/>
              <w:ind w:left="360"/>
              <w:rPr>
                <w:b/>
                <w:color w:val="auto"/>
                <w:sz w:val="20"/>
                <w:szCs w:val="20"/>
              </w:rPr>
            </w:pPr>
            <w:r w:rsidRPr="005A257B">
              <w:rPr>
                <w:b/>
                <w:color w:val="auto"/>
                <w:sz w:val="20"/>
                <w:szCs w:val="20"/>
              </w:rPr>
              <w:t>Evaporation rate:</w:t>
            </w:r>
          </w:p>
        </w:tc>
        <w:tc>
          <w:tcPr>
            <w:tcW w:w="4590" w:type="dxa"/>
          </w:tcPr>
          <w:p w14:paraId="7C09B412" w14:textId="77777777" w:rsidR="00013A6F" w:rsidRPr="00013A6F" w:rsidRDefault="00013A6F" w:rsidP="00FD5025">
            <w:pPr>
              <w:pStyle w:val="Default"/>
              <w:ind w:left="162"/>
              <w:rPr>
                <w:b/>
                <w:color w:val="auto"/>
                <w:sz w:val="20"/>
                <w:szCs w:val="20"/>
              </w:rPr>
            </w:pPr>
            <w:r w:rsidRPr="00013A6F">
              <w:rPr>
                <w:sz w:val="20"/>
                <w:szCs w:val="20"/>
              </w:rPr>
              <w:t>not applicable</w:t>
            </w:r>
          </w:p>
        </w:tc>
      </w:tr>
      <w:tr w:rsidR="00013A6F" w14:paraId="279CAAD1" w14:textId="77777777" w:rsidTr="00FD5025">
        <w:trPr>
          <w:trHeight w:val="144"/>
        </w:trPr>
        <w:tc>
          <w:tcPr>
            <w:tcW w:w="4428" w:type="dxa"/>
          </w:tcPr>
          <w:p w14:paraId="1C38DAE1" w14:textId="77777777" w:rsidR="00013A6F" w:rsidRPr="005A257B" w:rsidRDefault="00013A6F" w:rsidP="00FD5025">
            <w:pPr>
              <w:pStyle w:val="Default"/>
              <w:ind w:left="360"/>
              <w:rPr>
                <w:b/>
                <w:color w:val="auto"/>
                <w:sz w:val="20"/>
                <w:szCs w:val="20"/>
              </w:rPr>
            </w:pPr>
            <w:r w:rsidRPr="005A257B">
              <w:rPr>
                <w:b/>
                <w:color w:val="auto"/>
                <w:sz w:val="20"/>
                <w:szCs w:val="20"/>
              </w:rPr>
              <w:t>Melting point/freezing point (ºC):</w:t>
            </w:r>
          </w:p>
        </w:tc>
        <w:tc>
          <w:tcPr>
            <w:tcW w:w="4590" w:type="dxa"/>
          </w:tcPr>
          <w:p w14:paraId="4C31A53B"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7AB0CE14" w14:textId="77777777" w:rsidTr="00FD5025">
        <w:trPr>
          <w:trHeight w:val="144"/>
        </w:trPr>
        <w:tc>
          <w:tcPr>
            <w:tcW w:w="4428" w:type="dxa"/>
          </w:tcPr>
          <w:p w14:paraId="4051DA5C" w14:textId="77777777" w:rsidR="00013A6F" w:rsidRPr="005A257B" w:rsidRDefault="00FD5025" w:rsidP="00FD5025">
            <w:pPr>
              <w:pStyle w:val="Default"/>
              <w:ind w:left="360"/>
              <w:rPr>
                <w:b/>
                <w:color w:val="auto"/>
                <w:sz w:val="20"/>
                <w:szCs w:val="20"/>
              </w:rPr>
            </w:pPr>
            <w:r>
              <w:rPr>
                <w:b/>
                <w:bCs/>
                <w:color w:val="auto"/>
                <w:sz w:val="20"/>
                <w:szCs w:val="20"/>
              </w:rPr>
              <w:t>Density:</w:t>
            </w:r>
          </w:p>
        </w:tc>
        <w:tc>
          <w:tcPr>
            <w:tcW w:w="4590" w:type="dxa"/>
          </w:tcPr>
          <w:p w14:paraId="1F32CB5F"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339632A3" w14:textId="77777777" w:rsidTr="00FD5025">
        <w:trPr>
          <w:trHeight w:val="144"/>
        </w:trPr>
        <w:tc>
          <w:tcPr>
            <w:tcW w:w="4428" w:type="dxa"/>
          </w:tcPr>
          <w:p w14:paraId="6BDEDBE9" w14:textId="77777777" w:rsidR="00013A6F" w:rsidRPr="005A257B" w:rsidRDefault="00013A6F" w:rsidP="00FD5025">
            <w:pPr>
              <w:pStyle w:val="Default"/>
              <w:ind w:left="360"/>
              <w:rPr>
                <w:b/>
                <w:color w:val="auto"/>
                <w:sz w:val="20"/>
                <w:szCs w:val="20"/>
              </w:rPr>
            </w:pPr>
            <w:r w:rsidRPr="005A257B">
              <w:rPr>
                <w:b/>
                <w:color w:val="auto"/>
                <w:sz w:val="20"/>
                <w:szCs w:val="20"/>
              </w:rPr>
              <w:t>Vapor Pressure (mmHg):</w:t>
            </w:r>
          </w:p>
        </w:tc>
        <w:tc>
          <w:tcPr>
            <w:tcW w:w="4590" w:type="dxa"/>
          </w:tcPr>
          <w:p w14:paraId="5FA76338" w14:textId="77777777" w:rsidR="00013A6F" w:rsidRPr="00013A6F" w:rsidRDefault="00013A6F" w:rsidP="00FD5025">
            <w:pPr>
              <w:pStyle w:val="Default"/>
              <w:ind w:left="162"/>
              <w:rPr>
                <w:b/>
                <w:color w:val="auto"/>
                <w:sz w:val="20"/>
                <w:szCs w:val="20"/>
              </w:rPr>
            </w:pPr>
            <w:r w:rsidRPr="00013A6F">
              <w:rPr>
                <w:sz w:val="20"/>
                <w:szCs w:val="20"/>
              </w:rPr>
              <w:t>not applicable</w:t>
            </w:r>
          </w:p>
        </w:tc>
      </w:tr>
      <w:tr w:rsidR="00013A6F" w14:paraId="4B4356A0" w14:textId="77777777" w:rsidTr="00FD5025">
        <w:trPr>
          <w:trHeight w:val="144"/>
        </w:trPr>
        <w:tc>
          <w:tcPr>
            <w:tcW w:w="4428" w:type="dxa"/>
          </w:tcPr>
          <w:p w14:paraId="24216225" w14:textId="77777777" w:rsidR="00013A6F" w:rsidRPr="005A257B" w:rsidRDefault="00013A6F" w:rsidP="00FD5025">
            <w:pPr>
              <w:pStyle w:val="Default"/>
              <w:ind w:left="360"/>
              <w:rPr>
                <w:b/>
                <w:color w:val="auto"/>
                <w:sz w:val="20"/>
                <w:szCs w:val="20"/>
              </w:rPr>
            </w:pPr>
            <w:r w:rsidRPr="005A257B">
              <w:rPr>
                <w:b/>
                <w:color w:val="auto"/>
                <w:sz w:val="20"/>
                <w:szCs w:val="20"/>
              </w:rPr>
              <w:t>Vapor Density (air = 1):</w:t>
            </w:r>
          </w:p>
        </w:tc>
        <w:tc>
          <w:tcPr>
            <w:tcW w:w="4590" w:type="dxa"/>
          </w:tcPr>
          <w:p w14:paraId="2FBEF17F" w14:textId="77777777" w:rsidR="00013A6F" w:rsidRPr="00013A6F" w:rsidRDefault="00013A6F" w:rsidP="00FD5025">
            <w:pPr>
              <w:pStyle w:val="Default"/>
              <w:ind w:left="162"/>
              <w:rPr>
                <w:b/>
                <w:color w:val="auto"/>
                <w:sz w:val="20"/>
                <w:szCs w:val="20"/>
              </w:rPr>
            </w:pPr>
            <w:r w:rsidRPr="00013A6F">
              <w:rPr>
                <w:sz w:val="20"/>
                <w:szCs w:val="20"/>
              </w:rPr>
              <w:t>not applicable</w:t>
            </w:r>
          </w:p>
        </w:tc>
      </w:tr>
      <w:tr w:rsidR="00013A6F" w14:paraId="7D5DE495" w14:textId="77777777" w:rsidTr="00FD5025">
        <w:trPr>
          <w:trHeight w:val="144"/>
        </w:trPr>
        <w:tc>
          <w:tcPr>
            <w:tcW w:w="4428" w:type="dxa"/>
          </w:tcPr>
          <w:p w14:paraId="715F0885" w14:textId="77777777" w:rsidR="00013A6F" w:rsidRPr="005A257B" w:rsidRDefault="00013A6F" w:rsidP="00FD5025">
            <w:pPr>
              <w:pStyle w:val="Default"/>
              <w:ind w:left="360"/>
              <w:rPr>
                <w:b/>
                <w:color w:val="auto"/>
                <w:sz w:val="20"/>
                <w:szCs w:val="20"/>
              </w:rPr>
            </w:pPr>
            <w:r w:rsidRPr="005A257B">
              <w:rPr>
                <w:b/>
                <w:color w:val="auto"/>
                <w:sz w:val="20"/>
                <w:szCs w:val="20"/>
              </w:rPr>
              <w:t>Viscosity (</w:t>
            </w:r>
            <w:proofErr w:type="spellStart"/>
            <w:r w:rsidRPr="005A257B">
              <w:rPr>
                <w:b/>
                <w:color w:val="auto"/>
                <w:sz w:val="20"/>
                <w:szCs w:val="20"/>
              </w:rPr>
              <w:t>cP</w:t>
            </w:r>
            <w:proofErr w:type="spellEnd"/>
            <w:r w:rsidRPr="005A257B">
              <w:rPr>
                <w:b/>
                <w:color w:val="auto"/>
                <w:sz w:val="20"/>
                <w:szCs w:val="20"/>
              </w:rPr>
              <w:t>):</w:t>
            </w:r>
          </w:p>
        </w:tc>
        <w:tc>
          <w:tcPr>
            <w:tcW w:w="4590" w:type="dxa"/>
          </w:tcPr>
          <w:p w14:paraId="65D6D2B2" w14:textId="77777777" w:rsidR="00013A6F" w:rsidRPr="00013A6F" w:rsidRDefault="00013A6F" w:rsidP="00FD5025">
            <w:pPr>
              <w:pStyle w:val="Default"/>
              <w:ind w:left="162"/>
              <w:rPr>
                <w:b/>
                <w:color w:val="auto"/>
                <w:sz w:val="20"/>
                <w:szCs w:val="20"/>
              </w:rPr>
            </w:pPr>
            <w:r w:rsidRPr="00013A6F">
              <w:rPr>
                <w:sz w:val="20"/>
                <w:szCs w:val="20"/>
              </w:rPr>
              <w:t>not applicable</w:t>
            </w:r>
          </w:p>
        </w:tc>
      </w:tr>
      <w:tr w:rsidR="00013A6F" w14:paraId="6E23CC33" w14:textId="77777777" w:rsidTr="00FD5025">
        <w:trPr>
          <w:trHeight w:val="144"/>
        </w:trPr>
        <w:tc>
          <w:tcPr>
            <w:tcW w:w="4428" w:type="dxa"/>
          </w:tcPr>
          <w:p w14:paraId="161713E1" w14:textId="77777777" w:rsidR="00013A6F" w:rsidRPr="005A257B" w:rsidRDefault="00013A6F" w:rsidP="00FD5025">
            <w:pPr>
              <w:pStyle w:val="Default"/>
              <w:ind w:left="360"/>
              <w:rPr>
                <w:b/>
                <w:color w:val="auto"/>
                <w:sz w:val="20"/>
                <w:szCs w:val="20"/>
              </w:rPr>
            </w:pPr>
            <w:r w:rsidRPr="005A257B">
              <w:rPr>
                <w:b/>
                <w:color w:val="auto"/>
                <w:sz w:val="20"/>
                <w:szCs w:val="20"/>
              </w:rPr>
              <w:t>Solubility(</w:t>
            </w:r>
            <w:proofErr w:type="spellStart"/>
            <w:r w:rsidRPr="005A257B">
              <w:rPr>
                <w:b/>
                <w:color w:val="auto"/>
                <w:sz w:val="20"/>
                <w:szCs w:val="20"/>
              </w:rPr>
              <w:t>ies</w:t>
            </w:r>
            <w:proofErr w:type="spellEnd"/>
            <w:r w:rsidRPr="005A257B">
              <w:rPr>
                <w:b/>
                <w:color w:val="auto"/>
                <w:sz w:val="20"/>
                <w:szCs w:val="20"/>
              </w:rPr>
              <w:t>):</w:t>
            </w:r>
          </w:p>
        </w:tc>
        <w:tc>
          <w:tcPr>
            <w:tcW w:w="4590" w:type="dxa"/>
          </w:tcPr>
          <w:p w14:paraId="0E625A03"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2967ECEC" w14:textId="77777777" w:rsidTr="00FD5025">
        <w:trPr>
          <w:trHeight w:val="144"/>
        </w:trPr>
        <w:tc>
          <w:tcPr>
            <w:tcW w:w="4428" w:type="dxa"/>
          </w:tcPr>
          <w:p w14:paraId="6E5DB9AF" w14:textId="77777777" w:rsidR="00013A6F" w:rsidRPr="005A257B" w:rsidRDefault="00013A6F" w:rsidP="00FD5025">
            <w:pPr>
              <w:pStyle w:val="Default"/>
              <w:ind w:left="360"/>
              <w:rPr>
                <w:b/>
                <w:color w:val="auto"/>
                <w:sz w:val="20"/>
                <w:szCs w:val="20"/>
              </w:rPr>
            </w:pPr>
            <w:r w:rsidRPr="005A257B">
              <w:rPr>
                <w:b/>
                <w:color w:val="auto"/>
                <w:sz w:val="20"/>
                <w:szCs w:val="20"/>
              </w:rPr>
              <w:t>Partition coefficient (n-</w:t>
            </w:r>
            <w:proofErr w:type="spellStart"/>
            <w:r w:rsidRPr="005A257B">
              <w:rPr>
                <w:b/>
                <w:color w:val="auto"/>
                <w:sz w:val="20"/>
                <w:szCs w:val="20"/>
              </w:rPr>
              <w:t>octanol</w:t>
            </w:r>
            <w:proofErr w:type="spellEnd"/>
            <w:r w:rsidRPr="005A257B">
              <w:rPr>
                <w:b/>
                <w:color w:val="auto"/>
                <w:sz w:val="20"/>
                <w:szCs w:val="20"/>
              </w:rPr>
              <w:t>/water):</w:t>
            </w:r>
          </w:p>
        </w:tc>
        <w:tc>
          <w:tcPr>
            <w:tcW w:w="4590" w:type="dxa"/>
          </w:tcPr>
          <w:p w14:paraId="1CA963D7"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522B4C7E" w14:textId="77777777" w:rsidTr="00FD5025">
        <w:trPr>
          <w:trHeight w:val="405"/>
        </w:trPr>
        <w:tc>
          <w:tcPr>
            <w:tcW w:w="4428" w:type="dxa"/>
          </w:tcPr>
          <w:p w14:paraId="12F8EDF5" w14:textId="77777777" w:rsidR="00013A6F" w:rsidRPr="005A257B" w:rsidRDefault="00013A6F" w:rsidP="00FD5025">
            <w:pPr>
              <w:pStyle w:val="Default"/>
              <w:ind w:left="360"/>
              <w:rPr>
                <w:b/>
                <w:color w:val="auto"/>
                <w:sz w:val="20"/>
                <w:szCs w:val="20"/>
              </w:rPr>
            </w:pPr>
            <w:r w:rsidRPr="005A257B">
              <w:rPr>
                <w:b/>
                <w:color w:val="auto"/>
                <w:sz w:val="20"/>
                <w:szCs w:val="20"/>
              </w:rPr>
              <w:t>Particle Size</w:t>
            </w:r>
            <w:r>
              <w:rPr>
                <w:b/>
                <w:color w:val="auto"/>
                <w:sz w:val="20"/>
                <w:szCs w:val="20"/>
              </w:rPr>
              <w:t>:</w:t>
            </w:r>
          </w:p>
        </w:tc>
        <w:tc>
          <w:tcPr>
            <w:tcW w:w="4590" w:type="dxa"/>
          </w:tcPr>
          <w:p w14:paraId="72CD89C5" w14:textId="77777777" w:rsidR="00013A6F" w:rsidRPr="00013A6F" w:rsidRDefault="00FD5025" w:rsidP="00FD5025">
            <w:pPr>
              <w:pStyle w:val="Default"/>
              <w:ind w:left="162"/>
              <w:rPr>
                <w:color w:val="auto"/>
                <w:sz w:val="20"/>
                <w:szCs w:val="20"/>
              </w:rPr>
            </w:pPr>
            <w:r w:rsidRPr="00FD5025">
              <w:rPr>
                <w:sz w:val="20"/>
                <w:szCs w:val="20"/>
              </w:rPr>
              <w:t>not available</w:t>
            </w:r>
          </w:p>
        </w:tc>
      </w:tr>
      <w:tr w:rsidR="00013A6F" w14:paraId="4836A1E4" w14:textId="77777777" w:rsidTr="00FD5025">
        <w:trPr>
          <w:trHeight w:val="144"/>
        </w:trPr>
        <w:tc>
          <w:tcPr>
            <w:tcW w:w="4428" w:type="dxa"/>
          </w:tcPr>
          <w:p w14:paraId="62225669" w14:textId="77777777" w:rsidR="00013A6F" w:rsidRPr="005A257B" w:rsidRDefault="00013A6F" w:rsidP="00FD5025">
            <w:pPr>
              <w:pStyle w:val="Default"/>
              <w:rPr>
                <w:b/>
                <w:color w:val="auto"/>
                <w:sz w:val="20"/>
                <w:szCs w:val="20"/>
              </w:rPr>
            </w:pPr>
            <w:r w:rsidRPr="005A257B">
              <w:rPr>
                <w:b/>
                <w:color w:val="auto"/>
                <w:sz w:val="20"/>
                <w:szCs w:val="20"/>
              </w:rPr>
              <w:t>Thermal Stability Properties</w:t>
            </w:r>
          </w:p>
        </w:tc>
        <w:tc>
          <w:tcPr>
            <w:tcW w:w="4590" w:type="dxa"/>
          </w:tcPr>
          <w:p w14:paraId="5A59F5C6" w14:textId="77777777" w:rsidR="00013A6F" w:rsidRPr="00013A6F" w:rsidRDefault="00013A6F" w:rsidP="00FD5025">
            <w:pPr>
              <w:pStyle w:val="Default"/>
              <w:ind w:left="162"/>
              <w:rPr>
                <w:b/>
                <w:color w:val="auto"/>
                <w:sz w:val="20"/>
                <w:szCs w:val="20"/>
              </w:rPr>
            </w:pPr>
          </w:p>
        </w:tc>
      </w:tr>
      <w:tr w:rsidR="00013A6F" w14:paraId="52D02EEC" w14:textId="77777777" w:rsidTr="00FD5025">
        <w:trPr>
          <w:trHeight w:val="144"/>
        </w:trPr>
        <w:tc>
          <w:tcPr>
            <w:tcW w:w="4428" w:type="dxa"/>
          </w:tcPr>
          <w:p w14:paraId="72ED966B" w14:textId="77777777" w:rsidR="00013A6F" w:rsidRPr="005A257B" w:rsidRDefault="00013A6F" w:rsidP="00FD5025">
            <w:pPr>
              <w:pStyle w:val="Default"/>
              <w:ind w:left="360"/>
              <w:rPr>
                <w:b/>
                <w:color w:val="auto"/>
                <w:sz w:val="20"/>
                <w:szCs w:val="20"/>
              </w:rPr>
            </w:pPr>
            <w:proofErr w:type="spellStart"/>
            <w:r w:rsidRPr="005A257B">
              <w:rPr>
                <w:b/>
                <w:color w:val="auto"/>
                <w:sz w:val="20"/>
                <w:szCs w:val="20"/>
              </w:rPr>
              <w:t>Autoignition</w:t>
            </w:r>
            <w:proofErr w:type="spellEnd"/>
            <w:r w:rsidRPr="005A257B">
              <w:rPr>
                <w:b/>
                <w:color w:val="auto"/>
                <w:sz w:val="20"/>
                <w:szCs w:val="20"/>
              </w:rPr>
              <w:t xml:space="preserve"> Temperature (ºC):</w:t>
            </w:r>
          </w:p>
        </w:tc>
        <w:tc>
          <w:tcPr>
            <w:tcW w:w="4590" w:type="dxa"/>
          </w:tcPr>
          <w:p w14:paraId="1FB08AF9"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15A3499A" w14:textId="77777777" w:rsidTr="00FD5025">
        <w:trPr>
          <w:trHeight w:val="144"/>
        </w:trPr>
        <w:tc>
          <w:tcPr>
            <w:tcW w:w="4428" w:type="dxa"/>
          </w:tcPr>
          <w:p w14:paraId="17A503FB" w14:textId="77777777" w:rsidR="00013A6F" w:rsidRPr="005A257B" w:rsidRDefault="00013A6F" w:rsidP="00FD5025">
            <w:pPr>
              <w:pStyle w:val="Default"/>
              <w:ind w:left="360"/>
              <w:rPr>
                <w:b/>
                <w:color w:val="auto"/>
                <w:sz w:val="20"/>
                <w:szCs w:val="20"/>
              </w:rPr>
            </w:pPr>
            <w:r w:rsidRPr="005A257B">
              <w:rPr>
                <w:b/>
                <w:color w:val="auto"/>
                <w:sz w:val="20"/>
                <w:szCs w:val="20"/>
              </w:rPr>
              <w:t>Thermal Decomposition (ºC):</w:t>
            </w:r>
          </w:p>
        </w:tc>
        <w:tc>
          <w:tcPr>
            <w:tcW w:w="4590" w:type="dxa"/>
          </w:tcPr>
          <w:p w14:paraId="30966B68"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3BDDFF1F" w14:textId="77777777" w:rsidTr="00FD5025">
        <w:trPr>
          <w:trHeight w:val="144"/>
        </w:trPr>
        <w:tc>
          <w:tcPr>
            <w:tcW w:w="4428" w:type="dxa"/>
          </w:tcPr>
          <w:p w14:paraId="344B6419" w14:textId="77777777" w:rsidR="00013A6F" w:rsidRPr="005A257B" w:rsidRDefault="00013A6F" w:rsidP="00FD5025">
            <w:pPr>
              <w:pStyle w:val="Default"/>
              <w:ind w:left="360"/>
              <w:rPr>
                <w:b/>
                <w:color w:val="auto"/>
                <w:sz w:val="20"/>
                <w:szCs w:val="20"/>
              </w:rPr>
            </w:pPr>
            <w:r w:rsidRPr="005A257B">
              <w:rPr>
                <w:b/>
                <w:color w:val="auto"/>
                <w:sz w:val="20"/>
                <w:szCs w:val="20"/>
              </w:rPr>
              <w:t>Initial boiling point and boiling range (ºC):</w:t>
            </w:r>
          </w:p>
        </w:tc>
        <w:tc>
          <w:tcPr>
            <w:tcW w:w="4590" w:type="dxa"/>
          </w:tcPr>
          <w:p w14:paraId="4B4BF40A"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4ED39B6C" w14:textId="77777777" w:rsidTr="00FD5025">
        <w:trPr>
          <w:trHeight w:val="144"/>
        </w:trPr>
        <w:tc>
          <w:tcPr>
            <w:tcW w:w="4428" w:type="dxa"/>
          </w:tcPr>
          <w:p w14:paraId="4E9119C8" w14:textId="77777777" w:rsidR="00013A6F" w:rsidRPr="005A257B" w:rsidRDefault="00013A6F" w:rsidP="00FD5025">
            <w:pPr>
              <w:pStyle w:val="Default"/>
              <w:ind w:left="360"/>
              <w:rPr>
                <w:b/>
                <w:color w:val="auto"/>
                <w:sz w:val="20"/>
                <w:szCs w:val="20"/>
              </w:rPr>
            </w:pPr>
            <w:r w:rsidRPr="005A257B">
              <w:rPr>
                <w:b/>
                <w:color w:val="auto"/>
                <w:sz w:val="20"/>
                <w:szCs w:val="20"/>
              </w:rPr>
              <w:t>Explosive Limits, LEL (Volume %):</w:t>
            </w:r>
          </w:p>
        </w:tc>
        <w:tc>
          <w:tcPr>
            <w:tcW w:w="4590" w:type="dxa"/>
          </w:tcPr>
          <w:p w14:paraId="2F96FF79"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12189C77" w14:textId="77777777" w:rsidTr="00FD5025">
        <w:trPr>
          <w:trHeight w:val="144"/>
        </w:trPr>
        <w:tc>
          <w:tcPr>
            <w:tcW w:w="4428" w:type="dxa"/>
          </w:tcPr>
          <w:p w14:paraId="26FE6F9A" w14:textId="77777777" w:rsidR="00013A6F" w:rsidRPr="005A257B" w:rsidRDefault="00013A6F" w:rsidP="00FD5025">
            <w:pPr>
              <w:pStyle w:val="Default"/>
              <w:ind w:left="360"/>
              <w:rPr>
                <w:b/>
                <w:color w:val="auto"/>
                <w:sz w:val="20"/>
                <w:szCs w:val="20"/>
              </w:rPr>
            </w:pPr>
            <w:r w:rsidRPr="005A257B">
              <w:rPr>
                <w:b/>
                <w:color w:val="auto"/>
                <w:sz w:val="20"/>
                <w:szCs w:val="20"/>
              </w:rPr>
              <w:t>Explosive Limits, UEL (Volume %):</w:t>
            </w:r>
          </w:p>
        </w:tc>
        <w:tc>
          <w:tcPr>
            <w:tcW w:w="4590" w:type="dxa"/>
          </w:tcPr>
          <w:p w14:paraId="0A0C39F8"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3CD98338" w14:textId="77777777" w:rsidTr="00FD5025">
        <w:trPr>
          <w:trHeight w:val="144"/>
        </w:trPr>
        <w:tc>
          <w:tcPr>
            <w:tcW w:w="4428" w:type="dxa"/>
          </w:tcPr>
          <w:p w14:paraId="55372BA4" w14:textId="77777777" w:rsidR="00013A6F" w:rsidRPr="005A257B" w:rsidRDefault="00013A6F" w:rsidP="00FD5025">
            <w:pPr>
              <w:pStyle w:val="Default"/>
              <w:ind w:left="360"/>
              <w:rPr>
                <w:b/>
                <w:color w:val="auto"/>
                <w:sz w:val="20"/>
                <w:szCs w:val="20"/>
              </w:rPr>
            </w:pPr>
            <w:r w:rsidRPr="005A257B">
              <w:rPr>
                <w:b/>
                <w:color w:val="auto"/>
                <w:sz w:val="20"/>
                <w:szCs w:val="20"/>
              </w:rPr>
              <w:t>Flash Point (ºC)</w:t>
            </w:r>
            <w:r>
              <w:rPr>
                <w:b/>
                <w:color w:val="auto"/>
                <w:sz w:val="20"/>
                <w:szCs w:val="20"/>
              </w:rPr>
              <w:t>:</w:t>
            </w:r>
          </w:p>
        </w:tc>
        <w:tc>
          <w:tcPr>
            <w:tcW w:w="4590" w:type="dxa"/>
          </w:tcPr>
          <w:p w14:paraId="40920513"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013A6F" w14:paraId="5BDD0D0A" w14:textId="77777777" w:rsidTr="00FD5025">
        <w:trPr>
          <w:trHeight w:val="144"/>
        </w:trPr>
        <w:tc>
          <w:tcPr>
            <w:tcW w:w="4428" w:type="dxa"/>
          </w:tcPr>
          <w:p w14:paraId="7F8BC299" w14:textId="77777777" w:rsidR="00013A6F" w:rsidRPr="005A257B" w:rsidRDefault="00013A6F" w:rsidP="00FD5025">
            <w:pPr>
              <w:pStyle w:val="Default"/>
              <w:ind w:left="360"/>
              <w:rPr>
                <w:b/>
                <w:color w:val="auto"/>
                <w:sz w:val="20"/>
                <w:szCs w:val="20"/>
              </w:rPr>
            </w:pPr>
            <w:r w:rsidRPr="005A257B">
              <w:rPr>
                <w:b/>
                <w:color w:val="auto"/>
                <w:sz w:val="20"/>
                <w:szCs w:val="20"/>
              </w:rPr>
              <w:t>Flammability (solid, gas):</w:t>
            </w:r>
          </w:p>
        </w:tc>
        <w:tc>
          <w:tcPr>
            <w:tcW w:w="4590" w:type="dxa"/>
          </w:tcPr>
          <w:p w14:paraId="2FB55DD2" w14:textId="77777777" w:rsidR="00013A6F" w:rsidRPr="00013A6F" w:rsidRDefault="00013A6F" w:rsidP="00FD5025">
            <w:pPr>
              <w:pStyle w:val="Default"/>
              <w:ind w:left="162"/>
              <w:rPr>
                <w:b/>
                <w:color w:val="auto"/>
                <w:sz w:val="20"/>
                <w:szCs w:val="20"/>
              </w:rPr>
            </w:pPr>
            <w:r w:rsidRPr="00013A6F">
              <w:rPr>
                <w:sz w:val="20"/>
                <w:szCs w:val="20"/>
              </w:rPr>
              <w:t>not available</w:t>
            </w:r>
          </w:p>
        </w:tc>
      </w:tr>
      <w:tr w:rsidR="00FD5025" w14:paraId="5AD8A520" w14:textId="77777777" w:rsidTr="009C799D">
        <w:trPr>
          <w:trHeight w:val="269"/>
        </w:trPr>
        <w:tc>
          <w:tcPr>
            <w:tcW w:w="4428" w:type="dxa"/>
          </w:tcPr>
          <w:p w14:paraId="4A4A2AF9" w14:textId="77777777" w:rsidR="00FD5025" w:rsidRPr="005A257B" w:rsidRDefault="00FD5025" w:rsidP="00FD5025">
            <w:pPr>
              <w:pStyle w:val="Default"/>
              <w:ind w:left="360"/>
              <w:rPr>
                <w:b/>
                <w:color w:val="auto"/>
                <w:sz w:val="20"/>
                <w:szCs w:val="20"/>
              </w:rPr>
            </w:pPr>
          </w:p>
        </w:tc>
        <w:tc>
          <w:tcPr>
            <w:tcW w:w="4590" w:type="dxa"/>
          </w:tcPr>
          <w:p w14:paraId="1A5F7358" w14:textId="77777777" w:rsidR="00FD5025" w:rsidRPr="00013A6F" w:rsidRDefault="00FD5025" w:rsidP="00FD5025">
            <w:pPr>
              <w:pStyle w:val="Default"/>
              <w:ind w:left="162"/>
              <w:rPr>
                <w:sz w:val="20"/>
                <w:szCs w:val="20"/>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6F4F2C24" w14:textId="77777777" w:rsidTr="00D25DBF">
        <w:trPr>
          <w:trHeight w:hRule="exact" w:val="360"/>
        </w:trPr>
        <w:tc>
          <w:tcPr>
            <w:tcW w:w="9576" w:type="dxa"/>
            <w:tcBorders>
              <w:left w:val="nil"/>
              <w:right w:val="nil"/>
            </w:tcBorders>
            <w:vAlign w:val="center"/>
          </w:tcPr>
          <w:p w14:paraId="44439245" w14:textId="77777777" w:rsidR="003045F2" w:rsidRPr="003045F2" w:rsidRDefault="003045F2" w:rsidP="00FD5025">
            <w:pPr>
              <w:widowControl/>
              <w:overflowPunct w:val="0"/>
              <w:autoSpaceDE w:val="0"/>
              <w:autoSpaceDN w:val="0"/>
              <w:adjustRightInd w:val="0"/>
              <w:spacing w:after="0" w:line="24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t>10.  Stability and Reactivity</w:t>
            </w:r>
          </w:p>
        </w:tc>
      </w:tr>
    </w:tbl>
    <w:p w14:paraId="4B5D616E" w14:textId="77777777" w:rsidR="00F4046F" w:rsidRPr="004A6E3F" w:rsidRDefault="00F4046F" w:rsidP="00FD5025">
      <w:pPr>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0FF3CB7F" w14:textId="77777777" w:rsidTr="00EB5E4A">
        <w:tc>
          <w:tcPr>
            <w:tcW w:w="1440" w:type="dxa"/>
            <w:vAlign w:val="center"/>
          </w:tcPr>
          <w:p w14:paraId="586F98A5" w14:textId="77777777" w:rsidR="00F4046F" w:rsidRPr="00F4046F" w:rsidRDefault="00F4046F" w:rsidP="0039592A">
            <w:pPr>
              <w:widowControl/>
              <w:spacing w:after="0" w:line="240" w:lineRule="auto"/>
              <w:ind w:left="360"/>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4C3FCA0F" w14:textId="77777777" w:rsidR="00F4046F" w:rsidRDefault="00A14B09" w:rsidP="00FD5025">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46376C4D" w14:textId="77777777" w:rsidR="00F4046F" w:rsidRDefault="00F4046F" w:rsidP="00FD5025">
            <w:pPr>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5742B16B" w14:textId="77777777" w:rsidR="00F4046F" w:rsidRDefault="00F4046F" w:rsidP="00FD5025">
            <w:pPr>
              <w:widowControl/>
              <w:spacing w:after="0" w:line="240" w:lineRule="auto"/>
              <w:jc w:val="center"/>
              <w:rPr>
                <w:rFonts w:ascii="Times New Roman" w:hAnsi="Times New Roman"/>
                <w:sz w:val="20"/>
                <w:szCs w:val="20"/>
              </w:rPr>
            </w:pPr>
          </w:p>
        </w:tc>
        <w:tc>
          <w:tcPr>
            <w:tcW w:w="1296" w:type="dxa"/>
            <w:vAlign w:val="center"/>
          </w:tcPr>
          <w:p w14:paraId="349D41D8" w14:textId="77777777" w:rsidR="00F4046F" w:rsidRDefault="00F4046F" w:rsidP="00FD5025">
            <w:pPr>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16D27A51" w14:textId="77777777" w:rsidR="00D2295A" w:rsidRPr="00A00A2B" w:rsidRDefault="00D2295A" w:rsidP="00FD5025">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bookmarkStart w:id="0" w:name="_GoBack"/>
      <w:bookmarkEnd w:id="0"/>
    </w:p>
    <w:p w14:paraId="23AB2B3A" w14:textId="77777777" w:rsidR="006821C7" w:rsidRPr="006821C7" w:rsidRDefault="006821C7" w:rsidP="00FD502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 xml:space="preserve">Avoid generating dust.  </w:t>
      </w:r>
    </w:p>
    <w:p w14:paraId="78A61394" w14:textId="77777777" w:rsidR="006821C7" w:rsidRPr="006821C7" w:rsidRDefault="006821C7" w:rsidP="00FD502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013A6F">
        <w:rPr>
          <w:rFonts w:ascii="Times New Roman" w:eastAsia="Times New Roman" w:hAnsi="Times New Roman"/>
          <w:bCs/>
          <w:sz w:val="20"/>
          <w:szCs w:val="20"/>
        </w:rPr>
        <w:t>None listed</w:t>
      </w:r>
      <w:r w:rsidR="005318BF">
        <w:rPr>
          <w:rFonts w:ascii="Times New Roman" w:eastAsia="Times New Roman" w:hAnsi="Times New Roman"/>
          <w:bCs/>
          <w:sz w:val="20"/>
          <w:szCs w:val="20"/>
        </w:rPr>
        <w:t>.</w:t>
      </w:r>
    </w:p>
    <w:p w14:paraId="164A07DC" w14:textId="77777777" w:rsidR="006821C7" w:rsidRPr="006821C7" w:rsidRDefault="006821C7" w:rsidP="00FD502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311C3666" w14:textId="77777777" w:rsidR="005A257B" w:rsidRPr="005A257B" w:rsidRDefault="005A257B" w:rsidP="00FD502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Thermal decomposition will produce oxides of </w:t>
      </w:r>
      <w:r w:rsidR="003502C6">
        <w:rPr>
          <w:rFonts w:ascii="Times New Roman" w:eastAsia="Times New Roman" w:hAnsi="Times New Roman"/>
          <w:bCs/>
          <w:sz w:val="20"/>
          <w:szCs w:val="20"/>
        </w:rPr>
        <w:t>carbon</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6EC81813" w14:textId="77777777" w:rsidTr="005A257B">
        <w:tc>
          <w:tcPr>
            <w:tcW w:w="2592" w:type="dxa"/>
            <w:vAlign w:val="center"/>
          </w:tcPr>
          <w:p w14:paraId="225FB8BB" w14:textId="77777777" w:rsidR="005A257B" w:rsidRPr="005A257B" w:rsidRDefault="005A257B" w:rsidP="00C60965">
            <w:pPr>
              <w:widowControl/>
              <w:spacing w:after="0" w:line="240" w:lineRule="auto"/>
              <w:ind w:left="-108"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D3E90F6" w14:textId="77777777" w:rsidR="005A257B" w:rsidRPr="005A257B" w:rsidRDefault="005A257B" w:rsidP="00FD5025">
            <w:pPr>
              <w:widowControl/>
              <w:spacing w:after="0" w:line="240" w:lineRule="auto"/>
              <w:jc w:val="center"/>
              <w:rPr>
                <w:rFonts w:ascii="Times New Roman" w:hAnsi="Times New Roman"/>
                <w:sz w:val="20"/>
                <w:szCs w:val="20"/>
              </w:rPr>
            </w:pPr>
          </w:p>
        </w:tc>
        <w:tc>
          <w:tcPr>
            <w:tcW w:w="1440" w:type="dxa"/>
            <w:vAlign w:val="bottom"/>
          </w:tcPr>
          <w:p w14:paraId="744BFB97" w14:textId="77777777" w:rsidR="005A257B" w:rsidRPr="005A257B" w:rsidRDefault="005A257B" w:rsidP="00FD5025">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21FFC1F9" w14:textId="77777777" w:rsidR="005A257B" w:rsidRPr="005A257B" w:rsidRDefault="005A257B" w:rsidP="00FD5025">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6BC13982" w14:textId="77777777" w:rsidR="005A257B" w:rsidRPr="005A257B" w:rsidRDefault="005A257B" w:rsidP="00FD5025">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0D5087D1" w14:textId="77777777" w:rsidR="0039592A" w:rsidRDefault="0039592A">
      <w:pPr>
        <w:widowControl/>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type="page"/>
      </w:r>
    </w:p>
    <w:p w14:paraId="65771A97" w14:textId="77777777" w:rsidR="005A257B" w:rsidRPr="005A257B" w:rsidRDefault="005A257B" w:rsidP="00FD5025">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A257B" w14:paraId="3CADB9E0" w14:textId="77777777" w:rsidTr="005A257B">
        <w:trPr>
          <w:trHeight w:hRule="exact" w:val="360"/>
        </w:trPr>
        <w:tc>
          <w:tcPr>
            <w:tcW w:w="9576" w:type="dxa"/>
            <w:vAlign w:val="center"/>
          </w:tcPr>
          <w:p w14:paraId="2543FF81" w14:textId="77777777" w:rsidR="005A257B" w:rsidRPr="005A257B" w:rsidRDefault="005A257B" w:rsidP="00FD5025">
            <w:pPr>
              <w:widowControl/>
              <w:spacing w:after="0" w:line="240" w:lineRule="auto"/>
              <w:rPr>
                <w:rFonts w:ascii="Times New Roman" w:eastAsia="Times New Roman" w:hAnsi="Times New Roman"/>
                <w:bCs/>
                <w:sz w:val="20"/>
                <w:szCs w:val="20"/>
              </w:rPr>
            </w:pPr>
            <w:r w:rsidRPr="005A257B">
              <w:rPr>
                <w:rFonts w:ascii="Times New Roman" w:eastAsia="Times New Roman" w:hAnsi="Times New Roman"/>
                <w:b/>
                <w:bCs/>
                <w:position w:val="-1"/>
                <w:sz w:val="24"/>
                <w:szCs w:val="24"/>
              </w:rPr>
              <w:t>11.</w:t>
            </w:r>
            <w:r w:rsidRPr="005A257B">
              <w:rPr>
                <w:rFonts w:ascii="Times New Roman" w:eastAsia="Times New Roman" w:hAnsi="Times New Roman"/>
                <w:b/>
                <w:bCs/>
                <w:spacing w:val="36"/>
                <w:position w:val="-1"/>
                <w:sz w:val="24"/>
                <w:szCs w:val="24"/>
              </w:rPr>
              <w:t xml:space="preserve"> </w:t>
            </w:r>
            <w:r w:rsidRPr="005A257B">
              <w:rPr>
                <w:rFonts w:ascii="Times New Roman" w:eastAsia="Times New Roman" w:hAnsi="Times New Roman"/>
                <w:b/>
                <w:bCs/>
                <w:spacing w:val="1"/>
                <w:position w:val="-1"/>
                <w:sz w:val="24"/>
                <w:szCs w:val="24"/>
              </w:rPr>
              <w:t>T</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2"/>
                <w:position w:val="-1"/>
                <w:sz w:val="19"/>
                <w:szCs w:val="19"/>
              </w:rPr>
              <w:t>X</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spacing w:val="1"/>
                <w:position w:val="-1"/>
                <w:sz w:val="19"/>
                <w:szCs w:val="19"/>
              </w:rPr>
              <w:t>L</w:t>
            </w:r>
            <w:r w:rsidRPr="005A257B">
              <w:rPr>
                <w:rFonts w:ascii="Times New Roman" w:eastAsia="Times New Roman" w:hAnsi="Times New Roman"/>
                <w:b/>
                <w:bCs/>
                <w:spacing w:val="-1"/>
                <w:position w:val="-1"/>
                <w:sz w:val="19"/>
                <w:szCs w:val="19"/>
              </w:rPr>
              <w:t>OG</w:t>
            </w:r>
            <w:r w:rsidRPr="005A257B">
              <w:rPr>
                <w:rFonts w:ascii="Times New Roman" w:eastAsia="Times New Roman" w:hAnsi="Times New Roman"/>
                <w:b/>
                <w:bCs/>
                <w:spacing w:val="1"/>
                <w:position w:val="-1"/>
                <w:sz w:val="19"/>
                <w:szCs w:val="19"/>
              </w:rPr>
              <w:t>I</w:t>
            </w:r>
            <w:r w:rsidRPr="005A257B">
              <w:rPr>
                <w:rFonts w:ascii="Times New Roman" w:eastAsia="Times New Roman" w:hAnsi="Times New Roman"/>
                <w:b/>
                <w:bCs/>
                <w:position w:val="-1"/>
                <w:sz w:val="19"/>
                <w:szCs w:val="19"/>
              </w:rPr>
              <w:t>CAL</w:t>
            </w:r>
            <w:r w:rsidRPr="005A257B">
              <w:rPr>
                <w:rFonts w:ascii="Times New Roman" w:eastAsia="Times New Roman" w:hAnsi="Times New Roman"/>
                <w:b/>
                <w:bCs/>
                <w:spacing w:val="-13"/>
                <w:position w:val="-1"/>
                <w:sz w:val="19"/>
                <w:szCs w:val="19"/>
              </w:rPr>
              <w:t xml:space="preserve"> </w:t>
            </w:r>
            <w:r w:rsidRPr="005A257B">
              <w:rPr>
                <w:rFonts w:ascii="Times New Roman" w:eastAsia="Times New Roman" w:hAnsi="Times New Roman"/>
                <w:b/>
                <w:bCs/>
                <w:position w:val="-1"/>
                <w:sz w:val="24"/>
                <w:szCs w:val="24"/>
              </w:rPr>
              <w:t>I</w:t>
            </w:r>
            <w:r w:rsidRPr="005A257B">
              <w:rPr>
                <w:rFonts w:ascii="Times New Roman" w:eastAsia="Times New Roman" w:hAnsi="Times New Roman"/>
                <w:b/>
                <w:bCs/>
                <w:position w:val="-1"/>
                <w:sz w:val="19"/>
                <w:szCs w:val="19"/>
              </w:rPr>
              <w:t>N</w:t>
            </w:r>
            <w:r w:rsidRPr="005A257B">
              <w:rPr>
                <w:rFonts w:ascii="Times New Roman" w:eastAsia="Times New Roman" w:hAnsi="Times New Roman"/>
                <w:b/>
                <w:bCs/>
                <w:spacing w:val="-1"/>
                <w:position w:val="-1"/>
                <w:sz w:val="19"/>
                <w:szCs w:val="19"/>
              </w:rPr>
              <w:t>FO</w:t>
            </w:r>
            <w:r w:rsidRPr="005A257B">
              <w:rPr>
                <w:rFonts w:ascii="Times New Roman" w:eastAsia="Times New Roman" w:hAnsi="Times New Roman"/>
                <w:b/>
                <w:bCs/>
                <w:position w:val="-1"/>
                <w:sz w:val="19"/>
                <w:szCs w:val="19"/>
              </w:rPr>
              <w:t>R</w:t>
            </w:r>
            <w:r w:rsidRPr="005A257B">
              <w:rPr>
                <w:rFonts w:ascii="Times New Roman" w:eastAsia="Times New Roman" w:hAnsi="Times New Roman"/>
                <w:b/>
                <w:bCs/>
                <w:spacing w:val="1"/>
                <w:position w:val="-1"/>
                <w:sz w:val="19"/>
                <w:szCs w:val="19"/>
              </w:rPr>
              <w:t>M</w:t>
            </w:r>
            <w:r w:rsidRPr="005A257B">
              <w:rPr>
                <w:rFonts w:ascii="Times New Roman" w:eastAsia="Times New Roman" w:hAnsi="Times New Roman"/>
                <w:b/>
                <w:bCs/>
                <w:position w:val="-1"/>
                <w:sz w:val="19"/>
                <w:szCs w:val="19"/>
              </w:rPr>
              <w:t>A</w:t>
            </w:r>
            <w:r w:rsidRPr="005A257B">
              <w:rPr>
                <w:rFonts w:ascii="Times New Roman" w:eastAsia="Times New Roman" w:hAnsi="Times New Roman"/>
                <w:b/>
                <w:bCs/>
                <w:spacing w:val="1"/>
                <w:position w:val="-1"/>
                <w:sz w:val="19"/>
                <w:szCs w:val="19"/>
              </w:rPr>
              <w:t>TI</w:t>
            </w:r>
            <w:r w:rsidRPr="005A257B">
              <w:rPr>
                <w:rFonts w:ascii="Times New Roman" w:eastAsia="Times New Roman" w:hAnsi="Times New Roman"/>
                <w:b/>
                <w:bCs/>
                <w:spacing w:val="-1"/>
                <w:position w:val="-1"/>
                <w:sz w:val="19"/>
                <w:szCs w:val="19"/>
              </w:rPr>
              <w:t>O</w:t>
            </w:r>
            <w:r w:rsidRPr="005A257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14:paraId="7F7EB5F8" w14:textId="77777777" w:rsidTr="004E7C12">
        <w:tc>
          <w:tcPr>
            <w:tcW w:w="2016" w:type="dxa"/>
            <w:vAlign w:val="center"/>
          </w:tcPr>
          <w:p w14:paraId="6FC0A12F" w14:textId="77777777" w:rsidR="00EB5E4A" w:rsidRPr="00F4046F" w:rsidRDefault="00EB5E4A" w:rsidP="009B00D0">
            <w:pPr>
              <w:widowControl/>
              <w:spacing w:before="120" w:after="0" w:line="240" w:lineRule="auto"/>
              <w:ind w:left="-108"/>
              <w:rPr>
                <w:rFonts w:ascii="Times New Roman" w:hAnsi="Times New Roman"/>
                <w:b/>
                <w:sz w:val="20"/>
                <w:szCs w:val="20"/>
              </w:rPr>
            </w:pPr>
            <w:r>
              <w:rPr>
                <w:rFonts w:ascii="Times New Roman" w:eastAsia="Times New Roman" w:hAnsi="Times New Roman"/>
                <w:b/>
                <w:bCs/>
                <w:position w:val="-1"/>
                <w:sz w:val="20"/>
                <w:szCs w:val="20"/>
              </w:rPr>
              <w:t>R</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e</w:t>
            </w:r>
            <w:r>
              <w:rPr>
                <w:rFonts w:ascii="Times New Roman" w:eastAsia="Times New Roman" w:hAnsi="Times New Roman"/>
                <w:b/>
                <w:bCs/>
                <w:spacing w:val="-4"/>
                <w:position w:val="-1"/>
                <w:sz w:val="20"/>
                <w:szCs w:val="20"/>
              </w:rPr>
              <w:t xml:space="preserve"> </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f</w:t>
            </w:r>
            <w:r>
              <w:rPr>
                <w:rFonts w:ascii="Times New Roman" w:eastAsia="Times New Roman" w:hAnsi="Times New Roman"/>
                <w:b/>
                <w:bCs/>
                <w:spacing w:val="-1"/>
                <w:position w:val="-1"/>
                <w:sz w:val="20"/>
                <w:szCs w:val="20"/>
              </w:rPr>
              <w:t xml:space="preserve"> </w:t>
            </w:r>
            <w:r w:rsidR="00957B26">
              <w:rPr>
                <w:rFonts w:ascii="Times New Roman" w:eastAsia="Times New Roman" w:hAnsi="Times New Roman"/>
                <w:b/>
                <w:bCs/>
                <w:spacing w:val="-1"/>
                <w:position w:val="-1"/>
                <w:sz w:val="20"/>
                <w:szCs w:val="20"/>
              </w:rPr>
              <w:t>Exposure</w:t>
            </w:r>
            <w:r>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4BF48DF8" w14:textId="77777777" w:rsidR="00EB5E4A" w:rsidRDefault="006C412A" w:rsidP="00FD5025">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7FF753B5" w14:textId="77777777" w:rsidR="00EB5E4A" w:rsidRDefault="00EB5E4A" w:rsidP="00FD5025">
            <w:pPr>
              <w:widowControl/>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nh</w:t>
            </w:r>
            <w:r>
              <w:rPr>
                <w:rFonts w:ascii="Times New Roman" w:eastAsia="Times New Roman" w:hAnsi="Times New Roman"/>
                <w:sz w:val="20"/>
                <w:szCs w:val="20"/>
              </w:rPr>
              <w:t>alati</w:t>
            </w:r>
            <w:r>
              <w:rPr>
                <w:rFonts w:ascii="Times New Roman" w:eastAsia="Times New Roman" w:hAnsi="Times New Roman"/>
                <w:spacing w:val="1"/>
                <w:sz w:val="20"/>
                <w:szCs w:val="20"/>
              </w:rPr>
              <w:t>o</w:t>
            </w:r>
            <w:r>
              <w:rPr>
                <w:rFonts w:ascii="Times New Roman" w:eastAsia="Times New Roman" w:hAnsi="Times New Roman"/>
                <w:sz w:val="20"/>
                <w:szCs w:val="20"/>
              </w:rPr>
              <w:t>n</w:t>
            </w:r>
          </w:p>
        </w:tc>
        <w:tc>
          <w:tcPr>
            <w:tcW w:w="576" w:type="dxa"/>
            <w:tcBorders>
              <w:bottom w:val="single" w:sz="6" w:space="0" w:color="auto"/>
            </w:tcBorders>
            <w:vAlign w:val="bottom"/>
          </w:tcPr>
          <w:p w14:paraId="4E53472E" w14:textId="77777777" w:rsidR="00EB5E4A" w:rsidRDefault="00F05827" w:rsidP="00FD5025">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6BDE966F" w14:textId="77777777" w:rsidR="00EB5E4A" w:rsidRDefault="00EB5E4A" w:rsidP="00FD5025">
            <w:pPr>
              <w:widowControl/>
              <w:spacing w:after="0" w:line="240" w:lineRule="auto"/>
              <w:rPr>
                <w:rFonts w:ascii="Times New Roman" w:hAnsi="Times New Roman"/>
                <w:sz w:val="20"/>
                <w:szCs w:val="20"/>
              </w:rPr>
            </w:pPr>
            <w:r>
              <w:rPr>
                <w:rFonts w:ascii="Times New Roman" w:eastAsia="Times New Roman" w:hAnsi="Times New Roman"/>
                <w:sz w:val="20"/>
                <w:szCs w:val="20"/>
              </w:rPr>
              <w:t>S</w:t>
            </w:r>
            <w:r>
              <w:rPr>
                <w:rFonts w:ascii="Times New Roman" w:eastAsia="Times New Roman" w:hAnsi="Times New Roman"/>
                <w:spacing w:val="-1"/>
                <w:sz w:val="20"/>
                <w:szCs w:val="20"/>
              </w:rPr>
              <w:t>k</w:t>
            </w:r>
            <w:r>
              <w:rPr>
                <w:rFonts w:ascii="Times New Roman" w:eastAsia="Times New Roman" w:hAnsi="Times New Roman"/>
                <w:sz w:val="20"/>
                <w:szCs w:val="20"/>
              </w:rPr>
              <w:t>in</w:t>
            </w:r>
          </w:p>
        </w:tc>
        <w:tc>
          <w:tcPr>
            <w:tcW w:w="576" w:type="dxa"/>
            <w:tcBorders>
              <w:bottom w:val="single" w:sz="6" w:space="0" w:color="auto"/>
            </w:tcBorders>
            <w:vAlign w:val="bottom"/>
          </w:tcPr>
          <w:p w14:paraId="553E21A6" w14:textId="77777777" w:rsidR="00EB5E4A" w:rsidRDefault="00EB5E4A" w:rsidP="00FD5025">
            <w:pPr>
              <w:widowControl/>
              <w:spacing w:after="0" w:line="240" w:lineRule="auto"/>
              <w:jc w:val="center"/>
              <w:rPr>
                <w:rFonts w:ascii="Times New Roman" w:hAnsi="Times New Roman"/>
                <w:sz w:val="20"/>
                <w:szCs w:val="20"/>
              </w:rPr>
            </w:pPr>
          </w:p>
        </w:tc>
        <w:tc>
          <w:tcPr>
            <w:tcW w:w="1440" w:type="dxa"/>
            <w:vAlign w:val="bottom"/>
          </w:tcPr>
          <w:p w14:paraId="4B9DCAED" w14:textId="77777777" w:rsidR="00EB5E4A" w:rsidRDefault="00EB5E4A" w:rsidP="00FD5025">
            <w:pPr>
              <w:widowControl/>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ng</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z w:val="20"/>
                <w:szCs w:val="20"/>
              </w:rPr>
              <w:t>ti</w:t>
            </w:r>
            <w:r>
              <w:rPr>
                <w:rFonts w:ascii="Times New Roman" w:eastAsia="Times New Roman" w:hAnsi="Times New Roman"/>
                <w:spacing w:val="1"/>
                <w:sz w:val="20"/>
                <w:szCs w:val="20"/>
              </w:rPr>
              <w:t>o</w:t>
            </w:r>
            <w:r>
              <w:rPr>
                <w:rFonts w:ascii="Times New Roman" w:eastAsia="Times New Roman" w:hAnsi="Times New Roman"/>
                <w:sz w:val="20"/>
                <w:szCs w:val="20"/>
              </w:rPr>
              <w:t>n</w:t>
            </w:r>
          </w:p>
        </w:tc>
      </w:tr>
    </w:tbl>
    <w:p w14:paraId="3B17DD0F" w14:textId="77777777" w:rsidR="00E014A4" w:rsidRPr="005A257B" w:rsidRDefault="00E014A4" w:rsidP="00FD5025">
      <w:pPr>
        <w:widowControl/>
        <w:spacing w:before="120" w:after="0" w:line="240" w:lineRule="auto"/>
        <w:jc w:val="both"/>
        <w:rPr>
          <w:rFonts w:ascii="Times New Roman" w:eastAsia="Times New Roman" w:hAnsi="Times New Roman"/>
          <w:bCs/>
          <w:sz w:val="20"/>
          <w:szCs w:val="20"/>
        </w:rPr>
      </w:pPr>
      <w:r w:rsidRPr="005A257B">
        <w:rPr>
          <w:rFonts w:ascii="Times New Roman" w:eastAsia="Times New Roman" w:hAnsi="Times New Roman"/>
          <w:b/>
          <w:bCs/>
          <w:sz w:val="20"/>
          <w:szCs w:val="20"/>
        </w:rPr>
        <w:t>Symptoms Related to the Physical, Chemical and Toxicological Characteristics:</w:t>
      </w:r>
      <w:r w:rsidRPr="005A257B">
        <w:rPr>
          <w:rFonts w:ascii="Times New Roman" w:eastAsia="Times New Roman" w:hAnsi="Times New Roman"/>
          <w:bCs/>
          <w:sz w:val="20"/>
          <w:szCs w:val="20"/>
        </w:rPr>
        <w:t xml:space="preserve">  </w:t>
      </w:r>
      <w:r w:rsidR="00CC0B44">
        <w:rPr>
          <w:rFonts w:ascii="Times New Roman" w:eastAsia="Times New Roman" w:hAnsi="Times New Roman"/>
          <w:bCs/>
          <w:sz w:val="20"/>
          <w:szCs w:val="20"/>
        </w:rPr>
        <w:t>Generated dust m</w:t>
      </w:r>
      <w:r w:rsidR="00DC6B5D">
        <w:rPr>
          <w:rFonts w:ascii="Times New Roman" w:eastAsia="Times New Roman" w:hAnsi="Times New Roman"/>
          <w:bCs/>
          <w:sz w:val="20"/>
          <w:szCs w:val="20"/>
        </w:rPr>
        <w:t>ay cause irritation if inhaled</w:t>
      </w:r>
      <w:r w:rsidR="005A73FE" w:rsidRPr="005A257B">
        <w:rPr>
          <w:rFonts w:ascii="Times New Roman" w:eastAsia="Times New Roman" w:hAnsi="Times New Roman"/>
          <w:bCs/>
          <w:sz w:val="20"/>
          <w:szCs w:val="20"/>
        </w:rPr>
        <w:t>.</w:t>
      </w:r>
    </w:p>
    <w:p w14:paraId="1D886CEE" w14:textId="77777777" w:rsidR="00A00A2B" w:rsidRPr="005A257B" w:rsidRDefault="00EB5E4A" w:rsidP="00FD5025">
      <w:pPr>
        <w:widowControl/>
        <w:spacing w:before="120" w:after="0" w:line="240" w:lineRule="auto"/>
        <w:jc w:val="both"/>
        <w:rPr>
          <w:rFonts w:ascii="Times New Roman" w:eastAsia="Times New Roman" w:hAnsi="Times New Roman"/>
          <w:b/>
          <w:bCs/>
          <w:sz w:val="20"/>
          <w:szCs w:val="20"/>
        </w:rPr>
      </w:pPr>
      <w:r w:rsidRPr="005A257B">
        <w:rPr>
          <w:rFonts w:ascii="Times New Roman" w:eastAsia="Times New Roman" w:hAnsi="Times New Roman"/>
          <w:b/>
          <w:bCs/>
          <w:sz w:val="20"/>
          <w:szCs w:val="20"/>
        </w:rPr>
        <w:t>Potential Health Effects (Acute</w:t>
      </w:r>
      <w:r w:rsidR="00957B26" w:rsidRPr="005A257B">
        <w:rPr>
          <w:rFonts w:ascii="Times New Roman" w:eastAsia="Times New Roman" w:hAnsi="Times New Roman"/>
          <w:b/>
          <w:bCs/>
          <w:sz w:val="20"/>
          <w:szCs w:val="20"/>
        </w:rPr>
        <w:t>,</w:t>
      </w:r>
      <w:r w:rsidRPr="005A257B">
        <w:rPr>
          <w:rFonts w:ascii="Times New Roman" w:eastAsia="Times New Roman" w:hAnsi="Times New Roman"/>
          <w:b/>
          <w:bCs/>
          <w:sz w:val="20"/>
          <w:szCs w:val="20"/>
        </w:rPr>
        <w:t xml:space="preserve"> </w:t>
      </w:r>
      <w:r w:rsidR="00957B26" w:rsidRPr="005A257B">
        <w:rPr>
          <w:rFonts w:ascii="Times New Roman" w:eastAsia="Times New Roman" w:hAnsi="Times New Roman"/>
          <w:b/>
          <w:bCs/>
          <w:sz w:val="20"/>
          <w:szCs w:val="20"/>
        </w:rPr>
        <w:t>C</w:t>
      </w:r>
      <w:r w:rsidRPr="005A257B">
        <w:rPr>
          <w:rFonts w:ascii="Times New Roman" w:eastAsia="Times New Roman" w:hAnsi="Times New Roman"/>
          <w:b/>
          <w:bCs/>
          <w:sz w:val="20"/>
          <w:szCs w:val="20"/>
        </w:rPr>
        <w:t>hronic</w:t>
      </w:r>
      <w:r w:rsidR="00957B26" w:rsidRPr="005A257B">
        <w:rPr>
          <w:rFonts w:ascii="Times New Roman" w:eastAsia="Times New Roman" w:hAnsi="Times New Roman"/>
          <w:b/>
          <w:bCs/>
          <w:sz w:val="20"/>
          <w:szCs w:val="20"/>
        </w:rPr>
        <w:t xml:space="preserve"> and Delayed</w:t>
      </w:r>
      <w:r w:rsidRPr="005A257B">
        <w:rPr>
          <w:rFonts w:ascii="Times New Roman" w:eastAsia="Times New Roman" w:hAnsi="Times New Roman"/>
          <w:b/>
          <w:bCs/>
          <w:sz w:val="20"/>
          <w:szCs w:val="20"/>
        </w:rPr>
        <w:t>)</w:t>
      </w:r>
      <w:r w:rsidR="004E7C12" w:rsidRPr="005A257B">
        <w:rPr>
          <w:rFonts w:ascii="Times New Roman" w:eastAsia="Times New Roman" w:hAnsi="Times New Roman"/>
          <w:b/>
          <w:bCs/>
          <w:sz w:val="20"/>
          <w:szCs w:val="20"/>
        </w:rPr>
        <w:t>:</w:t>
      </w:r>
    </w:p>
    <w:p w14:paraId="15C7B031" w14:textId="77777777" w:rsidR="00A00A2B" w:rsidRPr="005A257B" w:rsidRDefault="00EB5E4A" w:rsidP="00FD5025">
      <w:pPr>
        <w:widowControl/>
        <w:spacing w:before="120" w:after="0" w:line="240" w:lineRule="auto"/>
        <w:ind w:left="360"/>
        <w:jc w:val="both"/>
        <w:rPr>
          <w:rFonts w:ascii="Times New Roman" w:eastAsia="Times New Roman" w:hAnsi="Times New Roman"/>
          <w:bCs/>
          <w:sz w:val="20"/>
          <w:szCs w:val="20"/>
        </w:rPr>
      </w:pPr>
      <w:r w:rsidRPr="005A257B">
        <w:rPr>
          <w:rFonts w:ascii="Times New Roman" w:eastAsia="Times New Roman" w:hAnsi="Times New Roman"/>
          <w:b/>
          <w:bCs/>
          <w:sz w:val="20"/>
          <w:szCs w:val="20"/>
        </w:rPr>
        <w:t>Inhalation:</w:t>
      </w:r>
      <w:r w:rsidRPr="005A257B">
        <w:rPr>
          <w:rFonts w:ascii="Times New Roman" w:eastAsia="Times New Roman" w:hAnsi="Times New Roman"/>
          <w:bCs/>
          <w:sz w:val="20"/>
          <w:szCs w:val="20"/>
        </w:rPr>
        <w:t xml:space="preserve">  </w:t>
      </w:r>
      <w:r w:rsidR="00CC0B44">
        <w:rPr>
          <w:rFonts w:ascii="Times New Roman" w:eastAsia="Times New Roman" w:hAnsi="Times New Roman"/>
          <w:bCs/>
          <w:sz w:val="20"/>
          <w:szCs w:val="20"/>
        </w:rPr>
        <w:t>Generated dust m</w:t>
      </w:r>
      <w:r w:rsidR="00CC0B44" w:rsidRPr="00CC0B44">
        <w:rPr>
          <w:rFonts w:ascii="Times New Roman" w:eastAsia="Times New Roman" w:hAnsi="Times New Roman"/>
          <w:bCs/>
          <w:sz w:val="20"/>
          <w:szCs w:val="20"/>
        </w:rPr>
        <w:t>ay cause irritation.</w:t>
      </w:r>
      <w:r w:rsidR="00DC6B5D">
        <w:rPr>
          <w:rFonts w:ascii="Times New Roman" w:eastAsia="Times New Roman" w:hAnsi="Times New Roman"/>
          <w:bCs/>
          <w:sz w:val="20"/>
          <w:szCs w:val="20"/>
        </w:rPr>
        <w:t xml:space="preserve">  </w:t>
      </w:r>
    </w:p>
    <w:p w14:paraId="28BF1774" w14:textId="77777777" w:rsidR="00EB5E4A" w:rsidRPr="005A257B" w:rsidRDefault="00EB5E4A" w:rsidP="00FD5025">
      <w:pPr>
        <w:widowControl/>
        <w:spacing w:before="120" w:after="0" w:line="240" w:lineRule="auto"/>
        <w:ind w:left="360"/>
        <w:jc w:val="both"/>
        <w:rPr>
          <w:rFonts w:ascii="Times New Roman" w:eastAsia="Times New Roman" w:hAnsi="Times New Roman"/>
          <w:bCs/>
          <w:sz w:val="20"/>
          <w:szCs w:val="20"/>
        </w:rPr>
      </w:pPr>
      <w:r w:rsidRPr="005A257B">
        <w:rPr>
          <w:rFonts w:ascii="Times New Roman" w:eastAsia="Times New Roman" w:hAnsi="Times New Roman"/>
          <w:b/>
          <w:bCs/>
          <w:sz w:val="20"/>
          <w:szCs w:val="20"/>
        </w:rPr>
        <w:t>Skin Contact:</w:t>
      </w:r>
      <w:r w:rsidRPr="005A257B">
        <w:rPr>
          <w:rFonts w:ascii="Times New Roman" w:eastAsia="Times New Roman" w:hAnsi="Times New Roman"/>
          <w:bCs/>
          <w:sz w:val="20"/>
          <w:szCs w:val="20"/>
        </w:rPr>
        <w:t xml:space="preserve">  </w:t>
      </w:r>
      <w:r w:rsidR="001A0EA2">
        <w:rPr>
          <w:rFonts w:ascii="Times New Roman" w:eastAsia="Times New Roman" w:hAnsi="Times New Roman"/>
          <w:bCs/>
          <w:sz w:val="20"/>
          <w:szCs w:val="20"/>
        </w:rPr>
        <w:t>May cause mechanical irritation</w:t>
      </w:r>
      <w:r w:rsidR="00D25DBF" w:rsidRPr="005A257B">
        <w:rPr>
          <w:rFonts w:ascii="Times New Roman" w:eastAsia="Times New Roman" w:hAnsi="Times New Roman"/>
          <w:sz w:val="20"/>
          <w:szCs w:val="20"/>
        </w:rPr>
        <w:t>.</w:t>
      </w:r>
    </w:p>
    <w:p w14:paraId="45F373D7" w14:textId="77777777" w:rsidR="00383F47" w:rsidRPr="005A257B" w:rsidRDefault="00EB5E4A" w:rsidP="00FD5025">
      <w:pPr>
        <w:widowControl/>
        <w:spacing w:before="120" w:after="0" w:line="240" w:lineRule="auto"/>
        <w:ind w:left="360"/>
        <w:jc w:val="both"/>
        <w:rPr>
          <w:rFonts w:ascii="Times New Roman" w:eastAsia="Times New Roman" w:hAnsi="Times New Roman"/>
          <w:bCs/>
          <w:sz w:val="20"/>
          <w:szCs w:val="20"/>
        </w:rPr>
      </w:pPr>
      <w:r w:rsidRPr="005A257B">
        <w:rPr>
          <w:rFonts w:ascii="Times New Roman" w:eastAsia="Times New Roman" w:hAnsi="Times New Roman"/>
          <w:b/>
          <w:bCs/>
          <w:sz w:val="20"/>
          <w:szCs w:val="20"/>
        </w:rPr>
        <w:t>Eye Contact:</w:t>
      </w:r>
      <w:r w:rsidRPr="005A257B">
        <w:rPr>
          <w:rFonts w:ascii="Times New Roman" w:eastAsia="Times New Roman" w:hAnsi="Times New Roman"/>
          <w:bCs/>
          <w:sz w:val="20"/>
          <w:szCs w:val="20"/>
        </w:rPr>
        <w:t xml:space="preserve">  </w:t>
      </w:r>
      <w:r w:rsidR="00B05FDB" w:rsidRPr="00B05FDB">
        <w:rPr>
          <w:rFonts w:ascii="Times New Roman" w:eastAsia="Times New Roman" w:hAnsi="Times New Roman"/>
          <w:bCs/>
          <w:sz w:val="20"/>
          <w:szCs w:val="20"/>
        </w:rPr>
        <w:t>May cause mechanical irritation</w:t>
      </w:r>
      <w:r w:rsidR="00D25DBF" w:rsidRPr="005A257B">
        <w:rPr>
          <w:rFonts w:ascii="Times New Roman" w:eastAsia="Times New Roman" w:hAnsi="Times New Roman"/>
          <w:bCs/>
          <w:sz w:val="20"/>
          <w:szCs w:val="20"/>
        </w:rPr>
        <w:t>.</w:t>
      </w:r>
    </w:p>
    <w:p w14:paraId="27AFC983" w14:textId="77777777" w:rsidR="00F656A2" w:rsidRDefault="00EB5E4A" w:rsidP="00FD5025">
      <w:pPr>
        <w:widowControl/>
        <w:spacing w:before="120" w:after="120" w:line="240" w:lineRule="auto"/>
        <w:ind w:left="360"/>
        <w:jc w:val="both"/>
        <w:rPr>
          <w:rFonts w:ascii="Times New Roman" w:eastAsia="Times New Roman" w:hAnsi="Times New Roman"/>
          <w:b/>
          <w:bCs/>
          <w:sz w:val="20"/>
          <w:szCs w:val="20"/>
        </w:rPr>
      </w:pPr>
      <w:r w:rsidRPr="005A257B">
        <w:rPr>
          <w:rFonts w:ascii="Times New Roman" w:eastAsia="Times New Roman" w:hAnsi="Times New Roman"/>
          <w:b/>
          <w:bCs/>
          <w:sz w:val="20"/>
          <w:szCs w:val="20"/>
        </w:rPr>
        <w:t>Ingestion:</w:t>
      </w:r>
      <w:r w:rsidRPr="005A257B">
        <w:rPr>
          <w:rFonts w:ascii="Times New Roman" w:eastAsia="Times New Roman" w:hAnsi="Times New Roman"/>
          <w:bCs/>
          <w:sz w:val="20"/>
          <w:szCs w:val="20"/>
        </w:rPr>
        <w:t xml:space="preserve">  </w:t>
      </w:r>
      <w:r w:rsidR="00B54B62" w:rsidRPr="00B54B62">
        <w:rPr>
          <w:rFonts w:ascii="Times New Roman" w:eastAsia="Times New Roman" w:hAnsi="Times New Roman"/>
          <w:bCs/>
          <w:sz w:val="20"/>
          <w:szCs w:val="20"/>
        </w:rPr>
        <w:t>No data available</w:t>
      </w:r>
      <w:r w:rsidR="006662F0">
        <w:rPr>
          <w:rFonts w:ascii="Times New Roman" w:eastAsia="Times New Roman" w:hAnsi="Times New Roman"/>
          <w:bCs/>
          <w:sz w:val="20"/>
          <w:szCs w:val="20"/>
        </w:rPr>
        <w:t>.</w:t>
      </w:r>
    </w:p>
    <w:p w14:paraId="1DD2683B" w14:textId="77777777" w:rsidR="006D24D9" w:rsidRPr="006E61C7" w:rsidRDefault="00EB5E4A" w:rsidP="00FD5025">
      <w:pPr>
        <w:widowControl/>
        <w:spacing w:after="120" w:line="240" w:lineRule="auto"/>
        <w:jc w:val="both"/>
        <w:rPr>
          <w:rFonts w:ascii="Times New Roman" w:eastAsia="Times New Roman" w:hAnsi="Times New Roman"/>
          <w:bCs/>
          <w:sz w:val="20"/>
          <w:szCs w:val="20"/>
        </w:rPr>
      </w:pPr>
      <w:r w:rsidRPr="006E61C7">
        <w:rPr>
          <w:rFonts w:ascii="Times New Roman" w:eastAsia="Times New Roman" w:hAnsi="Times New Roman"/>
          <w:b/>
          <w:bCs/>
          <w:sz w:val="20"/>
          <w:szCs w:val="20"/>
        </w:rPr>
        <w:t>Numerical Measures of Toxicity:</w:t>
      </w:r>
      <w:r w:rsidR="00193FA9" w:rsidRPr="00455695">
        <w:rPr>
          <w:rFonts w:ascii="Times New Roman" w:eastAsia="Times New Roman" w:hAnsi="Times New Roman"/>
          <w:bCs/>
          <w:sz w:val="20"/>
          <w:szCs w:val="20"/>
        </w:rPr>
        <w:t xml:space="preserve"> </w:t>
      </w:r>
    </w:p>
    <w:p w14:paraId="2BF55768" w14:textId="77777777" w:rsidR="00743478" w:rsidRDefault="008E1A8B" w:rsidP="00FD5025">
      <w:pPr>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Acute Toxicity:</w:t>
      </w:r>
      <w:r w:rsidR="00942D37" w:rsidRPr="00005D5A">
        <w:rPr>
          <w:rFonts w:ascii="Times New Roman" w:eastAsia="Times New Roman" w:hAnsi="Times New Roman"/>
          <w:bCs/>
          <w:sz w:val="20"/>
          <w:szCs w:val="20"/>
        </w:rPr>
        <w:t xml:space="preserve">  </w:t>
      </w:r>
      <w:r w:rsidR="003375EA" w:rsidRPr="00015F8E">
        <w:rPr>
          <w:rFonts w:ascii="Times New Roman" w:eastAsia="Times New Roman" w:hAnsi="Times New Roman"/>
          <w:bCs/>
          <w:sz w:val="20"/>
          <w:szCs w:val="20"/>
        </w:rPr>
        <w:t>Not classified</w:t>
      </w:r>
      <w:r w:rsidR="00E22725">
        <w:rPr>
          <w:rFonts w:ascii="Times New Roman" w:eastAsia="Times New Roman" w:hAnsi="Times New Roman"/>
          <w:bCs/>
          <w:sz w:val="20"/>
          <w:szCs w:val="20"/>
        </w:rPr>
        <w:t>;</w:t>
      </w:r>
      <w:r w:rsidR="00013A6F">
        <w:rPr>
          <w:rFonts w:ascii="Times New Roman" w:eastAsia="Times New Roman" w:hAnsi="Times New Roman"/>
          <w:bCs/>
          <w:sz w:val="20"/>
          <w:szCs w:val="20"/>
        </w:rPr>
        <w:t xml:space="preserve"> no data available.</w:t>
      </w:r>
    </w:p>
    <w:p w14:paraId="7E26FE8E" w14:textId="77777777" w:rsidR="00EE1F37" w:rsidRPr="00015F8E" w:rsidRDefault="00EE1F37" w:rsidP="00FD5025">
      <w:pPr>
        <w:widowControl/>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Skin </w:t>
      </w:r>
      <w:r w:rsidR="005A73FE" w:rsidRPr="00015F8E">
        <w:rPr>
          <w:rFonts w:ascii="Times New Roman" w:eastAsia="Times New Roman" w:hAnsi="Times New Roman"/>
          <w:b/>
          <w:bCs/>
          <w:sz w:val="20"/>
          <w:szCs w:val="20"/>
        </w:rPr>
        <w:t>C</w:t>
      </w:r>
      <w:r w:rsidRPr="00015F8E">
        <w:rPr>
          <w:rFonts w:ascii="Times New Roman" w:eastAsia="Times New Roman" w:hAnsi="Times New Roman"/>
          <w:b/>
          <w:bCs/>
          <w:sz w:val="20"/>
          <w:szCs w:val="20"/>
        </w:rPr>
        <w:t>orrosion/</w:t>
      </w:r>
      <w:r w:rsidR="005A73FE" w:rsidRPr="00015F8E">
        <w:rPr>
          <w:rFonts w:ascii="Times New Roman" w:eastAsia="Times New Roman" w:hAnsi="Times New Roman"/>
          <w:b/>
          <w:bCs/>
          <w:sz w:val="20"/>
          <w:szCs w:val="20"/>
        </w:rPr>
        <w:t>I</w:t>
      </w:r>
      <w:r w:rsidRPr="00015F8E">
        <w:rPr>
          <w:rFonts w:ascii="Times New Roman" w:eastAsia="Times New Roman" w:hAnsi="Times New Roman"/>
          <w:b/>
          <w:bCs/>
          <w:sz w:val="20"/>
          <w:szCs w:val="20"/>
        </w:rPr>
        <w:t>rritation</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C27D84" w:rsidRPr="00015F8E">
        <w:rPr>
          <w:rFonts w:ascii="Times New Roman" w:eastAsia="Times New Roman" w:hAnsi="Times New Roman"/>
          <w:bCs/>
          <w:sz w:val="20"/>
          <w:szCs w:val="20"/>
        </w:rPr>
        <w:t>.</w:t>
      </w:r>
    </w:p>
    <w:p w14:paraId="39007C41" w14:textId="77777777" w:rsidR="00EE1F37" w:rsidRPr="00015F8E" w:rsidRDefault="00EE1F37" w:rsidP="00FD5025">
      <w:pPr>
        <w:widowControl/>
        <w:spacing w:before="120"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Serious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 xml:space="preserve">ye </w:t>
      </w:r>
      <w:r w:rsidR="00C5504A">
        <w:rPr>
          <w:rFonts w:ascii="Times New Roman" w:eastAsia="Times New Roman" w:hAnsi="Times New Roman"/>
          <w:b/>
          <w:bCs/>
          <w:sz w:val="20"/>
          <w:szCs w:val="20"/>
        </w:rPr>
        <w:t>D</w:t>
      </w:r>
      <w:r w:rsidRPr="00015F8E">
        <w:rPr>
          <w:rFonts w:ascii="Times New Roman" w:eastAsia="Times New Roman" w:hAnsi="Times New Roman"/>
          <w:b/>
          <w:bCs/>
          <w:sz w:val="20"/>
          <w:szCs w:val="20"/>
        </w:rPr>
        <w:t xml:space="preserve">amage/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 xml:space="preserve">ye </w:t>
      </w:r>
      <w:r w:rsidR="00C5504A">
        <w:rPr>
          <w:rFonts w:ascii="Times New Roman" w:eastAsia="Times New Roman" w:hAnsi="Times New Roman"/>
          <w:b/>
          <w:bCs/>
          <w:sz w:val="20"/>
          <w:szCs w:val="20"/>
        </w:rPr>
        <w:t>I</w:t>
      </w:r>
      <w:r w:rsidRPr="00015F8E">
        <w:rPr>
          <w:rFonts w:ascii="Times New Roman" w:eastAsia="Times New Roman" w:hAnsi="Times New Roman"/>
          <w:b/>
          <w:bCs/>
          <w:sz w:val="20"/>
          <w:szCs w:val="20"/>
        </w:rPr>
        <w:t>rritation</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C27D84" w:rsidRPr="00015F8E">
        <w:rPr>
          <w:rFonts w:ascii="Times New Roman" w:eastAsia="Times New Roman" w:hAnsi="Times New Roman"/>
          <w:bCs/>
          <w:sz w:val="20"/>
          <w:szCs w:val="20"/>
        </w:rPr>
        <w:t>.</w:t>
      </w:r>
    </w:p>
    <w:p w14:paraId="62ABAE64" w14:textId="77777777" w:rsidR="00EE1F37" w:rsidRPr="00015F8E" w:rsidRDefault="00EE1F37" w:rsidP="00FD5025">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Respiratory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ensitization</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6F4E17EE" w14:textId="77777777" w:rsidR="00EE1F37" w:rsidRPr="00015F8E" w:rsidRDefault="00EE1F37" w:rsidP="00FD5025">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Skin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ensitization</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21F8EAFE" w14:textId="77777777" w:rsidR="00EE1F37" w:rsidRPr="00015F8E" w:rsidRDefault="00EE1F37" w:rsidP="00FD5025">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Germ Cell Mutagenicity</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655BCA8B" w14:textId="77777777" w:rsidR="005A73FE" w:rsidRPr="00C66C97" w:rsidRDefault="005A73FE" w:rsidP="00FD5025">
      <w:pPr>
        <w:widowControl/>
        <w:spacing w:after="6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Carcinogenicity:</w:t>
      </w:r>
      <w:r w:rsidRPr="00005D5A">
        <w:rPr>
          <w:rFonts w:ascii="Times New Roman" w:eastAsia="Times New Roman" w:hAnsi="Times New Roman"/>
          <w:bCs/>
          <w:sz w:val="20"/>
          <w:szCs w:val="20"/>
        </w:rPr>
        <w:t xml:space="preserve">  </w:t>
      </w:r>
      <w:r w:rsidR="003375EA" w:rsidRPr="00015F8E">
        <w:rPr>
          <w:rFonts w:ascii="Times New Roman" w:eastAsia="Times New Roman" w:hAnsi="Times New Roman"/>
          <w:bCs/>
          <w:sz w:val="20"/>
          <w:szCs w:val="20"/>
        </w:rPr>
        <w:t>Not classified</w:t>
      </w:r>
      <w:r w:rsidRPr="00015F8E">
        <w:rPr>
          <w:rFonts w:ascii="Times New Roman" w:eastAsia="Times New Roman" w:hAnsi="Times New Roman"/>
          <w:bCs/>
          <w:sz w:val="20"/>
          <w:szCs w:val="20"/>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50110A" w:rsidRPr="00015F8E" w14:paraId="246561E2" w14:textId="77777777" w:rsidTr="000C0534">
        <w:trPr>
          <w:trHeight w:val="60"/>
        </w:trPr>
        <w:tc>
          <w:tcPr>
            <w:tcW w:w="5028" w:type="dxa"/>
            <w:vAlign w:val="center"/>
          </w:tcPr>
          <w:p w14:paraId="0D762026" w14:textId="77777777" w:rsidR="005A73FE" w:rsidRPr="00015F8E" w:rsidRDefault="005A73FE" w:rsidP="009B00D0">
            <w:pPr>
              <w:widowControl/>
              <w:spacing w:after="0" w:line="240" w:lineRule="auto"/>
              <w:ind w:left="132"/>
              <w:rPr>
                <w:rFonts w:ascii="Times New Roman" w:hAnsi="Times New Roman"/>
                <w:b/>
                <w:sz w:val="20"/>
                <w:szCs w:val="20"/>
              </w:rPr>
            </w:pPr>
            <w:r w:rsidRPr="00015F8E">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bottom"/>
          </w:tcPr>
          <w:p w14:paraId="07BC09A1" w14:textId="77777777" w:rsidR="005A73FE" w:rsidRPr="00015F8E" w:rsidRDefault="005A73FE" w:rsidP="00FD5025">
            <w:pPr>
              <w:widowControl/>
              <w:spacing w:after="0" w:line="240" w:lineRule="auto"/>
              <w:ind w:left="720"/>
              <w:jc w:val="center"/>
              <w:rPr>
                <w:rFonts w:ascii="Times New Roman" w:hAnsi="Times New Roman"/>
                <w:szCs w:val="20"/>
              </w:rPr>
            </w:pPr>
          </w:p>
        </w:tc>
        <w:tc>
          <w:tcPr>
            <w:tcW w:w="1224" w:type="dxa"/>
            <w:vAlign w:val="center"/>
          </w:tcPr>
          <w:p w14:paraId="53CA2554" w14:textId="77777777" w:rsidR="005A73FE" w:rsidRPr="00015F8E" w:rsidRDefault="005A73FE" w:rsidP="00FD5025">
            <w:pPr>
              <w:widowControl/>
              <w:spacing w:after="0" w:line="240" w:lineRule="auto"/>
              <w:rPr>
                <w:rFonts w:ascii="Times New Roman" w:hAnsi="Times New Roman"/>
                <w:sz w:val="20"/>
                <w:szCs w:val="20"/>
              </w:rPr>
            </w:pPr>
            <w:r w:rsidRPr="00015F8E">
              <w:rPr>
                <w:rFonts w:ascii="Times New Roman" w:eastAsia="Times New Roman" w:hAnsi="Times New Roman"/>
                <w:spacing w:val="2"/>
                <w:sz w:val="20"/>
                <w:szCs w:val="20"/>
              </w:rPr>
              <w:t>Yes</w:t>
            </w:r>
          </w:p>
        </w:tc>
        <w:tc>
          <w:tcPr>
            <w:tcW w:w="576" w:type="dxa"/>
            <w:tcBorders>
              <w:bottom w:val="single" w:sz="4" w:space="0" w:color="auto"/>
            </w:tcBorders>
            <w:vAlign w:val="center"/>
          </w:tcPr>
          <w:p w14:paraId="0D06D811" w14:textId="77777777" w:rsidR="005A73FE" w:rsidRPr="00015F8E" w:rsidRDefault="005A73FE" w:rsidP="00FD5025">
            <w:pPr>
              <w:widowControl/>
              <w:spacing w:after="0" w:line="240" w:lineRule="auto"/>
              <w:jc w:val="center"/>
              <w:rPr>
                <w:rFonts w:ascii="Times New Roman" w:hAnsi="Times New Roman"/>
                <w:sz w:val="20"/>
                <w:szCs w:val="20"/>
              </w:rPr>
            </w:pPr>
            <w:r w:rsidRPr="00015F8E">
              <w:rPr>
                <w:rFonts w:ascii="Times New Roman" w:hAnsi="Times New Roman"/>
                <w:sz w:val="20"/>
                <w:szCs w:val="20"/>
              </w:rPr>
              <w:t>X</w:t>
            </w:r>
          </w:p>
        </w:tc>
        <w:tc>
          <w:tcPr>
            <w:tcW w:w="634" w:type="dxa"/>
            <w:vAlign w:val="center"/>
          </w:tcPr>
          <w:p w14:paraId="5A9BC1C4" w14:textId="77777777" w:rsidR="005A73FE" w:rsidRPr="00015F8E" w:rsidRDefault="005A73FE" w:rsidP="00FD5025">
            <w:pPr>
              <w:widowControl/>
              <w:spacing w:after="0" w:line="240" w:lineRule="auto"/>
              <w:rPr>
                <w:rFonts w:ascii="Times New Roman" w:hAnsi="Times New Roman"/>
                <w:sz w:val="20"/>
                <w:szCs w:val="20"/>
              </w:rPr>
            </w:pPr>
            <w:r w:rsidRPr="00015F8E">
              <w:rPr>
                <w:rFonts w:ascii="Times New Roman" w:eastAsia="Times New Roman" w:hAnsi="Times New Roman"/>
                <w:spacing w:val="2"/>
                <w:sz w:val="20"/>
                <w:szCs w:val="20"/>
              </w:rPr>
              <w:t>No</w:t>
            </w:r>
          </w:p>
        </w:tc>
      </w:tr>
    </w:tbl>
    <w:p w14:paraId="6068E13C" w14:textId="77777777" w:rsidR="00C84E3B" w:rsidRPr="00015F8E" w:rsidRDefault="00E22725" w:rsidP="00FD5025">
      <w:pPr>
        <w:widowControl/>
        <w:tabs>
          <w:tab w:val="left" w:pos="720"/>
        </w:tabs>
        <w:spacing w:after="0" w:line="240" w:lineRule="auto"/>
        <w:ind w:left="720"/>
        <w:rPr>
          <w:rFonts w:ascii="Times New Roman" w:eastAsia="Times New Roman" w:hAnsi="Times New Roman"/>
          <w:bCs/>
          <w:spacing w:val="-1"/>
          <w:sz w:val="20"/>
          <w:szCs w:val="20"/>
        </w:rPr>
      </w:pPr>
      <w:r>
        <w:rPr>
          <w:rFonts w:ascii="Times New Roman" w:eastAsia="Times New Roman" w:hAnsi="Times New Roman"/>
          <w:bCs/>
          <w:spacing w:val="-1"/>
          <w:sz w:val="20"/>
          <w:szCs w:val="20"/>
        </w:rPr>
        <w:t>River s</w:t>
      </w:r>
      <w:r w:rsidR="00013A6F">
        <w:rPr>
          <w:rFonts w:ascii="Times New Roman" w:eastAsia="Times New Roman" w:hAnsi="Times New Roman"/>
          <w:bCs/>
          <w:spacing w:val="-1"/>
          <w:sz w:val="20"/>
          <w:szCs w:val="20"/>
        </w:rPr>
        <w:t>ediment</w:t>
      </w:r>
      <w:r w:rsidR="003502C6" w:rsidRPr="003502C6" w:rsidDel="003502C6">
        <w:rPr>
          <w:rFonts w:ascii="Times New Roman" w:eastAsia="Times New Roman" w:hAnsi="Times New Roman"/>
          <w:bCs/>
          <w:spacing w:val="-1"/>
          <w:sz w:val="20"/>
          <w:szCs w:val="20"/>
        </w:rPr>
        <w:t xml:space="preserve"> </w:t>
      </w:r>
      <w:r w:rsidR="00EA0DE2">
        <w:rPr>
          <w:rFonts w:ascii="Times New Roman" w:eastAsia="Times New Roman" w:hAnsi="Times New Roman"/>
          <w:bCs/>
          <w:spacing w:val="-1"/>
          <w:sz w:val="20"/>
          <w:szCs w:val="20"/>
        </w:rPr>
        <w:t>is not listed by NTP</w:t>
      </w:r>
      <w:r w:rsidR="00706B67">
        <w:rPr>
          <w:rFonts w:ascii="Times New Roman" w:eastAsia="Times New Roman" w:hAnsi="Times New Roman"/>
          <w:bCs/>
          <w:spacing w:val="-1"/>
          <w:sz w:val="20"/>
          <w:szCs w:val="20"/>
        </w:rPr>
        <w:t xml:space="preserve">, IARC </w:t>
      </w:r>
      <w:r w:rsidR="00EA0DE2">
        <w:rPr>
          <w:rFonts w:ascii="Times New Roman" w:eastAsia="Times New Roman" w:hAnsi="Times New Roman"/>
          <w:bCs/>
          <w:spacing w:val="-1"/>
          <w:sz w:val="20"/>
          <w:szCs w:val="20"/>
        </w:rPr>
        <w:t>or OSHA as a carcinogen</w:t>
      </w:r>
      <w:r w:rsidR="0039592A">
        <w:rPr>
          <w:rFonts w:ascii="Times New Roman" w:eastAsia="Times New Roman" w:hAnsi="Times New Roman"/>
          <w:bCs/>
          <w:spacing w:val="-1"/>
          <w:sz w:val="20"/>
          <w:szCs w:val="20"/>
        </w:rPr>
        <w:t>/potential carcinogen</w:t>
      </w:r>
      <w:r w:rsidR="00EA0DE2">
        <w:rPr>
          <w:rFonts w:ascii="Times New Roman" w:eastAsia="Times New Roman" w:hAnsi="Times New Roman"/>
          <w:bCs/>
          <w:spacing w:val="-1"/>
          <w:sz w:val="20"/>
          <w:szCs w:val="20"/>
        </w:rPr>
        <w:t>.</w:t>
      </w:r>
    </w:p>
    <w:p w14:paraId="3295953D" w14:textId="77777777" w:rsidR="00EE1F37" w:rsidRPr="00015F8E" w:rsidRDefault="00EE1F37" w:rsidP="00FD5025">
      <w:pPr>
        <w:widowControl/>
        <w:spacing w:before="120"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Reproductive Toxicity</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C84E3B" w:rsidRPr="00015F8E">
        <w:rPr>
          <w:rFonts w:ascii="Times New Roman" w:eastAsia="Times New Roman" w:hAnsi="Times New Roman"/>
          <w:bCs/>
          <w:sz w:val="20"/>
          <w:szCs w:val="20"/>
        </w:rPr>
        <w:t>.</w:t>
      </w:r>
    </w:p>
    <w:p w14:paraId="2F8B01DA" w14:textId="77777777" w:rsidR="00EE1F37" w:rsidRPr="00015F8E" w:rsidRDefault="00EE1F37" w:rsidP="00FD5025">
      <w:pPr>
        <w:widowControl/>
        <w:spacing w:before="120"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oxicity,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02D2E6FC" w14:textId="77777777" w:rsidR="00EE1F37" w:rsidRPr="00015F8E" w:rsidRDefault="00EE1F37" w:rsidP="00FD5025">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oxicity,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r w:rsidR="00E620ED" w:rsidRPr="00015F8E">
        <w:rPr>
          <w:rFonts w:ascii="Times New Roman" w:eastAsia="Times New Roman" w:hAnsi="Times New Roman"/>
          <w:bCs/>
          <w:sz w:val="20"/>
          <w:szCs w:val="20"/>
        </w:rPr>
        <w:t>.</w:t>
      </w:r>
    </w:p>
    <w:p w14:paraId="6FF3FC67" w14:textId="77777777" w:rsidR="004521E9" w:rsidRPr="004528A1" w:rsidRDefault="00EE1F37" w:rsidP="00FD5025">
      <w:pPr>
        <w:widowControl/>
        <w:spacing w:after="120" w:line="240" w:lineRule="auto"/>
        <w:ind w:left="360"/>
        <w:jc w:val="both"/>
        <w:rPr>
          <w:rFonts w:ascii="Times New Roman" w:eastAsia="Times New Roman" w:hAnsi="Times New Roman"/>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7FA722A" w14:textId="77777777" w:rsidTr="004521E9">
        <w:trPr>
          <w:trHeight w:hRule="exact" w:val="360"/>
        </w:trPr>
        <w:tc>
          <w:tcPr>
            <w:tcW w:w="9576" w:type="dxa"/>
            <w:vAlign w:val="center"/>
          </w:tcPr>
          <w:p w14:paraId="7E26F7B9" w14:textId="77777777" w:rsidR="004521E9" w:rsidRDefault="004521E9" w:rsidP="00FD502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1DFA75C6" w14:textId="77777777" w:rsidR="004521E9" w:rsidRPr="006E61C7" w:rsidRDefault="004521E9" w:rsidP="00FD5025">
      <w:pPr>
        <w:widowControl/>
        <w:spacing w:before="120" w:after="0" w:line="240" w:lineRule="auto"/>
        <w:rPr>
          <w:rFonts w:ascii="Times New Roman" w:eastAsia="Times New Roman" w:hAnsi="Times New Roman"/>
          <w:sz w:val="20"/>
          <w:szCs w:val="20"/>
        </w:rPr>
      </w:pPr>
      <w:proofErr w:type="spellStart"/>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proofErr w:type="spellEnd"/>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005D5A" w:rsidRPr="00005D5A">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w:t>
      </w:r>
      <w:r w:rsidR="00005D5A">
        <w:rPr>
          <w:rFonts w:ascii="Times New Roman" w:eastAsia="Times New Roman" w:hAnsi="Times New Roman"/>
          <w:bCs/>
          <w:sz w:val="20"/>
          <w:szCs w:val="20"/>
        </w:rPr>
        <w:t xml:space="preserve"> data available</w:t>
      </w:r>
      <w:r w:rsidR="007D6D9F">
        <w:rPr>
          <w:rFonts w:ascii="Times New Roman" w:eastAsia="Times New Roman" w:hAnsi="Times New Roman"/>
          <w:bCs/>
          <w:sz w:val="20"/>
          <w:szCs w:val="20"/>
        </w:rPr>
        <w:t>.</w:t>
      </w:r>
    </w:p>
    <w:p w14:paraId="2C84EF78" w14:textId="77777777" w:rsidR="004521E9" w:rsidRPr="00005D5A" w:rsidRDefault="004521E9" w:rsidP="00FD5025">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2E38D76" w14:textId="77777777" w:rsidR="004521E9" w:rsidRPr="00005D5A" w:rsidRDefault="004521E9" w:rsidP="00FD5025">
      <w:pPr>
        <w:widowControl/>
        <w:spacing w:before="120" w:after="0" w:line="240" w:lineRule="auto"/>
        <w:rPr>
          <w:rFonts w:ascii="Times New Roman" w:eastAsia="Times New Roman" w:hAnsi="Times New Roman"/>
          <w:bCs/>
          <w:spacing w:val="-1"/>
          <w:sz w:val="20"/>
          <w:szCs w:val="20"/>
        </w:rPr>
      </w:pPr>
      <w:proofErr w:type="spellStart"/>
      <w:r w:rsidRPr="006E61C7">
        <w:rPr>
          <w:rFonts w:ascii="Times New Roman" w:eastAsia="Times New Roman" w:hAnsi="Times New Roman"/>
          <w:b/>
          <w:bCs/>
          <w:spacing w:val="-1"/>
          <w:sz w:val="20"/>
          <w:szCs w:val="20"/>
        </w:rPr>
        <w:t>Bioaccumulative</w:t>
      </w:r>
      <w:proofErr w:type="spellEnd"/>
      <w:r w:rsidRPr="006E61C7">
        <w:rPr>
          <w:rFonts w:ascii="Times New Roman" w:eastAsia="Times New Roman" w:hAnsi="Times New Roman"/>
          <w:b/>
          <w:bCs/>
          <w:spacing w:val="-1"/>
          <w:sz w:val="20"/>
          <w:szCs w:val="20"/>
        </w:rPr>
        <w:t xml:space="preser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6EB6AA8D" w14:textId="77777777" w:rsidR="004521E9" w:rsidRPr="00005D5A" w:rsidRDefault="004521E9" w:rsidP="00FD5025">
      <w:pPr>
        <w:widowControl/>
        <w:spacing w:before="120" w:after="0" w:line="240" w:lineRule="auto"/>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70B9D663" w14:textId="77777777" w:rsidR="004521E9" w:rsidRDefault="004521E9" w:rsidP="00FD5025">
      <w:pPr>
        <w:widowControl/>
        <w:spacing w:before="120"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739915D9" w14:textId="77777777" w:rsidTr="004521E9">
        <w:trPr>
          <w:trHeight w:hRule="exact" w:val="360"/>
        </w:trPr>
        <w:tc>
          <w:tcPr>
            <w:tcW w:w="9576" w:type="dxa"/>
            <w:vAlign w:val="center"/>
          </w:tcPr>
          <w:p w14:paraId="24628BC7" w14:textId="77777777" w:rsidR="004521E9" w:rsidRDefault="004521E9" w:rsidP="00FD502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52E82DC0" w14:textId="77777777" w:rsidR="00D536DB" w:rsidRPr="00D536DB" w:rsidRDefault="004521E9" w:rsidP="00FD5025">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521E9" w14:paraId="3E40696C" w14:textId="77777777" w:rsidTr="006949E2">
        <w:trPr>
          <w:trHeight w:hRule="exact" w:val="360"/>
        </w:trPr>
        <w:tc>
          <w:tcPr>
            <w:tcW w:w="9576" w:type="dxa"/>
            <w:vAlign w:val="center"/>
          </w:tcPr>
          <w:p w14:paraId="30300BC6" w14:textId="77777777" w:rsidR="004521E9" w:rsidRDefault="004521E9" w:rsidP="00FD502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8191A71" w14:textId="77777777" w:rsidR="00A13A72" w:rsidRPr="00821095" w:rsidRDefault="004521E9" w:rsidP="00FD5025">
      <w:pPr>
        <w:widowControl/>
        <w:spacing w:before="120" w:after="120" w:line="240" w:lineRule="auto"/>
        <w:rPr>
          <w:rFonts w:ascii="Times New Roman" w:eastAsia="Times New Roman" w:hAnsi="Times New Roman"/>
          <w:bCs/>
          <w:sz w:val="20"/>
          <w:szCs w:val="20"/>
        </w:rPr>
      </w:pPr>
      <w:r>
        <w:rPr>
          <w:rFonts w:ascii="Times New Roman" w:eastAsia="Times New Roman" w:hAnsi="Times New Roman"/>
          <w:b/>
          <w:bCs/>
          <w:sz w:val="20"/>
          <w:szCs w:val="20"/>
        </w:rPr>
        <w:t>U</w:t>
      </w:r>
      <w:r>
        <w:rPr>
          <w:rFonts w:ascii="Times New Roman" w:eastAsia="Times New Roman" w:hAnsi="Times New Roman"/>
          <w:b/>
          <w:bCs/>
          <w:spacing w:val="1"/>
          <w:sz w:val="20"/>
          <w:szCs w:val="20"/>
        </w:rPr>
        <w:t>.</w:t>
      </w:r>
      <w:r>
        <w:rPr>
          <w:rFonts w:ascii="Times New Roman" w:eastAsia="Times New Roman" w:hAnsi="Times New Roman"/>
          <w:b/>
          <w:bCs/>
          <w:sz w:val="20"/>
          <w:szCs w:val="20"/>
        </w:rPr>
        <w:t>S.</w:t>
      </w:r>
      <w:r>
        <w:rPr>
          <w:rFonts w:ascii="Times New Roman" w:eastAsia="Times New Roman" w:hAnsi="Times New Roman"/>
          <w:b/>
          <w:bCs/>
          <w:spacing w:val="4"/>
          <w:sz w:val="20"/>
          <w:szCs w:val="20"/>
        </w:rPr>
        <w:t xml:space="preserve"> </w:t>
      </w:r>
      <w:r>
        <w:rPr>
          <w:rFonts w:ascii="Times New Roman" w:eastAsia="Times New Roman" w:hAnsi="Times New Roman"/>
          <w:b/>
          <w:bCs/>
          <w:sz w:val="20"/>
          <w:szCs w:val="20"/>
        </w:rPr>
        <w:t>D</w:t>
      </w:r>
      <w:r>
        <w:rPr>
          <w:rFonts w:ascii="Times New Roman" w:eastAsia="Times New Roman" w:hAnsi="Times New Roman"/>
          <w:b/>
          <w:bCs/>
          <w:spacing w:val="1"/>
          <w:sz w:val="20"/>
          <w:szCs w:val="20"/>
        </w:rPr>
        <w:t>O</w:t>
      </w:r>
      <w:r>
        <w:rPr>
          <w:rFonts w:ascii="Times New Roman" w:eastAsia="Times New Roman" w:hAnsi="Times New Roman"/>
          <w:b/>
          <w:bCs/>
          <w:sz w:val="20"/>
          <w:szCs w:val="20"/>
        </w:rPr>
        <w:t>T</w:t>
      </w:r>
      <w:r>
        <w:rPr>
          <w:rFonts w:ascii="Times New Roman" w:eastAsia="Times New Roman" w:hAnsi="Times New Roman"/>
          <w:b/>
          <w:bCs/>
          <w:spacing w:val="3"/>
          <w:sz w:val="20"/>
          <w:szCs w:val="20"/>
        </w:rPr>
        <w:t xml:space="preserve"> </w:t>
      </w:r>
      <w:r>
        <w:rPr>
          <w:rFonts w:ascii="Times New Roman" w:eastAsia="Times New Roman" w:hAnsi="Times New Roman"/>
          <w:b/>
          <w:bCs/>
          <w:spacing w:val="1"/>
          <w:sz w:val="20"/>
          <w:szCs w:val="20"/>
        </w:rPr>
        <w:t>a</w:t>
      </w:r>
      <w:r>
        <w:rPr>
          <w:rFonts w:ascii="Times New Roman" w:eastAsia="Times New Roman" w:hAnsi="Times New Roman"/>
          <w:b/>
          <w:bCs/>
          <w:sz w:val="20"/>
          <w:szCs w:val="20"/>
        </w:rPr>
        <w:t>nd</w:t>
      </w:r>
      <w:r>
        <w:rPr>
          <w:rFonts w:ascii="Times New Roman" w:eastAsia="Times New Roman" w:hAnsi="Times New Roman"/>
          <w:b/>
          <w:bCs/>
          <w:spacing w:val="4"/>
          <w:sz w:val="20"/>
          <w:szCs w:val="20"/>
        </w:rPr>
        <w:t xml:space="preserve"> </w:t>
      </w:r>
      <w:r>
        <w:rPr>
          <w:rFonts w:ascii="Times New Roman" w:eastAsia="Times New Roman" w:hAnsi="Times New Roman"/>
          <w:b/>
          <w:bCs/>
          <w:spacing w:val="-1"/>
          <w:sz w:val="20"/>
          <w:szCs w:val="20"/>
        </w:rPr>
        <w:t>I</w:t>
      </w:r>
      <w:r>
        <w:rPr>
          <w:rFonts w:ascii="Times New Roman" w:eastAsia="Times New Roman" w:hAnsi="Times New Roman"/>
          <w:b/>
          <w:bCs/>
          <w:sz w:val="20"/>
          <w:szCs w:val="20"/>
        </w:rPr>
        <w:t>A</w:t>
      </w:r>
      <w:r>
        <w:rPr>
          <w:rFonts w:ascii="Times New Roman" w:eastAsia="Times New Roman" w:hAnsi="Times New Roman"/>
          <w:b/>
          <w:bCs/>
          <w:spacing w:val="-1"/>
          <w:sz w:val="20"/>
          <w:szCs w:val="20"/>
        </w:rPr>
        <w:t>T</w:t>
      </w:r>
      <w:r>
        <w:rPr>
          <w:rFonts w:ascii="Times New Roman" w:eastAsia="Times New Roman" w:hAnsi="Times New Roman"/>
          <w:b/>
          <w:bCs/>
          <w:sz w:val="20"/>
          <w:szCs w:val="20"/>
        </w:rPr>
        <w:t>A:</w:t>
      </w:r>
      <w:r w:rsidRPr="00005D5A">
        <w:rPr>
          <w:rFonts w:ascii="Times New Roman" w:eastAsia="Times New Roman" w:hAnsi="Times New Roman"/>
          <w:bCs/>
          <w:sz w:val="20"/>
          <w:szCs w:val="20"/>
        </w:rPr>
        <w:t xml:space="preserve"> </w:t>
      </w:r>
      <w:r w:rsidRPr="00005D5A">
        <w:rPr>
          <w:rFonts w:ascii="Times New Roman" w:eastAsia="Times New Roman" w:hAnsi="Times New Roman"/>
          <w:bCs/>
          <w:spacing w:val="10"/>
          <w:sz w:val="20"/>
          <w:szCs w:val="20"/>
        </w:rPr>
        <w:t xml:space="preserve"> </w:t>
      </w:r>
      <w:r w:rsidR="00005D5A">
        <w:rPr>
          <w:rFonts w:ascii="Times New Roman" w:eastAsia="Times New Roman" w:hAnsi="Times New Roman"/>
          <w:bCs/>
          <w:spacing w:val="10"/>
          <w:sz w:val="20"/>
          <w:szCs w:val="20"/>
        </w:rPr>
        <w:t>Not regulated by DOT or IATA</w:t>
      </w:r>
      <w:r w:rsidR="00015F8E">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6BBA6170" w14:textId="77777777" w:rsidTr="003D5857">
        <w:trPr>
          <w:trHeight w:hRule="exact" w:val="360"/>
        </w:trPr>
        <w:tc>
          <w:tcPr>
            <w:tcW w:w="9576" w:type="dxa"/>
            <w:vAlign w:val="center"/>
          </w:tcPr>
          <w:p w14:paraId="06184276" w14:textId="77777777" w:rsidR="003D5857" w:rsidRDefault="003D5857" w:rsidP="00FD502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838E4D8" w14:textId="77777777" w:rsidR="00D536DB" w:rsidRPr="00D536DB" w:rsidRDefault="00D536DB" w:rsidP="00FD5025">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69B026AE" w14:textId="77777777" w:rsidR="00D536DB" w:rsidRPr="00521CB4" w:rsidRDefault="00D536DB" w:rsidP="00FD502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25C8D6DA" w14:textId="77777777" w:rsidR="00005D5A" w:rsidRPr="00521CB4" w:rsidRDefault="00D536DB" w:rsidP="00FD502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05D5A">
        <w:rPr>
          <w:rFonts w:ascii="Times New Roman" w:eastAsia="Times New Roman" w:hAnsi="Times New Roman"/>
          <w:bCs/>
          <w:sz w:val="20"/>
          <w:szCs w:val="20"/>
        </w:rPr>
        <w:t>Not regulated.</w:t>
      </w:r>
    </w:p>
    <w:p w14:paraId="24E7236B" w14:textId="77777777" w:rsidR="00005D5A" w:rsidRPr="00521CB4" w:rsidRDefault="00D536DB" w:rsidP="00FD502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52467884" w14:textId="77777777" w:rsidR="00005D5A" w:rsidRPr="00521CB4" w:rsidRDefault="00D536DB" w:rsidP="00FD502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313 (40 CFR 372.65):  </w:t>
      </w:r>
      <w:r w:rsidR="00005D5A">
        <w:rPr>
          <w:rFonts w:ascii="Times New Roman" w:eastAsia="Times New Roman" w:hAnsi="Times New Roman"/>
          <w:bCs/>
          <w:sz w:val="20"/>
          <w:szCs w:val="20"/>
        </w:rPr>
        <w:t>Not regulated.</w:t>
      </w:r>
    </w:p>
    <w:p w14:paraId="748A4614" w14:textId="77777777" w:rsidR="00005D5A" w:rsidRPr="00521CB4" w:rsidRDefault="00D536DB" w:rsidP="00FD5025">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lastRenderedPageBreak/>
        <w:t xml:space="preserve">OSHA Process Safety (29 CFR 1910.119):  </w:t>
      </w:r>
      <w:r w:rsidR="00005D5A">
        <w:rPr>
          <w:rFonts w:ascii="Times New Roman" w:eastAsia="Times New Roman" w:hAnsi="Times New Roman"/>
          <w:bCs/>
          <w:sz w:val="20"/>
          <w:szCs w:val="20"/>
        </w:rPr>
        <w:t>Not regulated.</w:t>
      </w:r>
    </w:p>
    <w:p w14:paraId="77AF5D35" w14:textId="77777777" w:rsidR="00D536DB" w:rsidRPr="002B2021" w:rsidRDefault="00D536DB" w:rsidP="00FD5025">
      <w:pPr>
        <w:widowControl/>
        <w:overflowPunct w:val="0"/>
        <w:autoSpaceDE w:val="0"/>
        <w:autoSpaceDN w:val="0"/>
        <w:adjustRightInd w:val="0"/>
        <w:spacing w:after="120" w:line="240" w:lineRule="auto"/>
        <w:ind w:left="274"/>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1D97A27B" w14:textId="77777777" w:rsidR="00D536DB" w:rsidRPr="002B2021" w:rsidRDefault="00D536DB" w:rsidP="00FD502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5D4115A2" w14:textId="77777777" w:rsidR="00D536DB" w:rsidRPr="00521CB4" w:rsidRDefault="00D536DB" w:rsidP="00FD502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706B67">
        <w:rPr>
          <w:rFonts w:ascii="Times New Roman" w:eastAsia="Times New Roman" w:hAnsi="Times New Roman"/>
          <w:sz w:val="20"/>
          <w:szCs w:val="20"/>
        </w:rPr>
        <w:t>No</w:t>
      </w:r>
      <w:r w:rsidRPr="002B2021">
        <w:rPr>
          <w:rFonts w:ascii="Times New Roman" w:eastAsia="Times New Roman" w:hAnsi="Times New Roman"/>
          <w:sz w:val="20"/>
          <w:szCs w:val="20"/>
        </w:rPr>
        <w:t>.</w:t>
      </w:r>
    </w:p>
    <w:p w14:paraId="24E7D699" w14:textId="77777777" w:rsidR="00D536DB" w:rsidRPr="00521CB4" w:rsidRDefault="00D536DB" w:rsidP="00FD502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06B67">
        <w:rPr>
          <w:rFonts w:ascii="Times New Roman" w:eastAsia="Times New Roman" w:hAnsi="Times New Roman"/>
          <w:sz w:val="20"/>
          <w:szCs w:val="20"/>
        </w:rPr>
        <w:t>No</w:t>
      </w:r>
      <w:r w:rsidR="0014771E">
        <w:rPr>
          <w:rFonts w:ascii="Times New Roman" w:eastAsia="Times New Roman" w:hAnsi="Times New Roman"/>
          <w:sz w:val="20"/>
          <w:szCs w:val="20"/>
        </w:rPr>
        <w:t>.</w:t>
      </w:r>
    </w:p>
    <w:p w14:paraId="6D2070E3" w14:textId="77777777" w:rsidR="00D536DB" w:rsidRPr="00521CB4" w:rsidRDefault="00D536DB" w:rsidP="00FD5025">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1097B558" w14:textId="77777777" w:rsidR="00D536DB" w:rsidRPr="00521CB4" w:rsidRDefault="00D536DB" w:rsidP="00FD5025">
      <w:pPr>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2714B4A1" w14:textId="77777777" w:rsidR="00D536DB" w:rsidRPr="002B2021" w:rsidRDefault="00D536DB" w:rsidP="00FD5025">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0625F26" w14:textId="77777777" w:rsidR="00D536DB" w:rsidRPr="002B2021" w:rsidRDefault="00D536DB" w:rsidP="00FD5025">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BB14A2">
        <w:rPr>
          <w:rFonts w:ascii="Times New Roman" w:eastAsia="Times New Roman" w:hAnsi="Times New Roman"/>
          <w:sz w:val="20"/>
          <w:szCs w:val="20"/>
        </w:rPr>
        <w:t xml:space="preserve">Not </w:t>
      </w:r>
      <w:r w:rsidR="009F6B0C">
        <w:rPr>
          <w:rFonts w:ascii="Times New Roman" w:eastAsia="Times New Roman" w:hAnsi="Times New Roman"/>
          <w:sz w:val="20"/>
          <w:szCs w:val="20"/>
        </w:rPr>
        <w:t>listed</w:t>
      </w:r>
      <w:r w:rsidRPr="002B2021">
        <w:rPr>
          <w:rFonts w:ascii="Times New Roman" w:eastAsia="Times New Roman" w:hAnsi="Times New Roman"/>
          <w:sz w:val="20"/>
          <w:szCs w:val="20"/>
        </w:rPr>
        <w:t>.</w:t>
      </w:r>
    </w:p>
    <w:p w14:paraId="38E92CC4" w14:textId="77777777" w:rsidR="004521E9" w:rsidRPr="00521CB4" w:rsidRDefault="008E1B26" w:rsidP="00FD5025">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E22725">
        <w:rPr>
          <w:rFonts w:ascii="Times New Roman" w:eastAsia="Times New Roman" w:hAnsi="Times New Roman"/>
          <w:bCs/>
          <w:sz w:val="20"/>
          <w:szCs w:val="20"/>
        </w:rPr>
        <w:t>Not</w:t>
      </w:r>
      <w:r w:rsidR="0014771E">
        <w:rPr>
          <w:rFonts w:ascii="Times New Roman" w:eastAsia="Times New Roman" w:hAnsi="Times New Roman"/>
          <w:bCs/>
          <w:sz w:val="20"/>
          <w:szCs w:val="20"/>
        </w:rPr>
        <w:t xml:space="preserve"> listed</w:t>
      </w:r>
      <w:r w:rsidR="00714D24" w:rsidRPr="002B2021">
        <w:rPr>
          <w:rFonts w:ascii="Times New Roman" w:eastAsia="Times New Roman" w:hAnsi="Times New Roman"/>
          <w:bCs/>
          <w:sz w:val="20"/>
          <w:szCs w:val="20"/>
        </w:rPr>
        <w:t>.</w:t>
      </w:r>
    </w:p>
    <w:p w14:paraId="64672D9F" w14:textId="77777777" w:rsidR="003D5857" w:rsidRPr="00521CB4" w:rsidRDefault="003D5857" w:rsidP="00FD5025">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654E2578" w14:textId="77777777" w:rsidR="003D5857" w:rsidRPr="002B2021" w:rsidRDefault="003D5857" w:rsidP="00FD5025">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z w:val="20"/>
          <w:szCs w:val="20"/>
        </w:rPr>
        <w:t>C</w:t>
      </w:r>
      <w:r w:rsidR="00AA6AC2" w:rsidRPr="002B2021">
        <w:rPr>
          <w:rFonts w:ascii="Times New Roman" w:eastAsia="Times New Roman" w:hAnsi="Times New Roman"/>
          <w:b/>
          <w:bCs/>
          <w:sz w:val="20"/>
          <w:szCs w:val="20"/>
        </w:rPr>
        <w:t xml:space="preserve">anadian </w:t>
      </w:r>
      <w:r w:rsidRPr="002B2021">
        <w:rPr>
          <w:rFonts w:ascii="Times New Roman" w:eastAsia="Times New Roman" w:hAnsi="Times New Roman"/>
          <w:b/>
          <w:bCs/>
          <w:sz w:val="20"/>
          <w:szCs w:val="20"/>
        </w:rPr>
        <w:t>R</w:t>
      </w:r>
      <w:r w:rsidR="00AA6AC2" w:rsidRPr="002B2021">
        <w:rPr>
          <w:rFonts w:ascii="Times New Roman" w:eastAsia="Times New Roman" w:hAnsi="Times New Roman"/>
          <w:b/>
          <w:bCs/>
          <w:sz w:val="20"/>
          <w:szCs w:val="20"/>
        </w:rPr>
        <w:t>egulations</w:t>
      </w:r>
      <w:r w:rsidR="00622BAB">
        <w:rPr>
          <w:rFonts w:ascii="Times New Roman" w:eastAsia="Times New Roman" w:hAnsi="Times New Roman"/>
          <w:b/>
          <w:bCs/>
          <w:sz w:val="20"/>
          <w:szCs w:val="20"/>
        </w:rPr>
        <w:t>:</w:t>
      </w:r>
    </w:p>
    <w:p w14:paraId="02005E57" w14:textId="77777777" w:rsidR="00632690" w:rsidRDefault="003D5857" w:rsidP="00FD5025">
      <w:pPr>
        <w:widowControl/>
        <w:spacing w:after="120" w:line="240" w:lineRule="auto"/>
        <w:ind w:left="360"/>
        <w:jc w:val="both"/>
        <w:rPr>
          <w:rFonts w:ascii="Times New Roman" w:eastAsia="Times New Roman" w:hAnsi="Times New Roman"/>
          <w:sz w:val="20"/>
          <w:szCs w:val="20"/>
        </w:rPr>
      </w:pPr>
      <w:r w:rsidRPr="002B2021">
        <w:rPr>
          <w:rFonts w:ascii="Times New Roman" w:eastAsia="Times New Roman" w:hAnsi="Times New Roman"/>
          <w:spacing w:val="2"/>
          <w:sz w:val="20"/>
          <w:szCs w:val="20"/>
        </w:rPr>
        <w:t>W</w:t>
      </w:r>
      <w:r w:rsidRPr="002B2021">
        <w:rPr>
          <w:rFonts w:ascii="Times New Roman" w:eastAsia="Times New Roman" w:hAnsi="Times New Roman"/>
          <w:sz w:val="20"/>
          <w:szCs w:val="20"/>
        </w:rPr>
        <w:t>H</w:t>
      </w:r>
      <w:r w:rsidRPr="002B2021">
        <w:rPr>
          <w:rFonts w:ascii="Times New Roman" w:eastAsia="Times New Roman" w:hAnsi="Times New Roman"/>
          <w:spacing w:val="1"/>
          <w:sz w:val="20"/>
          <w:szCs w:val="20"/>
        </w:rPr>
        <w:t>MI</w:t>
      </w:r>
      <w:r w:rsidRPr="002B2021">
        <w:rPr>
          <w:rFonts w:ascii="Times New Roman" w:eastAsia="Times New Roman" w:hAnsi="Times New Roman"/>
          <w:sz w:val="20"/>
          <w:szCs w:val="20"/>
        </w:rPr>
        <w:t>S</w:t>
      </w:r>
      <w:r w:rsidRPr="002B2021">
        <w:rPr>
          <w:rFonts w:ascii="Times New Roman" w:eastAsia="Times New Roman" w:hAnsi="Times New Roman"/>
          <w:spacing w:val="-7"/>
          <w:sz w:val="20"/>
          <w:szCs w:val="20"/>
        </w:rPr>
        <w:t xml:space="preserve"> </w:t>
      </w:r>
      <w:r w:rsidRPr="002B2021">
        <w:rPr>
          <w:rFonts w:ascii="Times New Roman" w:eastAsia="Times New Roman" w:hAnsi="Times New Roman"/>
          <w:spacing w:val="1"/>
          <w:sz w:val="20"/>
          <w:szCs w:val="20"/>
        </w:rPr>
        <w:t>I</w:t>
      </w:r>
      <w:r w:rsidRPr="002B2021">
        <w:rPr>
          <w:rFonts w:ascii="Times New Roman" w:eastAsia="Times New Roman" w:hAnsi="Times New Roman"/>
          <w:spacing w:val="-1"/>
          <w:sz w:val="20"/>
          <w:szCs w:val="20"/>
        </w:rPr>
        <w:t>n</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or</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ati</w:t>
      </w:r>
      <w:r w:rsidRPr="002B2021">
        <w:rPr>
          <w:rFonts w:ascii="Times New Roman" w:eastAsia="Times New Roman" w:hAnsi="Times New Roman"/>
          <w:spacing w:val="1"/>
          <w:sz w:val="20"/>
          <w:szCs w:val="20"/>
        </w:rPr>
        <w:t>o</w:t>
      </w:r>
      <w:r w:rsidRPr="002B2021">
        <w:rPr>
          <w:rFonts w:ascii="Times New Roman" w:eastAsia="Times New Roman" w:hAnsi="Times New Roman"/>
          <w:spacing w:val="-1"/>
          <w:sz w:val="20"/>
          <w:szCs w:val="20"/>
        </w:rPr>
        <w:t>n</w:t>
      </w:r>
      <w:r w:rsidRPr="002B2021">
        <w:rPr>
          <w:rFonts w:ascii="Times New Roman" w:eastAsia="Times New Roman" w:hAnsi="Times New Roman"/>
          <w:sz w:val="20"/>
          <w:szCs w:val="20"/>
        </w:rPr>
        <w:t>:</w:t>
      </w:r>
      <w:r w:rsidRPr="002B2021">
        <w:rPr>
          <w:rFonts w:ascii="Times New Roman" w:eastAsia="Times New Roman" w:hAnsi="Times New Roman"/>
          <w:spacing w:val="41"/>
          <w:sz w:val="20"/>
          <w:szCs w:val="20"/>
        </w:rPr>
        <w:t xml:space="preserve"> </w:t>
      </w:r>
      <w:r w:rsidRPr="002B2021">
        <w:rPr>
          <w:rFonts w:ascii="Times New Roman" w:eastAsia="Times New Roman" w:hAnsi="Times New Roman"/>
          <w:sz w:val="20"/>
          <w:szCs w:val="20"/>
        </w:rPr>
        <w:t>N</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t</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1"/>
          <w:sz w:val="20"/>
          <w:szCs w:val="20"/>
        </w:rPr>
        <w:t>pro</w:t>
      </w:r>
      <w:r w:rsidRPr="002B2021">
        <w:rPr>
          <w:rFonts w:ascii="Times New Roman" w:eastAsia="Times New Roman" w:hAnsi="Times New Roman"/>
          <w:spacing w:val="-1"/>
          <w:sz w:val="20"/>
          <w:szCs w:val="20"/>
        </w:rPr>
        <w:t>v</w:t>
      </w:r>
      <w:r w:rsidRPr="002B2021">
        <w:rPr>
          <w:rFonts w:ascii="Times New Roman" w:eastAsia="Times New Roman" w:hAnsi="Times New Roman"/>
          <w:sz w:val="20"/>
          <w:szCs w:val="20"/>
        </w:rPr>
        <w:t>i</w:t>
      </w:r>
      <w:r w:rsidRPr="002B2021">
        <w:rPr>
          <w:rFonts w:ascii="Times New Roman" w:eastAsia="Times New Roman" w:hAnsi="Times New Roman"/>
          <w:spacing w:val="1"/>
          <w:sz w:val="20"/>
          <w:szCs w:val="20"/>
        </w:rPr>
        <w:t>d</w:t>
      </w:r>
      <w:r w:rsidRPr="002B2021">
        <w:rPr>
          <w:rFonts w:ascii="Times New Roman" w:eastAsia="Times New Roman" w:hAnsi="Times New Roman"/>
          <w:sz w:val="20"/>
          <w:szCs w:val="20"/>
        </w:rPr>
        <w:t>ed</w:t>
      </w:r>
      <w:r w:rsidRPr="002B2021">
        <w:rPr>
          <w:rFonts w:ascii="Times New Roman" w:eastAsia="Times New Roman" w:hAnsi="Times New Roman"/>
          <w:spacing w:val="-5"/>
          <w:sz w:val="20"/>
          <w:szCs w:val="20"/>
        </w:rPr>
        <w:t xml:space="preserve"> </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r</w:t>
      </w:r>
      <w:r w:rsidRPr="002B2021">
        <w:rPr>
          <w:rFonts w:ascii="Times New Roman" w:eastAsia="Times New Roman" w:hAnsi="Times New Roman"/>
          <w:spacing w:val="-1"/>
          <w:sz w:val="20"/>
          <w:szCs w:val="20"/>
        </w:rPr>
        <w:t xml:space="preserve"> </w:t>
      </w:r>
      <w:r w:rsidRPr="002B2021">
        <w:rPr>
          <w:rFonts w:ascii="Times New Roman" w:eastAsia="Times New Roman" w:hAnsi="Times New Roman"/>
          <w:sz w:val="20"/>
          <w:szCs w:val="20"/>
        </w:rPr>
        <w:t>t</w:t>
      </w:r>
      <w:r w:rsidRPr="002B2021">
        <w:rPr>
          <w:rFonts w:ascii="Times New Roman" w:eastAsia="Times New Roman" w:hAnsi="Times New Roman"/>
          <w:spacing w:val="-1"/>
          <w:sz w:val="20"/>
          <w:szCs w:val="20"/>
        </w:rPr>
        <w:t>h</w:t>
      </w:r>
      <w:r w:rsidRPr="002B2021">
        <w:rPr>
          <w:rFonts w:ascii="Times New Roman" w:eastAsia="Times New Roman" w:hAnsi="Times New Roman"/>
          <w:sz w:val="20"/>
          <w:szCs w:val="20"/>
        </w:rPr>
        <w:t>is</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ate</w:t>
      </w:r>
      <w:r w:rsidRPr="002B2021">
        <w:rPr>
          <w:rFonts w:ascii="Times New Roman" w:eastAsia="Times New Roman" w:hAnsi="Times New Roman"/>
          <w:spacing w:val="1"/>
          <w:sz w:val="20"/>
          <w:szCs w:val="20"/>
        </w:rPr>
        <w:t>r</w:t>
      </w:r>
      <w:r w:rsidRPr="002B2021">
        <w:rPr>
          <w:rFonts w:ascii="Times New Roman" w:eastAsia="Times New Roman" w:hAnsi="Times New Roman"/>
          <w:sz w:val="20"/>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3D9AC027" w14:textId="77777777" w:rsidTr="0067534E">
        <w:trPr>
          <w:trHeight w:hRule="exact" w:val="360"/>
        </w:trPr>
        <w:tc>
          <w:tcPr>
            <w:tcW w:w="9576" w:type="dxa"/>
            <w:vAlign w:val="center"/>
          </w:tcPr>
          <w:p w14:paraId="632FD8BD" w14:textId="77777777" w:rsidR="0067534E" w:rsidRDefault="0067534E" w:rsidP="00FD5025">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position w:val="-1"/>
                <w:sz w:val="24"/>
                <w:szCs w:val="24"/>
              </w:rPr>
              <w:t>16.</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position w:val="-1"/>
                <w:sz w:val="24"/>
                <w:szCs w:val="24"/>
              </w:rPr>
              <w:t>O</w:t>
            </w:r>
            <w:r>
              <w:rPr>
                <w:rFonts w:ascii="Times New Roman" w:eastAsia="Times New Roman" w:hAnsi="Times New Roman"/>
                <w:b/>
                <w:bCs/>
                <w:spacing w:val="1"/>
                <w:position w:val="-1"/>
                <w:sz w:val="19"/>
                <w:szCs w:val="19"/>
              </w:rPr>
              <w:t>T</w:t>
            </w:r>
            <w:r>
              <w:rPr>
                <w:rFonts w:ascii="Times New Roman" w:eastAsia="Times New Roman" w:hAnsi="Times New Roman"/>
                <w:b/>
                <w:bCs/>
                <w:spacing w:val="-1"/>
                <w:position w:val="-1"/>
                <w:sz w:val="19"/>
                <w:szCs w:val="19"/>
              </w:rPr>
              <w:t>H</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R</w:t>
            </w:r>
            <w:r>
              <w:rPr>
                <w:rFonts w:ascii="Times New Roman" w:eastAsia="Times New Roman" w:hAnsi="Times New Roman"/>
                <w:b/>
                <w:bCs/>
                <w:spacing w:val="-5"/>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w w:val="99"/>
                <w:position w:val="-1"/>
                <w:sz w:val="19"/>
                <w:szCs w:val="19"/>
              </w:rPr>
              <w:t>N</w:t>
            </w:r>
            <w:r>
              <w:rPr>
                <w:rFonts w:ascii="Times New Roman" w:eastAsia="Times New Roman" w:hAnsi="Times New Roman"/>
                <w:b/>
                <w:bCs/>
                <w:spacing w:val="-1"/>
                <w:w w:val="99"/>
                <w:position w:val="-1"/>
                <w:sz w:val="19"/>
                <w:szCs w:val="19"/>
              </w:rPr>
              <w:t>FO</w:t>
            </w:r>
            <w:r>
              <w:rPr>
                <w:rFonts w:ascii="Times New Roman" w:eastAsia="Times New Roman" w:hAnsi="Times New Roman"/>
                <w:b/>
                <w:bCs/>
                <w:w w:val="99"/>
                <w:position w:val="-1"/>
                <w:sz w:val="19"/>
                <w:szCs w:val="19"/>
              </w:rPr>
              <w:t>R</w:t>
            </w:r>
            <w:r>
              <w:rPr>
                <w:rFonts w:ascii="Times New Roman" w:eastAsia="Times New Roman" w:hAnsi="Times New Roman"/>
                <w:b/>
                <w:bCs/>
                <w:spacing w:val="1"/>
                <w:w w:val="99"/>
                <w:position w:val="-1"/>
                <w:sz w:val="19"/>
                <w:szCs w:val="19"/>
              </w:rPr>
              <w:t>M</w:t>
            </w:r>
            <w:r>
              <w:rPr>
                <w:rFonts w:ascii="Times New Roman" w:eastAsia="Times New Roman" w:hAnsi="Times New Roman"/>
                <w:b/>
                <w:bCs/>
                <w:w w:val="99"/>
                <w:position w:val="-1"/>
                <w:sz w:val="19"/>
                <w:szCs w:val="19"/>
              </w:rPr>
              <w:t>A</w:t>
            </w:r>
            <w:r>
              <w:rPr>
                <w:rFonts w:ascii="Times New Roman" w:eastAsia="Times New Roman" w:hAnsi="Times New Roman"/>
                <w:b/>
                <w:bCs/>
                <w:spacing w:val="1"/>
                <w:w w:val="99"/>
                <w:position w:val="-1"/>
                <w:sz w:val="19"/>
                <w:szCs w:val="19"/>
              </w:rPr>
              <w:t>TI</w:t>
            </w:r>
            <w:r>
              <w:rPr>
                <w:rFonts w:ascii="Times New Roman" w:eastAsia="Times New Roman" w:hAnsi="Times New Roman"/>
                <w:b/>
                <w:bCs/>
                <w:spacing w:val="-1"/>
                <w:w w:val="99"/>
                <w:position w:val="-1"/>
                <w:sz w:val="19"/>
                <w:szCs w:val="19"/>
              </w:rPr>
              <w:t>O</w:t>
            </w:r>
            <w:r>
              <w:rPr>
                <w:rFonts w:ascii="Times New Roman" w:eastAsia="Times New Roman" w:hAnsi="Times New Roman"/>
                <w:b/>
                <w:bCs/>
                <w:w w:val="99"/>
                <w:position w:val="-1"/>
                <w:sz w:val="19"/>
                <w:szCs w:val="19"/>
              </w:rPr>
              <w:t>N</w:t>
            </w:r>
          </w:p>
        </w:tc>
      </w:tr>
    </w:tbl>
    <w:p w14:paraId="74CA5B73" w14:textId="35014469" w:rsidR="00622AE4" w:rsidRPr="00A45A14" w:rsidRDefault="00622AE4" w:rsidP="00FD5025">
      <w:pPr>
        <w:widowControl/>
        <w:spacing w:before="120" w:after="0" w:line="240" w:lineRule="auto"/>
        <w:jc w:val="both"/>
        <w:rPr>
          <w:rFonts w:ascii="Times New Roman" w:eastAsia="Times New Roman" w:hAnsi="Times New Roman"/>
          <w:bCs/>
          <w:sz w:val="20"/>
          <w:szCs w:val="20"/>
        </w:rPr>
      </w:pPr>
      <w:r w:rsidRPr="00A45A14">
        <w:rPr>
          <w:rFonts w:ascii="Times New Roman" w:eastAsia="Times New Roman" w:hAnsi="Times New Roman"/>
          <w:b/>
          <w:bCs/>
          <w:sz w:val="20"/>
          <w:szCs w:val="20"/>
        </w:rPr>
        <w:t>Issue Date:</w:t>
      </w:r>
      <w:r w:rsidRPr="00A45A14">
        <w:rPr>
          <w:rFonts w:ascii="Times New Roman" w:eastAsia="Times New Roman" w:hAnsi="Times New Roman"/>
          <w:bCs/>
          <w:sz w:val="20"/>
          <w:szCs w:val="20"/>
        </w:rPr>
        <w:t xml:space="preserve">  </w:t>
      </w:r>
      <w:r w:rsidR="009F663A">
        <w:rPr>
          <w:rFonts w:ascii="Times New Roman" w:eastAsia="Times New Roman" w:hAnsi="Times New Roman"/>
          <w:bCs/>
          <w:sz w:val="20"/>
          <w:szCs w:val="20"/>
        </w:rPr>
        <w:t>0</w:t>
      </w:r>
      <w:r w:rsidR="004F17CA">
        <w:rPr>
          <w:rFonts w:ascii="Times New Roman" w:eastAsia="Times New Roman" w:hAnsi="Times New Roman"/>
          <w:bCs/>
          <w:sz w:val="20"/>
          <w:szCs w:val="20"/>
        </w:rPr>
        <w:t>5</w:t>
      </w:r>
      <w:r w:rsidR="009F663A">
        <w:rPr>
          <w:rFonts w:ascii="Times New Roman" w:eastAsia="Times New Roman" w:hAnsi="Times New Roman"/>
          <w:bCs/>
          <w:sz w:val="20"/>
          <w:szCs w:val="20"/>
        </w:rPr>
        <w:t xml:space="preserve"> May</w:t>
      </w:r>
      <w:r w:rsidR="009568A3" w:rsidRPr="00A45A14">
        <w:rPr>
          <w:rFonts w:ascii="Times New Roman" w:eastAsia="Times New Roman" w:hAnsi="Times New Roman"/>
          <w:bCs/>
          <w:sz w:val="20"/>
          <w:szCs w:val="20"/>
        </w:rPr>
        <w:t xml:space="preserve"> </w:t>
      </w:r>
      <w:r w:rsidR="00130CC0" w:rsidRPr="00A45A14">
        <w:rPr>
          <w:rFonts w:ascii="Times New Roman" w:eastAsia="Times New Roman" w:hAnsi="Times New Roman"/>
          <w:bCs/>
          <w:sz w:val="20"/>
          <w:szCs w:val="20"/>
        </w:rPr>
        <w:t>201</w:t>
      </w:r>
      <w:r w:rsidR="0039592A">
        <w:rPr>
          <w:rFonts w:ascii="Times New Roman" w:eastAsia="Times New Roman" w:hAnsi="Times New Roman"/>
          <w:bCs/>
          <w:sz w:val="20"/>
          <w:szCs w:val="20"/>
        </w:rPr>
        <w:t>5</w:t>
      </w:r>
    </w:p>
    <w:p w14:paraId="12234F54" w14:textId="77777777" w:rsidR="00013A6F" w:rsidRPr="00013A6F" w:rsidRDefault="00622AE4" w:rsidP="0039592A">
      <w:pPr>
        <w:widowControl/>
        <w:tabs>
          <w:tab w:val="left" w:pos="990"/>
        </w:tabs>
        <w:spacing w:before="120" w:after="120" w:line="240" w:lineRule="auto"/>
        <w:ind w:left="990" w:hanging="990"/>
        <w:jc w:val="both"/>
        <w:rPr>
          <w:rFonts w:ascii="Times New Roman" w:eastAsia="Times New Roman" w:hAnsi="Times New Roman"/>
          <w:sz w:val="20"/>
          <w:szCs w:val="18"/>
        </w:rPr>
      </w:pPr>
      <w:r w:rsidRPr="00A45A14">
        <w:rPr>
          <w:rFonts w:ascii="Times New Roman" w:eastAsia="Times New Roman" w:hAnsi="Times New Roman"/>
          <w:b/>
          <w:bCs/>
          <w:spacing w:val="1"/>
          <w:position w:val="-1"/>
          <w:sz w:val="20"/>
          <w:szCs w:val="20"/>
        </w:rPr>
        <w:t>Sources:</w:t>
      </w:r>
      <w:r w:rsidR="00537670" w:rsidRPr="00A45A14">
        <w:rPr>
          <w:rFonts w:ascii="Times New Roman" w:eastAsia="Times New Roman" w:hAnsi="Times New Roman"/>
          <w:bCs/>
          <w:spacing w:val="1"/>
          <w:position w:val="-1"/>
          <w:sz w:val="20"/>
          <w:szCs w:val="20"/>
        </w:rPr>
        <w:tab/>
      </w:r>
      <w:r w:rsidR="00013A6F" w:rsidRPr="00013A6F">
        <w:rPr>
          <w:rFonts w:ascii="Times New Roman" w:eastAsia="Times New Roman" w:hAnsi="Times New Roman"/>
          <w:sz w:val="20"/>
          <w:szCs w:val="18"/>
        </w:rPr>
        <w:t>Center for Disease Control (CDC)</w:t>
      </w:r>
      <w:r w:rsidR="0086534D">
        <w:rPr>
          <w:rFonts w:ascii="Times New Roman" w:eastAsia="Times New Roman" w:hAnsi="Times New Roman"/>
          <w:sz w:val="20"/>
          <w:szCs w:val="18"/>
        </w:rPr>
        <w:t>,</w:t>
      </w:r>
      <w:r w:rsidR="00013A6F" w:rsidRPr="00013A6F">
        <w:rPr>
          <w:rFonts w:ascii="Times New Roman" w:eastAsia="Times New Roman" w:hAnsi="Times New Roman"/>
          <w:sz w:val="20"/>
          <w:szCs w:val="18"/>
        </w:rPr>
        <w:t xml:space="preserve"> NIOSH Pocket Guide to Chemical Hazards, </w:t>
      </w:r>
      <w:r w:rsidR="00013A6F" w:rsidRPr="00013A6F">
        <w:rPr>
          <w:rFonts w:ascii="Times New Roman" w:eastAsia="Times New Roman" w:hAnsi="Times New Roman"/>
          <w:i/>
          <w:sz w:val="20"/>
          <w:szCs w:val="18"/>
        </w:rPr>
        <w:t xml:space="preserve">Particulates </w:t>
      </w:r>
      <w:r w:rsidR="0086534D">
        <w:rPr>
          <w:rFonts w:ascii="Times New Roman" w:eastAsia="Times New Roman" w:hAnsi="Times New Roman"/>
          <w:i/>
          <w:sz w:val="20"/>
          <w:szCs w:val="18"/>
        </w:rPr>
        <w:t>N</w:t>
      </w:r>
      <w:r w:rsidR="00013A6F" w:rsidRPr="00013A6F">
        <w:rPr>
          <w:rFonts w:ascii="Times New Roman" w:eastAsia="Times New Roman" w:hAnsi="Times New Roman"/>
          <w:i/>
          <w:sz w:val="20"/>
          <w:szCs w:val="18"/>
        </w:rPr>
        <w:t xml:space="preserve">ot </w:t>
      </w:r>
      <w:r w:rsidR="0086534D">
        <w:rPr>
          <w:rFonts w:ascii="Times New Roman" w:eastAsia="Times New Roman" w:hAnsi="Times New Roman"/>
          <w:i/>
          <w:sz w:val="20"/>
          <w:szCs w:val="18"/>
        </w:rPr>
        <w:t>O</w:t>
      </w:r>
      <w:r w:rsidR="00013A6F" w:rsidRPr="00013A6F">
        <w:rPr>
          <w:rFonts w:ascii="Times New Roman" w:eastAsia="Times New Roman" w:hAnsi="Times New Roman"/>
          <w:i/>
          <w:sz w:val="20"/>
          <w:szCs w:val="18"/>
        </w:rPr>
        <w:t xml:space="preserve">therwise </w:t>
      </w:r>
      <w:r w:rsidR="0086534D">
        <w:rPr>
          <w:rFonts w:ascii="Times New Roman" w:eastAsia="Times New Roman" w:hAnsi="Times New Roman"/>
          <w:i/>
          <w:sz w:val="20"/>
          <w:szCs w:val="18"/>
        </w:rPr>
        <w:t>R</w:t>
      </w:r>
      <w:r w:rsidR="00013A6F" w:rsidRPr="00013A6F">
        <w:rPr>
          <w:rFonts w:ascii="Times New Roman" w:eastAsia="Times New Roman" w:hAnsi="Times New Roman"/>
          <w:i/>
          <w:sz w:val="20"/>
          <w:szCs w:val="18"/>
        </w:rPr>
        <w:t>egulated</w:t>
      </w:r>
      <w:r w:rsidR="00013A6F" w:rsidRPr="00013A6F">
        <w:rPr>
          <w:rFonts w:ascii="Times New Roman" w:eastAsia="Times New Roman" w:hAnsi="Times New Roman"/>
          <w:sz w:val="20"/>
          <w:szCs w:val="18"/>
        </w:rPr>
        <w:t xml:space="preserve">; available at </w:t>
      </w:r>
      <w:hyperlink r:id="rId11" w:history="1">
        <w:r w:rsidR="00013A6F" w:rsidRPr="00013A6F">
          <w:rPr>
            <w:rFonts w:ascii="Times New Roman" w:eastAsia="Times New Roman" w:hAnsi="Times New Roman"/>
            <w:sz w:val="20"/>
            <w:szCs w:val="18"/>
          </w:rPr>
          <w:t>http://www.cdc.gov/niosh/npg/npgd0480.html</w:t>
        </w:r>
      </w:hyperlink>
      <w:r w:rsidR="00013A6F" w:rsidRPr="00013A6F">
        <w:rPr>
          <w:rFonts w:ascii="Times New Roman" w:eastAsia="Times New Roman" w:hAnsi="Times New Roman"/>
          <w:sz w:val="20"/>
          <w:szCs w:val="18"/>
        </w:rPr>
        <w:t xml:space="preserve"> (accessed </w:t>
      </w:r>
      <w:r w:rsidR="0086534D">
        <w:rPr>
          <w:rFonts w:ascii="Times New Roman" w:eastAsia="Times New Roman" w:hAnsi="Times New Roman"/>
          <w:sz w:val="20"/>
          <w:szCs w:val="18"/>
        </w:rPr>
        <w:t>Apr</w:t>
      </w:r>
      <w:r w:rsidR="00013A6F" w:rsidRPr="00013A6F">
        <w:rPr>
          <w:rFonts w:ascii="Times New Roman" w:eastAsia="Times New Roman" w:hAnsi="Times New Roman"/>
          <w:sz w:val="20"/>
          <w:szCs w:val="18"/>
        </w:rPr>
        <w:t xml:space="preserve"> 201</w:t>
      </w:r>
      <w:r w:rsidR="0086534D">
        <w:rPr>
          <w:rFonts w:ascii="Times New Roman" w:eastAsia="Times New Roman" w:hAnsi="Times New Roman"/>
          <w:sz w:val="20"/>
          <w:szCs w:val="18"/>
        </w:rPr>
        <w:t>5</w:t>
      </w:r>
      <w:r w:rsidR="00013A6F" w:rsidRPr="00013A6F">
        <w:rPr>
          <w:rFonts w:ascii="Times New Roman" w:eastAsia="Times New Roman" w:hAnsi="Times New Roman"/>
          <w:sz w:val="20"/>
          <w:szCs w:val="18"/>
        </w:rPr>
        <w:t>).</w:t>
      </w:r>
    </w:p>
    <w:p w14:paraId="6FA7096D" w14:textId="77777777" w:rsidR="00590E21" w:rsidRDefault="00590E21" w:rsidP="0086534D">
      <w:pPr>
        <w:widowControl/>
        <w:tabs>
          <w:tab w:val="left" w:pos="1080"/>
        </w:tabs>
        <w:spacing w:after="0" w:line="240" w:lineRule="auto"/>
        <w:ind w:left="1080" w:hanging="1080"/>
        <w:rPr>
          <w:rFonts w:ascii="Times New Roman" w:eastAsia="Times New Roman" w:hAnsi="Times New Roman"/>
          <w:sz w:val="20"/>
          <w:szCs w:val="20"/>
        </w:rPr>
      </w:pPr>
    </w:p>
    <w:p w14:paraId="76219879" w14:textId="77777777" w:rsidR="0039592A" w:rsidRDefault="0039592A" w:rsidP="0086534D">
      <w:pPr>
        <w:widowControl/>
        <w:tabs>
          <w:tab w:val="left" w:pos="1080"/>
        </w:tabs>
        <w:spacing w:after="0" w:line="240" w:lineRule="auto"/>
        <w:ind w:left="1080" w:hanging="1080"/>
        <w:rPr>
          <w:rFonts w:ascii="Times New Roman" w:eastAsia="Times New Roman" w:hAnsi="Times New Roman"/>
          <w:sz w:val="20"/>
          <w:szCs w:val="20"/>
        </w:rPr>
      </w:pPr>
    </w:p>
    <w:p w14:paraId="01E36028" w14:textId="77777777" w:rsidR="0086534D" w:rsidRDefault="0086534D" w:rsidP="0086534D">
      <w:pPr>
        <w:widowControl/>
        <w:tabs>
          <w:tab w:val="left" w:pos="1080"/>
        </w:tabs>
        <w:spacing w:after="0" w:line="240" w:lineRule="auto"/>
        <w:ind w:left="1080" w:hanging="1080"/>
        <w:rPr>
          <w:rFonts w:ascii="Times New Roman" w:eastAsia="Times New Roman" w:hAnsi="Times New Roman"/>
          <w:sz w:val="20"/>
          <w:szCs w:val="20"/>
        </w:rPr>
      </w:pPr>
    </w:p>
    <w:p w14:paraId="0AEC9E4C" w14:textId="77777777" w:rsidR="0086534D" w:rsidRDefault="0086534D" w:rsidP="0086534D">
      <w:pPr>
        <w:widowControl/>
        <w:tabs>
          <w:tab w:val="left" w:pos="1080"/>
        </w:tabs>
        <w:spacing w:after="0" w:line="240" w:lineRule="auto"/>
        <w:ind w:left="1080" w:hanging="1080"/>
        <w:rPr>
          <w:rFonts w:ascii="Times New Roman" w:eastAsia="Times New Roman" w:hAnsi="Times New Roman"/>
          <w:sz w:val="20"/>
          <w:szCs w:val="20"/>
        </w:rPr>
      </w:pPr>
    </w:p>
    <w:p w14:paraId="32819331" w14:textId="77777777" w:rsidR="0086534D" w:rsidRDefault="0086534D" w:rsidP="0086534D">
      <w:pPr>
        <w:widowControl/>
        <w:tabs>
          <w:tab w:val="left" w:pos="1080"/>
        </w:tabs>
        <w:spacing w:after="0" w:line="240" w:lineRule="auto"/>
        <w:ind w:left="1080" w:hanging="1080"/>
        <w:rPr>
          <w:rFonts w:ascii="Times New Roman" w:eastAsia="Times New Roman" w:hAnsi="Times New Roman"/>
          <w:sz w:val="20"/>
          <w:szCs w:val="20"/>
        </w:rPr>
      </w:pPr>
    </w:p>
    <w:p w14:paraId="2FF89782" w14:textId="77777777" w:rsidR="0086534D" w:rsidRDefault="0086534D" w:rsidP="0086534D">
      <w:pPr>
        <w:widowControl/>
        <w:tabs>
          <w:tab w:val="left" w:pos="1080"/>
        </w:tabs>
        <w:spacing w:after="0" w:line="240" w:lineRule="auto"/>
        <w:ind w:left="1080" w:hanging="1080"/>
        <w:rPr>
          <w:rFonts w:ascii="Times New Roman" w:eastAsia="Times New Roman" w:hAnsi="Times New Roman"/>
          <w:sz w:val="20"/>
          <w:szCs w:val="20"/>
        </w:rPr>
      </w:pPr>
    </w:p>
    <w:p w14:paraId="6ED92336" w14:textId="77777777" w:rsidR="0039592A" w:rsidRDefault="0039592A" w:rsidP="0086534D">
      <w:pPr>
        <w:widowControl/>
        <w:tabs>
          <w:tab w:val="left" w:pos="1080"/>
        </w:tabs>
        <w:spacing w:after="0" w:line="240" w:lineRule="auto"/>
        <w:ind w:left="1080" w:hanging="1080"/>
        <w:rPr>
          <w:rFonts w:ascii="Times New Roman" w:eastAsia="Times New Roman" w:hAnsi="Times New Roman"/>
          <w:sz w:val="20"/>
          <w:szCs w:val="20"/>
        </w:rPr>
      </w:pPr>
    </w:p>
    <w:p w14:paraId="1B28D408" w14:textId="77777777" w:rsidR="00296E4D" w:rsidRDefault="002732BD" w:rsidP="00FD5025">
      <w:pPr>
        <w:widowControl/>
        <w:tabs>
          <w:tab w:val="left" w:pos="900"/>
          <w:tab w:val="left" w:pos="2900"/>
          <w:tab w:val="left" w:pos="3360"/>
          <w:tab w:val="left" w:pos="4780"/>
          <w:tab w:val="left" w:pos="5340"/>
        </w:tabs>
        <w:spacing w:before="120" w:after="120" w:line="240" w:lineRule="auto"/>
        <w:jc w:val="both"/>
        <w:rPr>
          <w:rFonts w:ascii="Times New Roman" w:hAnsi="Times New Roman"/>
          <w:b/>
          <w:sz w:val="20"/>
          <w:szCs w:val="20"/>
        </w:rPr>
      </w:pPr>
      <w:r w:rsidRPr="005E4F60">
        <w:rPr>
          <w:rFonts w:ascii="Times New Roman" w:hAnsi="Times New Roman"/>
          <w:b/>
          <w:sz w:val="20"/>
          <w:szCs w:val="20"/>
        </w:rPr>
        <w:t>Key of Acronyms:</w:t>
      </w: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013A6F" w:rsidRPr="00013A6F" w14:paraId="10761279" w14:textId="77777777" w:rsidTr="00FF60C0">
        <w:trPr>
          <w:trHeight w:val="197"/>
        </w:trPr>
        <w:tc>
          <w:tcPr>
            <w:tcW w:w="1024" w:type="dxa"/>
          </w:tcPr>
          <w:p w14:paraId="085AE717" w14:textId="77777777" w:rsidR="00013A6F" w:rsidRPr="00013A6F" w:rsidRDefault="00013A6F" w:rsidP="00FD5025">
            <w:pPr>
              <w:widowControl/>
              <w:spacing w:after="0" w:line="240" w:lineRule="auto"/>
              <w:ind w:right="-86"/>
              <w:rPr>
                <w:rFonts w:ascii="Calibri" w:eastAsia="Calibri" w:hAnsi="Calibri"/>
                <w:sz w:val="16"/>
                <w:szCs w:val="16"/>
              </w:rPr>
            </w:pPr>
            <w:r w:rsidRPr="00013A6F">
              <w:rPr>
                <w:sz w:val="16"/>
                <w:szCs w:val="16"/>
              </w:rPr>
              <w:t>ACGIH</w:t>
            </w:r>
          </w:p>
        </w:tc>
        <w:tc>
          <w:tcPr>
            <w:tcW w:w="3584" w:type="dxa"/>
          </w:tcPr>
          <w:p w14:paraId="226008F7" w14:textId="77777777" w:rsidR="00013A6F" w:rsidRPr="00013A6F" w:rsidRDefault="00013A6F" w:rsidP="00FD5025">
            <w:pPr>
              <w:widowControl/>
              <w:spacing w:after="0" w:line="240" w:lineRule="auto"/>
              <w:ind w:right="-86"/>
              <w:rPr>
                <w:rFonts w:ascii="Calibri" w:eastAsia="Calibri" w:hAnsi="Calibri"/>
                <w:sz w:val="16"/>
                <w:szCs w:val="16"/>
              </w:rPr>
            </w:pPr>
            <w:r w:rsidRPr="00013A6F">
              <w:rPr>
                <w:sz w:val="16"/>
                <w:szCs w:val="16"/>
              </w:rPr>
              <w:t>American Conference of Governmental Industrial Hygienists</w:t>
            </w:r>
          </w:p>
        </w:tc>
        <w:tc>
          <w:tcPr>
            <w:tcW w:w="1051" w:type="dxa"/>
          </w:tcPr>
          <w:p w14:paraId="5944BAA1" w14:textId="77777777" w:rsidR="00013A6F" w:rsidRPr="00013A6F" w:rsidRDefault="00013A6F" w:rsidP="00FD5025">
            <w:pPr>
              <w:widowControl/>
              <w:spacing w:after="0" w:line="240" w:lineRule="auto"/>
              <w:ind w:right="-86"/>
              <w:rPr>
                <w:rFonts w:ascii="Calibri" w:eastAsia="Calibri" w:hAnsi="Calibri"/>
                <w:sz w:val="16"/>
                <w:szCs w:val="16"/>
              </w:rPr>
            </w:pPr>
            <w:r w:rsidRPr="00013A6F">
              <w:rPr>
                <w:sz w:val="16"/>
                <w:szCs w:val="16"/>
              </w:rPr>
              <w:t>NRC</w:t>
            </w:r>
          </w:p>
        </w:tc>
        <w:tc>
          <w:tcPr>
            <w:tcW w:w="3542" w:type="dxa"/>
          </w:tcPr>
          <w:p w14:paraId="3CB89698" w14:textId="77777777" w:rsidR="00013A6F" w:rsidRPr="00013A6F" w:rsidRDefault="00013A6F" w:rsidP="00FD5025">
            <w:pPr>
              <w:widowControl/>
              <w:spacing w:after="0" w:line="240" w:lineRule="auto"/>
              <w:ind w:right="-86"/>
              <w:rPr>
                <w:rFonts w:ascii="Calibri" w:eastAsia="Calibri" w:hAnsi="Calibri"/>
                <w:sz w:val="16"/>
                <w:szCs w:val="16"/>
              </w:rPr>
            </w:pPr>
            <w:r w:rsidRPr="00013A6F">
              <w:rPr>
                <w:sz w:val="16"/>
                <w:szCs w:val="16"/>
              </w:rPr>
              <w:t>Nuclear Regulatory Commission</w:t>
            </w:r>
          </w:p>
        </w:tc>
      </w:tr>
      <w:tr w:rsidR="00013A6F" w:rsidRPr="00013A6F" w14:paraId="419BD19C" w14:textId="77777777" w:rsidTr="00FF60C0">
        <w:trPr>
          <w:trHeight w:val="144"/>
        </w:trPr>
        <w:tc>
          <w:tcPr>
            <w:tcW w:w="1024" w:type="dxa"/>
          </w:tcPr>
          <w:p w14:paraId="1CAF69DA" w14:textId="77777777" w:rsidR="00013A6F" w:rsidRPr="00013A6F" w:rsidRDefault="00013A6F" w:rsidP="00FD5025">
            <w:pPr>
              <w:widowControl/>
              <w:spacing w:after="0" w:line="240" w:lineRule="auto"/>
              <w:ind w:right="-86"/>
              <w:rPr>
                <w:rFonts w:ascii="Calibri" w:eastAsia="Calibri" w:hAnsi="Calibri"/>
                <w:sz w:val="16"/>
                <w:szCs w:val="16"/>
              </w:rPr>
            </w:pPr>
            <w:r w:rsidRPr="00013A6F">
              <w:rPr>
                <w:sz w:val="16"/>
                <w:szCs w:val="16"/>
              </w:rPr>
              <w:t>ALI</w:t>
            </w:r>
          </w:p>
        </w:tc>
        <w:tc>
          <w:tcPr>
            <w:tcW w:w="3584" w:type="dxa"/>
          </w:tcPr>
          <w:p w14:paraId="107C8506" w14:textId="77777777" w:rsidR="00013A6F" w:rsidRPr="00013A6F" w:rsidRDefault="00013A6F" w:rsidP="00FD5025">
            <w:pPr>
              <w:widowControl/>
              <w:spacing w:after="0" w:line="240" w:lineRule="auto"/>
              <w:ind w:right="-86"/>
              <w:rPr>
                <w:rFonts w:ascii="Calibri" w:eastAsia="Calibri" w:hAnsi="Calibri"/>
                <w:sz w:val="16"/>
                <w:szCs w:val="16"/>
              </w:rPr>
            </w:pPr>
            <w:r w:rsidRPr="00013A6F">
              <w:rPr>
                <w:sz w:val="16"/>
                <w:szCs w:val="16"/>
              </w:rPr>
              <w:t>Annual Limit on Intake</w:t>
            </w:r>
          </w:p>
        </w:tc>
        <w:tc>
          <w:tcPr>
            <w:tcW w:w="1051" w:type="dxa"/>
          </w:tcPr>
          <w:p w14:paraId="1407ECD5" w14:textId="77777777" w:rsidR="00013A6F" w:rsidRPr="00013A6F" w:rsidRDefault="00013A6F" w:rsidP="00FD5025">
            <w:pPr>
              <w:widowControl/>
              <w:spacing w:after="0" w:line="240" w:lineRule="auto"/>
              <w:ind w:right="-86"/>
              <w:rPr>
                <w:rFonts w:ascii="Calibri" w:eastAsia="Calibri" w:hAnsi="Calibri"/>
                <w:sz w:val="16"/>
                <w:szCs w:val="16"/>
              </w:rPr>
            </w:pPr>
            <w:r w:rsidRPr="00013A6F">
              <w:rPr>
                <w:sz w:val="16"/>
                <w:szCs w:val="16"/>
              </w:rPr>
              <w:t>NTP</w:t>
            </w:r>
            <w:r w:rsidRPr="00013A6F" w:rsidDel="00D91361">
              <w:rPr>
                <w:sz w:val="16"/>
                <w:szCs w:val="16"/>
              </w:rPr>
              <w:t xml:space="preserve"> </w:t>
            </w:r>
          </w:p>
        </w:tc>
        <w:tc>
          <w:tcPr>
            <w:tcW w:w="3542" w:type="dxa"/>
          </w:tcPr>
          <w:p w14:paraId="0F155CF5" w14:textId="77777777" w:rsidR="00013A6F" w:rsidRPr="00013A6F" w:rsidRDefault="00013A6F" w:rsidP="00FD5025">
            <w:pPr>
              <w:widowControl/>
              <w:spacing w:after="0" w:line="240" w:lineRule="auto"/>
              <w:ind w:right="-86"/>
              <w:rPr>
                <w:rFonts w:ascii="Calibri" w:eastAsia="Calibri" w:hAnsi="Calibri"/>
                <w:sz w:val="16"/>
                <w:szCs w:val="16"/>
              </w:rPr>
            </w:pPr>
            <w:r w:rsidRPr="00013A6F">
              <w:rPr>
                <w:sz w:val="16"/>
                <w:szCs w:val="16"/>
              </w:rPr>
              <w:t>National Toxicology Program</w:t>
            </w:r>
          </w:p>
        </w:tc>
      </w:tr>
      <w:tr w:rsidR="00013A6F" w:rsidRPr="00013A6F" w14:paraId="2CC6DBF5" w14:textId="77777777" w:rsidTr="00FF60C0">
        <w:trPr>
          <w:trHeight w:val="144"/>
        </w:trPr>
        <w:tc>
          <w:tcPr>
            <w:tcW w:w="1024" w:type="dxa"/>
          </w:tcPr>
          <w:p w14:paraId="11C526C4"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CAS</w:t>
            </w:r>
            <w:r w:rsidRPr="00013A6F" w:rsidDel="00D91361">
              <w:rPr>
                <w:sz w:val="16"/>
                <w:szCs w:val="16"/>
              </w:rPr>
              <w:t xml:space="preserve"> </w:t>
            </w:r>
          </w:p>
        </w:tc>
        <w:tc>
          <w:tcPr>
            <w:tcW w:w="3584" w:type="dxa"/>
          </w:tcPr>
          <w:p w14:paraId="536CDF8E"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Chemical Abstracts Service</w:t>
            </w:r>
            <w:r w:rsidRPr="00013A6F" w:rsidDel="00D91361">
              <w:rPr>
                <w:sz w:val="16"/>
                <w:szCs w:val="16"/>
              </w:rPr>
              <w:t xml:space="preserve"> </w:t>
            </w:r>
          </w:p>
        </w:tc>
        <w:tc>
          <w:tcPr>
            <w:tcW w:w="1051" w:type="dxa"/>
          </w:tcPr>
          <w:p w14:paraId="12C926D3"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OSHA</w:t>
            </w:r>
            <w:r w:rsidRPr="00013A6F" w:rsidDel="00D91361">
              <w:rPr>
                <w:sz w:val="16"/>
                <w:szCs w:val="16"/>
              </w:rPr>
              <w:t xml:space="preserve"> </w:t>
            </w:r>
          </w:p>
        </w:tc>
        <w:tc>
          <w:tcPr>
            <w:tcW w:w="3542" w:type="dxa"/>
          </w:tcPr>
          <w:p w14:paraId="49E33721"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Occupational Safety and Health Administration</w:t>
            </w:r>
            <w:r w:rsidRPr="00013A6F" w:rsidDel="00D91361">
              <w:rPr>
                <w:sz w:val="16"/>
                <w:szCs w:val="16"/>
              </w:rPr>
              <w:t xml:space="preserve"> </w:t>
            </w:r>
          </w:p>
        </w:tc>
      </w:tr>
      <w:tr w:rsidR="00013A6F" w:rsidRPr="00013A6F" w14:paraId="04236AF7" w14:textId="77777777" w:rsidTr="00FF60C0">
        <w:trPr>
          <w:trHeight w:val="144"/>
        </w:trPr>
        <w:tc>
          <w:tcPr>
            <w:tcW w:w="1024" w:type="dxa"/>
          </w:tcPr>
          <w:p w14:paraId="63F12037"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CERCLA</w:t>
            </w:r>
            <w:r w:rsidRPr="00013A6F" w:rsidDel="00D91361">
              <w:rPr>
                <w:sz w:val="16"/>
                <w:szCs w:val="16"/>
              </w:rPr>
              <w:t xml:space="preserve"> </w:t>
            </w:r>
          </w:p>
        </w:tc>
        <w:tc>
          <w:tcPr>
            <w:tcW w:w="3584" w:type="dxa"/>
          </w:tcPr>
          <w:p w14:paraId="346DD27F"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Comprehensive Environmental Response, Compensation, and Liability Act</w:t>
            </w:r>
            <w:r w:rsidRPr="00013A6F" w:rsidDel="00D91361">
              <w:rPr>
                <w:sz w:val="16"/>
                <w:szCs w:val="16"/>
              </w:rPr>
              <w:t xml:space="preserve"> </w:t>
            </w:r>
          </w:p>
        </w:tc>
        <w:tc>
          <w:tcPr>
            <w:tcW w:w="1051" w:type="dxa"/>
          </w:tcPr>
          <w:p w14:paraId="743116EB"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PEL</w:t>
            </w:r>
            <w:r w:rsidRPr="00013A6F" w:rsidDel="00D91361">
              <w:rPr>
                <w:sz w:val="16"/>
                <w:szCs w:val="16"/>
              </w:rPr>
              <w:t xml:space="preserve"> </w:t>
            </w:r>
          </w:p>
        </w:tc>
        <w:tc>
          <w:tcPr>
            <w:tcW w:w="3542" w:type="dxa"/>
          </w:tcPr>
          <w:p w14:paraId="1A492BD6"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Permissible Exposure Limit</w:t>
            </w:r>
          </w:p>
        </w:tc>
      </w:tr>
      <w:tr w:rsidR="00013A6F" w:rsidRPr="00013A6F" w14:paraId="79BC6280" w14:textId="77777777" w:rsidTr="00FF60C0">
        <w:trPr>
          <w:trHeight w:val="144"/>
        </w:trPr>
        <w:tc>
          <w:tcPr>
            <w:tcW w:w="1024" w:type="dxa"/>
          </w:tcPr>
          <w:p w14:paraId="5DCB3E60"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CFR</w:t>
            </w:r>
            <w:r w:rsidRPr="00013A6F" w:rsidDel="00D91361">
              <w:rPr>
                <w:sz w:val="16"/>
                <w:szCs w:val="16"/>
              </w:rPr>
              <w:t xml:space="preserve"> </w:t>
            </w:r>
          </w:p>
        </w:tc>
        <w:tc>
          <w:tcPr>
            <w:tcW w:w="3584" w:type="dxa"/>
          </w:tcPr>
          <w:p w14:paraId="5924CF00"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Code of Federal Regulations</w:t>
            </w:r>
            <w:r w:rsidRPr="00013A6F" w:rsidDel="00D91361">
              <w:rPr>
                <w:sz w:val="16"/>
                <w:szCs w:val="16"/>
              </w:rPr>
              <w:t xml:space="preserve"> </w:t>
            </w:r>
          </w:p>
        </w:tc>
        <w:tc>
          <w:tcPr>
            <w:tcW w:w="1051" w:type="dxa"/>
          </w:tcPr>
          <w:p w14:paraId="742622F1"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RCRA</w:t>
            </w:r>
            <w:r w:rsidRPr="00013A6F" w:rsidDel="00D91361">
              <w:rPr>
                <w:sz w:val="16"/>
                <w:szCs w:val="16"/>
              </w:rPr>
              <w:t xml:space="preserve"> </w:t>
            </w:r>
          </w:p>
        </w:tc>
        <w:tc>
          <w:tcPr>
            <w:tcW w:w="3542" w:type="dxa"/>
          </w:tcPr>
          <w:p w14:paraId="76175FA0"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Resource Conservation and Recovery Act</w:t>
            </w:r>
            <w:r w:rsidRPr="00013A6F" w:rsidDel="00D91361">
              <w:rPr>
                <w:sz w:val="16"/>
                <w:szCs w:val="16"/>
              </w:rPr>
              <w:t xml:space="preserve"> </w:t>
            </w:r>
          </w:p>
        </w:tc>
      </w:tr>
      <w:tr w:rsidR="00013A6F" w:rsidRPr="00013A6F" w14:paraId="4AE959D4" w14:textId="77777777" w:rsidTr="00FF60C0">
        <w:trPr>
          <w:trHeight w:val="144"/>
        </w:trPr>
        <w:tc>
          <w:tcPr>
            <w:tcW w:w="1024" w:type="dxa"/>
          </w:tcPr>
          <w:p w14:paraId="4B1BBF90"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DOT</w:t>
            </w:r>
            <w:r w:rsidRPr="00013A6F" w:rsidDel="00D91361">
              <w:rPr>
                <w:sz w:val="16"/>
                <w:szCs w:val="16"/>
              </w:rPr>
              <w:t xml:space="preserve"> </w:t>
            </w:r>
          </w:p>
        </w:tc>
        <w:tc>
          <w:tcPr>
            <w:tcW w:w="3584" w:type="dxa"/>
          </w:tcPr>
          <w:p w14:paraId="0290C2EB"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Department of Transportation</w:t>
            </w:r>
            <w:r w:rsidRPr="00013A6F" w:rsidDel="00D91361">
              <w:rPr>
                <w:sz w:val="16"/>
                <w:szCs w:val="16"/>
              </w:rPr>
              <w:t xml:space="preserve"> </w:t>
            </w:r>
          </w:p>
        </w:tc>
        <w:tc>
          <w:tcPr>
            <w:tcW w:w="1051" w:type="dxa"/>
          </w:tcPr>
          <w:p w14:paraId="06926F6A"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REL</w:t>
            </w:r>
            <w:r w:rsidRPr="00013A6F" w:rsidDel="00D91361">
              <w:rPr>
                <w:sz w:val="16"/>
                <w:szCs w:val="16"/>
              </w:rPr>
              <w:t xml:space="preserve"> </w:t>
            </w:r>
          </w:p>
        </w:tc>
        <w:tc>
          <w:tcPr>
            <w:tcW w:w="3542" w:type="dxa"/>
          </w:tcPr>
          <w:p w14:paraId="3AC8F846"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Recommended Exposure Limit</w:t>
            </w:r>
            <w:r w:rsidRPr="00013A6F" w:rsidDel="00D91361">
              <w:rPr>
                <w:sz w:val="16"/>
                <w:szCs w:val="16"/>
              </w:rPr>
              <w:t xml:space="preserve"> </w:t>
            </w:r>
          </w:p>
        </w:tc>
      </w:tr>
      <w:tr w:rsidR="00013A6F" w:rsidRPr="00013A6F" w14:paraId="0B93358F" w14:textId="77777777" w:rsidTr="00FF60C0">
        <w:trPr>
          <w:trHeight w:val="144"/>
        </w:trPr>
        <w:tc>
          <w:tcPr>
            <w:tcW w:w="1024" w:type="dxa"/>
          </w:tcPr>
          <w:p w14:paraId="752804B6"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EC50</w:t>
            </w:r>
          </w:p>
        </w:tc>
        <w:tc>
          <w:tcPr>
            <w:tcW w:w="3584" w:type="dxa"/>
          </w:tcPr>
          <w:p w14:paraId="1B49AD22"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Effective Concentration, 50 %</w:t>
            </w:r>
          </w:p>
        </w:tc>
        <w:tc>
          <w:tcPr>
            <w:tcW w:w="1051" w:type="dxa"/>
          </w:tcPr>
          <w:p w14:paraId="7483C44B"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RM</w:t>
            </w:r>
          </w:p>
        </w:tc>
        <w:tc>
          <w:tcPr>
            <w:tcW w:w="3542" w:type="dxa"/>
          </w:tcPr>
          <w:p w14:paraId="7E0E745E"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Reference Material</w:t>
            </w:r>
          </w:p>
        </w:tc>
      </w:tr>
      <w:tr w:rsidR="00013A6F" w:rsidRPr="00013A6F" w14:paraId="23BF2FAF" w14:textId="77777777" w:rsidTr="00FF60C0">
        <w:trPr>
          <w:trHeight w:val="144"/>
        </w:trPr>
        <w:tc>
          <w:tcPr>
            <w:tcW w:w="1024" w:type="dxa"/>
          </w:tcPr>
          <w:p w14:paraId="297A68B8"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EINECS</w:t>
            </w:r>
          </w:p>
        </w:tc>
        <w:tc>
          <w:tcPr>
            <w:tcW w:w="3584" w:type="dxa"/>
          </w:tcPr>
          <w:p w14:paraId="58103668"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European Inventory of Existing Commercial Chemical Substances</w:t>
            </w:r>
            <w:r w:rsidRPr="00013A6F" w:rsidDel="00D91361">
              <w:rPr>
                <w:sz w:val="16"/>
                <w:szCs w:val="16"/>
              </w:rPr>
              <w:t xml:space="preserve"> </w:t>
            </w:r>
          </w:p>
        </w:tc>
        <w:tc>
          <w:tcPr>
            <w:tcW w:w="1051" w:type="dxa"/>
          </w:tcPr>
          <w:p w14:paraId="01040C47"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RQ</w:t>
            </w:r>
            <w:r w:rsidRPr="00013A6F" w:rsidDel="00D91361">
              <w:rPr>
                <w:sz w:val="16"/>
                <w:szCs w:val="16"/>
              </w:rPr>
              <w:t xml:space="preserve"> </w:t>
            </w:r>
          </w:p>
        </w:tc>
        <w:tc>
          <w:tcPr>
            <w:tcW w:w="3542" w:type="dxa"/>
          </w:tcPr>
          <w:p w14:paraId="1357A0C4"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Reportable Quantity</w:t>
            </w:r>
            <w:r w:rsidRPr="00013A6F" w:rsidDel="00D91361">
              <w:rPr>
                <w:sz w:val="16"/>
                <w:szCs w:val="16"/>
              </w:rPr>
              <w:t xml:space="preserve"> </w:t>
            </w:r>
          </w:p>
        </w:tc>
      </w:tr>
      <w:tr w:rsidR="00013A6F" w:rsidRPr="00013A6F" w14:paraId="4DB9F5F6" w14:textId="77777777" w:rsidTr="00FF60C0">
        <w:trPr>
          <w:trHeight w:val="144"/>
        </w:trPr>
        <w:tc>
          <w:tcPr>
            <w:tcW w:w="1024" w:type="dxa"/>
          </w:tcPr>
          <w:p w14:paraId="78951F8E"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EPCRA</w:t>
            </w:r>
            <w:r w:rsidRPr="00013A6F" w:rsidDel="00D91361">
              <w:rPr>
                <w:sz w:val="16"/>
                <w:szCs w:val="16"/>
              </w:rPr>
              <w:t xml:space="preserve"> </w:t>
            </w:r>
          </w:p>
        </w:tc>
        <w:tc>
          <w:tcPr>
            <w:tcW w:w="3584" w:type="dxa"/>
          </w:tcPr>
          <w:p w14:paraId="0BE87E04"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Emergency Planning and Community Right-to-Know Act</w:t>
            </w:r>
            <w:r w:rsidRPr="00013A6F" w:rsidDel="00D91361">
              <w:rPr>
                <w:sz w:val="16"/>
                <w:szCs w:val="16"/>
              </w:rPr>
              <w:t xml:space="preserve"> </w:t>
            </w:r>
          </w:p>
        </w:tc>
        <w:tc>
          <w:tcPr>
            <w:tcW w:w="1051" w:type="dxa"/>
          </w:tcPr>
          <w:p w14:paraId="71371F37"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RTECS</w:t>
            </w:r>
          </w:p>
        </w:tc>
        <w:tc>
          <w:tcPr>
            <w:tcW w:w="3542" w:type="dxa"/>
          </w:tcPr>
          <w:p w14:paraId="6AB570EC"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Registry of Toxic Effects of Chemical Substances</w:t>
            </w:r>
          </w:p>
        </w:tc>
      </w:tr>
      <w:tr w:rsidR="00013A6F" w:rsidRPr="00013A6F" w14:paraId="4C6CC3E4" w14:textId="77777777" w:rsidTr="00FF60C0">
        <w:trPr>
          <w:trHeight w:val="144"/>
        </w:trPr>
        <w:tc>
          <w:tcPr>
            <w:tcW w:w="1024" w:type="dxa"/>
          </w:tcPr>
          <w:p w14:paraId="721DAB3E"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IARC</w:t>
            </w:r>
            <w:r w:rsidRPr="00013A6F" w:rsidDel="00D91361">
              <w:rPr>
                <w:sz w:val="16"/>
                <w:szCs w:val="16"/>
              </w:rPr>
              <w:t xml:space="preserve"> </w:t>
            </w:r>
          </w:p>
        </w:tc>
        <w:tc>
          <w:tcPr>
            <w:tcW w:w="3584" w:type="dxa"/>
          </w:tcPr>
          <w:p w14:paraId="773F514C"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International Agency for Research on Cancer</w:t>
            </w:r>
            <w:r w:rsidRPr="00013A6F" w:rsidDel="00D91361">
              <w:rPr>
                <w:sz w:val="16"/>
                <w:szCs w:val="16"/>
              </w:rPr>
              <w:t xml:space="preserve"> </w:t>
            </w:r>
          </w:p>
        </w:tc>
        <w:tc>
          <w:tcPr>
            <w:tcW w:w="1051" w:type="dxa"/>
          </w:tcPr>
          <w:p w14:paraId="531EC07A"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SARA</w:t>
            </w:r>
            <w:r w:rsidRPr="00013A6F" w:rsidDel="00D91361">
              <w:rPr>
                <w:sz w:val="16"/>
                <w:szCs w:val="16"/>
              </w:rPr>
              <w:t xml:space="preserve"> </w:t>
            </w:r>
          </w:p>
        </w:tc>
        <w:tc>
          <w:tcPr>
            <w:tcW w:w="3542" w:type="dxa"/>
          </w:tcPr>
          <w:p w14:paraId="5DCAE980"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Superfund Amendments and Reauthorization Act</w:t>
            </w:r>
            <w:r w:rsidRPr="00013A6F" w:rsidDel="00D91361">
              <w:rPr>
                <w:sz w:val="16"/>
                <w:szCs w:val="16"/>
              </w:rPr>
              <w:t xml:space="preserve"> </w:t>
            </w:r>
          </w:p>
        </w:tc>
      </w:tr>
      <w:tr w:rsidR="00013A6F" w:rsidRPr="00013A6F" w14:paraId="75A2FD62" w14:textId="77777777" w:rsidTr="00FF60C0">
        <w:trPr>
          <w:trHeight w:val="144"/>
        </w:trPr>
        <w:tc>
          <w:tcPr>
            <w:tcW w:w="1024" w:type="dxa"/>
          </w:tcPr>
          <w:p w14:paraId="03A3ED5B"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IATA</w:t>
            </w:r>
            <w:r w:rsidRPr="00013A6F" w:rsidDel="00D91361">
              <w:rPr>
                <w:sz w:val="16"/>
                <w:szCs w:val="16"/>
              </w:rPr>
              <w:t xml:space="preserve"> </w:t>
            </w:r>
          </w:p>
        </w:tc>
        <w:tc>
          <w:tcPr>
            <w:tcW w:w="3584" w:type="dxa"/>
          </w:tcPr>
          <w:p w14:paraId="42D56246"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International Air Transportation Agency</w:t>
            </w:r>
            <w:r w:rsidRPr="00013A6F" w:rsidDel="00D91361">
              <w:rPr>
                <w:sz w:val="16"/>
                <w:szCs w:val="16"/>
              </w:rPr>
              <w:t xml:space="preserve"> </w:t>
            </w:r>
          </w:p>
        </w:tc>
        <w:tc>
          <w:tcPr>
            <w:tcW w:w="1051" w:type="dxa"/>
          </w:tcPr>
          <w:p w14:paraId="0F27E356"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SCBA</w:t>
            </w:r>
            <w:r w:rsidRPr="00013A6F" w:rsidDel="00D91361">
              <w:rPr>
                <w:sz w:val="16"/>
                <w:szCs w:val="16"/>
              </w:rPr>
              <w:t xml:space="preserve"> </w:t>
            </w:r>
          </w:p>
        </w:tc>
        <w:tc>
          <w:tcPr>
            <w:tcW w:w="3542" w:type="dxa"/>
          </w:tcPr>
          <w:p w14:paraId="08490DCC"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Self</w:t>
            </w:r>
            <w:r w:rsidRPr="00013A6F">
              <w:rPr>
                <w:sz w:val="16"/>
                <w:szCs w:val="16"/>
              </w:rPr>
              <w:noBreakHyphen/>
              <w:t>Contained Breathing Apparatus</w:t>
            </w:r>
            <w:r w:rsidRPr="00013A6F" w:rsidDel="00D91361">
              <w:rPr>
                <w:sz w:val="16"/>
                <w:szCs w:val="16"/>
              </w:rPr>
              <w:t xml:space="preserve"> </w:t>
            </w:r>
          </w:p>
        </w:tc>
      </w:tr>
      <w:tr w:rsidR="00013A6F" w:rsidRPr="00013A6F" w14:paraId="18603FC7" w14:textId="77777777" w:rsidTr="00FF60C0">
        <w:trPr>
          <w:trHeight w:val="144"/>
        </w:trPr>
        <w:tc>
          <w:tcPr>
            <w:tcW w:w="1024" w:type="dxa"/>
          </w:tcPr>
          <w:p w14:paraId="08DF943D"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IDLH</w:t>
            </w:r>
            <w:r w:rsidRPr="00013A6F" w:rsidDel="00D91361">
              <w:rPr>
                <w:sz w:val="16"/>
                <w:szCs w:val="16"/>
              </w:rPr>
              <w:t xml:space="preserve"> </w:t>
            </w:r>
          </w:p>
        </w:tc>
        <w:tc>
          <w:tcPr>
            <w:tcW w:w="3584" w:type="dxa"/>
          </w:tcPr>
          <w:p w14:paraId="0446908D"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Immediately Dangerous to Life and Health</w:t>
            </w:r>
            <w:r w:rsidRPr="00013A6F" w:rsidDel="00D91361">
              <w:rPr>
                <w:sz w:val="16"/>
                <w:szCs w:val="16"/>
              </w:rPr>
              <w:t xml:space="preserve"> </w:t>
            </w:r>
          </w:p>
        </w:tc>
        <w:tc>
          <w:tcPr>
            <w:tcW w:w="1051" w:type="dxa"/>
          </w:tcPr>
          <w:p w14:paraId="22242107"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SRM</w:t>
            </w:r>
            <w:r w:rsidRPr="00013A6F" w:rsidDel="00D91361">
              <w:rPr>
                <w:sz w:val="16"/>
                <w:szCs w:val="16"/>
              </w:rPr>
              <w:t xml:space="preserve"> </w:t>
            </w:r>
          </w:p>
        </w:tc>
        <w:tc>
          <w:tcPr>
            <w:tcW w:w="3542" w:type="dxa"/>
          </w:tcPr>
          <w:p w14:paraId="5F13DF09"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Standard Reference Material</w:t>
            </w:r>
            <w:r w:rsidRPr="00013A6F" w:rsidDel="00D91361">
              <w:rPr>
                <w:sz w:val="16"/>
                <w:szCs w:val="16"/>
              </w:rPr>
              <w:t xml:space="preserve"> </w:t>
            </w:r>
          </w:p>
        </w:tc>
      </w:tr>
      <w:tr w:rsidR="00013A6F" w:rsidRPr="00013A6F" w14:paraId="74BD33BA" w14:textId="77777777" w:rsidTr="00FF60C0">
        <w:trPr>
          <w:trHeight w:val="144"/>
        </w:trPr>
        <w:tc>
          <w:tcPr>
            <w:tcW w:w="1024" w:type="dxa"/>
          </w:tcPr>
          <w:p w14:paraId="3F7B7129"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LC50</w:t>
            </w:r>
          </w:p>
        </w:tc>
        <w:tc>
          <w:tcPr>
            <w:tcW w:w="3584" w:type="dxa"/>
          </w:tcPr>
          <w:p w14:paraId="7DB110C0"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Lethal Concentration, 50 %</w:t>
            </w:r>
            <w:r w:rsidRPr="00013A6F" w:rsidDel="00D91361">
              <w:rPr>
                <w:sz w:val="16"/>
                <w:szCs w:val="16"/>
              </w:rPr>
              <w:t xml:space="preserve"> </w:t>
            </w:r>
          </w:p>
        </w:tc>
        <w:tc>
          <w:tcPr>
            <w:tcW w:w="1051" w:type="dxa"/>
          </w:tcPr>
          <w:p w14:paraId="0CDC944F"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STEL</w:t>
            </w:r>
            <w:r w:rsidRPr="00013A6F" w:rsidDel="00D91361">
              <w:rPr>
                <w:sz w:val="16"/>
                <w:szCs w:val="16"/>
              </w:rPr>
              <w:t xml:space="preserve"> </w:t>
            </w:r>
          </w:p>
        </w:tc>
        <w:tc>
          <w:tcPr>
            <w:tcW w:w="3542" w:type="dxa"/>
          </w:tcPr>
          <w:p w14:paraId="0532463D"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Short Term Exposure Limit</w:t>
            </w:r>
            <w:r w:rsidRPr="00013A6F" w:rsidDel="00D91361">
              <w:rPr>
                <w:sz w:val="16"/>
                <w:szCs w:val="16"/>
              </w:rPr>
              <w:t xml:space="preserve"> </w:t>
            </w:r>
          </w:p>
        </w:tc>
      </w:tr>
      <w:tr w:rsidR="00013A6F" w:rsidRPr="00013A6F" w14:paraId="1356FA8C" w14:textId="77777777" w:rsidTr="00FF60C0">
        <w:trPr>
          <w:trHeight w:val="144"/>
        </w:trPr>
        <w:tc>
          <w:tcPr>
            <w:tcW w:w="1024" w:type="dxa"/>
          </w:tcPr>
          <w:p w14:paraId="19764ECC"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LD50</w:t>
            </w:r>
          </w:p>
        </w:tc>
        <w:tc>
          <w:tcPr>
            <w:tcW w:w="3584" w:type="dxa"/>
          </w:tcPr>
          <w:p w14:paraId="6AB9B50F"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Lethal Dose, 50 %</w:t>
            </w:r>
          </w:p>
        </w:tc>
        <w:tc>
          <w:tcPr>
            <w:tcW w:w="1051" w:type="dxa"/>
          </w:tcPr>
          <w:p w14:paraId="7163EF31"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TLV</w:t>
            </w:r>
            <w:r w:rsidRPr="00013A6F" w:rsidDel="00D91361">
              <w:rPr>
                <w:sz w:val="16"/>
                <w:szCs w:val="16"/>
              </w:rPr>
              <w:t xml:space="preserve"> </w:t>
            </w:r>
          </w:p>
        </w:tc>
        <w:tc>
          <w:tcPr>
            <w:tcW w:w="3542" w:type="dxa"/>
          </w:tcPr>
          <w:p w14:paraId="21DC167A"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Threshold Limit Value</w:t>
            </w:r>
            <w:r w:rsidRPr="00013A6F" w:rsidDel="00D91361">
              <w:rPr>
                <w:sz w:val="16"/>
                <w:szCs w:val="16"/>
              </w:rPr>
              <w:t xml:space="preserve"> </w:t>
            </w:r>
          </w:p>
        </w:tc>
      </w:tr>
      <w:tr w:rsidR="00013A6F" w:rsidRPr="00013A6F" w14:paraId="0CF9A3EF" w14:textId="77777777" w:rsidTr="00FF60C0">
        <w:trPr>
          <w:trHeight w:val="144"/>
        </w:trPr>
        <w:tc>
          <w:tcPr>
            <w:tcW w:w="1024" w:type="dxa"/>
          </w:tcPr>
          <w:p w14:paraId="0AD6977E"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LEL</w:t>
            </w:r>
            <w:r w:rsidRPr="00013A6F" w:rsidDel="00D91361">
              <w:rPr>
                <w:sz w:val="16"/>
                <w:szCs w:val="16"/>
              </w:rPr>
              <w:t xml:space="preserve"> </w:t>
            </w:r>
          </w:p>
        </w:tc>
        <w:tc>
          <w:tcPr>
            <w:tcW w:w="3584" w:type="dxa"/>
          </w:tcPr>
          <w:p w14:paraId="657E6CF3"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Lower Explosive Limit</w:t>
            </w:r>
            <w:r w:rsidRPr="00013A6F" w:rsidDel="00D91361">
              <w:rPr>
                <w:sz w:val="16"/>
                <w:szCs w:val="16"/>
              </w:rPr>
              <w:t xml:space="preserve"> </w:t>
            </w:r>
          </w:p>
        </w:tc>
        <w:tc>
          <w:tcPr>
            <w:tcW w:w="1051" w:type="dxa"/>
          </w:tcPr>
          <w:p w14:paraId="3E269E9D"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TPQ</w:t>
            </w:r>
            <w:r w:rsidRPr="00013A6F" w:rsidDel="00D91361">
              <w:rPr>
                <w:sz w:val="16"/>
                <w:szCs w:val="16"/>
              </w:rPr>
              <w:t xml:space="preserve"> </w:t>
            </w:r>
          </w:p>
        </w:tc>
        <w:tc>
          <w:tcPr>
            <w:tcW w:w="3542" w:type="dxa"/>
          </w:tcPr>
          <w:p w14:paraId="6A9FBBEF"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Threshold Planning Quantity</w:t>
            </w:r>
            <w:r w:rsidRPr="00013A6F" w:rsidDel="00D91361">
              <w:rPr>
                <w:sz w:val="16"/>
                <w:szCs w:val="16"/>
              </w:rPr>
              <w:t xml:space="preserve"> </w:t>
            </w:r>
          </w:p>
        </w:tc>
      </w:tr>
      <w:tr w:rsidR="00013A6F" w:rsidRPr="00013A6F" w14:paraId="078DDD93" w14:textId="77777777" w:rsidTr="00FF60C0">
        <w:trPr>
          <w:trHeight w:val="144"/>
        </w:trPr>
        <w:tc>
          <w:tcPr>
            <w:tcW w:w="1024" w:type="dxa"/>
          </w:tcPr>
          <w:p w14:paraId="6012AEB6"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MSDS</w:t>
            </w:r>
            <w:r w:rsidRPr="00013A6F" w:rsidDel="00D91361">
              <w:rPr>
                <w:sz w:val="16"/>
                <w:szCs w:val="16"/>
              </w:rPr>
              <w:t xml:space="preserve"> </w:t>
            </w:r>
          </w:p>
        </w:tc>
        <w:tc>
          <w:tcPr>
            <w:tcW w:w="3584" w:type="dxa"/>
          </w:tcPr>
          <w:p w14:paraId="47C5605F"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Material Safety Data Sheet</w:t>
            </w:r>
            <w:r w:rsidRPr="00013A6F" w:rsidDel="00D91361">
              <w:rPr>
                <w:sz w:val="16"/>
                <w:szCs w:val="16"/>
              </w:rPr>
              <w:t xml:space="preserve"> </w:t>
            </w:r>
          </w:p>
        </w:tc>
        <w:tc>
          <w:tcPr>
            <w:tcW w:w="1051" w:type="dxa"/>
          </w:tcPr>
          <w:p w14:paraId="7A0EF7B2"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TSCA</w:t>
            </w:r>
            <w:r w:rsidRPr="00013A6F" w:rsidDel="00D91361">
              <w:rPr>
                <w:sz w:val="16"/>
                <w:szCs w:val="16"/>
              </w:rPr>
              <w:t xml:space="preserve"> </w:t>
            </w:r>
          </w:p>
        </w:tc>
        <w:tc>
          <w:tcPr>
            <w:tcW w:w="3542" w:type="dxa"/>
          </w:tcPr>
          <w:p w14:paraId="2B416A0A"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Toxic Substances Control Act</w:t>
            </w:r>
            <w:r w:rsidRPr="00013A6F" w:rsidDel="00D91361">
              <w:rPr>
                <w:sz w:val="16"/>
                <w:szCs w:val="16"/>
              </w:rPr>
              <w:t xml:space="preserve"> </w:t>
            </w:r>
          </w:p>
        </w:tc>
      </w:tr>
      <w:tr w:rsidR="00013A6F" w:rsidRPr="00013A6F" w14:paraId="594A5167" w14:textId="77777777" w:rsidTr="00FF60C0">
        <w:trPr>
          <w:trHeight w:val="144"/>
        </w:trPr>
        <w:tc>
          <w:tcPr>
            <w:tcW w:w="1024" w:type="dxa"/>
          </w:tcPr>
          <w:p w14:paraId="6879FF01"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NFPA</w:t>
            </w:r>
            <w:r w:rsidRPr="00013A6F" w:rsidDel="00D91361">
              <w:rPr>
                <w:sz w:val="16"/>
                <w:szCs w:val="16"/>
              </w:rPr>
              <w:t xml:space="preserve"> </w:t>
            </w:r>
          </w:p>
        </w:tc>
        <w:tc>
          <w:tcPr>
            <w:tcW w:w="3584" w:type="dxa"/>
          </w:tcPr>
          <w:p w14:paraId="2B38C8D1"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National Fire Protection Association</w:t>
            </w:r>
            <w:r w:rsidRPr="00013A6F" w:rsidDel="00D91361">
              <w:rPr>
                <w:sz w:val="16"/>
                <w:szCs w:val="16"/>
              </w:rPr>
              <w:t xml:space="preserve"> </w:t>
            </w:r>
          </w:p>
        </w:tc>
        <w:tc>
          <w:tcPr>
            <w:tcW w:w="1051" w:type="dxa"/>
          </w:tcPr>
          <w:p w14:paraId="3C7CD2A4"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TWA</w:t>
            </w:r>
            <w:r w:rsidRPr="00013A6F" w:rsidDel="00D91361">
              <w:rPr>
                <w:sz w:val="16"/>
                <w:szCs w:val="16"/>
              </w:rPr>
              <w:t xml:space="preserve"> </w:t>
            </w:r>
          </w:p>
        </w:tc>
        <w:tc>
          <w:tcPr>
            <w:tcW w:w="3542" w:type="dxa"/>
          </w:tcPr>
          <w:p w14:paraId="1BA9B9D1"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Time Weighted Average</w:t>
            </w:r>
            <w:r w:rsidRPr="00013A6F" w:rsidDel="00D91361">
              <w:rPr>
                <w:sz w:val="16"/>
                <w:szCs w:val="16"/>
              </w:rPr>
              <w:t xml:space="preserve"> </w:t>
            </w:r>
          </w:p>
        </w:tc>
      </w:tr>
      <w:tr w:rsidR="00013A6F" w:rsidRPr="00013A6F" w14:paraId="359BE6CA" w14:textId="77777777" w:rsidTr="00FF60C0">
        <w:trPr>
          <w:trHeight w:val="144"/>
        </w:trPr>
        <w:tc>
          <w:tcPr>
            <w:tcW w:w="1024" w:type="dxa"/>
          </w:tcPr>
          <w:p w14:paraId="1321CB64"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NIOSH</w:t>
            </w:r>
            <w:r w:rsidRPr="00013A6F" w:rsidDel="00D91361">
              <w:rPr>
                <w:sz w:val="16"/>
                <w:szCs w:val="16"/>
              </w:rPr>
              <w:t xml:space="preserve"> </w:t>
            </w:r>
          </w:p>
        </w:tc>
        <w:tc>
          <w:tcPr>
            <w:tcW w:w="3584" w:type="dxa"/>
          </w:tcPr>
          <w:p w14:paraId="12846F2E"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National Institute for Occupational Safety and Health</w:t>
            </w:r>
            <w:r w:rsidRPr="00013A6F" w:rsidDel="00D91361">
              <w:rPr>
                <w:sz w:val="16"/>
                <w:szCs w:val="16"/>
              </w:rPr>
              <w:t xml:space="preserve"> </w:t>
            </w:r>
          </w:p>
        </w:tc>
        <w:tc>
          <w:tcPr>
            <w:tcW w:w="1051" w:type="dxa"/>
          </w:tcPr>
          <w:p w14:paraId="7DAA05DC"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UEL</w:t>
            </w:r>
            <w:r w:rsidRPr="00013A6F" w:rsidDel="00D91361">
              <w:rPr>
                <w:sz w:val="16"/>
                <w:szCs w:val="16"/>
              </w:rPr>
              <w:t xml:space="preserve"> </w:t>
            </w:r>
          </w:p>
        </w:tc>
        <w:tc>
          <w:tcPr>
            <w:tcW w:w="3542" w:type="dxa"/>
          </w:tcPr>
          <w:p w14:paraId="7EAFB411"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Upper Explosive Limit</w:t>
            </w:r>
            <w:r w:rsidRPr="00013A6F" w:rsidDel="00D91361">
              <w:rPr>
                <w:sz w:val="16"/>
                <w:szCs w:val="16"/>
              </w:rPr>
              <w:t xml:space="preserve"> </w:t>
            </w:r>
          </w:p>
        </w:tc>
      </w:tr>
      <w:tr w:rsidR="00013A6F" w:rsidRPr="00013A6F" w14:paraId="59AE1E26" w14:textId="77777777" w:rsidTr="00FF60C0">
        <w:trPr>
          <w:trHeight w:val="144"/>
        </w:trPr>
        <w:tc>
          <w:tcPr>
            <w:tcW w:w="1024" w:type="dxa"/>
          </w:tcPr>
          <w:p w14:paraId="38F19B8A"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NIST</w:t>
            </w:r>
          </w:p>
        </w:tc>
        <w:tc>
          <w:tcPr>
            <w:tcW w:w="3584" w:type="dxa"/>
          </w:tcPr>
          <w:p w14:paraId="27E8D3E7"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National Institute of Standards and Technology</w:t>
            </w:r>
          </w:p>
        </w:tc>
        <w:tc>
          <w:tcPr>
            <w:tcW w:w="1051" w:type="dxa"/>
          </w:tcPr>
          <w:p w14:paraId="2A16056F"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WHMIS</w:t>
            </w:r>
          </w:p>
        </w:tc>
        <w:tc>
          <w:tcPr>
            <w:tcW w:w="3542" w:type="dxa"/>
          </w:tcPr>
          <w:p w14:paraId="29DB35DD" w14:textId="77777777" w:rsidR="00013A6F" w:rsidRPr="00013A6F" w:rsidRDefault="00013A6F" w:rsidP="00FD5025">
            <w:pPr>
              <w:widowControl/>
              <w:spacing w:after="0" w:line="240" w:lineRule="auto"/>
              <w:ind w:right="-90"/>
              <w:rPr>
                <w:rFonts w:ascii="Calibri" w:eastAsia="Calibri" w:hAnsi="Calibri"/>
                <w:sz w:val="16"/>
                <w:szCs w:val="16"/>
              </w:rPr>
            </w:pPr>
            <w:r w:rsidRPr="00013A6F">
              <w:rPr>
                <w:sz w:val="16"/>
                <w:szCs w:val="16"/>
              </w:rPr>
              <w:t>Workplace Hazardous Materials Information System</w:t>
            </w:r>
          </w:p>
        </w:tc>
      </w:tr>
    </w:tbl>
    <w:p w14:paraId="07C780DC" w14:textId="77777777" w:rsidR="00FA1478" w:rsidRPr="0086534D" w:rsidRDefault="00FA1478" w:rsidP="0086534D">
      <w:pPr>
        <w:widowControl/>
        <w:spacing w:after="0" w:line="240" w:lineRule="auto"/>
        <w:jc w:val="both"/>
        <w:rPr>
          <w:rFonts w:ascii="Times New Roman" w:eastAsia="Times New Roman" w:hAnsi="Times New Roman"/>
          <w:bCs/>
          <w:sz w:val="20"/>
          <w:szCs w:val="20"/>
        </w:rPr>
      </w:pPr>
    </w:p>
    <w:p w14:paraId="0BA71E5D" w14:textId="77777777" w:rsidR="00013A6F" w:rsidRDefault="00013A6F" w:rsidP="0086534D">
      <w:pPr>
        <w:widowControl/>
        <w:spacing w:after="0" w:line="240" w:lineRule="auto"/>
        <w:jc w:val="both"/>
        <w:rPr>
          <w:rFonts w:ascii="Times New Roman" w:eastAsia="Times New Roman" w:hAnsi="Times New Roman"/>
          <w:bCs/>
          <w:sz w:val="20"/>
          <w:szCs w:val="20"/>
        </w:rPr>
      </w:pPr>
    </w:p>
    <w:p w14:paraId="2544903B" w14:textId="77777777" w:rsidR="0086534D" w:rsidRDefault="0086534D" w:rsidP="0086534D">
      <w:pPr>
        <w:widowControl/>
        <w:spacing w:after="0" w:line="240" w:lineRule="auto"/>
        <w:jc w:val="both"/>
        <w:rPr>
          <w:rFonts w:ascii="Times New Roman" w:eastAsia="Times New Roman" w:hAnsi="Times New Roman"/>
          <w:bCs/>
          <w:sz w:val="20"/>
          <w:szCs w:val="20"/>
        </w:rPr>
      </w:pPr>
    </w:p>
    <w:p w14:paraId="525DF4FC" w14:textId="77777777" w:rsidR="0086534D" w:rsidRPr="0086534D" w:rsidRDefault="0086534D" w:rsidP="0086534D">
      <w:pPr>
        <w:widowControl/>
        <w:spacing w:after="0" w:line="240" w:lineRule="auto"/>
        <w:jc w:val="both"/>
        <w:rPr>
          <w:rFonts w:ascii="Times New Roman" w:eastAsia="Times New Roman" w:hAnsi="Times New Roman"/>
          <w:bCs/>
          <w:sz w:val="20"/>
          <w:szCs w:val="20"/>
        </w:rPr>
      </w:pPr>
    </w:p>
    <w:p w14:paraId="798C414F" w14:textId="77777777" w:rsidR="00013A6F" w:rsidRPr="0086534D" w:rsidRDefault="00013A6F" w:rsidP="0086534D">
      <w:pPr>
        <w:widowControl/>
        <w:spacing w:after="0" w:line="240" w:lineRule="auto"/>
        <w:jc w:val="both"/>
        <w:rPr>
          <w:rFonts w:ascii="Times New Roman" w:eastAsia="Times New Roman" w:hAnsi="Times New Roman"/>
          <w:bCs/>
          <w:sz w:val="20"/>
          <w:szCs w:val="20"/>
        </w:rPr>
      </w:pPr>
    </w:p>
    <w:p w14:paraId="14B264C5" w14:textId="77777777" w:rsidR="00537670" w:rsidRDefault="00BF5DD9" w:rsidP="00FD5025">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sidR="00537670">
        <w:rPr>
          <w:rFonts w:ascii="Times New Roman" w:eastAsia="Times New Roman" w:hAnsi="Times New Roman"/>
          <w:spacing w:val="45"/>
          <w:sz w:val="20"/>
          <w:szCs w:val="20"/>
        </w:rPr>
        <w:t xml:space="preserve"> </w:t>
      </w:r>
      <w:r w:rsidR="00CC0B44">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sidR="0039592A">
        <w:rPr>
          <w:rFonts w:ascii="Times New Roman" w:eastAsia="Times New Roman" w:hAnsi="Times New Roman"/>
          <w:sz w:val="20"/>
          <w:szCs w:val="20"/>
        </w:rPr>
        <w:t>certified</w:t>
      </w:r>
      <w:r w:rsidR="00B05FDB">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w:t>
      </w:r>
      <w:r w:rsidR="0039592A">
        <w:rPr>
          <w:rFonts w:ascii="Times New Roman" w:eastAsia="Times New Roman" w:hAnsi="Times New Roman"/>
          <w:spacing w:val="-1"/>
          <w:sz w:val="20"/>
          <w:szCs w:val="20"/>
        </w:rPr>
        <w:t>Certificate of Analysis</w:t>
      </w:r>
      <w:r>
        <w:rPr>
          <w:rFonts w:ascii="Times New Roman" w:eastAsia="Times New Roman" w:hAnsi="Times New Roman"/>
          <w:sz w:val="20"/>
          <w:szCs w:val="20"/>
        </w:rPr>
        <w:t>.</w:t>
      </w:r>
    </w:p>
    <w:p w14:paraId="1AD090CB" w14:textId="77777777" w:rsidR="00E24579" w:rsidRPr="00714D24" w:rsidRDefault="001948EA" w:rsidP="00FD5025">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sidR="00622909">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sidR="00A148AB">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DF7A9" w14:textId="77777777" w:rsidR="005A257B" w:rsidRDefault="005A257B" w:rsidP="00E24579">
      <w:pPr>
        <w:spacing w:after="0" w:line="240" w:lineRule="auto"/>
      </w:pPr>
      <w:r>
        <w:separator/>
      </w:r>
    </w:p>
  </w:endnote>
  <w:endnote w:type="continuationSeparator" w:id="0">
    <w:p w14:paraId="7CE88954" w14:textId="77777777" w:rsidR="005A257B" w:rsidRDefault="005A257B"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C546C" w14:textId="77777777" w:rsidR="005A257B" w:rsidRPr="005315D6" w:rsidRDefault="00FD5025" w:rsidP="005315D6">
    <w:pPr>
      <w:pStyle w:val="Footer"/>
      <w:tabs>
        <w:tab w:val="clear" w:pos="4680"/>
        <w:tab w:val="center" w:pos="4320"/>
        <w:tab w:val="left" w:pos="8370"/>
      </w:tabs>
      <w:rPr>
        <w:rFonts w:ascii="Times New Roman" w:hAnsi="Times New Roman"/>
        <w:sz w:val="20"/>
        <w:szCs w:val="20"/>
      </w:rPr>
    </w:pPr>
    <w:r>
      <w:rPr>
        <w:rFonts w:ascii="Times New Roman" w:hAnsi="Times New Roman"/>
        <w:sz w:val="20"/>
        <w:szCs w:val="20"/>
      </w:rPr>
      <w:t>SRM</w:t>
    </w:r>
    <w:r w:rsidR="005A257B" w:rsidRPr="00371ED3">
      <w:rPr>
        <w:rFonts w:ascii="Times New Roman" w:hAnsi="Times New Roman"/>
        <w:sz w:val="20"/>
        <w:szCs w:val="20"/>
      </w:rPr>
      <w:t xml:space="preserve"> </w:t>
    </w:r>
    <w:r>
      <w:rPr>
        <w:rFonts w:ascii="Times New Roman" w:hAnsi="Times New Roman"/>
        <w:sz w:val="20"/>
        <w:szCs w:val="20"/>
      </w:rPr>
      <w:t>1939a</w:t>
    </w:r>
    <w:r w:rsidR="005A257B" w:rsidRPr="00371ED3">
      <w:rPr>
        <w:rFonts w:ascii="Times New Roman" w:hAnsi="Times New Roman"/>
        <w:sz w:val="20"/>
        <w:szCs w:val="20"/>
      </w:rPr>
      <w:tab/>
    </w:r>
    <w:r w:rsidR="005A257B" w:rsidRPr="005315D6">
      <w:rPr>
        <w:rFonts w:ascii="Times New Roman" w:hAnsi="Times New Roman"/>
        <w:sz w:val="20"/>
        <w:szCs w:val="20"/>
      </w:rPr>
      <w:tab/>
      <w:t xml:space="preserve">Page </w:t>
    </w:r>
    <w:r w:rsidR="005A257B">
      <w:rPr>
        <w:rStyle w:val="PageNumber"/>
        <w:rFonts w:ascii="Times New Roman" w:hAnsi="Times New Roman"/>
        <w:sz w:val="20"/>
        <w:szCs w:val="20"/>
      </w:rPr>
      <w:fldChar w:fldCharType="begin"/>
    </w:r>
    <w:r w:rsidR="005A257B">
      <w:rPr>
        <w:rStyle w:val="PageNumber"/>
        <w:rFonts w:ascii="Times New Roman" w:hAnsi="Times New Roman"/>
        <w:sz w:val="20"/>
        <w:szCs w:val="20"/>
      </w:rPr>
      <w:instrText xml:space="preserve"> PAGE  </w:instrText>
    </w:r>
    <w:r w:rsidR="005A257B">
      <w:rPr>
        <w:rStyle w:val="PageNumber"/>
        <w:rFonts w:ascii="Times New Roman" w:hAnsi="Times New Roman"/>
        <w:sz w:val="20"/>
        <w:szCs w:val="20"/>
      </w:rPr>
      <w:fldChar w:fldCharType="separate"/>
    </w:r>
    <w:r w:rsidR="00C60965">
      <w:rPr>
        <w:rStyle w:val="PageNumber"/>
        <w:rFonts w:ascii="Times New Roman" w:hAnsi="Times New Roman"/>
        <w:noProof/>
        <w:sz w:val="20"/>
        <w:szCs w:val="20"/>
      </w:rPr>
      <w:t>1</w:t>
    </w:r>
    <w:r w:rsidR="005A257B">
      <w:rPr>
        <w:rStyle w:val="PageNumber"/>
        <w:rFonts w:ascii="Times New Roman" w:hAnsi="Times New Roman"/>
        <w:sz w:val="20"/>
        <w:szCs w:val="20"/>
      </w:rPr>
      <w:fldChar w:fldCharType="end"/>
    </w:r>
    <w:r w:rsidR="005A257B" w:rsidRPr="005315D6">
      <w:rPr>
        <w:rStyle w:val="PageNumber"/>
        <w:rFonts w:ascii="Times New Roman" w:hAnsi="Times New Roman"/>
        <w:sz w:val="20"/>
        <w:szCs w:val="20"/>
      </w:rPr>
      <w:t xml:space="preserve"> of </w:t>
    </w:r>
    <w:r w:rsidR="005A257B">
      <w:rPr>
        <w:rStyle w:val="PageNumber"/>
        <w:rFonts w:ascii="Times New Roman" w:hAnsi="Times New Roman"/>
        <w:sz w:val="20"/>
        <w:szCs w:val="20"/>
      </w:rPr>
      <w:fldChar w:fldCharType="begin"/>
    </w:r>
    <w:r w:rsidR="005A257B">
      <w:rPr>
        <w:rStyle w:val="PageNumber"/>
        <w:rFonts w:ascii="Times New Roman" w:hAnsi="Times New Roman"/>
        <w:sz w:val="20"/>
        <w:szCs w:val="20"/>
      </w:rPr>
      <w:instrText xml:space="preserve"> NUMPAGES   \* MERGEFORMAT </w:instrText>
    </w:r>
    <w:r w:rsidR="005A257B">
      <w:rPr>
        <w:rStyle w:val="PageNumber"/>
        <w:rFonts w:ascii="Times New Roman" w:hAnsi="Times New Roman"/>
        <w:sz w:val="20"/>
        <w:szCs w:val="20"/>
      </w:rPr>
      <w:fldChar w:fldCharType="separate"/>
    </w:r>
    <w:r w:rsidR="00C60965">
      <w:rPr>
        <w:rStyle w:val="PageNumber"/>
        <w:rFonts w:ascii="Times New Roman" w:hAnsi="Times New Roman"/>
        <w:noProof/>
        <w:sz w:val="20"/>
        <w:szCs w:val="20"/>
      </w:rPr>
      <w:t>5</w:t>
    </w:r>
    <w:r w:rsidR="005A257B">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E460B" w14:textId="77777777" w:rsidR="005A257B" w:rsidRDefault="005A257B" w:rsidP="00E24579">
      <w:pPr>
        <w:spacing w:after="0" w:line="240" w:lineRule="auto"/>
      </w:pPr>
      <w:r>
        <w:separator/>
      </w:r>
    </w:p>
  </w:footnote>
  <w:footnote w:type="continuationSeparator" w:id="0">
    <w:p w14:paraId="622CA23B" w14:textId="77777777" w:rsidR="005A257B" w:rsidRDefault="005A257B"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hdrShapeDefaults>
    <o:shapedefaults v:ext="edit" spidmax="30208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1F3"/>
    <w:rsid w:val="00005D5A"/>
    <w:rsid w:val="000062AB"/>
    <w:rsid w:val="00011CAC"/>
    <w:rsid w:val="000127AB"/>
    <w:rsid w:val="00013A6F"/>
    <w:rsid w:val="00015F8E"/>
    <w:rsid w:val="000178BF"/>
    <w:rsid w:val="00025571"/>
    <w:rsid w:val="000338D3"/>
    <w:rsid w:val="00037080"/>
    <w:rsid w:val="00040067"/>
    <w:rsid w:val="000425F7"/>
    <w:rsid w:val="0005067D"/>
    <w:rsid w:val="00051FB5"/>
    <w:rsid w:val="00052A14"/>
    <w:rsid w:val="00054A71"/>
    <w:rsid w:val="00054F94"/>
    <w:rsid w:val="00075BDC"/>
    <w:rsid w:val="0007601E"/>
    <w:rsid w:val="0008033C"/>
    <w:rsid w:val="00081FFA"/>
    <w:rsid w:val="00085816"/>
    <w:rsid w:val="00094BF8"/>
    <w:rsid w:val="00095044"/>
    <w:rsid w:val="000B79EB"/>
    <w:rsid w:val="000C0534"/>
    <w:rsid w:val="000D31BB"/>
    <w:rsid w:val="000E147E"/>
    <w:rsid w:val="000E1EBF"/>
    <w:rsid w:val="000E3B6D"/>
    <w:rsid w:val="000E615A"/>
    <w:rsid w:val="000F1959"/>
    <w:rsid w:val="000F255D"/>
    <w:rsid w:val="000F5325"/>
    <w:rsid w:val="00112C69"/>
    <w:rsid w:val="001248AA"/>
    <w:rsid w:val="00125FD4"/>
    <w:rsid w:val="00127DDB"/>
    <w:rsid w:val="00130CC0"/>
    <w:rsid w:val="00144362"/>
    <w:rsid w:val="00144ADE"/>
    <w:rsid w:val="00145AD5"/>
    <w:rsid w:val="0014771E"/>
    <w:rsid w:val="00150BAB"/>
    <w:rsid w:val="00152B7B"/>
    <w:rsid w:val="0015519D"/>
    <w:rsid w:val="00167AFD"/>
    <w:rsid w:val="00170F65"/>
    <w:rsid w:val="00172026"/>
    <w:rsid w:val="00175EFF"/>
    <w:rsid w:val="00176501"/>
    <w:rsid w:val="00180BE9"/>
    <w:rsid w:val="0018233E"/>
    <w:rsid w:val="001862E9"/>
    <w:rsid w:val="001930E9"/>
    <w:rsid w:val="00193FA9"/>
    <w:rsid w:val="001948EA"/>
    <w:rsid w:val="00194A53"/>
    <w:rsid w:val="00195830"/>
    <w:rsid w:val="0019668F"/>
    <w:rsid w:val="001A0EA2"/>
    <w:rsid w:val="001A19D3"/>
    <w:rsid w:val="001B25DA"/>
    <w:rsid w:val="001B78DF"/>
    <w:rsid w:val="001C4AA7"/>
    <w:rsid w:val="001C4F6D"/>
    <w:rsid w:val="001D0D6B"/>
    <w:rsid w:val="001D4ADF"/>
    <w:rsid w:val="001D7FE4"/>
    <w:rsid w:val="001E1EEB"/>
    <w:rsid w:val="001E7E32"/>
    <w:rsid w:val="001F4AA3"/>
    <w:rsid w:val="001F7438"/>
    <w:rsid w:val="00203853"/>
    <w:rsid w:val="00203A9F"/>
    <w:rsid w:val="00206AE7"/>
    <w:rsid w:val="0021642E"/>
    <w:rsid w:val="002237B1"/>
    <w:rsid w:val="00224515"/>
    <w:rsid w:val="002326AE"/>
    <w:rsid w:val="00232FEE"/>
    <w:rsid w:val="00241552"/>
    <w:rsid w:val="002416D8"/>
    <w:rsid w:val="00242591"/>
    <w:rsid w:val="002566D9"/>
    <w:rsid w:val="00271910"/>
    <w:rsid w:val="002732BD"/>
    <w:rsid w:val="002762BE"/>
    <w:rsid w:val="0028318C"/>
    <w:rsid w:val="002874AC"/>
    <w:rsid w:val="00295831"/>
    <w:rsid w:val="00296E4D"/>
    <w:rsid w:val="002A0775"/>
    <w:rsid w:val="002A3CAA"/>
    <w:rsid w:val="002A4B2C"/>
    <w:rsid w:val="002B2021"/>
    <w:rsid w:val="002B22C8"/>
    <w:rsid w:val="002B3137"/>
    <w:rsid w:val="002B4306"/>
    <w:rsid w:val="002B60F0"/>
    <w:rsid w:val="002C5045"/>
    <w:rsid w:val="002D25F6"/>
    <w:rsid w:val="002D63F4"/>
    <w:rsid w:val="002D649F"/>
    <w:rsid w:val="002F28B5"/>
    <w:rsid w:val="002F3AF7"/>
    <w:rsid w:val="00303CFF"/>
    <w:rsid w:val="003045F2"/>
    <w:rsid w:val="0030612C"/>
    <w:rsid w:val="003135B6"/>
    <w:rsid w:val="003156B0"/>
    <w:rsid w:val="0031663D"/>
    <w:rsid w:val="00326A67"/>
    <w:rsid w:val="00335DD7"/>
    <w:rsid w:val="003375EA"/>
    <w:rsid w:val="00341E61"/>
    <w:rsid w:val="00343B25"/>
    <w:rsid w:val="00345BDB"/>
    <w:rsid w:val="003466CD"/>
    <w:rsid w:val="003502C6"/>
    <w:rsid w:val="00350823"/>
    <w:rsid w:val="00351C12"/>
    <w:rsid w:val="00371ED3"/>
    <w:rsid w:val="0037222D"/>
    <w:rsid w:val="003727AC"/>
    <w:rsid w:val="003738E1"/>
    <w:rsid w:val="00383F47"/>
    <w:rsid w:val="0039592A"/>
    <w:rsid w:val="0039599D"/>
    <w:rsid w:val="0039690E"/>
    <w:rsid w:val="003B2C06"/>
    <w:rsid w:val="003B54FB"/>
    <w:rsid w:val="003C76DF"/>
    <w:rsid w:val="003D5857"/>
    <w:rsid w:val="003D6279"/>
    <w:rsid w:val="003E2700"/>
    <w:rsid w:val="003E5A7F"/>
    <w:rsid w:val="004021D2"/>
    <w:rsid w:val="00404335"/>
    <w:rsid w:val="00405269"/>
    <w:rsid w:val="00424C7F"/>
    <w:rsid w:val="004250A6"/>
    <w:rsid w:val="00427144"/>
    <w:rsid w:val="0043249C"/>
    <w:rsid w:val="0043380E"/>
    <w:rsid w:val="0044174A"/>
    <w:rsid w:val="0044226E"/>
    <w:rsid w:val="00444104"/>
    <w:rsid w:val="004457B0"/>
    <w:rsid w:val="00450AAA"/>
    <w:rsid w:val="00450AD0"/>
    <w:rsid w:val="004521E9"/>
    <w:rsid w:val="004528A1"/>
    <w:rsid w:val="00454319"/>
    <w:rsid w:val="00455695"/>
    <w:rsid w:val="00455A83"/>
    <w:rsid w:val="004563C5"/>
    <w:rsid w:val="00466137"/>
    <w:rsid w:val="00474DF2"/>
    <w:rsid w:val="00476880"/>
    <w:rsid w:val="0048419A"/>
    <w:rsid w:val="00493484"/>
    <w:rsid w:val="004A6E3F"/>
    <w:rsid w:val="004D12D6"/>
    <w:rsid w:val="004D3BFD"/>
    <w:rsid w:val="004D5D98"/>
    <w:rsid w:val="004D65C2"/>
    <w:rsid w:val="004E06D8"/>
    <w:rsid w:val="004E54F3"/>
    <w:rsid w:val="004E5DB2"/>
    <w:rsid w:val="004E5DCE"/>
    <w:rsid w:val="004E734D"/>
    <w:rsid w:val="004E7C12"/>
    <w:rsid w:val="004E7CC2"/>
    <w:rsid w:val="004F17CA"/>
    <w:rsid w:val="004F1C1D"/>
    <w:rsid w:val="004F2B85"/>
    <w:rsid w:val="004F46FD"/>
    <w:rsid w:val="004F76D5"/>
    <w:rsid w:val="0050110A"/>
    <w:rsid w:val="00510CBD"/>
    <w:rsid w:val="00517108"/>
    <w:rsid w:val="00521CB4"/>
    <w:rsid w:val="005302E6"/>
    <w:rsid w:val="005315D6"/>
    <w:rsid w:val="005318BF"/>
    <w:rsid w:val="00534548"/>
    <w:rsid w:val="00537670"/>
    <w:rsid w:val="005401AD"/>
    <w:rsid w:val="0055271F"/>
    <w:rsid w:val="005550E0"/>
    <w:rsid w:val="00556719"/>
    <w:rsid w:val="00565AA3"/>
    <w:rsid w:val="005832A5"/>
    <w:rsid w:val="00584A22"/>
    <w:rsid w:val="00584C8B"/>
    <w:rsid w:val="00585970"/>
    <w:rsid w:val="00590E21"/>
    <w:rsid w:val="00592E01"/>
    <w:rsid w:val="005932F5"/>
    <w:rsid w:val="005937F6"/>
    <w:rsid w:val="005A257B"/>
    <w:rsid w:val="005A73FE"/>
    <w:rsid w:val="005B0FBD"/>
    <w:rsid w:val="005D0F87"/>
    <w:rsid w:val="005D3405"/>
    <w:rsid w:val="005D4139"/>
    <w:rsid w:val="005D632D"/>
    <w:rsid w:val="005E0A42"/>
    <w:rsid w:val="005E3C3C"/>
    <w:rsid w:val="005E4F60"/>
    <w:rsid w:val="005F656F"/>
    <w:rsid w:val="005F7AEB"/>
    <w:rsid w:val="00600C7C"/>
    <w:rsid w:val="006025E1"/>
    <w:rsid w:val="00603CC6"/>
    <w:rsid w:val="00606535"/>
    <w:rsid w:val="00620718"/>
    <w:rsid w:val="00622880"/>
    <w:rsid w:val="00622909"/>
    <w:rsid w:val="00622AE4"/>
    <w:rsid w:val="00622BAB"/>
    <w:rsid w:val="00623C6E"/>
    <w:rsid w:val="006251CA"/>
    <w:rsid w:val="006255F3"/>
    <w:rsid w:val="00632690"/>
    <w:rsid w:val="00632742"/>
    <w:rsid w:val="00633925"/>
    <w:rsid w:val="00642C12"/>
    <w:rsid w:val="00643E10"/>
    <w:rsid w:val="0064486D"/>
    <w:rsid w:val="00645989"/>
    <w:rsid w:val="006528A7"/>
    <w:rsid w:val="006548D9"/>
    <w:rsid w:val="00655EC3"/>
    <w:rsid w:val="00661CCC"/>
    <w:rsid w:val="0066464E"/>
    <w:rsid w:val="006662F0"/>
    <w:rsid w:val="0067534E"/>
    <w:rsid w:val="00676966"/>
    <w:rsid w:val="006821C7"/>
    <w:rsid w:val="0068405F"/>
    <w:rsid w:val="00687432"/>
    <w:rsid w:val="0069128F"/>
    <w:rsid w:val="00693E96"/>
    <w:rsid w:val="006949E2"/>
    <w:rsid w:val="00695328"/>
    <w:rsid w:val="00696DE6"/>
    <w:rsid w:val="006A07F8"/>
    <w:rsid w:val="006A7CE0"/>
    <w:rsid w:val="006B276B"/>
    <w:rsid w:val="006B712E"/>
    <w:rsid w:val="006C412A"/>
    <w:rsid w:val="006D24D9"/>
    <w:rsid w:val="006E5E61"/>
    <w:rsid w:val="006E61C7"/>
    <w:rsid w:val="006F0F73"/>
    <w:rsid w:val="007036EB"/>
    <w:rsid w:val="00706B67"/>
    <w:rsid w:val="007109A5"/>
    <w:rsid w:val="00710FAA"/>
    <w:rsid w:val="00714D24"/>
    <w:rsid w:val="00717B98"/>
    <w:rsid w:val="0072264A"/>
    <w:rsid w:val="007237E2"/>
    <w:rsid w:val="00730686"/>
    <w:rsid w:val="0073150A"/>
    <w:rsid w:val="007315EF"/>
    <w:rsid w:val="00733B44"/>
    <w:rsid w:val="00743478"/>
    <w:rsid w:val="00743E34"/>
    <w:rsid w:val="007502B5"/>
    <w:rsid w:val="00756C01"/>
    <w:rsid w:val="007574D4"/>
    <w:rsid w:val="0076440D"/>
    <w:rsid w:val="0076543A"/>
    <w:rsid w:val="007666FB"/>
    <w:rsid w:val="00766D85"/>
    <w:rsid w:val="00783F68"/>
    <w:rsid w:val="00784040"/>
    <w:rsid w:val="00792487"/>
    <w:rsid w:val="007975C5"/>
    <w:rsid w:val="007A5D32"/>
    <w:rsid w:val="007B169F"/>
    <w:rsid w:val="007B56D0"/>
    <w:rsid w:val="007C78E5"/>
    <w:rsid w:val="007C7F6E"/>
    <w:rsid w:val="007D4A25"/>
    <w:rsid w:val="007D6D9F"/>
    <w:rsid w:val="007E107C"/>
    <w:rsid w:val="007E335A"/>
    <w:rsid w:val="007E6EDD"/>
    <w:rsid w:val="007F5046"/>
    <w:rsid w:val="007F5C40"/>
    <w:rsid w:val="007F660E"/>
    <w:rsid w:val="00814DE3"/>
    <w:rsid w:val="008154F9"/>
    <w:rsid w:val="00817765"/>
    <w:rsid w:val="00821095"/>
    <w:rsid w:val="00824279"/>
    <w:rsid w:val="00831DDA"/>
    <w:rsid w:val="00834BA4"/>
    <w:rsid w:val="008354ED"/>
    <w:rsid w:val="00836B33"/>
    <w:rsid w:val="00844575"/>
    <w:rsid w:val="00851D06"/>
    <w:rsid w:val="00864677"/>
    <w:rsid w:val="0086534D"/>
    <w:rsid w:val="008660ED"/>
    <w:rsid w:val="008665F3"/>
    <w:rsid w:val="008707BD"/>
    <w:rsid w:val="008751A2"/>
    <w:rsid w:val="00877B64"/>
    <w:rsid w:val="00881C3C"/>
    <w:rsid w:val="00886C5A"/>
    <w:rsid w:val="008925FA"/>
    <w:rsid w:val="00892672"/>
    <w:rsid w:val="00893F73"/>
    <w:rsid w:val="008A060D"/>
    <w:rsid w:val="008A179D"/>
    <w:rsid w:val="008B70F0"/>
    <w:rsid w:val="008B7934"/>
    <w:rsid w:val="008C1AC3"/>
    <w:rsid w:val="008C684F"/>
    <w:rsid w:val="008D16C4"/>
    <w:rsid w:val="008E0386"/>
    <w:rsid w:val="008E1A8B"/>
    <w:rsid w:val="008E1B26"/>
    <w:rsid w:val="008E3EC6"/>
    <w:rsid w:val="008F4DC0"/>
    <w:rsid w:val="008F646B"/>
    <w:rsid w:val="008F7B1B"/>
    <w:rsid w:val="00902F44"/>
    <w:rsid w:val="009037A7"/>
    <w:rsid w:val="0090699C"/>
    <w:rsid w:val="00910EA2"/>
    <w:rsid w:val="00911A75"/>
    <w:rsid w:val="00915962"/>
    <w:rsid w:val="009175D1"/>
    <w:rsid w:val="00931BB0"/>
    <w:rsid w:val="00935858"/>
    <w:rsid w:val="00942D37"/>
    <w:rsid w:val="00953EFC"/>
    <w:rsid w:val="009568A3"/>
    <w:rsid w:val="00957A04"/>
    <w:rsid w:val="00957B26"/>
    <w:rsid w:val="00971EDC"/>
    <w:rsid w:val="00977539"/>
    <w:rsid w:val="00981AAE"/>
    <w:rsid w:val="0098347B"/>
    <w:rsid w:val="0099505F"/>
    <w:rsid w:val="009B00D0"/>
    <w:rsid w:val="009B7881"/>
    <w:rsid w:val="009C1029"/>
    <w:rsid w:val="009C799D"/>
    <w:rsid w:val="009D2951"/>
    <w:rsid w:val="009D2B8E"/>
    <w:rsid w:val="009E0D2E"/>
    <w:rsid w:val="009E33CE"/>
    <w:rsid w:val="009E5BA8"/>
    <w:rsid w:val="009F18A8"/>
    <w:rsid w:val="009F3C46"/>
    <w:rsid w:val="009F49E7"/>
    <w:rsid w:val="009F5230"/>
    <w:rsid w:val="009F663A"/>
    <w:rsid w:val="009F6B0C"/>
    <w:rsid w:val="00A00A2B"/>
    <w:rsid w:val="00A01339"/>
    <w:rsid w:val="00A0266C"/>
    <w:rsid w:val="00A02D37"/>
    <w:rsid w:val="00A13A72"/>
    <w:rsid w:val="00A148AB"/>
    <w:rsid w:val="00A14B09"/>
    <w:rsid w:val="00A203EB"/>
    <w:rsid w:val="00A2056E"/>
    <w:rsid w:val="00A26DBF"/>
    <w:rsid w:val="00A33E0F"/>
    <w:rsid w:val="00A45A14"/>
    <w:rsid w:val="00A47B0A"/>
    <w:rsid w:val="00A50A78"/>
    <w:rsid w:val="00A5395F"/>
    <w:rsid w:val="00A54F76"/>
    <w:rsid w:val="00A56380"/>
    <w:rsid w:val="00A61AAA"/>
    <w:rsid w:val="00A61CD8"/>
    <w:rsid w:val="00A6748B"/>
    <w:rsid w:val="00A73159"/>
    <w:rsid w:val="00A911CD"/>
    <w:rsid w:val="00A91680"/>
    <w:rsid w:val="00A93FFD"/>
    <w:rsid w:val="00A940B2"/>
    <w:rsid w:val="00A9523D"/>
    <w:rsid w:val="00AA6AC2"/>
    <w:rsid w:val="00AB4A6C"/>
    <w:rsid w:val="00AB552F"/>
    <w:rsid w:val="00AC1826"/>
    <w:rsid w:val="00AC23EF"/>
    <w:rsid w:val="00AD050B"/>
    <w:rsid w:val="00AD6D0A"/>
    <w:rsid w:val="00AD718C"/>
    <w:rsid w:val="00AF488F"/>
    <w:rsid w:val="00AF7E1C"/>
    <w:rsid w:val="00B0155D"/>
    <w:rsid w:val="00B05FDB"/>
    <w:rsid w:val="00B124D7"/>
    <w:rsid w:val="00B1513E"/>
    <w:rsid w:val="00B15A12"/>
    <w:rsid w:val="00B16840"/>
    <w:rsid w:val="00B173FB"/>
    <w:rsid w:val="00B177FF"/>
    <w:rsid w:val="00B26213"/>
    <w:rsid w:val="00B3185E"/>
    <w:rsid w:val="00B33652"/>
    <w:rsid w:val="00B448C3"/>
    <w:rsid w:val="00B45C19"/>
    <w:rsid w:val="00B4602F"/>
    <w:rsid w:val="00B5083F"/>
    <w:rsid w:val="00B546AD"/>
    <w:rsid w:val="00B54925"/>
    <w:rsid w:val="00B54B62"/>
    <w:rsid w:val="00B55CD5"/>
    <w:rsid w:val="00B56A4E"/>
    <w:rsid w:val="00B824E8"/>
    <w:rsid w:val="00B82E15"/>
    <w:rsid w:val="00B8718F"/>
    <w:rsid w:val="00B874FA"/>
    <w:rsid w:val="00B87CE3"/>
    <w:rsid w:val="00B91B33"/>
    <w:rsid w:val="00B97847"/>
    <w:rsid w:val="00BA2B6D"/>
    <w:rsid w:val="00BA67FC"/>
    <w:rsid w:val="00BB0995"/>
    <w:rsid w:val="00BB14A2"/>
    <w:rsid w:val="00BB55E8"/>
    <w:rsid w:val="00BC5C79"/>
    <w:rsid w:val="00BD0059"/>
    <w:rsid w:val="00BE09C9"/>
    <w:rsid w:val="00BF0592"/>
    <w:rsid w:val="00BF230B"/>
    <w:rsid w:val="00BF5DD9"/>
    <w:rsid w:val="00BF5FB6"/>
    <w:rsid w:val="00BF6022"/>
    <w:rsid w:val="00BF72CB"/>
    <w:rsid w:val="00BF7D48"/>
    <w:rsid w:val="00C0190D"/>
    <w:rsid w:val="00C10B4B"/>
    <w:rsid w:val="00C10BCF"/>
    <w:rsid w:val="00C10E6A"/>
    <w:rsid w:val="00C131D0"/>
    <w:rsid w:val="00C1391B"/>
    <w:rsid w:val="00C13DBB"/>
    <w:rsid w:val="00C142BE"/>
    <w:rsid w:val="00C206D5"/>
    <w:rsid w:val="00C253FE"/>
    <w:rsid w:val="00C277A8"/>
    <w:rsid w:val="00C27D84"/>
    <w:rsid w:val="00C30FD3"/>
    <w:rsid w:val="00C36E46"/>
    <w:rsid w:val="00C40E05"/>
    <w:rsid w:val="00C508A0"/>
    <w:rsid w:val="00C5504A"/>
    <w:rsid w:val="00C60965"/>
    <w:rsid w:val="00C63267"/>
    <w:rsid w:val="00C661E3"/>
    <w:rsid w:val="00C66C97"/>
    <w:rsid w:val="00C723CD"/>
    <w:rsid w:val="00C83E59"/>
    <w:rsid w:val="00C84E3B"/>
    <w:rsid w:val="00C87866"/>
    <w:rsid w:val="00C87FA4"/>
    <w:rsid w:val="00C91840"/>
    <w:rsid w:val="00CA0D43"/>
    <w:rsid w:val="00CA0DDF"/>
    <w:rsid w:val="00CA2D25"/>
    <w:rsid w:val="00CA42D2"/>
    <w:rsid w:val="00CB0063"/>
    <w:rsid w:val="00CB4087"/>
    <w:rsid w:val="00CC0B44"/>
    <w:rsid w:val="00CC65BE"/>
    <w:rsid w:val="00CC6C33"/>
    <w:rsid w:val="00CD0FFB"/>
    <w:rsid w:val="00CE0AF7"/>
    <w:rsid w:val="00CF5A57"/>
    <w:rsid w:val="00CF6BA4"/>
    <w:rsid w:val="00CF712B"/>
    <w:rsid w:val="00D01FF3"/>
    <w:rsid w:val="00D03028"/>
    <w:rsid w:val="00D03D0A"/>
    <w:rsid w:val="00D12C26"/>
    <w:rsid w:val="00D2295A"/>
    <w:rsid w:val="00D23B04"/>
    <w:rsid w:val="00D25DBF"/>
    <w:rsid w:val="00D3347C"/>
    <w:rsid w:val="00D34188"/>
    <w:rsid w:val="00D409AB"/>
    <w:rsid w:val="00D41BAC"/>
    <w:rsid w:val="00D42A67"/>
    <w:rsid w:val="00D536DB"/>
    <w:rsid w:val="00D55B8D"/>
    <w:rsid w:val="00D60A36"/>
    <w:rsid w:val="00D61695"/>
    <w:rsid w:val="00D70C8B"/>
    <w:rsid w:val="00D73BA0"/>
    <w:rsid w:val="00D754E5"/>
    <w:rsid w:val="00D77265"/>
    <w:rsid w:val="00D85E12"/>
    <w:rsid w:val="00D86CFF"/>
    <w:rsid w:val="00D90F89"/>
    <w:rsid w:val="00DA4142"/>
    <w:rsid w:val="00DA4ACF"/>
    <w:rsid w:val="00DA5A17"/>
    <w:rsid w:val="00DB53D1"/>
    <w:rsid w:val="00DB683D"/>
    <w:rsid w:val="00DB72C0"/>
    <w:rsid w:val="00DB756D"/>
    <w:rsid w:val="00DC0227"/>
    <w:rsid w:val="00DC1232"/>
    <w:rsid w:val="00DC3629"/>
    <w:rsid w:val="00DC38A1"/>
    <w:rsid w:val="00DC6B5D"/>
    <w:rsid w:val="00DD38F6"/>
    <w:rsid w:val="00DD43AE"/>
    <w:rsid w:val="00DD5D65"/>
    <w:rsid w:val="00DE2CB0"/>
    <w:rsid w:val="00DE31FD"/>
    <w:rsid w:val="00DE64B4"/>
    <w:rsid w:val="00DF05FF"/>
    <w:rsid w:val="00DF36DB"/>
    <w:rsid w:val="00E014A4"/>
    <w:rsid w:val="00E01681"/>
    <w:rsid w:val="00E02297"/>
    <w:rsid w:val="00E02561"/>
    <w:rsid w:val="00E06A19"/>
    <w:rsid w:val="00E1552D"/>
    <w:rsid w:val="00E1672A"/>
    <w:rsid w:val="00E1791E"/>
    <w:rsid w:val="00E22725"/>
    <w:rsid w:val="00E2314F"/>
    <w:rsid w:val="00E24579"/>
    <w:rsid w:val="00E31138"/>
    <w:rsid w:val="00E37538"/>
    <w:rsid w:val="00E41B6E"/>
    <w:rsid w:val="00E434E1"/>
    <w:rsid w:val="00E440AC"/>
    <w:rsid w:val="00E523E6"/>
    <w:rsid w:val="00E620ED"/>
    <w:rsid w:val="00E7130C"/>
    <w:rsid w:val="00E81BD0"/>
    <w:rsid w:val="00E82901"/>
    <w:rsid w:val="00E84BFE"/>
    <w:rsid w:val="00E870D8"/>
    <w:rsid w:val="00E87111"/>
    <w:rsid w:val="00E91344"/>
    <w:rsid w:val="00E93DD1"/>
    <w:rsid w:val="00EA0DE2"/>
    <w:rsid w:val="00EA2B11"/>
    <w:rsid w:val="00EA4470"/>
    <w:rsid w:val="00EB216E"/>
    <w:rsid w:val="00EB5E4A"/>
    <w:rsid w:val="00EB7190"/>
    <w:rsid w:val="00EB78CB"/>
    <w:rsid w:val="00EC2C72"/>
    <w:rsid w:val="00ED5B65"/>
    <w:rsid w:val="00EE1BE2"/>
    <w:rsid w:val="00EE1F37"/>
    <w:rsid w:val="00EF0F7C"/>
    <w:rsid w:val="00EF3786"/>
    <w:rsid w:val="00EF4006"/>
    <w:rsid w:val="00EF761A"/>
    <w:rsid w:val="00F0571F"/>
    <w:rsid w:val="00F057E8"/>
    <w:rsid w:val="00F05827"/>
    <w:rsid w:val="00F1590F"/>
    <w:rsid w:val="00F15DCE"/>
    <w:rsid w:val="00F16C1A"/>
    <w:rsid w:val="00F2490E"/>
    <w:rsid w:val="00F31B16"/>
    <w:rsid w:val="00F3381A"/>
    <w:rsid w:val="00F4046F"/>
    <w:rsid w:val="00F4079E"/>
    <w:rsid w:val="00F54F3B"/>
    <w:rsid w:val="00F6032E"/>
    <w:rsid w:val="00F63663"/>
    <w:rsid w:val="00F655EB"/>
    <w:rsid w:val="00F656A2"/>
    <w:rsid w:val="00F67CCA"/>
    <w:rsid w:val="00F74AF4"/>
    <w:rsid w:val="00F7593E"/>
    <w:rsid w:val="00F92DAA"/>
    <w:rsid w:val="00FA1478"/>
    <w:rsid w:val="00FA5DC8"/>
    <w:rsid w:val="00FA746E"/>
    <w:rsid w:val="00FB1952"/>
    <w:rsid w:val="00FB7719"/>
    <w:rsid w:val="00FC3C8B"/>
    <w:rsid w:val="00FC5A98"/>
    <w:rsid w:val="00FC7D09"/>
    <w:rsid w:val="00FD4B73"/>
    <w:rsid w:val="00FD5025"/>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2081"/>
    <o:shapelayout v:ext="edit">
      <o:idmap v:ext="edit" data="1"/>
    </o:shapelayout>
  </w:shapeDefaults>
  <w:decimalSymbol w:val="."/>
  <w:listSeparator w:val=","/>
  <w14:docId w14:val="3F517A35"/>
  <w15:docId w15:val="{E06AF607-E6F8-4383-8366-D5B0C4B9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013A6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224216630">
      <w:bodyDiv w:val="1"/>
      <w:marLeft w:val="0"/>
      <w:marRight w:val="0"/>
      <w:marTop w:val="0"/>
      <w:marBottom w:val="0"/>
      <w:divBdr>
        <w:top w:val="none" w:sz="0" w:space="0" w:color="auto"/>
        <w:left w:val="none" w:sz="0" w:space="0" w:color="auto"/>
        <w:bottom w:val="none" w:sz="0" w:space="0" w:color="auto"/>
        <w:right w:val="none" w:sz="0" w:space="0" w:color="auto"/>
      </w:divBdr>
    </w:div>
    <w:div w:id="206282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niosh/npg/npgd0480.html" TargetMode="External"/><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3410D9-2360-4E66-A4B8-71FEFB4B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1673</Words>
  <Characters>10607</Characters>
  <Application>Microsoft Office Word</Application>
  <DocSecurity>0</DocSecurity>
  <Lines>378</Lines>
  <Paragraphs>341</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11939</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Barber, Chuck</cp:lastModifiedBy>
  <cp:revision>5</cp:revision>
  <cp:lastPrinted>2014-03-31T18:24:00Z</cp:lastPrinted>
  <dcterms:created xsi:type="dcterms:W3CDTF">2015-05-05T19:26:00Z</dcterms:created>
  <dcterms:modified xsi:type="dcterms:W3CDTF">2015-05-05T19:28:00Z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