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CDAE" w14:textId="77777777" w:rsidR="00F4079E" w:rsidRDefault="00B55CD5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6781D454" wp14:editId="7ABB7C4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18058872" w14:textId="1932A91B" w:rsidR="006F0F73" w:rsidRPr="00D97002" w:rsidRDefault="005401CD" w:rsidP="006B75AB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30</w:t>
      </w:r>
      <w:r w:rsidR="00123491">
        <w:rPr>
          <w:rFonts w:eastAsia="Times New Roman"/>
          <w:bCs/>
          <w:sz w:val="24"/>
          <w:szCs w:val="24"/>
        </w:rPr>
        <w:t> April 2015</w:t>
      </w:r>
    </w:p>
    <w:p w14:paraId="27503709" w14:textId="77777777" w:rsidR="006F0F73" w:rsidRPr="006F0F73" w:rsidRDefault="006F0F73" w:rsidP="006B75AB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</w:p>
    <w:p w14:paraId="4B5C21E5" w14:textId="77777777" w:rsidR="00E24579" w:rsidRPr="00D34188" w:rsidRDefault="00BF5DD9" w:rsidP="006B75AB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288D2EED" w14:textId="77777777" w:rsidR="006F0F73" w:rsidRDefault="006F0F73" w:rsidP="006B75AB">
      <w:pPr>
        <w:widowControl/>
      </w:pPr>
    </w:p>
    <w:p w14:paraId="4B4E00AE" w14:textId="77777777" w:rsidR="00D60A36" w:rsidRDefault="00D60A36" w:rsidP="006B75AB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60A36" w14:paraId="763A1668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0A7CF11A" w14:textId="77777777" w:rsidR="00D60A36" w:rsidRPr="00D60A36" w:rsidRDefault="00D60A36" w:rsidP="006B75AB">
            <w:pPr>
              <w:keepNext/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2D7A9B2E" w14:textId="77777777" w:rsidR="00150BAB" w:rsidRPr="007666FB" w:rsidRDefault="007666F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D77265">
        <w:rPr>
          <w:rFonts w:eastAsia="Times New Roman"/>
          <w:b/>
          <w:bCs/>
          <w:spacing w:val="1"/>
          <w:szCs w:val="20"/>
        </w:rPr>
        <w:t>P</w:t>
      </w:r>
      <w:r w:rsidR="00150BAB" w:rsidRPr="00D77265">
        <w:rPr>
          <w:rFonts w:eastAsia="Times New Roman"/>
          <w:b/>
          <w:bCs/>
          <w:spacing w:val="1"/>
          <w:szCs w:val="20"/>
        </w:rPr>
        <w:t xml:space="preserve">roduct </w:t>
      </w:r>
      <w:r w:rsidR="00B124D7">
        <w:rPr>
          <w:rFonts w:eastAsia="Times New Roman"/>
          <w:b/>
          <w:bCs/>
          <w:spacing w:val="1"/>
          <w:szCs w:val="20"/>
        </w:rPr>
        <w:t>I</w:t>
      </w:r>
      <w:r w:rsidR="00B124D7" w:rsidRPr="00D77265">
        <w:rPr>
          <w:rFonts w:eastAsia="Times New Roman"/>
          <w:b/>
          <w:bCs/>
          <w:spacing w:val="1"/>
          <w:szCs w:val="20"/>
        </w:rPr>
        <w:t>dentifier</w:t>
      </w:r>
    </w:p>
    <w:p w14:paraId="539FEFE1" w14:textId="77777777" w:rsidR="001A0E78" w:rsidRPr="007B7280" w:rsidRDefault="00145B5B" w:rsidP="001A2262">
      <w:pPr>
        <w:pStyle w:val="ListParagraph"/>
        <w:widowControl/>
        <w:tabs>
          <w:tab w:val="left" w:pos="1890"/>
        </w:tabs>
        <w:ind w:left="360"/>
        <w:rPr>
          <w:rFonts w:eastAsia="Times New Roman"/>
          <w:bCs/>
          <w:szCs w:val="20"/>
        </w:rPr>
      </w:pPr>
      <w:r w:rsidRPr="007B7280">
        <w:rPr>
          <w:rFonts w:eastAsia="Times New Roman"/>
          <w:b/>
          <w:bCs/>
          <w:spacing w:val="1"/>
          <w:szCs w:val="20"/>
        </w:rPr>
        <w:t>S</w:t>
      </w:r>
      <w:r w:rsidR="00150BAB" w:rsidRPr="007B7280">
        <w:rPr>
          <w:rFonts w:eastAsia="Times New Roman"/>
          <w:b/>
          <w:bCs/>
          <w:spacing w:val="1"/>
          <w:szCs w:val="20"/>
        </w:rPr>
        <w:t>R</w:t>
      </w:r>
      <w:r w:rsidR="00150BAB" w:rsidRPr="007B7280">
        <w:rPr>
          <w:rFonts w:eastAsia="Times New Roman"/>
          <w:b/>
          <w:bCs/>
          <w:szCs w:val="20"/>
        </w:rPr>
        <w:t>M</w:t>
      </w:r>
      <w:r w:rsidR="00150BAB" w:rsidRPr="007B7280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7B7280">
        <w:rPr>
          <w:rFonts w:eastAsia="Times New Roman"/>
          <w:b/>
          <w:bCs/>
          <w:spacing w:val="1"/>
          <w:szCs w:val="20"/>
        </w:rPr>
        <w:t>Nu</w:t>
      </w:r>
      <w:r w:rsidR="00150BAB" w:rsidRPr="007B7280">
        <w:rPr>
          <w:rFonts w:eastAsia="Times New Roman"/>
          <w:b/>
          <w:bCs/>
          <w:spacing w:val="3"/>
          <w:szCs w:val="20"/>
        </w:rPr>
        <w:t>m</w:t>
      </w:r>
      <w:r w:rsidR="00150BAB" w:rsidRPr="007B7280">
        <w:rPr>
          <w:rFonts w:eastAsia="Times New Roman"/>
          <w:b/>
          <w:bCs/>
          <w:spacing w:val="1"/>
          <w:szCs w:val="20"/>
        </w:rPr>
        <w:t>b</w:t>
      </w:r>
      <w:r w:rsidR="00150BAB" w:rsidRPr="007B7280">
        <w:rPr>
          <w:rFonts w:eastAsia="Times New Roman"/>
          <w:b/>
          <w:bCs/>
          <w:spacing w:val="-1"/>
          <w:szCs w:val="20"/>
        </w:rPr>
        <w:t>er</w:t>
      </w:r>
      <w:r w:rsidR="00150BAB" w:rsidRPr="007B7280">
        <w:rPr>
          <w:rFonts w:eastAsia="Times New Roman"/>
          <w:b/>
          <w:bCs/>
          <w:szCs w:val="20"/>
        </w:rPr>
        <w:t>:</w:t>
      </w:r>
      <w:r w:rsidR="001A2262" w:rsidRPr="007B7280">
        <w:rPr>
          <w:rFonts w:eastAsia="Times New Roman"/>
          <w:bCs/>
          <w:spacing w:val="46"/>
          <w:szCs w:val="20"/>
        </w:rPr>
        <w:tab/>
      </w:r>
      <w:r w:rsidR="00123491">
        <w:rPr>
          <w:rFonts w:eastAsia="Times New Roman"/>
          <w:bCs/>
          <w:szCs w:val="20"/>
        </w:rPr>
        <w:t>2490</w:t>
      </w:r>
    </w:p>
    <w:p w14:paraId="39C25F1C" w14:textId="77777777" w:rsidR="00B15084" w:rsidRDefault="00145B5B" w:rsidP="00FC747B">
      <w:pPr>
        <w:pStyle w:val="ListParagraph"/>
        <w:widowControl/>
        <w:tabs>
          <w:tab w:val="left" w:pos="1890"/>
        </w:tabs>
        <w:ind w:left="1890" w:hanging="1530"/>
        <w:rPr>
          <w:rFonts w:eastAsia="Times New Roman"/>
          <w:bCs/>
          <w:szCs w:val="20"/>
        </w:rPr>
      </w:pPr>
      <w:r w:rsidRPr="007B7280">
        <w:rPr>
          <w:rFonts w:eastAsia="Times New Roman"/>
          <w:b/>
          <w:bCs/>
          <w:spacing w:val="1"/>
          <w:szCs w:val="20"/>
        </w:rPr>
        <w:t>S</w:t>
      </w:r>
      <w:r w:rsidR="00150BAB" w:rsidRPr="007B7280">
        <w:rPr>
          <w:rFonts w:eastAsia="Times New Roman"/>
          <w:b/>
          <w:bCs/>
          <w:spacing w:val="1"/>
          <w:szCs w:val="20"/>
        </w:rPr>
        <w:t>R</w:t>
      </w:r>
      <w:r w:rsidR="00150BAB" w:rsidRPr="00944226">
        <w:rPr>
          <w:rFonts w:eastAsia="Times New Roman"/>
          <w:b/>
          <w:bCs/>
          <w:szCs w:val="20"/>
        </w:rPr>
        <w:t>M</w:t>
      </w:r>
      <w:r w:rsidR="00150BAB" w:rsidRPr="00944226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944226">
        <w:rPr>
          <w:rFonts w:eastAsia="Times New Roman"/>
          <w:b/>
          <w:bCs/>
          <w:spacing w:val="1"/>
          <w:szCs w:val="20"/>
        </w:rPr>
        <w:t>Na</w:t>
      </w:r>
      <w:r w:rsidR="00150BAB" w:rsidRPr="00944226">
        <w:rPr>
          <w:rFonts w:eastAsia="Times New Roman"/>
          <w:b/>
          <w:bCs/>
          <w:spacing w:val="3"/>
          <w:szCs w:val="20"/>
        </w:rPr>
        <w:t>m</w:t>
      </w:r>
      <w:r w:rsidR="00150BAB" w:rsidRPr="00944226">
        <w:rPr>
          <w:rFonts w:eastAsia="Times New Roman"/>
          <w:b/>
          <w:bCs/>
          <w:spacing w:val="-1"/>
          <w:szCs w:val="20"/>
        </w:rPr>
        <w:t>e</w:t>
      </w:r>
      <w:r w:rsidR="00150BAB" w:rsidRPr="00944226">
        <w:rPr>
          <w:rFonts w:eastAsia="Times New Roman"/>
          <w:b/>
          <w:bCs/>
          <w:szCs w:val="20"/>
        </w:rPr>
        <w:t>:</w:t>
      </w:r>
      <w:r w:rsidR="00E7608D" w:rsidRPr="00944226">
        <w:rPr>
          <w:rFonts w:eastAsia="Times New Roman"/>
          <w:bCs/>
          <w:szCs w:val="20"/>
        </w:rPr>
        <w:t xml:space="preserve">  </w:t>
      </w:r>
      <w:r w:rsidR="001A2262">
        <w:rPr>
          <w:rFonts w:eastAsia="Times New Roman"/>
          <w:bCs/>
          <w:szCs w:val="20"/>
        </w:rPr>
        <w:tab/>
      </w:r>
      <w:r w:rsidR="00123491">
        <w:rPr>
          <w:rFonts w:eastAsia="Times New Roman"/>
          <w:bCs/>
          <w:szCs w:val="20"/>
        </w:rPr>
        <w:t xml:space="preserve">Non-Newtonian Polymer Solution for Rheological </w:t>
      </w:r>
      <w:r w:rsidR="00B15084">
        <w:rPr>
          <w:rFonts w:eastAsia="Times New Roman"/>
          <w:bCs/>
          <w:szCs w:val="20"/>
        </w:rPr>
        <w:t>Measurements</w:t>
      </w:r>
    </w:p>
    <w:p w14:paraId="70C77CE0" w14:textId="77777777" w:rsidR="00150BAB" w:rsidRPr="00944226" w:rsidRDefault="00B15084" w:rsidP="00FC747B">
      <w:pPr>
        <w:pStyle w:val="ListParagraph"/>
        <w:widowControl/>
        <w:tabs>
          <w:tab w:val="left" w:pos="1890"/>
        </w:tabs>
        <w:ind w:left="1890" w:hanging="153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ab/>
      </w:r>
      <w:r w:rsidR="00123491">
        <w:rPr>
          <w:rFonts w:eastAsia="Times New Roman"/>
          <w:bCs/>
          <w:szCs w:val="20"/>
        </w:rPr>
        <w:t>(Polyisobutylene dissolved in 2,6,10,14-Tetranethylpentadecane)</w:t>
      </w:r>
    </w:p>
    <w:p w14:paraId="300E970F" w14:textId="77777777" w:rsidR="004C5973" w:rsidRPr="004C5973" w:rsidRDefault="004C5973" w:rsidP="006B75AB">
      <w:pPr>
        <w:pStyle w:val="ListParagraph"/>
        <w:widowControl/>
        <w:tabs>
          <w:tab w:val="left" w:pos="5440"/>
        </w:tabs>
        <w:ind w:left="3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Other Means of Identification:</w:t>
      </w:r>
      <w:r w:rsidRPr="004C5973">
        <w:rPr>
          <w:rFonts w:eastAsia="Times New Roman"/>
          <w:bCs/>
          <w:szCs w:val="20"/>
        </w:rPr>
        <w:t xml:space="preserve">  Not applicable</w:t>
      </w:r>
      <w:r w:rsidR="00832544">
        <w:rPr>
          <w:rFonts w:eastAsia="Times New Roman"/>
          <w:bCs/>
          <w:szCs w:val="20"/>
        </w:rPr>
        <w:t>.</w:t>
      </w:r>
    </w:p>
    <w:p w14:paraId="3AC5F3B1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57228D97" w14:textId="77777777" w:rsidR="007B7280" w:rsidRDefault="005353D2" w:rsidP="007B7280">
      <w:pPr>
        <w:pStyle w:val="BodyText"/>
      </w:pPr>
      <w:r w:rsidRPr="005B0791">
        <w:t>This Standard Reference Material (SRM) is intended primarily for the evaluation of methods for analysis o</w:t>
      </w:r>
      <w:r w:rsidR="00123491">
        <w:t>f</w:t>
      </w:r>
      <w:r w:rsidRPr="005B0791">
        <w:t xml:space="preserve"> mater</w:t>
      </w:r>
      <w:r>
        <w:t xml:space="preserve">ials of similar matrix.  A </w:t>
      </w:r>
      <w:r w:rsidR="00123491">
        <w:t>unit of SRM 2490 consists of 100 mL of the solution, which contain a mass fraction of 0.114 polyisobutylene and is packaged in an amber glass bottle.</w:t>
      </w:r>
    </w:p>
    <w:p w14:paraId="639EADD9" w14:textId="77777777" w:rsidR="00150BAB" w:rsidRPr="00D77265" w:rsidRDefault="00150BAB" w:rsidP="006B75AB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371F5E43" w14:textId="77777777" w:rsidTr="00193FA9">
        <w:tc>
          <w:tcPr>
            <w:tcW w:w="4590" w:type="dxa"/>
          </w:tcPr>
          <w:p w14:paraId="59804F6C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2A73CA29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0B7AA896" w14:textId="77777777" w:rsidTr="00193FA9">
        <w:tc>
          <w:tcPr>
            <w:tcW w:w="4590" w:type="dxa"/>
          </w:tcPr>
          <w:p w14:paraId="4970023C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6912A617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407B7595" w14:textId="77777777" w:rsidTr="00193FA9">
        <w:tc>
          <w:tcPr>
            <w:tcW w:w="4590" w:type="dxa"/>
          </w:tcPr>
          <w:p w14:paraId="7BA22901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170BF324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EB24FD" w14:textId="77777777" w:rsidTr="00193FA9">
        <w:tc>
          <w:tcPr>
            <w:tcW w:w="4590" w:type="dxa"/>
          </w:tcPr>
          <w:p w14:paraId="5B5AB63C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420E0539" w14:textId="77777777" w:rsidR="00193FA9" w:rsidRPr="00193FA9" w:rsidRDefault="00193FA9" w:rsidP="007D7435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5C1D6A86" w14:textId="77777777" w:rsidTr="00193FA9">
        <w:tc>
          <w:tcPr>
            <w:tcW w:w="4590" w:type="dxa"/>
          </w:tcPr>
          <w:p w14:paraId="0DF6CA1E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4FB489F5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7D1F20DB" w14:textId="77777777" w:rsidTr="00193FA9">
        <w:tc>
          <w:tcPr>
            <w:tcW w:w="4590" w:type="dxa"/>
          </w:tcPr>
          <w:p w14:paraId="6F8C6D72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94F954A" w14:textId="77777777" w:rsidR="00193FA9" w:rsidRPr="00193FA9" w:rsidRDefault="00193FA9" w:rsidP="006B75AB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5D9CAEEF" w14:textId="77777777" w:rsidTr="00193FA9">
        <w:tc>
          <w:tcPr>
            <w:tcW w:w="4590" w:type="dxa"/>
          </w:tcPr>
          <w:p w14:paraId="2E3C5DD5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5CE879FC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30C5CCCA" w14:textId="77777777" w:rsidTr="00193FA9">
        <w:tc>
          <w:tcPr>
            <w:tcW w:w="4590" w:type="dxa"/>
          </w:tcPr>
          <w:p w14:paraId="5EEFE05D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337F2BF3" w14:textId="77777777" w:rsidR="00193FA9" w:rsidRPr="00193FA9" w:rsidRDefault="00193FA9" w:rsidP="002A4B34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265EBEC3" w14:textId="77777777" w:rsidTr="00193FA9">
        <w:tc>
          <w:tcPr>
            <w:tcW w:w="4590" w:type="dxa"/>
          </w:tcPr>
          <w:p w14:paraId="2F4E2E1C" w14:textId="77777777" w:rsidR="00193FA9" w:rsidRPr="00193FA9" w:rsidRDefault="00193FA9" w:rsidP="006B75AB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654BC202" w14:textId="77777777" w:rsidR="00193FA9" w:rsidRPr="00193FA9" w:rsidRDefault="00193FA9" w:rsidP="006B75AB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1BC9183B" w14:textId="77777777" w:rsidR="00915962" w:rsidRPr="00193FA9" w:rsidRDefault="00915962" w:rsidP="006B75AB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22C8" w14:paraId="581CE825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0CB35DAA" w14:textId="77777777" w:rsidR="002B22C8" w:rsidRDefault="002B22C8" w:rsidP="006B75AB">
            <w:pPr>
              <w:keepNext/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802C5C8" w14:textId="77777777" w:rsidR="001C4F6D" w:rsidRPr="00E97C87" w:rsidRDefault="002B22C8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E97C87">
        <w:rPr>
          <w:rFonts w:eastAsia="Times New Roman"/>
          <w:b/>
          <w:bCs/>
          <w:szCs w:val="20"/>
        </w:rPr>
        <w:t>Classification</w:t>
      </w:r>
    </w:p>
    <w:p w14:paraId="4D6A6A8A" w14:textId="77777777" w:rsidR="0073150A" w:rsidRPr="00E97C87" w:rsidRDefault="0073150A" w:rsidP="006B75AB">
      <w:pPr>
        <w:widowControl/>
        <w:ind w:left="360"/>
        <w:rPr>
          <w:rFonts w:eastAsia="Times New Roman"/>
          <w:bCs/>
          <w:szCs w:val="20"/>
        </w:rPr>
      </w:pPr>
      <w:r w:rsidRPr="00AB0EC3">
        <w:rPr>
          <w:rFonts w:eastAsia="Times New Roman"/>
          <w:b/>
          <w:bCs/>
          <w:szCs w:val="20"/>
        </w:rPr>
        <w:t>Physical Hazard:</w:t>
      </w:r>
      <w:r w:rsidR="00523A63" w:rsidRPr="00AB0EC3">
        <w:rPr>
          <w:rFonts w:eastAsia="Times New Roman"/>
          <w:bCs/>
          <w:szCs w:val="20"/>
        </w:rPr>
        <w:tab/>
      </w:r>
      <w:r w:rsidR="00145B5B" w:rsidRPr="00682DCA">
        <w:rPr>
          <w:rFonts w:eastAsia="Times New Roman"/>
          <w:bCs/>
          <w:szCs w:val="20"/>
        </w:rPr>
        <w:t>Not classified</w:t>
      </w:r>
      <w:r w:rsidR="00682DCA" w:rsidRPr="00682DCA">
        <w:rPr>
          <w:rFonts w:eastAsia="Times New Roman"/>
          <w:bCs/>
          <w:szCs w:val="20"/>
        </w:rPr>
        <w:t>.</w:t>
      </w:r>
    </w:p>
    <w:p w14:paraId="068604A8" w14:textId="77777777" w:rsidR="001C4F6D" w:rsidRDefault="0073150A" w:rsidP="007508B9">
      <w:pPr>
        <w:keepNext/>
        <w:widowControl/>
        <w:tabs>
          <w:tab w:val="left" w:pos="2160"/>
          <w:tab w:val="left" w:pos="4770"/>
        </w:tabs>
        <w:ind w:left="360"/>
        <w:rPr>
          <w:rFonts w:eastAsia="Times New Roman"/>
          <w:bCs/>
          <w:szCs w:val="20"/>
        </w:rPr>
      </w:pPr>
      <w:r w:rsidRPr="00DE0622">
        <w:rPr>
          <w:rFonts w:eastAsia="Times New Roman"/>
          <w:b/>
          <w:bCs/>
          <w:szCs w:val="20"/>
        </w:rPr>
        <w:t>Health Hazard:</w:t>
      </w:r>
      <w:r w:rsidR="005142E1">
        <w:rPr>
          <w:rFonts w:eastAsia="Times New Roman"/>
          <w:b/>
          <w:bCs/>
          <w:szCs w:val="20"/>
        </w:rPr>
        <w:tab/>
      </w:r>
      <w:r w:rsidR="0016291F">
        <w:rPr>
          <w:rFonts w:eastAsia="Times New Roman"/>
          <w:bCs/>
          <w:szCs w:val="20"/>
        </w:rPr>
        <w:t xml:space="preserve">Skin Corrosion/Irritant </w:t>
      </w:r>
      <w:r w:rsidR="00746987">
        <w:rPr>
          <w:rFonts w:eastAsia="Times New Roman"/>
          <w:bCs/>
          <w:szCs w:val="20"/>
        </w:rPr>
        <w:tab/>
      </w:r>
      <w:r w:rsidR="0016291F">
        <w:rPr>
          <w:rFonts w:eastAsia="Times New Roman"/>
          <w:bCs/>
          <w:szCs w:val="20"/>
        </w:rPr>
        <w:t>Category 2</w:t>
      </w:r>
    </w:p>
    <w:p w14:paraId="5E6D504F" w14:textId="77777777" w:rsidR="00837DC8" w:rsidRDefault="0016291F" w:rsidP="00FC747B">
      <w:pPr>
        <w:widowControl/>
        <w:tabs>
          <w:tab w:val="left" w:pos="4770"/>
        </w:tabs>
        <w:ind w:left="2160"/>
        <w:rPr>
          <w:rFonts w:eastAsia="Times New Roman"/>
          <w:bCs/>
          <w:szCs w:val="20"/>
        </w:rPr>
      </w:pPr>
      <w:r w:rsidRPr="0016291F">
        <w:rPr>
          <w:rFonts w:eastAsia="Times New Roman"/>
          <w:bCs/>
          <w:szCs w:val="20"/>
        </w:rPr>
        <w:t>Eye</w:t>
      </w:r>
      <w:r>
        <w:rPr>
          <w:rFonts w:eastAsia="Times New Roman"/>
          <w:bCs/>
          <w:szCs w:val="20"/>
        </w:rPr>
        <w:t xml:space="preserve"> Damage and Irritation</w:t>
      </w:r>
      <w:r w:rsidR="00746987">
        <w:rPr>
          <w:rFonts w:eastAsia="Times New Roman"/>
          <w:bCs/>
          <w:szCs w:val="20"/>
        </w:rPr>
        <w:tab/>
      </w:r>
      <w:r>
        <w:rPr>
          <w:rFonts w:eastAsia="Times New Roman"/>
          <w:bCs/>
          <w:szCs w:val="20"/>
        </w:rPr>
        <w:t xml:space="preserve">Category </w:t>
      </w:r>
      <w:r w:rsidR="00FC747B">
        <w:rPr>
          <w:rFonts w:eastAsia="Times New Roman"/>
          <w:bCs/>
          <w:szCs w:val="20"/>
        </w:rPr>
        <w:t>2A</w:t>
      </w:r>
    </w:p>
    <w:p w14:paraId="22AED825" w14:textId="77777777" w:rsidR="00730686" w:rsidRPr="00B0155D" w:rsidRDefault="00730686" w:rsidP="006B75AB">
      <w:pPr>
        <w:widowControl/>
        <w:spacing w:before="12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Label Elements</w:t>
      </w:r>
    </w:p>
    <w:p w14:paraId="28A6B712" w14:textId="77777777" w:rsidR="00910EA2" w:rsidRPr="00B0155D" w:rsidRDefault="00730686" w:rsidP="006B75AB">
      <w:pPr>
        <w:widowControl/>
        <w:ind w:left="360"/>
        <w:rPr>
          <w:rFonts w:eastAsia="Times New Roman"/>
          <w:b/>
          <w:bCs/>
          <w:szCs w:val="20"/>
        </w:rPr>
      </w:pPr>
      <w:r w:rsidRPr="00682DCA">
        <w:rPr>
          <w:rFonts w:eastAsia="Times New Roman"/>
          <w:b/>
          <w:bCs/>
          <w:szCs w:val="20"/>
        </w:rPr>
        <w:t>Symbol</w:t>
      </w:r>
    </w:p>
    <w:p w14:paraId="1EC9E6C9" w14:textId="77777777" w:rsidR="00910EA2" w:rsidRPr="00B0155D" w:rsidRDefault="00496712" w:rsidP="006B75AB">
      <w:pPr>
        <w:widowControl/>
        <w:ind w:left="634"/>
        <w:rPr>
          <w:rFonts w:eastAsia="Times New Roman"/>
          <w:b/>
          <w:bCs/>
          <w:szCs w:val="20"/>
        </w:rPr>
      </w:pPr>
      <w:r w:rsidRPr="00A85A37">
        <w:rPr>
          <w:noProof/>
        </w:rPr>
        <w:drawing>
          <wp:inline distT="0" distB="0" distL="0" distR="0" wp14:anchorId="059C4B07" wp14:editId="57F6EFBB">
            <wp:extent cx="732537" cy="731520"/>
            <wp:effectExtent l="0" t="0" r="0" b="0"/>
            <wp:docPr id="20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2B" w14:textId="77777777" w:rsidR="00910EA2" w:rsidRPr="00A119C4" w:rsidRDefault="00730686" w:rsidP="006B75AB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A119C4">
        <w:rPr>
          <w:rFonts w:eastAsia="Times New Roman"/>
          <w:b/>
          <w:bCs/>
          <w:szCs w:val="20"/>
        </w:rPr>
        <w:t>Signal Word</w:t>
      </w:r>
    </w:p>
    <w:p w14:paraId="2EA00699" w14:textId="77777777" w:rsidR="00910EA2" w:rsidRPr="00A119C4" w:rsidRDefault="00B15084" w:rsidP="006B75AB">
      <w:pPr>
        <w:widowControl/>
        <w:ind w:left="360"/>
        <w:rPr>
          <w:szCs w:val="20"/>
        </w:rPr>
      </w:pPr>
      <w:r w:rsidRPr="00A119C4">
        <w:rPr>
          <w:szCs w:val="20"/>
        </w:rPr>
        <w:t>WARNING</w:t>
      </w:r>
    </w:p>
    <w:p w14:paraId="4C29E04A" w14:textId="77777777" w:rsidR="00730686" w:rsidRPr="00837422" w:rsidRDefault="00730686" w:rsidP="00002713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837422">
        <w:rPr>
          <w:rFonts w:eastAsia="Times New Roman"/>
          <w:b/>
          <w:bCs/>
          <w:szCs w:val="20"/>
        </w:rPr>
        <w:t>Hazard Statement(s</w:t>
      </w:r>
      <w:r w:rsidR="00FC3C8B" w:rsidRPr="00837422">
        <w:rPr>
          <w:rFonts w:eastAsia="Times New Roman"/>
          <w:b/>
          <w:bCs/>
          <w:szCs w:val="20"/>
        </w:rPr>
        <w:t>)</w:t>
      </w:r>
    </w:p>
    <w:tbl>
      <w:tblPr>
        <w:tblStyle w:val="TableGrid"/>
        <w:tblW w:w="83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6930"/>
      </w:tblGrid>
      <w:tr w:rsidR="00CE77FB" w:rsidRPr="00837422" w14:paraId="50AF0D9B" w14:textId="77777777" w:rsidTr="00CE77FB">
        <w:tc>
          <w:tcPr>
            <w:tcW w:w="1458" w:type="dxa"/>
            <w:shd w:val="clear" w:color="auto" w:fill="auto"/>
          </w:tcPr>
          <w:p w14:paraId="7D8E665F" w14:textId="77777777" w:rsidR="00CE77FB" w:rsidRPr="00837422" w:rsidRDefault="00CE77FB" w:rsidP="005F28B9">
            <w:pPr>
              <w:widowControl/>
              <w:rPr>
                <w:szCs w:val="20"/>
              </w:rPr>
            </w:pPr>
            <w:r w:rsidRPr="00837422">
              <w:rPr>
                <w:szCs w:val="20"/>
              </w:rPr>
              <w:t>H315</w:t>
            </w:r>
          </w:p>
        </w:tc>
        <w:tc>
          <w:tcPr>
            <w:tcW w:w="6930" w:type="dxa"/>
            <w:shd w:val="clear" w:color="auto" w:fill="auto"/>
          </w:tcPr>
          <w:p w14:paraId="5AFA5581" w14:textId="77777777" w:rsidR="00CE77FB" w:rsidRPr="00837422" w:rsidRDefault="00CE77FB" w:rsidP="005F28B9">
            <w:pPr>
              <w:widowControl/>
              <w:rPr>
                <w:szCs w:val="20"/>
              </w:rPr>
            </w:pPr>
            <w:r w:rsidRPr="00837422">
              <w:rPr>
                <w:szCs w:val="20"/>
              </w:rPr>
              <w:t>Causes skin irritation.</w:t>
            </w:r>
          </w:p>
        </w:tc>
      </w:tr>
      <w:tr w:rsidR="00CE77FB" w:rsidRPr="00837422" w14:paraId="32E06470" w14:textId="77777777" w:rsidTr="00CE77FB">
        <w:tc>
          <w:tcPr>
            <w:tcW w:w="1458" w:type="dxa"/>
            <w:shd w:val="clear" w:color="auto" w:fill="auto"/>
          </w:tcPr>
          <w:p w14:paraId="66A9C1AE" w14:textId="77777777" w:rsidR="00CE77FB" w:rsidRPr="00837422" w:rsidRDefault="00837422" w:rsidP="00837422">
            <w:pPr>
              <w:widowControl/>
              <w:rPr>
                <w:szCs w:val="20"/>
              </w:rPr>
            </w:pPr>
            <w:r w:rsidRPr="00837422">
              <w:rPr>
                <w:szCs w:val="20"/>
              </w:rPr>
              <w:t>H319</w:t>
            </w:r>
          </w:p>
        </w:tc>
        <w:tc>
          <w:tcPr>
            <w:tcW w:w="6930" w:type="dxa"/>
            <w:shd w:val="clear" w:color="auto" w:fill="auto"/>
          </w:tcPr>
          <w:p w14:paraId="19783044" w14:textId="77777777" w:rsidR="00CE77FB" w:rsidRPr="00837422" w:rsidRDefault="00CE77FB" w:rsidP="00A119C4">
            <w:pPr>
              <w:widowControl/>
              <w:rPr>
                <w:szCs w:val="20"/>
              </w:rPr>
            </w:pPr>
            <w:r w:rsidRPr="00837422">
              <w:rPr>
                <w:szCs w:val="20"/>
              </w:rPr>
              <w:t>Causes serious eye</w:t>
            </w:r>
            <w:r w:rsidR="00A119C4" w:rsidRPr="00837422">
              <w:rPr>
                <w:szCs w:val="20"/>
              </w:rPr>
              <w:t xml:space="preserve"> irritation.</w:t>
            </w:r>
          </w:p>
        </w:tc>
      </w:tr>
    </w:tbl>
    <w:p w14:paraId="6579FE51" w14:textId="77777777" w:rsidR="00910EA2" w:rsidRPr="00A119C4" w:rsidRDefault="00730686" w:rsidP="00290315">
      <w:pPr>
        <w:keepNext/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837422">
        <w:rPr>
          <w:rFonts w:eastAsia="Times New Roman"/>
          <w:b/>
          <w:bCs/>
          <w:szCs w:val="20"/>
        </w:rPr>
        <w:t>Precautionary Statement(s)</w:t>
      </w:r>
    </w:p>
    <w:tbl>
      <w:tblPr>
        <w:tblStyle w:val="TableGrid"/>
        <w:tblW w:w="892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7252"/>
      </w:tblGrid>
      <w:tr w:rsidR="00CE77FB" w:rsidRPr="007508B9" w14:paraId="766E1952" w14:textId="77777777" w:rsidTr="00560F25">
        <w:tc>
          <w:tcPr>
            <w:tcW w:w="1676" w:type="dxa"/>
          </w:tcPr>
          <w:p w14:paraId="141E5D45" w14:textId="77777777" w:rsidR="00CE77FB" w:rsidRPr="00A119C4" w:rsidRDefault="00CE77FB" w:rsidP="005F28B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P264</w:t>
            </w:r>
          </w:p>
        </w:tc>
        <w:tc>
          <w:tcPr>
            <w:tcW w:w="7252" w:type="dxa"/>
          </w:tcPr>
          <w:p w14:paraId="6BECCC7F" w14:textId="77777777" w:rsidR="00CE77FB" w:rsidRPr="00A119C4" w:rsidRDefault="00CE77FB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Wash hands thoroughly after handling.</w:t>
            </w:r>
          </w:p>
        </w:tc>
      </w:tr>
      <w:tr w:rsidR="00CE77FB" w:rsidRPr="007508B9" w14:paraId="559DBB70" w14:textId="77777777" w:rsidTr="00560F25">
        <w:tc>
          <w:tcPr>
            <w:tcW w:w="1676" w:type="dxa"/>
          </w:tcPr>
          <w:p w14:paraId="78CE6249" w14:textId="77777777" w:rsidR="00CE77FB" w:rsidRPr="00A119C4" w:rsidRDefault="00CE77FB" w:rsidP="005F28B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P280</w:t>
            </w:r>
          </w:p>
        </w:tc>
        <w:tc>
          <w:tcPr>
            <w:tcW w:w="7252" w:type="dxa"/>
          </w:tcPr>
          <w:p w14:paraId="209D8255" w14:textId="77777777" w:rsidR="00CE77FB" w:rsidRPr="00A119C4" w:rsidRDefault="00CE77FB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Wear protective gloves and clothing and eye</w:t>
            </w:r>
            <w:r w:rsidR="00A119C4">
              <w:rPr>
                <w:rFonts w:eastAsia="Times New Roman"/>
                <w:bCs/>
                <w:szCs w:val="20"/>
              </w:rPr>
              <w:t xml:space="preserve"> </w:t>
            </w:r>
            <w:r w:rsidRPr="00A119C4">
              <w:rPr>
                <w:rFonts w:eastAsia="Times New Roman"/>
                <w:bCs/>
                <w:szCs w:val="20"/>
              </w:rPr>
              <w:t>protection.</w:t>
            </w:r>
          </w:p>
        </w:tc>
      </w:tr>
      <w:tr w:rsidR="00CE77FB" w:rsidRPr="007508B9" w14:paraId="4C51159C" w14:textId="77777777" w:rsidTr="00560F25">
        <w:tc>
          <w:tcPr>
            <w:tcW w:w="1676" w:type="dxa"/>
          </w:tcPr>
          <w:p w14:paraId="1F2C993F" w14:textId="77777777" w:rsidR="00CE77FB" w:rsidRPr="00A119C4" w:rsidRDefault="00CE77FB" w:rsidP="005F28B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P302+P352</w:t>
            </w:r>
          </w:p>
        </w:tc>
        <w:tc>
          <w:tcPr>
            <w:tcW w:w="7252" w:type="dxa"/>
          </w:tcPr>
          <w:p w14:paraId="0CFFCC66" w14:textId="77777777" w:rsidR="00CE77FB" w:rsidRPr="00A119C4" w:rsidRDefault="00CE77FB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I</w:t>
            </w:r>
            <w:r w:rsidR="00C547EA" w:rsidRPr="00A119C4">
              <w:rPr>
                <w:rFonts w:eastAsia="Times New Roman"/>
                <w:bCs/>
                <w:szCs w:val="20"/>
              </w:rPr>
              <w:t>f on skin</w:t>
            </w:r>
            <w:r w:rsidRPr="00A119C4">
              <w:rPr>
                <w:rFonts w:eastAsia="Times New Roman"/>
                <w:bCs/>
                <w:szCs w:val="20"/>
              </w:rPr>
              <w:t>:  Wash with plenty of water.</w:t>
            </w:r>
          </w:p>
        </w:tc>
      </w:tr>
      <w:tr w:rsidR="008A25A5" w:rsidRPr="007508B9" w14:paraId="4664BE59" w14:textId="77777777" w:rsidTr="005D7469">
        <w:tc>
          <w:tcPr>
            <w:tcW w:w="1676" w:type="dxa"/>
          </w:tcPr>
          <w:p w14:paraId="5DB6D01F" w14:textId="77777777" w:rsidR="008A25A5" w:rsidRPr="00A119C4" w:rsidRDefault="008A25A5" w:rsidP="005D746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P333+P313</w:t>
            </w:r>
          </w:p>
        </w:tc>
        <w:tc>
          <w:tcPr>
            <w:tcW w:w="7252" w:type="dxa"/>
          </w:tcPr>
          <w:p w14:paraId="495B15EB" w14:textId="77777777" w:rsidR="008A25A5" w:rsidRPr="00A119C4" w:rsidRDefault="008A25A5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If skin irritation or rash occurs, get medical attention.</w:t>
            </w:r>
          </w:p>
        </w:tc>
      </w:tr>
      <w:tr w:rsidR="00CE77FB" w:rsidRPr="007508B9" w14:paraId="622BA780" w14:textId="77777777" w:rsidTr="00560F25">
        <w:tc>
          <w:tcPr>
            <w:tcW w:w="1676" w:type="dxa"/>
          </w:tcPr>
          <w:p w14:paraId="21E73E57" w14:textId="77777777" w:rsidR="00CE77FB" w:rsidRPr="00A119C4" w:rsidRDefault="00CE77FB" w:rsidP="005F28B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P305+P351+P338</w:t>
            </w:r>
          </w:p>
        </w:tc>
        <w:tc>
          <w:tcPr>
            <w:tcW w:w="7252" w:type="dxa"/>
          </w:tcPr>
          <w:p w14:paraId="3F4F598F" w14:textId="77777777" w:rsidR="00CE77FB" w:rsidRPr="00A119C4" w:rsidRDefault="00CE77FB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I</w:t>
            </w:r>
            <w:r w:rsidR="00C547EA" w:rsidRPr="00A119C4">
              <w:rPr>
                <w:rFonts w:eastAsia="Times New Roman"/>
                <w:bCs/>
                <w:szCs w:val="20"/>
              </w:rPr>
              <w:t>f in eyes</w:t>
            </w:r>
            <w:r w:rsidRPr="00A119C4">
              <w:rPr>
                <w:rFonts w:eastAsia="Times New Roman"/>
                <w:bCs/>
                <w:szCs w:val="20"/>
              </w:rPr>
              <w:t>:  Rinse cautiously with water for several minutes.  Remove contact lenses if present and easy to do.  Continue rinsing.</w:t>
            </w:r>
          </w:p>
        </w:tc>
      </w:tr>
      <w:tr w:rsidR="00837422" w:rsidRPr="007508B9" w14:paraId="5DA3E88A" w14:textId="77777777" w:rsidTr="00560F25">
        <w:tc>
          <w:tcPr>
            <w:tcW w:w="1676" w:type="dxa"/>
          </w:tcPr>
          <w:p w14:paraId="3FC5D090" w14:textId="77777777" w:rsidR="00837422" w:rsidRPr="00A119C4" w:rsidRDefault="00837422" w:rsidP="005F28B9">
            <w:pPr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Cs/>
                <w:szCs w:val="20"/>
              </w:rPr>
              <w:t>P337+P313</w:t>
            </w:r>
          </w:p>
        </w:tc>
        <w:tc>
          <w:tcPr>
            <w:tcW w:w="7252" w:type="dxa"/>
          </w:tcPr>
          <w:p w14:paraId="22DEEFD8" w14:textId="77777777" w:rsidR="00837422" w:rsidRPr="00A119C4" w:rsidRDefault="00837422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Cs/>
                <w:szCs w:val="20"/>
              </w:rPr>
              <w:t>If</w:t>
            </w:r>
            <w:bookmarkStart w:id="0" w:name="_GoBack"/>
            <w:bookmarkEnd w:id="0"/>
            <w:r>
              <w:rPr>
                <w:rFonts w:eastAsia="Times New Roman"/>
                <w:bCs/>
                <w:szCs w:val="20"/>
              </w:rPr>
              <w:t xml:space="preserve"> eye irritation persists:  Get medical attention.</w:t>
            </w:r>
          </w:p>
        </w:tc>
      </w:tr>
      <w:tr w:rsidR="003C401E" w:rsidRPr="007508B9" w14:paraId="5F02CE22" w14:textId="77777777" w:rsidTr="005D7469">
        <w:tc>
          <w:tcPr>
            <w:tcW w:w="1676" w:type="dxa"/>
          </w:tcPr>
          <w:p w14:paraId="741CE360" w14:textId="77777777" w:rsidR="003C401E" w:rsidRPr="00A119C4" w:rsidRDefault="003C401E" w:rsidP="005D7469">
            <w:pPr>
              <w:widowControl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P362+P364</w:t>
            </w:r>
          </w:p>
        </w:tc>
        <w:tc>
          <w:tcPr>
            <w:tcW w:w="7252" w:type="dxa"/>
          </w:tcPr>
          <w:p w14:paraId="134BD3A3" w14:textId="77777777" w:rsidR="003C401E" w:rsidRPr="00A119C4" w:rsidRDefault="003C401E" w:rsidP="007460C3">
            <w:pPr>
              <w:widowControl/>
              <w:jc w:val="left"/>
              <w:rPr>
                <w:rFonts w:eastAsia="Times New Roman"/>
                <w:bCs/>
                <w:szCs w:val="20"/>
              </w:rPr>
            </w:pPr>
            <w:r w:rsidRPr="00A119C4">
              <w:rPr>
                <w:rFonts w:eastAsia="Times New Roman"/>
                <w:bCs/>
                <w:szCs w:val="20"/>
              </w:rPr>
              <w:t>Take off contaminated clothing and wash it before reuse.</w:t>
            </w:r>
          </w:p>
        </w:tc>
      </w:tr>
    </w:tbl>
    <w:p w14:paraId="09AAD7DB" w14:textId="77777777" w:rsidR="002B22C8" w:rsidRPr="001A2262" w:rsidRDefault="00910EA2" w:rsidP="006B75AB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7A279671" w14:textId="77777777" w:rsidR="000F1959" w:rsidRPr="000F1959" w:rsidRDefault="00910EA2" w:rsidP="006B75AB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71ED3" w14:paraId="7099E715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5BC35B7E" w14:textId="77777777" w:rsidR="00371ED3" w:rsidRPr="00944226" w:rsidRDefault="00371ED3" w:rsidP="00682DCA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lastRenderedPageBreak/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B430990" w14:textId="77777777" w:rsidR="00BB0995" w:rsidRPr="007E3259" w:rsidRDefault="00BB0995" w:rsidP="00682DCA">
      <w:pPr>
        <w:keepNext/>
        <w:widowControl/>
        <w:spacing w:before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</w:t>
      </w:r>
      <w:r w:rsidR="00FC747B">
        <w:rPr>
          <w:rFonts w:eastAsia="Times New Roman"/>
          <w:bCs/>
          <w:spacing w:val="1"/>
          <w:szCs w:val="20"/>
        </w:rPr>
        <w:t xml:space="preserve"> </w:t>
      </w:r>
      <w:r w:rsidR="007E3259" w:rsidRPr="00FC747B">
        <w:t>2,6,10,14-Tetramethylpentadecane</w:t>
      </w:r>
    </w:p>
    <w:p w14:paraId="35D2B9BF" w14:textId="77777777" w:rsidR="00BB0995" w:rsidRPr="00E76DFD" w:rsidRDefault="00BB0995" w:rsidP="00682DCA">
      <w:pPr>
        <w:keepNext/>
        <w:widowControl/>
        <w:spacing w:before="6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="007E3259">
        <w:rPr>
          <w:rFonts w:eastAsia="Times New Roman"/>
          <w:b/>
          <w:bCs/>
          <w:spacing w:val="-1"/>
          <w:szCs w:val="20"/>
        </w:rPr>
        <w:t xml:space="preserve"> </w:t>
      </w:r>
      <w:r w:rsidRPr="00E76DFD">
        <w:rPr>
          <w:rFonts w:eastAsia="Times New Roman"/>
          <w:spacing w:val="-1"/>
          <w:szCs w:val="20"/>
        </w:rPr>
        <w:t xml:space="preserve"> </w:t>
      </w:r>
      <w:r w:rsidR="007E3259">
        <w:t>pristane; robuoy; norphytane</w:t>
      </w:r>
    </w:p>
    <w:p w14:paraId="702CA575" w14:textId="77777777" w:rsidR="00B173FB" w:rsidRDefault="00661CCC" w:rsidP="007B7280">
      <w:pPr>
        <w:keepNext/>
        <w:widowControl/>
        <w:spacing w:before="60" w:after="6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="00537467">
        <w:rPr>
          <w:rFonts w:eastAsia="Times New Roman"/>
          <w:spacing w:val="1"/>
          <w:szCs w:val="20"/>
        </w:rPr>
        <w:t xml:space="preserve">.  </w:t>
      </w:r>
      <w:r w:rsidR="007E3259">
        <w:t>See th</w:t>
      </w:r>
      <w:r w:rsidR="00040740">
        <w:t>e</w:t>
      </w:r>
      <w:r w:rsidR="006303F4">
        <w:t xml:space="preserve"> </w:t>
      </w:r>
      <w:r w:rsidR="00E91030">
        <w:t xml:space="preserve">NIST </w:t>
      </w:r>
      <w:r w:rsidR="006303F4">
        <w:t>Certificate of Analysis</w:t>
      </w:r>
      <w:r w:rsidR="007E3259">
        <w:t xml:space="preserve"> for actual concentration.</w:t>
      </w:r>
    </w:p>
    <w:tbl>
      <w:tblPr>
        <w:tblStyle w:val="TableGrid"/>
        <w:tblW w:w="92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7"/>
        <w:gridCol w:w="1740"/>
        <w:gridCol w:w="1573"/>
        <w:gridCol w:w="2858"/>
      </w:tblGrid>
      <w:tr w:rsidR="009D76EF" w14:paraId="06EDFEBE" w14:textId="77777777" w:rsidTr="00FC747B">
        <w:trPr>
          <w:trHeight w:val="576"/>
          <w:jc w:val="center"/>
        </w:trPr>
        <w:tc>
          <w:tcPr>
            <w:tcW w:w="3057" w:type="dxa"/>
          </w:tcPr>
          <w:p w14:paraId="7BD467DF" w14:textId="77777777" w:rsidR="009D76EF" w:rsidRDefault="009D76EF" w:rsidP="00682DCA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Hazardous C</w:t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p</w:t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740" w:type="dxa"/>
          </w:tcPr>
          <w:p w14:paraId="1EA1C548" w14:textId="77777777" w:rsidR="009D76EF" w:rsidRDefault="009D76EF" w:rsidP="00682DCA">
            <w:pPr>
              <w:keepNext/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573" w:type="dxa"/>
          </w:tcPr>
          <w:p w14:paraId="3F1A2AF5" w14:textId="77777777" w:rsidR="009D76EF" w:rsidRDefault="009D76EF" w:rsidP="00682DCA">
            <w:pPr>
              <w:keepNext/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58" w:type="dxa"/>
          </w:tcPr>
          <w:p w14:paraId="69EEBDA3" w14:textId="77777777" w:rsidR="009D76EF" w:rsidRPr="001A2262" w:rsidRDefault="009D76EF" w:rsidP="009D76EF">
            <w:pPr>
              <w:keepNext/>
              <w:jc w:val="center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Nominal Mass Concentration</w:t>
            </w:r>
            <w:r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9D76EF" w14:paraId="18031D85" w14:textId="77777777" w:rsidTr="00FC747B">
        <w:trPr>
          <w:trHeight w:val="288"/>
          <w:jc w:val="center"/>
        </w:trPr>
        <w:tc>
          <w:tcPr>
            <w:tcW w:w="3057" w:type="dxa"/>
          </w:tcPr>
          <w:p w14:paraId="73528168" w14:textId="77777777" w:rsidR="009D76EF" w:rsidRDefault="007E3259" w:rsidP="006B75AB">
            <w:pPr>
              <w:widowControl/>
              <w:rPr>
                <w:rFonts w:eastAsia="Times New Roman"/>
                <w:spacing w:val="2"/>
                <w:szCs w:val="20"/>
              </w:rPr>
            </w:pPr>
            <w:r w:rsidRPr="00A8176C">
              <w:t>2,6,10,14-Tetramethylpentadecane</w:t>
            </w:r>
          </w:p>
        </w:tc>
        <w:tc>
          <w:tcPr>
            <w:tcW w:w="1740" w:type="dxa"/>
          </w:tcPr>
          <w:p w14:paraId="3F3B7070" w14:textId="77777777" w:rsidR="009D76EF" w:rsidRDefault="009D76EF" w:rsidP="007E3259">
            <w:pPr>
              <w:widowControl/>
              <w:tabs>
                <w:tab w:val="right" w:pos="1353"/>
              </w:tabs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ab/>
            </w:r>
            <w:r w:rsidR="007E3259">
              <w:rPr>
                <w:rFonts w:eastAsia="Times New Roman"/>
                <w:spacing w:val="1"/>
                <w:szCs w:val="20"/>
              </w:rPr>
              <w:t>1971-70-6</w:t>
            </w:r>
          </w:p>
        </w:tc>
        <w:tc>
          <w:tcPr>
            <w:tcW w:w="1573" w:type="dxa"/>
          </w:tcPr>
          <w:p w14:paraId="665543B0" w14:textId="77777777" w:rsidR="009D76EF" w:rsidRDefault="007E3259" w:rsidP="005C1D13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217-650-8</w:t>
            </w:r>
          </w:p>
        </w:tc>
        <w:tc>
          <w:tcPr>
            <w:tcW w:w="2858" w:type="dxa"/>
          </w:tcPr>
          <w:p w14:paraId="7012B052" w14:textId="77777777" w:rsidR="009D76EF" w:rsidRDefault="007E3259" w:rsidP="002861BE">
            <w:pPr>
              <w:jc w:val="center"/>
              <w:rPr>
                <w:rFonts w:eastAsia="Times New Roman"/>
                <w:spacing w:val="1"/>
                <w:w w:val="99"/>
                <w:szCs w:val="20"/>
              </w:rPr>
            </w:pPr>
            <w:r>
              <w:rPr>
                <w:rFonts w:eastAsia="Times New Roman"/>
                <w:spacing w:val="1"/>
                <w:szCs w:val="20"/>
              </w:rPr>
              <w:t>100</w:t>
            </w:r>
          </w:p>
        </w:tc>
      </w:tr>
    </w:tbl>
    <w:p w14:paraId="4A90482A" w14:textId="77777777" w:rsidR="00492783" w:rsidRPr="00492783" w:rsidRDefault="00492783" w:rsidP="008A57C6">
      <w:pPr>
        <w:widowControl/>
        <w:tabs>
          <w:tab w:val="left" w:pos="180"/>
        </w:tabs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173FB" w14:paraId="10E52A67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1C2D4CBA" w14:textId="77777777" w:rsidR="00B173FB" w:rsidRDefault="00B173FB" w:rsidP="006B75AB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4298790D" w14:textId="77777777" w:rsidR="00C508A0" w:rsidRPr="00B0155D" w:rsidRDefault="00BB0995" w:rsidP="00CE77FB">
      <w:pPr>
        <w:keepNext/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6E68B412" w14:textId="77777777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41D11A43" w14:textId="77777777" w:rsidR="00C508A0" w:rsidRPr="007A2437" w:rsidRDefault="00BF5DD9" w:rsidP="00C82019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944226" w:rsidRPr="007A2437">
        <w:rPr>
          <w:rFonts w:eastAsia="Times New Roman"/>
          <w:bCs/>
          <w:szCs w:val="20"/>
        </w:rPr>
        <w:t>Rinse</w:t>
      </w:r>
      <w:r w:rsidR="00944226" w:rsidRPr="007A2437">
        <w:t xml:space="preserve"> affected skin with water for at least 15 minutes, </w:t>
      </w:r>
      <w:r w:rsidR="007B7280" w:rsidRPr="007A2437">
        <w:t>and then</w:t>
      </w:r>
      <w:r w:rsidR="00944226" w:rsidRPr="007A2437">
        <w:t xml:space="preserve"> wash thoroughly with soap or mild detergent and water.  If skin irritation persists, seek medical aid and bring the container or label.</w:t>
      </w:r>
    </w:p>
    <w:p w14:paraId="0DE962C5" w14:textId="77777777" w:rsidR="00C508A0" w:rsidRPr="007A2437" w:rsidRDefault="00BF5DD9" w:rsidP="00CA1914">
      <w:pPr>
        <w:widowControl/>
        <w:spacing w:before="60" w:after="60"/>
        <w:ind w:left="360"/>
        <w:rPr>
          <w:rFonts w:eastAsia="Times New Roman"/>
          <w:b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4D7EDEA8" w14:textId="77777777" w:rsidR="00E24579" w:rsidRPr="007A2437" w:rsidRDefault="00BF5DD9" w:rsidP="00C82019">
      <w:pPr>
        <w:widowControl/>
        <w:spacing w:before="60"/>
        <w:ind w:left="360"/>
        <w:rPr>
          <w:rFonts w:eastAsia="Times New Roman"/>
          <w:b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1730AAA0" w14:textId="77777777" w:rsidR="00FA0D88" w:rsidRDefault="00FA0D88" w:rsidP="00FA0D88">
      <w:pPr>
        <w:widowControl/>
        <w:spacing w:before="120"/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>
        <w:rPr>
          <w:b/>
        </w:rPr>
        <w:t>:</w:t>
      </w:r>
      <w:r w:rsidRPr="004A0953">
        <w:t xml:space="preserve">  </w:t>
      </w:r>
      <w:r w:rsidR="007E3259">
        <w:t>Respiratory tract, skin, and eye irritation</w:t>
      </w:r>
    </w:p>
    <w:p w14:paraId="410E7C90" w14:textId="77777777" w:rsidR="002D63F4" w:rsidRPr="00FC2284" w:rsidRDefault="002D63F4" w:rsidP="006B75AB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5E0A6DDF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3CD823E" w14:textId="77777777" w:rsidR="001D7FE4" w:rsidRDefault="001D7FE4" w:rsidP="006B75AB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125ECB0" w14:textId="77777777" w:rsidR="001248AA" w:rsidRPr="008A57C6" w:rsidRDefault="001248AA" w:rsidP="008A57C6">
      <w:pPr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8657C4">
        <w:rPr>
          <w:rFonts w:eastAsia="Times New Roman"/>
          <w:bCs/>
          <w:spacing w:val="-1"/>
          <w:szCs w:val="20"/>
        </w:rPr>
        <w:t xml:space="preserve">  </w:t>
      </w:r>
      <w:r w:rsidR="007E3259">
        <w:rPr>
          <w:rFonts w:eastAsia="Times New Roman"/>
          <w:bCs/>
          <w:spacing w:val="-1"/>
          <w:szCs w:val="20"/>
        </w:rPr>
        <w:t xml:space="preserve">Slight </w:t>
      </w:r>
      <w:r w:rsidR="0083198A">
        <w:rPr>
          <w:rFonts w:eastAsia="Times New Roman"/>
          <w:bCs/>
          <w:spacing w:val="-1"/>
          <w:szCs w:val="20"/>
        </w:rPr>
        <w:t xml:space="preserve">fire hazard.  </w:t>
      </w:r>
      <w:r w:rsidR="0076501C" w:rsidRPr="00455695">
        <w:rPr>
          <w:rFonts w:eastAsia="Times New Roman"/>
          <w:bCs/>
          <w:spacing w:val="-1"/>
          <w:szCs w:val="20"/>
        </w:rPr>
        <w:t xml:space="preserve">See Section </w:t>
      </w:r>
      <w:r w:rsidR="0076501C" w:rsidRPr="003E2700">
        <w:rPr>
          <w:rFonts w:eastAsia="Times New Roman"/>
          <w:bCs/>
          <w:spacing w:val="-1"/>
          <w:szCs w:val="20"/>
        </w:rPr>
        <w:t>9, “Physical and Chemical Properties” for flammability properties.</w:t>
      </w:r>
    </w:p>
    <w:p w14:paraId="36F5EC43" w14:textId="77777777" w:rsidR="006251CA" w:rsidRDefault="00676966" w:rsidP="00C82019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13759564" w14:textId="77777777" w:rsidR="00E93DD1" w:rsidRPr="007A2437" w:rsidRDefault="0028318C" w:rsidP="008657C4">
      <w:pPr>
        <w:widowControl/>
        <w:tabs>
          <w:tab w:val="left" w:pos="360"/>
        </w:tabs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7E3259">
        <w:rPr>
          <w:rFonts w:eastAsia="Times New Roman"/>
          <w:bCs/>
          <w:szCs w:val="20"/>
        </w:rPr>
        <w:t>R</w:t>
      </w:r>
      <w:r w:rsidR="0076501C" w:rsidRPr="007A2437">
        <w:rPr>
          <w:color w:val="000000"/>
          <w:szCs w:val="20"/>
        </w:rPr>
        <w:t>egular dry chemical, ca</w:t>
      </w:r>
      <w:r w:rsidR="009721CD" w:rsidRPr="007A2437">
        <w:rPr>
          <w:color w:val="000000"/>
          <w:szCs w:val="20"/>
        </w:rPr>
        <w:t>r</w:t>
      </w:r>
      <w:r w:rsidR="0076501C" w:rsidRPr="007A2437">
        <w:rPr>
          <w:color w:val="000000"/>
          <w:szCs w:val="20"/>
        </w:rPr>
        <w:t>bon dioxide, water, or regular foam</w:t>
      </w:r>
      <w:r w:rsidR="008657C4">
        <w:rPr>
          <w:color w:val="000000"/>
          <w:szCs w:val="20"/>
        </w:rPr>
        <w:t>.</w:t>
      </w:r>
    </w:p>
    <w:p w14:paraId="20F0E902" w14:textId="77777777" w:rsidR="00E93DD1" w:rsidRPr="00623C6E" w:rsidRDefault="0028318C" w:rsidP="008657C4">
      <w:pPr>
        <w:widowControl/>
        <w:tabs>
          <w:tab w:val="left" w:pos="360"/>
        </w:tabs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5527B6BC" w14:textId="77777777" w:rsidR="00E24579" w:rsidRPr="006D10B0" w:rsidRDefault="00676966" w:rsidP="00C82019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944226">
        <w:t>Not applicable.</w:t>
      </w:r>
    </w:p>
    <w:p w14:paraId="6F9A2F4C" w14:textId="77777777" w:rsidR="006D10B0" w:rsidRDefault="00F057E8" w:rsidP="00C82019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0915711F" w14:textId="77777777" w:rsidR="00170F65" w:rsidRPr="006D10B0" w:rsidRDefault="000D31BB" w:rsidP="00CA1914">
      <w:pPr>
        <w:keepNext/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16A16524" w14:textId="77777777" w:rsidR="00170F65" w:rsidRPr="006D10B0" w:rsidRDefault="00170F65" w:rsidP="00C82019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7E3259">
        <w:rPr>
          <w:szCs w:val="20"/>
        </w:rPr>
        <w:t>2</w:t>
      </w:r>
      <w:r w:rsidR="000D31BB" w:rsidRPr="007A2437">
        <w:rPr>
          <w:rFonts w:eastAsia="Times New Roman"/>
          <w:szCs w:val="20"/>
        </w:rPr>
        <w:tab/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1C544F">
        <w:rPr>
          <w:szCs w:val="20"/>
        </w:rPr>
        <w:t>1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6979A824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48B1D65E" w14:textId="77777777" w:rsidR="001D7FE4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7B345EAB" w14:textId="77777777" w:rsidR="001D7FE4" w:rsidRPr="007A2437" w:rsidRDefault="001D7FE4" w:rsidP="00CA1914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2320AE0C" w14:textId="77777777" w:rsidR="00FC747B" w:rsidRDefault="001D7FE4" w:rsidP="00FC747B">
      <w:pPr>
        <w:autoSpaceDE w:val="0"/>
        <w:autoSpaceDN w:val="0"/>
        <w:adjustRightInd w:val="0"/>
        <w:spacing w:before="120" w:after="120"/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FC747B">
        <w:t>Absorb with sand or other non-combustible material.  Collect in an appropriate container for proper disposal.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:rsidRPr="007A2437" w14:paraId="22CD6657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7C1D9CD" w14:textId="77777777" w:rsidR="001D7FE4" w:rsidRPr="007A2437" w:rsidRDefault="001D7FE4" w:rsidP="006B75AB">
            <w:pPr>
              <w:keepNext/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CDBDB6B" w14:textId="77777777" w:rsidR="001D7FE4" w:rsidRPr="007A2437" w:rsidRDefault="001D7FE4" w:rsidP="006B75AB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58757B">
        <w:rPr>
          <w:rFonts w:eastAsia="Times New Roman"/>
          <w:bCs/>
          <w:position w:val="-1"/>
          <w:szCs w:val="20"/>
        </w:rPr>
        <w:t xml:space="preserve">Use suitable personal protection equipment (PPE).  </w:t>
      </w:r>
      <w:r w:rsidR="00BA10D3" w:rsidRPr="007A2437">
        <w:t>See Section 8, “Exposure Controls and Personal Protection”.</w:t>
      </w:r>
    </w:p>
    <w:p w14:paraId="597D5A1B" w14:textId="77777777" w:rsidR="00A31815" w:rsidRDefault="001D7FE4" w:rsidP="00F941BF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0B4BD9" w:rsidRPr="007A2437">
        <w:t>S</w:t>
      </w:r>
      <w:r w:rsidR="00BA10D3" w:rsidRPr="007A2437">
        <w:t>tore in a well</w:t>
      </w:r>
      <w:r w:rsidR="00BA10D3" w:rsidRPr="007A2437">
        <w:noBreakHyphen/>
      </w:r>
      <w:r w:rsidR="000B4BD9" w:rsidRPr="007A2437">
        <w:t>ventilated area.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D7FE4" w14:paraId="6A6BE736" w14:textId="77777777" w:rsidTr="001D7FE4">
        <w:tc>
          <w:tcPr>
            <w:tcW w:w="9576" w:type="dxa"/>
            <w:vAlign w:val="center"/>
          </w:tcPr>
          <w:p w14:paraId="38F6AD87" w14:textId="77777777" w:rsidR="001D7FE4" w:rsidRDefault="001D7FE4" w:rsidP="00A34016">
            <w:pPr>
              <w:keepNext/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891F449" w14:textId="77777777" w:rsidR="007E3259" w:rsidRPr="0093270C" w:rsidRDefault="007E3259" w:rsidP="00FC747B">
      <w:pPr>
        <w:widowControl/>
        <w:overflowPunct w:val="0"/>
        <w:autoSpaceDE w:val="0"/>
        <w:autoSpaceDN w:val="0"/>
        <w:adjustRightInd w:val="0"/>
        <w:spacing w:before="120"/>
        <w:textAlignment w:val="baseline"/>
        <w:rPr>
          <w:szCs w:val="20"/>
        </w:rPr>
      </w:pPr>
      <w:r w:rsidRPr="0093270C">
        <w:rPr>
          <w:b/>
          <w:bCs/>
          <w:szCs w:val="20"/>
        </w:rPr>
        <w:t>Exposure Limits:</w:t>
      </w:r>
      <w:r w:rsidRPr="0093270C">
        <w:rPr>
          <w:bCs/>
          <w:szCs w:val="20"/>
        </w:rPr>
        <w:t xml:space="preserve">  No occupational exposure limits have been e</w:t>
      </w:r>
      <w:r w:rsidR="00FC747B">
        <w:rPr>
          <w:bCs/>
          <w:szCs w:val="20"/>
        </w:rPr>
        <w:t xml:space="preserve">stablished for this material.  </w:t>
      </w:r>
    </w:p>
    <w:p w14:paraId="22555D0D" w14:textId="77777777" w:rsidR="0031663D" w:rsidRDefault="0031663D" w:rsidP="00A211A5">
      <w:pPr>
        <w:tabs>
          <w:tab w:val="decimal" w:pos="2160"/>
          <w:tab w:val="left" w:pos="2430"/>
          <w:tab w:val="left" w:pos="2880"/>
          <w:tab w:val="left" w:pos="3600"/>
        </w:tabs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3FDF8EF8" w14:textId="77777777" w:rsidR="0031663D" w:rsidRDefault="00194A53" w:rsidP="006C2B88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lastRenderedPageBreak/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7E7C925D" w14:textId="77777777" w:rsidR="0031663D" w:rsidRDefault="0031663D" w:rsidP="006C2B88">
      <w:pPr>
        <w:widowControl/>
        <w:spacing w:before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0C07E490" w14:textId="77777777" w:rsidR="0031663D" w:rsidRPr="001A0BF3" w:rsidRDefault="0031663D" w:rsidP="006C2B88">
      <w:pPr>
        <w:widowControl/>
        <w:spacing w:before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25D815A5" w14:textId="77777777" w:rsidR="0031663D" w:rsidRPr="00676339" w:rsidRDefault="00194A53" w:rsidP="006C2B88">
      <w:pPr>
        <w:widowControl/>
        <w:spacing w:before="120" w:after="120"/>
        <w:ind w:left="360"/>
        <w:rPr>
          <w:rFonts w:eastAsia="Times New Roman"/>
          <w:b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B53D1" w14:paraId="742E9570" w14:textId="77777777" w:rsidTr="009A7B97">
        <w:trPr>
          <w:trHeight w:hRule="exact" w:val="360"/>
        </w:trPr>
        <w:tc>
          <w:tcPr>
            <w:tcW w:w="9576" w:type="dxa"/>
            <w:vAlign w:val="center"/>
          </w:tcPr>
          <w:p w14:paraId="6DC330A8" w14:textId="77777777" w:rsidR="00DB53D1" w:rsidRDefault="008A5F10" w:rsidP="009A7B97">
            <w:pPr>
              <w:keepNext/>
              <w:widowControl/>
              <w:jc w:val="left"/>
              <w:rPr>
                <w:rFonts w:eastAsia="Times New Roman"/>
                <w:szCs w:val="20"/>
              </w:rPr>
            </w:pPr>
            <w:r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3A27E5FF" w14:textId="77777777" w:rsidR="00893F73" w:rsidRPr="008A5F10" w:rsidRDefault="00893F73" w:rsidP="0041060D">
      <w:pPr>
        <w:pStyle w:val="Default"/>
        <w:rPr>
          <w:szCs w:val="20"/>
        </w:rPr>
      </w:pPr>
    </w:p>
    <w:tbl>
      <w:tblPr>
        <w:tblStyle w:val="TableGrid"/>
        <w:tblW w:w="91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38"/>
        <w:gridCol w:w="4860"/>
      </w:tblGrid>
      <w:tr w:rsidR="00F55E2E" w:rsidRPr="00C605BC" w14:paraId="61610C66" w14:textId="77777777" w:rsidTr="007508B9">
        <w:trPr>
          <w:cantSplit/>
          <w:trHeight w:val="288"/>
          <w:tblHeader/>
        </w:trPr>
        <w:tc>
          <w:tcPr>
            <w:tcW w:w="4338" w:type="dxa"/>
          </w:tcPr>
          <w:p w14:paraId="27AF284D" w14:textId="77777777" w:rsidR="00F55E2E" w:rsidRPr="008A57C6" w:rsidRDefault="00F55E2E" w:rsidP="006B75AB">
            <w:pPr>
              <w:pStyle w:val="Default"/>
              <w:spacing w:after="120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Properties</w:t>
            </w:r>
          </w:p>
        </w:tc>
        <w:tc>
          <w:tcPr>
            <w:tcW w:w="4860" w:type="dxa"/>
          </w:tcPr>
          <w:p w14:paraId="05A9E273" w14:textId="77777777" w:rsidR="00F55E2E" w:rsidRPr="00FC747B" w:rsidRDefault="00FC747B" w:rsidP="007508B9">
            <w:pPr>
              <w:pStyle w:val="Default"/>
              <w:spacing w:after="120"/>
              <w:ind w:left="252"/>
              <w:rPr>
                <w:b/>
                <w:szCs w:val="20"/>
              </w:rPr>
            </w:pPr>
            <w:r w:rsidRPr="00FC747B">
              <w:rPr>
                <w:szCs w:val="20"/>
              </w:rPr>
              <w:t>2,6,10,14-Tetramethylpentadecane</w:t>
            </w:r>
          </w:p>
        </w:tc>
      </w:tr>
      <w:tr w:rsidR="00F55E2E" w:rsidRPr="00C605BC" w14:paraId="43655A63" w14:textId="77777777" w:rsidTr="007508B9">
        <w:trPr>
          <w:cantSplit/>
          <w:trHeight w:val="144"/>
        </w:trPr>
        <w:tc>
          <w:tcPr>
            <w:tcW w:w="4338" w:type="dxa"/>
          </w:tcPr>
          <w:p w14:paraId="63258EDA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Molar Mass (g/mol)</w:t>
            </w:r>
          </w:p>
        </w:tc>
        <w:tc>
          <w:tcPr>
            <w:tcW w:w="4860" w:type="dxa"/>
          </w:tcPr>
          <w:p w14:paraId="32E62D51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268.53</w:t>
            </w:r>
          </w:p>
        </w:tc>
      </w:tr>
      <w:tr w:rsidR="00F55E2E" w:rsidRPr="00C605BC" w14:paraId="51FE4614" w14:textId="77777777" w:rsidTr="007508B9">
        <w:trPr>
          <w:cantSplit/>
          <w:trHeight w:val="144"/>
        </w:trPr>
        <w:tc>
          <w:tcPr>
            <w:tcW w:w="4338" w:type="dxa"/>
          </w:tcPr>
          <w:p w14:paraId="22495944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Molecular Formula</w:t>
            </w:r>
          </w:p>
        </w:tc>
        <w:tc>
          <w:tcPr>
            <w:tcW w:w="4860" w:type="dxa"/>
          </w:tcPr>
          <w:p w14:paraId="72F23C40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FC747B">
              <w:rPr>
                <w:szCs w:val="20"/>
                <w:vertAlign w:val="subscript"/>
              </w:rPr>
              <w:t>19</w:t>
            </w:r>
            <w:r>
              <w:rPr>
                <w:szCs w:val="20"/>
              </w:rPr>
              <w:t>H</w:t>
            </w:r>
            <w:r w:rsidRPr="00FC747B">
              <w:rPr>
                <w:szCs w:val="20"/>
                <w:vertAlign w:val="subscript"/>
              </w:rPr>
              <w:t>40</w:t>
            </w:r>
          </w:p>
        </w:tc>
      </w:tr>
      <w:tr w:rsidR="00F55E2E" w:rsidRPr="00C605BC" w14:paraId="77DF6745" w14:textId="77777777" w:rsidTr="007508B9">
        <w:trPr>
          <w:cantSplit/>
          <w:trHeight w:val="144"/>
        </w:trPr>
        <w:tc>
          <w:tcPr>
            <w:tcW w:w="4338" w:type="dxa"/>
          </w:tcPr>
          <w:p w14:paraId="22D35D96" w14:textId="77777777" w:rsidR="00F55E2E" w:rsidRPr="008A57C6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Appearance (physical state, color, etc.)</w:t>
            </w:r>
          </w:p>
        </w:tc>
        <w:tc>
          <w:tcPr>
            <w:tcW w:w="4860" w:type="dxa"/>
          </w:tcPr>
          <w:p w14:paraId="21BA01AF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clear, colorless liquid</w:t>
            </w:r>
          </w:p>
        </w:tc>
      </w:tr>
      <w:tr w:rsidR="00F55E2E" w:rsidRPr="00C605BC" w14:paraId="4A5D04EF" w14:textId="77777777" w:rsidTr="007508B9">
        <w:trPr>
          <w:cantSplit/>
          <w:trHeight w:val="144"/>
        </w:trPr>
        <w:tc>
          <w:tcPr>
            <w:tcW w:w="4338" w:type="dxa"/>
          </w:tcPr>
          <w:p w14:paraId="5089B3F5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Odor</w:t>
            </w:r>
          </w:p>
        </w:tc>
        <w:tc>
          <w:tcPr>
            <w:tcW w:w="4860" w:type="dxa"/>
          </w:tcPr>
          <w:p w14:paraId="4DC99B70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faint odor</w:t>
            </w:r>
          </w:p>
        </w:tc>
      </w:tr>
      <w:tr w:rsidR="00F55E2E" w:rsidRPr="00C605BC" w14:paraId="23298FC1" w14:textId="77777777" w:rsidTr="007508B9">
        <w:trPr>
          <w:cantSplit/>
          <w:trHeight w:val="144"/>
        </w:trPr>
        <w:tc>
          <w:tcPr>
            <w:tcW w:w="4338" w:type="dxa"/>
          </w:tcPr>
          <w:p w14:paraId="6D931838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Odor threshold</w:t>
            </w:r>
          </w:p>
        </w:tc>
        <w:tc>
          <w:tcPr>
            <w:tcW w:w="4860" w:type="dxa"/>
          </w:tcPr>
          <w:p w14:paraId="3F14FC8D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C605BC" w14:paraId="0845B670" w14:textId="77777777" w:rsidTr="007508B9">
        <w:trPr>
          <w:cantSplit/>
          <w:trHeight w:val="144"/>
        </w:trPr>
        <w:tc>
          <w:tcPr>
            <w:tcW w:w="4338" w:type="dxa"/>
          </w:tcPr>
          <w:p w14:paraId="0C7CB37C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pH</w:t>
            </w:r>
          </w:p>
        </w:tc>
        <w:tc>
          <w:tcPr>
            <w:tcW w:w="4860" w:type="dxa"/>
          </w:tcPr>
          <w:p w14:paraId="26FE63C1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C605BC" w14:paraId="09554AE1" w14:textId="77777777" w:rsidTr="007508B9">
        <w:trPr>
          <w:cantSplit/>
          <w:trHeight w:val="144"/>
        </w:trPr>
        <w:tc>
          <w:tcPr>
            <w:tcW w:w="4338" w:type="dxa"/>
          </w:tcPr>
          <w:p w14:paraId="75749990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Evaporation rate</w:t>
            </w:r>
          </w:p>
        </w:tc>
        <w:tc>
          <w:tcPr>
            <w:tcW w:w="4860" w:type="dxa"/>
          </w:tcPr>
          <w:p w14:paraId="15340FF8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C605BC" w14:paraId="71780F0A" w14:textId="77777777" w:rsidTr="007508B9">
        <w:trPr>
          <w:cantSplit/>
          <w:trHeight w:val="144"/>
        </w:trPr>
        <w:tc>
          <w:tcPr>
            <w:tcW w:w="4338" w:type="dxa"/>
          </w:tcPr>
          <w:p w14:paraId="28264C8B" w14:textId="77777777" w:rsidR="00F55E2E" w:rsidRPr="008A57C6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Melting point/freezing point</w:t>
            </w:r>
          </w:p>
        </w:tc>
        <w:tc>
          <w:tcPr>
            <w:tcW w:w="4860" w:type="dxa"/>
          </w:tcPr>
          <w:p w14:paraId="605329D1" w14:textId="30545387" w:rsidR="00F55E2E" w:rsidRPr="00FC747B" w:rsidRDefault="00FC747B" w:rsidP="00A939DC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–100 °C to –60 °C</w:t>
            </w:r>
            <w:r w:rsidR="00A939DC">
              <w:rPr>
                <w:szCs w:val="20"/>
              </w:rPr>
              <w:t xml:space="preserve"> (–148 °F to –76 °F)</w:t>
            </w:r>
          </w:p>
        </w:tc>
      </w:tr>
      <w:tr w:rsidR="00F55E2E" w:rsidRPr="00C605BC" w14:paraId="10525AA3" w14:textId="77777777" w:rsidTr="007508B9">
        <w:trPr>
          <w:cantSplit/>
          <w:trHeight w:val="144"/>
        </w:trPr>
        <w:tc>
          <w:tcPr>
            <w:tcW w:w="4338" w:type="dxa"/>
          </w:tcPr>
          <w:p w14:paraId="25E5E3DA" w14:textId="2333DE06" w:rsidR="00F55E2E" w:rsidRPr="008A57C6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Relative Density</w:t>
            </w:r>
            <w:r w:rsidR="008A57C6">
              <w:rPr>
                <w:szCs w:val="20"/>
              </w:rPr>
              <w:t xml:space="preserve"> </w:t>
            </w:r>
            <w:r w:rsidRPr="008A57C6">
              <w:rPr>
                <w:szCs w:val="20"/>
              </w:rPr>
              <w:t>as</w:t>
            </w:r>
            <w:r w:rsidRPr="008A57C6">
              <w:rPr>
                <w:b/>
                <w:szCs w:val="20"/>
              </w:rPr>
              <w:t xml:space="preserve"> </w:t>
            </w:r>
            <w:r w:rsidRPr="008A57C6">
              <w:rPr>
                <w:szCs w:val="20"/>
              </w:rPr>
              <w:t>Specific Gravity (water = 1)</w:t>
            </w:r>
          </w:p>
        </w:tc>
        <w:tc>
          <w:tcPr>
            <w:tcW w:w="4860" w:type="dxa"/>
          </w:tcPr>
          <w:p w14:paraId="7F62E75A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0.775 to 0.795</w:t>
            </w:r>
          </w:p>
        </w:tc>
      </w:tr>
      <w:tr w:rsidR="00DD6DEB" w:rsidRPr="00C605BC" w14:paraId="085052FD" w14:textId="77777777" w:rsidTr="007508B9">
        <w:trPr>
          <w:cantSplit/>
          <w:trHeight w:val="144"/>
        </w:trPr>
        <w:tc>
          <w:tcPr>
            <w:tcW w:w="4338" w:type="dxa"/>
          </w:tcPr>
          <w:p w14:paraId="426BEB44" w14:textId="77777777" w:rsidR="00DD6DEB" w:rsidRPr="008A57C6" w:rsidRDefault="008D3C28" w:rsidP="007508B9">
            <w:pPr>
              <w:pStyle w:val="Default"/>
              <w:ind w:left="180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Density</w:t>
            </w:r>
          </w:p>
        </w:tc>
        <w:tc>
          <w:tcPr>
            <w:tcW w:w="4860" w:type="dxa"/>
          </w:tcPr>
          <w:p w14:paraId="412D778E" w14:textId="77777777" w:rsidR="00DD6DEB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C605BC" w14:paraId="723BB82E" w14:textId="77777777" w:rsidTr="007508B9">
        <w:trPr>
          <w:cantSplit/>
          <w:trHeight w:val="144"/>
        </w:trPr>
        <w:tc>
          <w:tcPr>
            <w:tcW w:w="4338" w:type="dxa"/>
          </w:tcPr>
          <w:p w14:paraId="0C8C6391" w14:textId="77777777" w:rsidR="00F55E2E" w:rsidRPr="008A57C6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8A57C6">
              <w:rPr>
                <w:b/>
                <w:szCs w:val="20"/>
              </w:rPr>
              <w:t>Vapor Pressure</w:t>
            </w:r>
          </w:p>
        </w:tc>
        <w:tc>
          <w:tcPr>
            <w:tcW w:w="4860" w:type="dxa"/>
          </w:tcPr>
          <w:p w14:paraId="00D4793D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EF3E03" w14:paraId="14EC9776" w14:textId="77777777" w:rsidTr="007508B9">
        <w:trPr>
          <w:cantSplit/>
          <w:trHeight w:val="144"/>
        </w:trPr>
        <w:tc>
          <w:tcPr>
            <w:tcW w:w="4338" w:type="dxa"/>
          </w:tcPr>
          <w:p w14:paraId="78159E31" w14:textId="77777777" w:rsidR="00F55E2E" w:rsidRPr="00EF3E03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Vapor Density (air = 1)</w:t>
            </w:r>
          </w:p>
        </w:tc>
        <w:tc>
          <w:tcPr>
            <w:tcW w:w="4860" w:type="dxa"/>
          </w:tcPr>
          <w:p w14:paraId="7062AF51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EF3E03" w14:paraId="5271AA49" w14:textId="77777777" w:rsidTr="007508B9">
        <w:trPr>
          <w:cantSplit/>
          <w:trHeight w:val="144"/>
        </w:trPr>
        <w:tc>
          <w:tcPr>
            <w:tcW w:w="4338" w:type="dxa"/>
          </w:tcPr>
          <w:p w14:paraId="537B4609" w14:textId="77777777" w:rsidR="00F55E2E" w:rsidRPr="00EF3E03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Viscosity</w:t>
            </w:r>
          </w:p>
        </w:tc>
        <w:tc>
          <w:tcPr>
            <w:tcW w:w="4860" w:type="dxa"/>
          </w:tcPr>
          <w:p w14:paraId="3B3A9BA4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5 cP at 25 °C</w:t>
            </w:r>
          </w:p>
        </w:tc>
      </w:tr>
      <w:tr w:rsidR="00F55E2E" w:rsidRPr="00EF3E03" w14:paraId="7FA6B0B1" w14:textId="77777777" w:rsidTr="007508B9">
        <w:trPr>
          <w:cantSplit/>
          <w:trHeight w:val="144"/>
        </w:trPr>
        <w:tc>
          <w:tcPr>
            <w:tcW w:w="4338" w:type="dxa"/>
          </w:tcPr>
          <w:p w14:paraId="6D9E85D6" w14:textId="77777777" w:rsidR="00F55E2E" w:rsidRPr="00EF3E03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Solubilities</w:t>
            </w:r>
          </w:p>
        </w:tc>
        <w:tc>
          <w:tcPr>
            <w:tcW w:w="4860" w:type="dxa"/>
          </w:tcPr>
          <w:p w14:paraId="75816258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insoluble in water</w:t>
            </w:r>
            <w:r>
              <w:rPr>
                <w:szCs w:val="20"/>
              </w:rPr>
              <w:br/>
              <w:t>soluble in benzene, carbon tetrachloride, chloroform, ether, organic solvents, petroleum ether</w:t>
            </w:r>
          </w:p>
        </w:tc>
      </w:tr>
      <w:tr w:rsidR="00F55E2E" w:rsidRPr="00EF3E03" w14:paraId="61945347" w14:textId="77777777" w:rsidTr="007508B9">
        <w:trPr>
          <w:cantSplit/>
          <w:trHeight w:val="144"/>
        </w:trPr>
        <w:tc>
          <w:tcPr>
            <w:tcW w:w="4338" w:type="dxa"/>
          </w:tcPr>
          <w:p w14:paraId="38D577B4" w14:textId="77777777" w:rsidR="00F55E2E" w:rsidRPr="00EF3E03" w:rsidRDefault="00F55E2E" w:rsidP="007508B9">
            <w:pPr>
              <w:pStyle w:val="Default"/>
              <w:ind w:left="180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Partition coefficient (n</w:t>
            </w:r>
            <w:r w:rsidRPr="00EF3E03">
              <w:rPr>
                <w:b/>
                <w:szCs w:val="20"/>
              </w:rPr>
              <w:noBreakHyphen/>
              <w:t>octanol/water)</w:t>
            </w:r>
          </w:p>
        </w:tc>
        <w:tc>
          <w:tcPr>
            <w:tcW w:w="4860" w:type="dxa"/>
          </w:tcPr>
          <w:p w14:paraId="705E028A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F55E2E" w:rsidRPr="00EF3E03" w14:paraId="74414015" w14:textId="77777777" w:rsidTr="007508B9">
        <w:trPr>
          <w:cantSplit/>
          <w:trHeight w:val="144"/>
        </w:trPr>
        <w:tc>
          <w:tcPr>
            <w:tcW w:w="4338" w:type="dxa"/>
            <w:tcBorders>
              <w:right w:val="nil"/>
            </w:tcBorders>
          </w:tcPr>
          <w:p w14:paraId="124BC168" w14:textId="77777777" w:rsidR="00F55E2E" w:rsidRPr="00EF3E03" w:rsidRDefault="00F55E2E" w:rsidP="007508B9">
            <w:pPr>
              <w:pStyle w:val="Default"/>
              <w:widowControl w:val="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Thermal Stability Properties</w:t>
            </w:r>
          </w:p>
        </w:tc>
        <w:tc>
          <w:tcPr>
            <w:tcW w:w="4860" w:type="dxa"/>
            <w:tcBorders>
              <w:left w:val="nil"/>
              <w:right w:val="nil"/>
            </w:tcBorders>
          </w:tcPr>
          <w:p w14:paraId="7F477ADC" w14:textId="2C346A89" w:rsidR="00F55E2E" w:rsidRPr="00FC747B" w:rsidRDefault="00FC747B" w:rsidP="00A939DC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290 °C to 296 °C</w:t>
            </w:r>
            <w:r w:rsidR="00A939DC">
              <w:rPr>
                <w:szCs w:val="20"/>
              </w:rPr>
              <w:t xml:space="preserve"> (554 </w:t>
            </w:r>
            <w:r w:rsidR="00A939DC" w:rsidRPr="00A939DC">
              <w:rPr>
                <w:szCs w:val="20"/>
              </w:rPr>
              <w:t>°F</w:t>
            </w:r>
            <w:r w:rsidR="00A939DC">
              <w:rPr>
                <w:szCs w:val="20"/>
              </w:rPr>
              <w:t xml:space="preserve"> to 565 °F)</w:t>
            </w:r>
          </w:p>
        </w:tc>
      </w:tr>
      <w:tr w:rsidR="00A34016" w:rsidRPr="00EF3E03" w14:paraId="6A13FCD0" w14:textId="77777777" w:rsidTr="007508B9">
        <w:trPr>
          <w:cantSplit/>
          <w:trHeight w:val="144"/>
        </w:trPr>
        <w:tc>
          <w:tcPr>
            <w:tcW w:w="4338" w:type="dxa"/>
          </w:tcPr>
          <w:p w14:paraId="064450B5" w14:textId="77777777" w:rsidR="00A34016" w:rsidRPr="00EF3E03" w:rsidRDefault="00A34016" w:rsidP="007508B9">
            <w:pPr>
              <w:pStyle w:val="Default"/>
              <w:ind w:left="180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Autoignition Temperature</w:t>
            </w:r>
          </w:p>
        </w:tc>
        <w:tc>
          <w:tcPr>
            <w:tcW w:w="4860" w:type="dxa"/>
          </w:tcPr>
          <w:p w14:paraId="05D8D299" w14:textId="77777777" w:rsidR="00A34016" w:rsidRPr="00FC747B" w:rsidRDefault="00FC747B" w:rsidP="007508B9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A34016" w:rsidRPr="00EF3E03" w14:paraId="7737CAF2" w14:textId="77777777" w:rsidTr="007508B9">
        <w:trPr>
          <w:cantSplit/>
          <w:trHeight w:val="144"/>
        </w:trPr>
        <w:tc>
          <w:tcPr>
            <w:tcW w:w="4338" w:type="dxa"/>
          </w:tcPr>
          <w:p w14:paraId="1BD6B179" w14:textId="77777777" w:rsidR="00A34016" w:rsidRPr="00EF3E03" w:rsidRDefault="00A34016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Thermal Decomposition</w:t>
            </w:r>
          </w:p>
        </w:tc>
        <w:tc>
          <w:tcPr>
            <w:tcW w:w="4860" w:type="dxa"/>
          </w:tcPr>
          <w:p w14:paraId="166336BE" w14:textId="77777777" w:rsidR="00A34016" w:rsidRPr="00FC747B" w:rsidRDefault="00FC747B" w:rsidP="007508B9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A34016" w:rsidRPr="00EF3E03" w14:paraId="3BC21151" w14:textId="77777777" w:rsidTr="007508B9">
        <w:trPr>
          <w:cantSplit/>
          <w:trHeight w:val="144"/>
        </w:trPr>
        <w:tc>
          <w:tcPr>
            <w:tcW w:w="4338" w:type="dxa"/>
          </w:tcPr>
          <w:p w14:paraId="3271A166" w14:textId="77777777" w:rsidR="00A34016" w:rsidRPr="00EF3E03" w:rsidRDefault="00A34016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Initial boiling point and boiling range</w:t>
            </w:r>
          </w:p>
        </w:tc>
        <w:tc>
          <w:tcPr>
            <w:tcW w:w="4860" w:type="dxa"/>
          </w:tcPr>
          <w:p w14:paraId="4C4986B8" w14:textId="77777777" w:rsidR="00A34016" w:rsidRPr="00FC747B" w:rsidRDefault="00FC747B" w:rsidP="007508B9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A34016" w:rsidRPr="00EF3E03" w14:paraId="3BCA4FAC" w14:textId="77777777" w:rsidTr="007508B9">
        <w:trPr>
          <w:cantSplit/>
          <w:trHeight w:val="144"/>
        </w:trPr>
        <w:tc>
          <w:tcPr>
            <w:tcW w:w="4338" w:type="dxa"/>
          </w:tcPr>
          <w:p w14:paraId="1F1F2D6A" w14:textId="77777777" w:rsidR="00A34016" w:rsidRPr="00EF3E03" w:rsidRDefault="00A34016" w:rsidP="007508B9">
            <w:pPr>
              <w:pStyle w:val="Default"/>
              <w:ind w:left="180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Explosive Limits, LEL</w:t>
            </w:r>
            <w:r>
              <w:rPr>
                <w:b/>
                <w:szCs w:val="20"/>
              </w:rPr>
              <w:t xml:space="preserve"> (Volume %)</w:t>
            </w:r>
          </w:p>
        </w:tc>
        <w:tc>
          <w:tcPr>
            <w:tcW w:w="4860" w:type="dxa"/>
          </w:tcPr>
          <w:p w14:paraId="0A1DFEF2" w14:textId="77777777" w:rsidR="00A34016" w:rsidRPr="00FC747B" w:rsidRDefault="00FC747B" w:rsidP="007508B9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A34016" w:rsidRPr="00EF3E03" w14:paraId="6F3F0007" w14:textId="77777777" w:rsidTr="007508B9">
        <w:trPr>
          <w:cantSplit/>
          <w:trHeight w:val="144"/>
        </w:trPr>
        <w:tc>
          <w:tcPr>
            <w:tcW w:w="4338" w:type="dxa"/>
          </w:tcPr>
          <w:p w14:paraId="5B5F5771" w14:textId="77777777" w:rsidR="00A34016" w:rsidRPr="00EF3E03" w:rsidRDefault="00A34016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Explosive Limits, UEL</w:t>
            </w:r>
            <w:r>
              <w:rPr>
                <w:b/>
                <w:szCs w:val="20"/>
              </w:rPr>
              <w:t xml:space="preserve"> (Volume %)</w:t>
            </w:r>
          </w:p>
        </w:tc>
        <w:tc>
          <w:tcPr>
            <w:tcW w:w="4860" w:type="dxa"/>
          </w:tcPr>
          <w:p w14:paraId="73AA81B5" w14:textId="77777777" w:rsidR="00A34016" w:rsidRPr="00FC747B" w:rsidRDefault="00FC747B" w:rsidP="007508B9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  <w:tr w:rsidR="00A34016" w:rsidRPr="00EF3E03" w14:paraId="39324C92" w14:textId="77777777" w:rsidTr="007508B9">
        <w:trPr>
          <w:cantSplit/>
          <w:trHeight w:val="144"/>
        </w:trPr>
        <w:tc>
          <w:tcPr>
            <w:tcW w:w="4338" w:type="dxa"/>
          </w:tcPr>
          <w:p w14:paraId="5EF0EF5F" w14:textId="77777777" w:rsidR="00A34016" w:rsidRPr="00EF3E03" w:rsidRDefault="00A34016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Flash Point</w:t>
            </w:r>
          </w:p>
        </w:tc>
        <w:tc>
          <w:tcPr>
            <w:tcW w:w="4860" w:type="dxa"/>
          </w:tcPr>
          <w:p w14:paraId="5C1BFFD4" w14:textId="56798852" w:rsidR="00A34016" w:rsidRPr="00FC747B" w:rsidRDefault="00FC747B" w:rsidP="00A939DC">
            <w:pPr>
              <w:ind w:left="252"/>
              <w:jc w:val="left"/>
              <w:rPr>
                <w:szCs w:val="20"/>
              </w:rPr>
            </w:pPr>
            <w:r>
              <w:rPr>
                <w:szCs w:val="20"/>
              </w:rPr>
              <w:t>&gt;110 °C</w:t>
            </w:r>
            <w:r w:rsidR="00A939DC">
              <w:rPr>
                <w:szCs w:val="20"/>
              </w:rPr>
              <w:t xml:space="preserve"> (&gt;230 °F)</w:t>
            </w:r>
          </w:p>
        </w:tc>
      </w:tr>
      <w:tr w:rsidR="00F55E2E" w:rsidRPr="00EF3E03" w14:paraId="1ABD69E0" w14:textId="77777777" w:rsidTr="007508B9">
        <w:trPr>
          <w:cantSplit/>
          <w:trHeight w:val="144"/>
        </w:trPr>
        <w:tc>
          <w:tcPr>
            <w:tcW w:w="4338" w:type="dxa"/>
          </w:tcPr>
          <w:p w14:paraId="59B04DBC" w14:textId="77777777" w:rsidR="00F55E2E" w:rsidRPr="00EF3E03" w:rsidRDefault="00F55E2E" w:rsidP="007508B9">
            <w:pPr>
              <w:pStyle w:val="Default"/>
              <w:widowControl w:val="0"/>
              <w:ind w:left="180"/>
              <w:jc w:val="both"/>
              <w:rPr>
                <w:b/>
                <w:szCs w:val="20"/>
              </w:rPr>
            </w:pPr>
            <w:r w:rsidRPr="00EF3E03">
              <w:rPr>
                <w:b/>
                <w:szCs w:val="20"/>
              </w:rPr>
              <w:t>Flammability (solid, gas)</w:t>
            </w:r>
          </w:p>
        </w:tc>
        <w:tc>
          <w:tcPr>
            <w:tcW w:w="4860" w:type="dxa"/>
          </w:tcPr>
          <w:p w14:paraId="5BA31730" w14:textId="77777777" w:rsidR="00F55E2E" w:rsidRPr="00FC747B" w:rsidRDefault="00FC747B" w:rsidP="007508B9">
            <w:pPr>
              <w:pStyle w:val="Default"/>
              <w:ind w:left="252"/>
              <w:rPr>
                <w:szCs w:val="20"/>
              </w:rPr>
            </w:pPr>
            <w:r>
              <w:rPr>
                <w:szCs w:val="20"/>
              </w:rPr>
              <w:t>not applicable</w:t>
            </w:r>
          </w:p>
        </w:tc>
      </w:tr>
    </w:tbl>
    <w:p w14:paraId="6F937D41" w14:textId="77777777" w:rsidR="00E24579" w:rsidRPr="00EF3E03" w:rsidRDefault="00E24579" w:rsidP="008A5F10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4046F" w14:paraId="129BBCCC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08392060" w14:textId="77777777" w:rsidR="00F4046F" w:rsidRDefault="00F4046F" w:rsidP="006B75AB">
            <w:pPr>
              <w:keepNext/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7BA6A13E" w14:textId="77777777" w:rsidR="00F4046F" w:rsidRPr="00373DC9" w:rsidRDefault="00F4046F" w:rsidP="006B75AB">
      <w:pPr>
        <w:keepNext/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373DC9" w:rsidRPr="00252092">
        <w:rPr>
          <w:szCs w:val="20"/>
        </w:rPr>
        <w:t xml:space="preserve">This material is </w:t>
      </w:r>
      <w:r w:rsidR="005F10AD">
        <w:rPr>
          <w:szCs w:val="20"/>
        </w:rPr>
        <w:t>stable</w:t>
      </w:r>
      <w:r w:rsidR="00373DC9" w:rsidRPr="00252092">
        <w:rPr>
          <w:szCs w:val="20"/>
        </w:rPr>
        <w:t xml:space="preserve">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1F6DAB7A" w14:textId="77777777" w:rsidTr="00EB5E4A">
        <w:tc>
          <w:tcPr>
            <w:tcW w:w="1440" w:type="dxa"/>
            <w:vAlign w:val="center"/>
          </w:tcPr>
          <w:p w14:paraId="4284BE23" w14:textId="77777777" w:rsidR="00F4046F" w:rsidRPr="00F4046F" w:rsidRDefault="00F4046F" w:rsidP="006B75AB">
            <w:pPr>
              <w:widowControl/>
              <w:ind w:left="-450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97F0CDE" w14:textId="77777777" w:rsidR="00F4046F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1A1D9DC8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D3AC251" w14:textId="77777777" w:rsidR="00F4046F" w:rsidRDefault="00F4046F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523D9443" w14:textId="77777777" w:rsidR="00F4046F" w:rsidRDefault="00F4046F" w:rsidP="008A57C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4D5838B1" w14:textId="77777777" w:rsidR="00D2295A" w:rsidRPr="00A00A2B" w:rsidRDefault="00D2295A" w:rsidP="006B75AB">
      <w:pPr>
        <w:widowControl/>
        <w:spacing w:before="120"/>
        <w:rPr>
          <w:rFonts w:eastAsia="Times New Roman"/>
          <w:bCs/>
          <w:szCs w:val="20"/>
        </w:rPr>
      </w:pPr>
      <w:r w:rsidRPr="00A34016">
        <w:rPr>
          <w:rFonts w:eastAsia="Times New Roman"/>
          <w:b/>
          <w:bCs/>
          <w:szCs w:val="20"/>
        </w:rPr>
        <w:t>Possible Hazardous Reactions</w:t>
      </w:r>
      <w:r w:rsidR="00A00A2B" w:rsidRPr="00A34016">
        <w:rPr>
          <w:rFonts w:eastAsia="Times New Roman"/>
          <w:b/>
          <w:bCs/>
          <w:szCs w:val="20"/>
        </w:rPr>
        <w:t>:</w:t>
      </w:r>
      <w:r w:rsidR="00A00A2B" w:rsidRPr="00A34016">
        <w:rPr>
          <w:rFonts w:eastAsia="Times New Roman"/>
          <w:bCs/>
          <w:szCs w:val="20"/>
        </w:rPr>
        <w:t xml:space="preserve">  </w:t>
      </w:r>
      <w:r w:rsidR="00373DC9" w:rsidRPr="00A34016">
        <w:rPr>
          <w:rFonts w:eastAsia="Times New Roman"/>
          <w:bCs/>
          <w:szCs w:val="20"/>
        </w:rPr>
        <w:t>Not applicable.</w:t>
      </w:r>
    </w:p>
    <w:p w14:paraId="4C83C22E" w14:textId="77777777" w:rsidR="00DC1232" w:rsidRPr="00373DC9" w:rsidRDefault="00BF5DD9" w:rsidP="006B75AB">
      <w:pPr>
        <w:widowControl/>
        <w:spacing w:before="120"/>
        <w:rPr>
          <w:rFonts w:eastAsia="Times New Roman"/>
          <w:bCs/>
          <w:szCs w:val="20"/>
        </w:rPr>
      </w:pPr>
      <w:r w:rsidRPr="00A34016">
        <w:rPr>
          <w:rFonts w:eastAsia="Times New Roman"/>
          <w:b/>
          <w:bCs/>
          <w:szCs w:val="20"/>
        </w:rPr>
        <w:t>C</w:t>
      </w:r>
      <w:r w:rsidRPr="00A34016">
        <w:rPr>
          <w:rFonts w:eastAsia="Times New Roman"/>
          <w:b/>
          <w:bCs/>
          <w:spacing w:val="1"/>
          <w:szCs w:val="20"/>
        </w:rPr>
        <w:t>o</w:t>
      </w:r>
      <w:r w:rsidRPr="00A34016">
        <w:rPr>
          <w:rFonts w:eastAsia="Times New Roman"/>
          <w:b/>
          <w:bCs/>
          <w:szCs w:val="20"/>
        </w:rPr>
        <w:t>ndi</w:t>
      </w:r>
      <w:r w:rsidRPr="00A34016">
        <w:rPr>
          <w:rFonts w:eastAsia="Times New Roman"/>
          <w:b/>
          <w:bCs/>
          <w:spacing w:val="1"/>
          <w:szCs w:val="20"/>
        </w:rPr>
        <w:t>t</w:t>
      </w:r>
      <w:r w:rsidRPr="00A34016">
        <w:rPr>
          <w:rFonts w:eastAsia="Times New Roman"/>
          <w:b/>
          <w:bCs/>
          <w:szCs w:val="20"/>
        </w:rPr>
        <w:t>i</w:t>
      </w:r>
      <w:r w:rsidRPr="00A34016">
        <w:rPr>
          <w:rFonts w:eastAsia="Times New Roman"/>
          <w:b/>
          <w:bCs/>
          <w:spacing w:val="1"/>
          <w:szCs w:val="20"/>
        </w:rPr>
        <w:t>o</w:t>
      </w:r>
      <w:r w:rsidRPr="00A34016">
        <w:rPr>
          <w:rFonts w:eastAsia="Times New Roman"/>
          <w:b/>
          <w:bCs/>
          <w:szCs w:val="20"/>
        </w:rPr>
        <w:t>ns</w:t>
      </w:r>
      <w:r w:rsidRPr="00A34016">
        <w:rPr>
          <w:rFonts w:eastAsia="Times New Roman"/>
          <w:b/>
          <w:bCs/>
          <w:spacing w:val="-9"/>
          <w:szCs w:val="20"/>
        </w:rPr>
        <w:t xml:space="preserve"> </w:t>
      </w:r>
      <w:r w:rsidRPr="00A34016">
        <w:rPr>
          <w:rFonts w:eastAsia="Times New Roman"/>
          <w:b/>
          <w:bCs/>
          <w:spacing w:val="1"/>
          <w:szCs w:val="20"/>
        </w:rPr>
        <w:t>t</w:t>
      </w:r>
      <w:r w:rsidRPr="00A34016">
        <w:rPr>
          <w:rFonts w:eastAsia="Times New Roman"/>
          <w:b/>
          <w:bCs/>
          <w:szCs w:val="20"/>
        </w:rPr>
        <w:t>o A</w:t>
      </w:r>
      <w:r w:rsidRPr="00A34016">
        <w:rPr>
          <w:rFonts w:eastAsia="Times New Roman"/>
          <w:b/>
          <w:bCs/>
          <w:spacing w:val="1"/>
          <w:szCs w:val="20"/>
        </w:rPr>
        <w:t>vo</w:t>
      </w:r>
      <w:r w:rsidRPr="00A34016">
        <w:rPr>
          <w:rFonts w:eastAsia="Times New Roman"/>
          <w:b/>
          <w:bCs/>
          <w:szCs w:val="20"/>
        </w:rPr>
        <w:t>id:</w:t>
      </w:r>
      <w:r w:rsidRPr="00A34016">
        <w:rPr>
          <w:rFonts w:eastAsia="Times New Roman"/>
          <w:bCs/>
          <w:szCs w:val="20"/>
        </w:rPr>
        <w:t xml:space="preserve"> </w:t>
      </w:r>
      <w:r w:rsidR="00373DC9" w:rsidRPr="00A34016">
        <w:rPr>
          <w:rFonts w:eastAsia="Times New Roman"/>
          <w:bCs/>
          <w:szCs w:val="20"/>
        </w:rPr>
        <w:t xml:space="preserve"> </w:t>
      </w:r>
      <w:r w:rsidR="00EB76F7" w:rsidRPr="00A34016">
        <w:rPr>
          <w:rFonts w:eastAsia="Times New Roman"/>
          <w:bCs/>
          <w:szCs w:val="20"/>
        </w:rPr>
        <w:t xml:space="preserve">Avoid </w:t>
      </w:r>
      <w:r w:rsidR="007508B9">
        <w:rPr>
          <w:rFonts w:eastAsia="Times New Roman"/>
          <w:bCs/>
          <w:szCs w:val="20"/>
        </w:rPr>
        <w:t>heat, flames, sparks and other sources of ignition.  Avoid contact with incompatible materials.</w:t>
      </w:r>
      <w:r w:rsidR="00A34016" w:rsidRPr="00A34016">
        <w:rPr>
          <w:rFonts w:eastAsia="Times New Roman"/>
          <w:bCs/>
          <w:szCs w:val="20"/>
        </w:rPr>
        <w:t>.</w:t>
      </w:r>
    </w:p>
    <w:p w14:paraId="75BD3D6B" w14:textId="52E652DD" w:rsidR="00E24579" w:rsidRPr="00A00A2B" w:rsidRDefault="00BF5DD9" w:rsidP="006B75AB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</w:t>
      </w:r>
      <w:r w:rsidR="007508B9">
        <w:rPr>
          <w:rFonts w:eastAsia="Times New Roman"/>
          <w:bCs/>
          <w:szCs w:val="20"/>
        </w:rPr>
        <w:t xml:space="preserve"> Oxidizing materials.</w:t>
      </w:r>
    </w:p>
    <w:p w14:paraId="77EA227C" w14:textId="77777777" w:rsidR="00E24579" w:rsidRPr="00A00A2B" w:rsidRDefault="00BF5DD9" w:rsidP="006B75AB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A00A2B">
        <w:rPr>
          <w:rFonts w:eastAsia="Times New Roman"/>
          <w:bCs/>
          <w:szCs w:val="20"/>
        </w:rPr>
        <w:t xml:space="preserve">  </w:t>
      </w:r>
      <w:r w:rsidR="007508B9">
        <w:rPr>
          <w:rFonts w:eastAsia="Times New Roman"/>
          <w:bCs/>
          <w:szCs w:val="20"/>
        </w:rPr>
        <w:t>Oxides of carbon</w:t>
      </w:r>
      <w:r w:rsidR="00C34D5C">
        <w:rPr>
          <w:rFonts w:eastAsia="Times New Roman"/>
          <w:bCs/>
          <w:szCs w:val="20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23B7A674" w14:textId="77777777" w:rsidTr="00EB5E4A">
        <w:tc>
          <w:tcPr>
            <w:tcW w:w="2898" w:type="dxa"/>
            <w:vAlign w:val="center"/>
          </w:tcPr>
          <w:p w14:paraId="6C39EF8C" w14:textId="77777777" w:rsidR="00A00A2B" w:rsidRPr="00F4046F" w:rsidRDefault="00A00A2B" w:rsidP="006B75AB">
            <w:pPr>
              <w:widowControl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5A7BB7C" w14:textId="77777777" w:rsidR="00A00A2B" w:rsidRDefault="00A00A2B" w:rsidP="006B75A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0ED02DA3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373726C" w14:textId="77777777" w:rsidR="00A00A2B" w:rsidRDefault="00A14B09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5EF97984" w14:textId="77777777" w:rsidR="00A00A2B" w:rsidRDefault="00A00A2B" w:rsidP="006B75AB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57798063" w14:textId="77777777" w:rsidR="00A00A2B" w:rsidRPr="00A00A2B" w:rsidRDefault="00A00A2B" w:rsidP="006B75AB">
      <w:pPr>
        <w:widowControl/>
        <w:rPr>
          <w:rFonts w:eastAsia="Times New Roman"/>
          <w:bCs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83F68" w14:paraId="75303FF1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6B3F4468" w14:textId="77777777" w:rsidR="00783F68" w:rsidRDefault="00783F68" w:rsidP="006B75AB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5711EB9F" w14:textId="77777777" w:rsidR="00A00A2B" w:rsidRPr="00A00A2B" w:rsidRDefault="00A00A2B" w:rsidP="006B75AB">
      <w:pPr>
        <w:keepNext/>
        <w:widowControl/>
        <w:rPr>
          <w:rFonts w:eastAsia="Times New Roman"/>
          <w:bCs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682DCA" w14:paraId="77D39FBC" w14:textId="77777777" w:rsidTr="00252092">
        <w:tc>
          <w:tcPr>
            <w:tcW w:w="2016" w:type="dxa"/>
            <w:vAlign w:val="center"/>
          </w:tcPr>
          <w:p w14:paraId="65892254" w14:textId="77777777" w:rsidR="00EB5E4A" w:rsidRPr="00682DCA" w:rsidRDefault="00EB5E4A" w:rsidP="006B75AB">
            <w:pPr>
              <w:widowControl/>
              <w:rPr>
                <w:b/>
                <w:szCs w:val="20"/>
              </w:rPr>
            </w:pPr>
            <w:r w:rsidRPr="00682DCA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682DCA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682DCA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682DCA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682DCA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682DCA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682DCA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682DCA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682DCA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682DCA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682DCA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8F6DC1D" w14:textId="77777777" w:rsidR="00EB5E4A" w:rsidRPr="00682DCA" w:rsidRDefault="00E12D28" w:rsidP="006B75AB">
            <w:pPr>
              <w:widowControl/>
              <w:jc w:val="center"/>
              <w:rPr>
                <w:szCs w:val="20"/>
              </w:rPr>
            </w:pPr>
            <w:r w:rsidRPr="00682DCA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671815" w14:textId="77777777" w:rsidR="00EB5E4A" w:rsidRPr="00682DCA" w:rsidRDefault="00EB5E4A" w:rsidP="006B75AB">
            <w:pPr>
              <w:widowControl/>
              <w:rPr>
                <w:szCs w:val="20"/>
              </w:rPr>
            </w:pPr>
            <w:r w:rsidRPr="00682DCA">
              <w:rPr>
                <w:rFonts w:eastAsia="Times New Roman"/>
                <w:spacing w:val="1"/>
                <w:szCs w:val="20"/>
              </w:rPr>
              <w:t>I</w:t>
            </w:r>
            <w:r w:rsidRPr="00682DCA">
              <w:rPr>
                <w:rFonts w:eastAsia="Times New Roman"/>
                <w:spacing w:val="-1"/>
                <w:szCs w:val="20"/>
              </w:rPr>
              <w:t>nh</w:t>
            </w:r>
            <w:r w:rsidRPr="00682DCA">
              <w:rPr>
                <w:rFonts w:eastAsia="Times New Roman"/>
                <w:szCs w:val="20"/>
              </w:rPr>
              <w:t>alati</w:t>
            </w:r>
            <w:r w:rsidRPr="00682DCA">
              <w:rPr>
                <w:rFonts w:eastAsia="Times New Roman"/>
                <w:spacing w:val="1"/>
                <w:szCs w:val="20"/>
              </w:rPr>
              <w:t>o</w:t>
            </w:r>
            <w:r w:rsidRPr="00682DCA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B13A569" w14:textId="77777777" w:rsidR="00EB5E4A" w:rsidRPr="00682DCA" w:rsidRDefault="00D76D7D" w:rsidP="006B75AB">
            <w:pPr>
              <w:widowControl/>
              <w:jc w:val="center"/>
              <w:rPr>
                <w:szCs w:val="20"/>
              </w:rPr>
            </w:pPr>
            <w:r w:rsidRPr="00682DCA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BD876E" w14:textId="77777777" w:rsidR="00EB5E4A" w:rsidRPr="00682DCA" w:rsidRDefault="00EB5E4A" w:rsidP="006B75AB">
            <w:pPr>
              <w:widowControl/>
              <w:rPr>
                <w:szCs w:val="20"/>
              </w:rPr>
            </w:pPr>
            <w:r w:rsidRPr="00682DCA">
              <w:rPr>
                <w:rFonts w:eastAsia="Times New Roman"/>
                <w:szCs w:val="20"/>
              </w:rPr>
              <w:t>S</w:t>
            </w:r>
            <w:r w:rsidRPr="00682DCA">
              <w:rPr>
                <w:rFonts w:eastAsia="Times New Roman"/>
                <w:spacing w:val="-1"/>
                <w:szCs w:val="20"/>
              </w:rPr>
              <w:t>k</w:t>
            </w:r>
            <w:r w:rsidRPr="00682DCA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018272" w14:textId="77777777" w:rsidR="00EB5E4A" w:rsidRPr="00682DCA" w:rsidRDefault="005417F8" w:rsidP="006B75AB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F61014" w14:textId="77777777" w:rsidR="00EB5E4A" w:rsidRPr="00682DCA" w:rsidRDefault="00EB5E4A" w:rsidP="006B75AB">
            <w:pPr>
              <w:widowControl/>
              <w:rPr>
                <w:szCs w:val="20"/>
              </w:rPr>
            </w:pPr>
            <w:r w:rsidRPr="00682DCA">
              <w:rPr>
                <w:rFonts w:eastAsia="Times New Roman"/>
                <w:spacing w:val="1"/>
                <w:szCs w:val="20"/>
              </w:rPr>
              <w:t>I</w:t>
            </w:r>
            <w:r w:rsidRPr="00682DCA">
              <w:rPr>
                <w:rFonts w:eastAsia="Times New Roman"/>
                <w:spacing w:val="-1"/>
                <w:szCs w:val="20"/>
              </w:rPr>
              <w:t>ng</w:t>
            </w:r>
            <w:r w:rsidRPr="00682DCA">
              <w:rPr>
                <w:rFonts w:eastAsia="Times New Roman"/>
                <w:szCs w:val="20"/>
              </w:rPr>
              <w:t>e</w:t>
            </w:r>
            <w:r w:rsidRPr="00682DCA">
              <w:rPr>
                <w:rFonts w:eastAsia="Times New Roman"/>
                <w:spacing w:val="-1"/>
                <w:szCs w:val="20"/>
              </w:rPr>
              <w:t>s</w:t>
            </w:r>
            <w:r w:rsidRPr="00682DCA">
              <w:rPr>
                <w:rFonts w:eastAsia="Times New Roman"/>
                <w:szCs w:val="20"/>
              </w:rPr>
              <w:t>ti</w:t>
            </w:r>
            <w:r w:rsidRPr="00682DCA">
              <w:rPr>
                <w:rFonts w:eastAsia="Times New Roman"/>
                <w:spacing w:val="1"/>
                <w:szCs w:val="20"/>
              </w:rPr>
              <w:t>o</w:t>
            </w:r>
            <w:r w:rsidRPr="00682DCA">
              <w:rPr>
                <w:rFonts w:eastAsia="Times New Roman"/>
                <w:szCs w:val="20"/>
              </w:rPr>
              <w:t>n</w:t>
            </w:r>
          </w:p>
        </w:tc>
      </w:tr>
    </w:tbl>
    <w:p w14:paraId="0CA3F2A6" w14:textId="77777777" w:rsidR="00522E29" w:rsidRPr="008A57C6" w:rsidRDefault="00C12A63" w:rsidP="006B75AB">
      <w:pPr>
        <w:widowControl/>
        <w:spacing w:before="120"/>
        <w:rPr>
          <w:rFonts w:eastAsia="Times New Roman"/>
          <w:bCs/>
          <w:szCs w:val="20"/>
        </w:rPr>
      </w:pPr>
      <w:r w:rsidRPr="00682DCA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682DCA">
        <w:rPr>
          <w:rFonts w:eastAsia="Times New Roman"/>
          <w:bCs/>
          <w:szCs w:val="20"/>
        </w:rPr>
        <w:t xml:space="preserve">  </w:t>
      </w:r>
      <w:r w:rsidR="007508B9">
        <w:rPr>
          <w:rFonts w:eastAsia="Times New Roman"/>
          <w:bCs/>
          <w:szCs w:val="20"/>
        </w:rPr>
        <w:t>May cause</w:t>
      </w:r>
      <w:r w:rsidR="00C01A6F">
        <w:rPr>
          <w:rFonts w:eastAsia="Times New Roman"/>
          <w:bCs/>
          <w:szCs w:val="20"/>
        </w:rPr>
        <w:t xml:space="preserve"> skin irritation </w:t>
      </w:r>
      <w:r w:rsidR="008A57C6" w:rsidRPr="00682DCA">
        <w:rPr>
          <w:rFonts w:eastAsia="Times New Roman"/>
          <w:bCs/>
          <w:szCs w:val="20"/>
        </w:rPr>
        <w:t>and</w:t>
      </w:r>
      <w:r w:rsidR="00C01A6F">
        <w:rPr>
          <w:rFonts w:eastAsia="Times New Roman"/>
          <w:bCs/>
          <w:szCs w:val="20"/>
        </w:rPr>
        <w:t xml:space="preserve"> </w:t>
      </w:r>
      <w:r w:rsidR="007508B9">
        <w:rPr>
          <w:rFonts w:eastAsia="Times New Roman"/>
          <w:bCs/>
          <w:szCs w:val="20"/>
        </w:rPr>
        <w:t>eye irritaiton</w:t>
      </w:r>
      <w:r w:rsidR="00682DCA">
        <w:rPr>
          <w:rFonts w:eastAsia="Times New Roman"/>
          <w:bCs/>
          <w:szCs w:val="20"/>
        </w:rPr>
        <w:t xml:space="preserve">. </w:t>
      </w:r>
      <w:r w:rsidR="00DE5FD2">
        <w:rPr>
          <w:rFonts w:eastAsia="Times New Roman"/>
          <w:bCs/>
          <w:szCs w:val="20"/>
        </w:rPr>
        <w:t xml:space="preserve"> May </w:t>
      </w:r>
      <w:r w:rsidR="00581505">
        <w:rPr>
          <w:rFonts w:eastAsia="Times New Roman"/>
          <w:bCs/>
          <w:szCs w:val="20"/>
        </w:rPr>
        <w:t>aggravate respiratory disorders.</w:t>
      </w:r>
      <w:r w:rsidR="00DE5FD2">
        <w:rPr>
          <w:rFonts w:eastAsia="Times New Roman"/>
          <w:bCs/>
          <w:szCs w:val="20"/>
        </w:rPr>
        <w:t xml:space="preserve">  </w:t>
      </w:r>
    </w:p>
    <w:p w14:paraId="08A08DD2" w14:textId="77777777" w:rsidR="00A00A2B" w:rsidRPr="008C4669" w:rsidRDefault="00EB5E4A" w:rsidP="005342B8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lastRenderedPageBreak/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126D57A8" w14:textId="77777777" w:rsidR="007508B9" w:rsidRPr="00C14B07" w:rsidRDefault="007508B9" w:rsidP="007508B9">
      <w:pPr>
        <w:spacing w:after="120"/>
        <w:ind w:left="360"/>
      </w:pPr>
      <w:r w:rsidRPr="00C14B07">
        <w:rPr>
          <w:b/>
          <w:bCs/>
        </w:rPr>
        <w:t>Inhalation:</w:t>
      </w:r>
      <w:r>
        <w:rPr>
          <w:b/>
          <w:bCs/>
        </w:rPr>
        <w:t xml:space="preserve">  </w:t>
      </w:r>
      <w:r>
        <w:rPr>
          <w:bCs/>
        </w:rPr>
        <w:t>Inhalation of may cause severe irritation.  Inhalation of high concentrations may be destructive to the respiratory tract and mucous membranes.  Symptoms include a burning sensation, coughing, wheezing, headache, nausea, and vomiting.</w:t>
      </w:r>
    </w:p>
    <w:p w14:paraId="07C87B83" w14:textId="77777777" w:rsidR="007508B9" w:rsidRPr="00C14B07" w:rsidRDefault="007508B9" w:rsidP="007508B9">
      <w:pPr>
        <w:spacing w:after="120"/>
        <w:ind w:left="360"/>
      </w:pPr>
      <w:r w:rsidRPr="00C14B07">
        <w:rPr>
          <w:b/>
          <w:bCs/>
        </w:rPr>
        <w:t>Skin Contact:</w:t>
      </w:r>
      <w:r>
        <w:rPr>
          <w:b/>
          <w:bCs/>
        </w:rPr>
        <w:t xml:space="preserve">  </w:t>
      </w:r>
      <w:r>
        <w:rPr>
          <w:bCs/>
        </w:rPr>
        <w:t>Acute exposure to the skin may cause irritation.  Exposure to high concentrations may be destructive to the skin tissues.  Repeated or prolonged exposure may cause dermatitis.</w:t>
      </w:r>
    </w:p>
    <w:p w14:paraId="3136FBE6" w14:textId="77777777" w:rsidR="007508B9" w:rsidRDefault="007508B9" w:rsidP="007508B9">
      <w:pPr>
        <w:spacing w:after="120"/>
        <w:ind w:left="360"/>
      </w:pPr>
      <w:r w:rsidRPr="00C14B07">
        <w:rPr>
          <w:b/>
          <w:bCs/>
        </w:rPr>
        <w:t>Eye Contact:</w:t>
      </w:r>
      <w:r>
        <w:rPr>
          <w:b/>
          <w:bCs/>
        </w:rPr>
        <w:t xml:space="preserve">  </w:t>
      </w:r>
      <w:r>
        <w:rPr>
          <w:bCs/>
        </w:rPr>
        <w:t>Acute exposure to the eye may cause irritation; high concentrations may be destructive to the eye tissues.  Repeated or prolonged exposure may cause conjunctivitis.</w:t>
      </w:r>
    </w:p>
    <w:p w14:paraId="256A7FF2" w14:textId="77777777" w:rsidR="007508B9" w:rsidRDefault="007508B9" w:rsidP="007508B9">
      <w:pPr>
        <w:ind w:left="360"/>
        <w:rPr>
          <w:bCs/>
        </w:rPr>
      </w:pPr>
      <w:r w:rsidRPr="00C14B07">
        <w:rPr>
          <w:b/>
          <w:bCs/>
        </w:rPr>
        <w:t>Ingestion:</w:t>
      </w:r>
      <w:r>
        <w:rPr>
          <w:b/>
          <w:bCs/>
        </w:rPr>
        <w:t xml:space="preserve">  </w:t>
      </w:r>
      <w:r>
        <w:rPr>
          <w:bCs/>
        </w:rPr>
        <w:t>Ingestion is harmful.  Can be irritating to mouth, throat, and stomach.  Symptoms may include nausea, headache, and vomiting.</w:t>
      </w:r>
    </w:p>
    <w:p w14:paraId="01BB3525" w14:textId="77777777" w:rsidR="00A00A2B" w:rsidRPr="008C4669" w:rsidRDefault="00EB5E4A" w:rsidP="007508B9">
      <w:pPr>
        <w:keepNext/>
        <w:widowControl/>
        <w:spacing w:before="12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Numerical Measures of Toxicity</w:t>
      </w:r>
    </w:p>
    <w:p w14:paraId="05F271D6" w14:textId="77777777" w:rsidR="001C16E2" w:rsidRDefault="00EB5E4A" w:rsidP="00FA192B">
      <w:pPr>
        <w:keepNext/>
        <w:widowControl/>
        <w:ind w:left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Acute toxicity</w:t>
      </w:r>
      <w:r w:rsidR="00DF7399" w:rsidRPr="008C4669">
        <w:rPr>
          <w:rFonts w:eastAsia="Times New Roman"/>
          <w:b/>
          <w:bCs/>
          <w:szCs w:val="20"/>
        </w:rPr>
        <w:t>: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4105C45C" w14:textId="77777777" w:rsidR="004735B9" w:rsidRDefault="00EE1F37" w:rsidP="006E0117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D7C49">
        <w:rPr>
          <w:rFonts w:eastAsia="Times New Roman"/>
          <w:b/>
          <w:bCs/>
          <w:szCs w:val="20"/>
        </w:rPr>
        <w:t>Skin corrosion/irritation</w:t>
      </w:r>
      <w:r w:rsidR="00405269" w:rsidRPr="00DD7C49">
        <w:rPr>
          <w:rFonts w:eastAsia="Times New Roman"/>
          <w:b/>
          <w:bCs/>
          <w:szCs w:val="20"/>
        </w:rPr>
        <w:t>:</w:t>
      </w:r>
      <w:r w:rsidR="00484EF6" w:rsidRPr="00DD7C49">
        <w:rPr>
          <w:rFonts w:eastAsia="Times New Roman"/>
          <w:bCs/>
          <w:szCs w:val="20"/>
        </w:rPr>
        <w:t xml:space="preserve"> </w:t>
      </w:r>
      <w:r w:rsidR="00497AEA">
        <w:rPr>
          <w:rFonts w:eastAsia="Times New Roman"/>
          <w:bCs/>
          <w:szCs w:val="20"/>
        </w:rPr>
        <w:t xml:space="preserve"> Category 2, Irritant</w:t>
      </w:r>
      <w:r w:rsidR="001C544F">
        <w:rPr>
          <w:rFonts w:eastAsia="Times New Roman"/>
          <w:bCs/>
          <w:szCs w:val="20"/>
        </w:rPr>
        <w:t>.</w:t>
      </w:r>
    </w:p>
    <w:p w14:paraId="154ACEF0" w14:textId="77777777" w:rsidR="003E0999" w:rsidRDefault="007508B9" w:rsidP="007D7435">
      <w:pPr>
        <w:keepNext/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Skin, man: 50 mg (48 h) severe</w:t>
      </w:r>
    </w:p>
    <w:p w14:paraId="71F1895A" w14:textId="77777777" w:rsidR="007508B9" w:rsidRDefault="007508B9" w:rsidP="007D7435">
      <w:pPr>
        <w:keepNext/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Skin, rabbit:  100 mg (24 h) severe</w:t>
      </w:r>
    </w:p>
    <w:p w14:paraId="5A2F3C6D" w14:textId="77777777" w:rsidR="007508B9" w:rsidRPr="00DD7C49" w:rsidRDefault="007508B9" w:rsidP="007508B9">
      <w:pPr>
        <w:keepNext/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Skin, rat:  100 mg (24 h) severe</w:t>
      </w:r>
    </w:p>
    <w:p w14:paraId="612E0FD1" w14:textId="77777777" w:rsidR="004735B9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Serious eye damage/eye irritation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DD7C49">
        <w:rPr>
          <w:rFonts w:eastAsia="Times New Roman"/>
          <w:bCs/>
          <w:szCs w:val="20"/>
        </w:rPr>
        <w:t xml:space="preserve"> </w:t>
      </w:r>
      <w:r w:rsidR="00497AEA">
        <w:rPr>
          <w:rFonts w:eastAsia="Times New Roman"/>
          <w:bCs/>
          <w:szCs w:val="20"/>
        </w:rPr>
        <w:t xml:space="preserve">Category </w:t>
      </w:r>
      <w:r w:rsidR="007508B9">
        <w:rPr>
          <w:rFonts w:eastAsia="Times New Roman"/>
          <w:bCs/>
          <w:szCs w:val="20"/>
        </w:rPr>
        <w:t>2</w:t>
      </w:r>
      <w:r w:rsidR="00C648F3">
        <w:rPr>
          <w:rFonts w:eastAsia="Times New Roman"/>
          <w:bCs/>
          <w:szCs w:val="20"/>
        </w:rPr>
        <w:t>A</w:t>
      </w:r>
      <w:r w:rsidR="007F1963">
        <w:rPr>
          <w:rFonts w:eastAsia="Times New Roman"/>
          <w:bCs/>
          <w:szCs w:val="20"/>
        </w:rPr>
        <w:t>.</w:t>
      </w:r>
    </w:p>
    <w:p w14:paraId="3F21A62F" w14:textId="77777777" w:rsidR="00496712" w:rsidRDefault="007508B9" w:rsidP="007D7435">
      <w:pPr>
        <w:widowControl/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May cause severe irritation.</w:t>
      </w:r>
    </w:p>
    <w:p w14:paraId="08F12A13" w14:textId="77777777" w:rsidR="00CD7057" w:rsidRPr="00CD7057" w:rsidRDefault="00EE1F37" w:rsidP="00CD7057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CD7057">
        <w:rPr>
          <w:rFonts w:eastAsia="Times New Roman"/>
          <w:b/>
          <w:bCs/>
          <w:szCs w:val="20"/>
        </w:rPr>
        <w:t>Respiratory sensitization</w:t>
      </w:r>
      <w:r w:rsidR="00405269" w:rsidRPr="00CD7057">
        <w:rPr>
          <w:rFonts w:eastAsia="Times New Roman"/>
          <w:b/>
          <w:bCs/>
          <w:szCs w:val="20"/>
        </w:rPr>
        <w:t>:</w:t>
      </w:r>
      <w:r w:rsidR="0001504A" w:rsidRPr="00CD7057">
        <w:rPr>
          <w:rFonts w:eastAsia="Times New Roman"/>
          <w:bCs/>
          <w:szCs w:val="20"/>
        </w:rPr>
        <w:t xml:space="preserve">  </w:t>
      </w:r>
      <w:r w:rsidR="004355ED" w:rsidRPr="00CD7057">
        <w:rPr>
          <w:rFonts w:eastAsia="Times New Roman"/>
          <w:bCs/>
          <w:szCs w:val="20"/>
        </w:rPr>
        <w:t>No data available.</w:t>
      </w:r>
    </w:p>
    <w:p w14:paraId="26E7DBF1" w14:textId="77777777" w:rsidR="007F1963" w:rsidRDefault="00EE1F37" w:rsidP="007508B9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CD7057">
        <w:rPr>
          <w:rFonts w:eastAsia="Times New Roman"/>
          <w:b/>
          <w:bCs/>
          <w:szCs w:val="20"/>
        </w:rPr>
        <w:t>Skin sensitization</w:t>
      </w:r>
      <w:r w:rsidR="00405269" w:rsidRPr="00CD7057">
        <w:rPr>
          <w:rFonts w:eastAsia="Times New Roman"/>
          <w:b/>
          <w:bCs/>
          <w:szCs w:val="20"/>
        </w:rPr>
        <w:t>:</w:t>
      </w:r>
      <w:r w:rsidR="008F1308" w:rsidRPr="00CD7057">
        <w:rPr>
          <w:rFonts w:eastAsia="Times New Roman"/>
          <w:bCs/>
          <w:szCs w:val="20"/>
        </w:rPr>
        <w:t xml:space="preserve"> </w:t>
      </w:r>
      <w:r w:rsidR="0001504A" w:rsidRPr="00CD7057">
        <w:rPr>
          <w:rFonts w:eastAsia="Times New Roman"/>
          <w:bCs/>
          <w:szCs w:val="20"/>
        </w:rPr>
        <w:t xml:space="preserve">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27ED7981" w14:textId="77777777" w:rsidR="00DA74AE" w:rsidRPr="008C4669" w:rsidRDefault="00EE1F37" w:rsidP="006B75AB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CD7057">
        <w:rPr>
          <w:rFonts w:eastAsia="Times New Roman"/>
          <w:b/>
          <w:bCs/>
          <w:szCs w:val="20"/>
        </w:rPr>
        <w:t>Germ Cell Mutagenicity</w:t>
      </w:r>
      <w:r w:rsidR="00405269" w:rsidRPr="00CD7057">
        <w:rPr>
          <w:rFonts w:eastAsia="Times New Roman"/>
          <w:b/>
          <w:bCs/>
          <w:szCs w:val="20"/>
        </w:rPr>
        <w:t>:</w:t>
      </w:r>
      <w:r w:rsidR="008F1308" w:rsidRPr="00CD7057">
        <w:rPr>
          <w:rFonts w:eastAsia="Times New Roman"/>
          <w:bCs/>
          <w:szCs w:val="20"/>
        </w:rPr>
        <w:t xml:space="preserve">  </w:t>
      </w:r>
      <w:r w:rsidR="004355ED" w:rsidRPr="00CD7057">
        <w:rPr>
          <w:rFonts w:eastAsia="Times New Roman"/>
          <w:bCs/>
          <w:szCs w:val="20"/>
        </w:rPr>
        <w:t>No data available.</w:t>
      </w:r>
    </w:p>
    <w:p w14:paraId="5C5B123E" w14:textId="77777777" w:rsidR="00EE1F37" w:rsidRPr="008C4669" w:rsidRDefault="00EE1F37" w:rsidP="007C1CDE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7508B9">
        <w:rPr>
          <w:rFonts w:eastAsia="Times New Roman"/>
          <w:bCs/>
          <w:szCs w:val="20"/>
        </w:rPr>
        <w:t xml:space="preserve">  Not classified</w:t>
      </w:r>
      <w:r w:rsidR="0067077D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76"/>
        <w:gridCol w:w="1440"/>
        <w:gridCol w:w="576"/>
        <w:gridCol w:w="720"/>
      </w:tblGrid>
      <w:tr w:rsidR="00CA4187" w:rsidRPr="00A34016" w14:paraId="22A34ABA" w14:textId="77777777" w:rsidTr="00DD4757">
        <w:tc>
          <w:tcPr>
            <w:tcW w:w="5598" w:type="dxa"/>
          </w:tcPr>
          <w:p w14:paraId="2CD7C032" w14:textId="77777777" w:rsidR="00CA4187" w:rsidRPr="00A34016" w:rsidRDefault="00CA4187" w:rsidP="00837DC8">
            <w:pPr>
              <w:widowControl/>
              <w:spacing w:before="120"/>
              <w:ind w:left="360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A34016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A34016">
              <w:rPr>
                <w:rFonts w:eastAsia="Times New Roman"/>
                <w:b/>
                <w:bCs/>
                <w:szCs w:val="20"/>
              </w:rPr>
              <w:t>i</w:t>
            </w:r>
            <w:r w:rsidRPr="00A34016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A34016">
              <w:rPr>
                <w:rFonts w:eastAsia="Times New Roman"/>
                <w:b/>
                <w:bCs/>
                <w:szCs w:val="20"/>
              </w:rPr>
              <w:t>ed</w:t>
            </w:r>
            <w:r w:rsidRPr="00A34016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A34016">
              <w:rPr>
                <w:rFonts w:eastAsia="Times New Roman"/>
                <w:b/>
                <w:bCs/>
                <w:szCs w:val="20"/>
              </w:rPr>
              <w:t>s</w:t>
            </w:r>
            <w:r w:rsidRPr="00A34016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A34016">
              <w:rPr>
                <w:rFonts w:eastAsia="Times New Roman"/>
                <w:b/>
                <w:bCs/>
                <w:szCs w:val="20"/>
              </w:rPr>
              <w:t>a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A34016">
              <w:rPr>
                <w:rFonts w:eastAsia="Times New Roman"/>
                <w:b/>
                <w:bCs/>
                <w:szCs w:val="20"/>
              </w:rPr>
              <w:t>C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A34016">
              <w:rPr>
                <w:rFonts w:eastAsia="Times New Roman"/>
                <w:b/>
                <w:bCs/>
                <w:szCs w:val="20"/>
              </w:rPr>
              <w:t>rcin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A34016">
              <w:rPr>
                <w:rFonts w:eastAsia="Times New Roman"/>
                <w:b/>
                <w:bCs/>
                <w:szCs w:val="20"/>
              </w:rPr>
              <w:t>en/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A34016">
              <w:rPr>
                <w:rFonts w:eastAsia="Times New Roman"/>
                <w:b/>
                <w:bCs/>
                <w:szCs w:val="20"/>
              </w:rPr>
              <w:t>en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A34016">
              <w:rPr>
                <w:rFonts w:eastAsia="Times New Roman"/>
                <w:b/>
                <w:bCs/>
                <w:szCs w:val="20"/>
              </w:rPr>
              <w:t>i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A34016">
              <w:rPr>
                <w:rFonts w:eastAsia="Times New Roman"/>
                <w:b/>
                <w:bCs/>
                <w:szCs w:val="20"/>
              </w:rPr>
              <w:t>l</w:t>
            </w:r>
            <w:r w:rsidRPr="00A34016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A34016">
              <w:rPr>
                <w:rFonts w:eastAsia="Times New Roman"/>
                <w:b/>
                <w:bCs/>
                <w:szCs w:val="20"/>
              </w:rPr>
              <w:t>C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A34016">
              <w:rPr>
                <w:rFonts w:eastAsia="Times New Roman"/>
                <w:b/>
                <w:bCs/>
                <w:szCs w:val="20"/>
              </w:rPr>
              <w:t>rcin</w:t>
            </w:r>
            <w:r w:rsidRPr="00A34016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A34016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6BF518AD" w14:textId="4F857FA1" w:rsidR="00CA4187" w:rsidRPr="00A34016" w:rsidRDefault="00CA4187" w:rsidP="00837D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34C08EDF" w14:textId="77777777" w:rsidR="00CA4187" w:rsidRPr="00A34016" w:rsidRDefault="00CA4187" w:rsidP="00837D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A34016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5A35DBC0" w14:textId="77777777" w:rsidR="00CA4187" w:rsidRPr="00C151EB" w:rsidRDefault="00C648F3" w:rsidP="00837D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F3C2D50" w14:textId="77777777" w:rsidR="00CA4187" w:rsidRPr="00A34016" w:rsidRDefault="00CA4187" w:rsidP="00837DC8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spacing w:before="120"/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A34016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6D76944A" w14:textId="77777777" w:rsidR="00557B75" w:rsidRDefault="007508B9" w:rsidP="007508B9">
      <w:pPr>
        <w:widowControl/>
        <w:spacing w:before="60"/>
        <w:ind w:left="720"/>
        <w:rPr>
          <w:szCs w:val="20"/>
        </w:rPr>
      </w:pPr>
      <w:r w:rsidRPr="00FC747B">
        <w:rPr>
          <w:szCs w:val="20"/>
        </w:rPr>
        <w:t>2,6,10,14-Tetramethylpentadecane</w:t>
      </w:r>
      <w:r>
        <w:rPr>
          <w:rFonts w:eastAsia="Times New Roman"/>
          <w:bCs/>
          <w:szCs w:val="20"/>
        </w:rPr>
        <w:t xml:space="preserve"> is</w:t>
      </w:r>
      <w:r w:rsidR="00A34016" w:rsidRPr="00DD7C49">
        <w:rPr>
          <w:rFonts w:eastAsia="Times New Roman"/>
          <w:bCs/>
          <w:szCs w:val="20"/>
        </w:rPr>
        <w:t xml:space="preserve"> not listed by OSHA, IARC, or NTP as a carcinogen or potential carcinogen</w:t>
      </w:r>
      <w:r w:rsidR="00522E29" w:rsidRPr="00DD7C49">
        <w:rPr>
          <w:szCs w:val="20"/>
        </w:rPr>
        <w:t>.</w:t>
      </w:r>
    </w:p>
    <w:p w14:paraId="7923C919" w14:textId="77777777" w:rsidR="006B75AB" w:rsidRPr="00DD7C49" w:rsidRDefault="00EE1F37" w:rsidP="008C466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D7C49">
        <w:rPr>
          <w:rFonts w:eastAsia="Times New Roman"/>
          <w:b/>
          <w:bCs/>
          <w:szCs w:val="20"/>
        </w:rPr>
        <w:t>Reproductive Toxicity</w:t>
      </w:r>
      <w:r w:rsidR="00B208C0" w:rsidRPr="00DD7C49">
        <w:rPr>
          <w:rFonts w:eastAsia="Times New Roman"/>
          <w:b/>
          <w:bCs/>
          <w:szCs w:val="20"/>
        </w:rPr>
        <w:t>:</w:t>
      </w:r>
      <w:r w:rsidR="004355ED" w:rsidRPr="00DD7C49">
        <w:rPr>
          <w:rFonts w:eastAsia="Times New Roman"/>
          <w:bCs/>
          <w:szCs w:val="20"/>
        </w:rPr>
        <w:t xml:space="preserve"> </w:t>
      </w:r>
      <w:r w:rsidR="00B208C0" w:rsidRPr="00DD7C49">
        <w:rPr>
          <w:rFonts w:eastAsia="Times New Roman"/>
          <w:bCs/>
          <w:szCs w:val="20"/>
        </w:rPr>
        <w:t xml:space="preserve">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6CE6CBC6" w14:textId="77777777" w:rsidR="007F1963" w:rsidRPr="00DD7C49" w:rsidRDefault="00EE1F37" w:rsidP="007508B9">
      <w:pPr>
        <w:keepNext/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D7C49">
        <w:rPr>
          <w:rFonts w:eastAsia="Times New Roman"/>
          <w:b/>
          <w:bCs/>
          <w:szCs w:val="20"/>
        </w:rPr>
        <w:t xml:space="preserve">Specific </w:t>
      </w:r>
      <w:r w:rsidR="00F43C37">
        <w:rPr>
          <w:rFonts w:eastAsia="Times New Roman"/>
          <w:b/>
          <w:bCs/>
          <w:szCs w:val="20"/>
        </w:rPr>
        <w:t>T</w:t>
      </w:r>
      <w:r w:rsidRPr="00DD7C49">
        <w:rPr>
          <w:rFonts w:eastAsia="Times New Roman"/>
          <w:b/>
          <w:bCs/>
          <w:szCs w:val="20"/>
        </w:rPr>
        <w:t xml:space="preserve">arget </w:t>
      </w:r>
      <w:r w:rsidR="00F43C37">
        <w:rPr>
          <w:rFonts w:eastAsia="Times New Roman"/>
          <w:b/>
          <w:bCs/>
          <w:szCs w:val="20"/>
        </w:rPr>
        <w:t>O</w:t>
      </w:r>
      <w:r w:rsidRPr="00DD7C49">
        <w:rPr>
          <w:rFonts w:eastAsia="Times New Roman"/>
          <w:b/>
          <w:bCs/>
          <w:szCs w:val="20"/>
        </w:rPr>
        <w:t xml:space="preserve">rgan </w:t>
      </w:r>
      <w:r w:rsidR="00F43C37">
        <w:rPr>
          <w:rFonts w:eastAsia="Times New Roman"/>
          <w:b/>
          <w:bCs/>
          <w:szCs w:val="20"/>
        </w:rPr>
        <w:t>T</w:t>
      </w:r>
      <w:r w:rsidRPr="00DD7C49">
        <w:rPr>
          <w:rFonts w:eastAsia="Times New Roman"/>
          <w:b/>
          <w:bCs/>
          <w:szCs w:val="20"/>
        </w:rPr>
        <w:t xml:space="preserve">oxicity, </w:t>
      </w:r>
      <w:r w:rsidR="00F43C37">
        <w:rPr>
          <w:rFonts w:eastAsia="Times New Roman"/>
          <w:b/>
          <w:bCs/>
          <w:szCs w:val="20"/>
        </w:rPr>
        <w:t>S</w:t>
      </w:r>
      <w:r w:rsidRPr="00DD7C49">
        <w:rPr>
          <w:rFonts w:eastAsia="Times New Roman"/>
          <w:b/>
          <w:bCs/>
          <w:szCs w:val="20"/>
        </w:rPr>
        <w:t xml:space="preserve">ingle </w:t>
      </w:r>
      <w:r w:rsidR="00F43C37">
        <w:rPr>
          <w:rFonts w:eastAsia="Times New Roman"/>
          <w:b/>
          <w:bCs/>
          <w:szCs w:val="20"/>
        </w:rPr>
        <w:t>E</w:t>
      </w:r>
      <w:r w:rsidRPr="00DD7C49">
        <w:rPr>
          <w:rFonts w:eastAsia="Times New Roman"/>
          <w:b/>
          <w:bCs/>
          <w:szCs w:val="20"/>
        </w:rPr>
        <w:t>xposure</w:t>
      </w:r>
      <w:r w:rsidR="00405269" w:rsidRPr="00DD7C49">
        <w:rPr>
          <w:rFonts w:eastAsia="Times New Roman"/>
          <w:b/>
          <w:bCs/>
          <w:szCs w:val="20"/>
        </w:rPr>
        <w:t>:</w:t>
      </w:r>
      <w:r w:rsidR="0009639E" w:rsidRPr="00DD7C49">
        <w:rPr>
          <w:rFonts w:eastAsia="Times New Roman"/>
          <w:bCs/>
          <w:szCs w:val="20"/>
        </w:rPr>
        <w:t xml:space="preserve"> 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6D246955" w14:textId="77777777" w:rsidR="00D45C73" w:rsidRPr="00D45C73" w:rsidRDefault="00EE1F37" w:rsidP="007508B9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D7C49">
        <w:rPr>
          <w:rFonts w:eastAsia="Times New Roman"/>
          <w:b/>
          <w:bCs/>
          <w:szCs w:val="20"/>
        </w:rPr>
        <w:t xml:space="preserve">Specific </w:t>
      </w:r>
      <w:r w:rsidR="00F43C37">
        <w:rPr>
          <w:rFonts w:eastAsia="Times New Roman"/>
          <w:b/>
          <w:bCs/>
          <w:szCs w:val="20"/>
        </w:rPr>
        <w:t>T</w:t>
      </w:r>
      <w:r w:rsidRPr="00DD7C49">
        <w:rPr>
          <w:rFonts w:eastAsia="Times New Roman"/>
          <w:b/>
          <w:bCs/>
          <w:szCs w:val="20"/>
        </w:rPr>
        <w:t xml:space="preserve">arget </w:t>
      </w:r>
      <w:r w:rsidR="00F43C37">
        <w:rPr>
          <w:rFonts w:eastAsia="Times New Roman"/>
          <w:b/>
          <w:bCs/>
          <w:szCs w:val="20"/>
        </w:rPr>
        <w:t>O</w:t>
      </w:r>
      <w:r w:rsidRPr="00DD7C49">
        <w:rPr>
          <w:rFonts w:eastAsia="Times New Roman"/>
          <w:b/>
          <w:bCs/>
          <w:szCs w:val="20"/>
        </w:rPr>
        <w:t xml:space="preserve">rgan </w:t>
      </w:r>
      <w:r w:rsidR="00F43C37">
        <w:rPr>
          <w:rFonts w:eastAsia="Times New Roman"/>
          <w:b/>
          <w:bCs/>
          <w:szCs w:val="20"/>
        </w:rPr>
        <w:t>T</w:t>
      </w:r>
      <w:r w:rsidRPr="00DD7C49">
        <w:rPr>
          <w:rFonts w:eastAsia="Times New Roman"/>
          <w:b/>
          <w:bCs/>
          <w:szCs w:val="20"/>
        </w:rPr>
        <w:t xml:space="preserve">oxicity, </w:t>
      </w:r>
      <w:r w:rsidR="00F43C37">
        <w:rPr>
          <w:rFonts w:eastAsia="Times New Roman"/>
          <w:b/>
          <w:bCs/>
          <w:szCs w:val="20"/>
        </w:rPr>
        <w:t>R</w:t>
      </w:r>
      <w:r w:rsidRPr="00DD7C49">
        <w:rPr>
          <w:rFonts w:eastAsia="Times New Roman"/>
          <w:b/>
          <w:bCs/>
          <w:szCs w:val="20"/>
        </w:rPr>
        <w:t xml:space="preserve">epeated </w:t>
      </w:r>
      <w:r w:rsidR="00F43C37">
        <w:rPr>
          <w:rFonts w:eastAsia="Times New Roman"/>
          <w:b/>
          <w:bCs/>
          <w:szCs w:val="20"/>
        </w:rPr>
        <w:t>E</w:t>
      </w:r>
      <w:r w:rsidRPr="00DD7C49">
        <w:rPr>
          <w:rFonts w:eastAsia="Times New Roman"/>
          <w:b/>
          <w:bCs/>
          <w:szCs w:val="20"/>
        </w:rPr>
        <w:t>xposure</w:t>
      </w:r>
      <w:r w:rsidR="00405269" w:rsidRPr="00DD7C49">
        <w:rPr>
          <w:rFonts w:eastAsia="Times New Roman"/>
          <w:b/>
          <w:bCs/>
          <w:szCs w:val="20"/>
        </w:rPr>
        <w:t>:</w:t>
      </w:r>
      <w:r w:rsidR="00EC06B0" w:rsidRPr="00DD7C49">
        <w:rPr>
          <w:rFonts w:eastAsia="Times New Roman"/>
          <w:bCs/>
          <w:szCs w:val="20"/>
        </w:rPr>
        <w:t xml:space="preserve"> 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28E9CC34" w14:textId="77777777" w:rsidR="004521E9" w:rsidRPr="00B7052B" w:rsidRDefault="00EE1F37" w:rsidP="006B75AB">
      <w:pPr>
        <w:widowControl/>
        <w:spacing w:before="120" w:after="120"/>
        <w:ind w:left="360"/>
        <w:rPr>
          <w:rFonts w:eastAsia="Times New Roman"/>
          <w:szCs w:val="20"/>
        </w:rPr>
      </w:pPr>
      <w:r w:rsidRPr="00DD7C49">
        <w:rPr>
          <w:rFonts w:eastAsia="Times New Roman"/>
          <w:b/>
          <w:bCs/>
          <w:szCs w:val="20"/>
        </w:rPr>
        <w:t>Aspiration hazard</w:t>
      </w:r>
      <w:r w:rsidR="00405269" w:rsidRPr="00DD7C49">
        <w:rPr>
          <w:rFonts w:eastAsia="Times New Roman"/>
          <w:b/>
          <w:bCs/>
          <w:szCs w:val="20"/>
        </w:rPr>
        <w:t>:</w:t>
      </w:r>
      <w:r w:rsidR="00405269" w:rsidRPr="00DD7C49">
        <w:rPr>
          <w:rFonts w:eastAsia="Times New Roman"/>
          <w:bCs/>
          <w:szCs w:val="20"/>
        </w:rPr>
        <w:t xml:space="preserve"> </w:t>
      </w:r>
      <w:r w:rsidR="00B7052B" w:rsidRPr="00DD7C49">
        <w:t xml:space="preserve"> </w:t>
      </w:r>
      <w:r w:rsidR="0021772B" w:rsidRPr="00DD7C49">
        <w:t>No</w:t>
      </w:r>
      <w:r w:rsidR="00D22C9B" w:rsidRPr="00DD7C49">
        <w:t>t applicable</w:t>
      </w:r>
      <w:r w:rsidR="00AB1DE0" w:rsidRPr="00DD7C49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14:paraId="6FBDA828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C4BB724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9E8FCB1" w14:textId="77777777" w:rsidR="0037287B" w:rsidRDefault="004521E9" w:rsidP="00DE5FD2">
      <w:pPr>
        <w:keepNext/>
        <w:widowControl/>
        <w:spacing w:before="120"/>
        <w:rPr>
          <w:rFonts w:eastAsia="Times New Roman"/>
          <w:bCs/>
          <w:szCs w:val="20"/>
        </w:rPr>
      </w:pPr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7508B9">
        <w:rPr>
          <w:rFonts w:eastAsia="Times New Roman"/>
          <w:b/>
          <w:bCs/>
          <w:szCs w:val="20"/>
        </w:rPr>
        <w:t xml:space="preserve">:  </w:t>
      </w:r>
      <w:r w:rsidR="007508B9" w:rsidRPr="00DD7C49">
        <w:rPr>
          <w:rFonts w:eastAsia="Times New Roman"/>
          <w:bCs/>
          <w:szCs w:val="20"/>
        </w:rPr>
        <w:t>No data available.</w:t>
      </w:r>
    </w:p>
    <w:p w14:paraId="5A32FD5F" w14:textId="77777777" w:rsidR="004521E9" w:rsidRPr="00DE5FD2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DE5FD2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DE5FD2">
        <w:rPr>
          <w:rFonts w:eastAsia="Times New Roman"/>
          <w:bCs/>
          <w:spacing w:val="-1"/>
          <w:szCs w:val="20"/>
        </w:rPr>
        <w:t xml:space="preserve">  </w:t>
      </w:r>
      <w:r w:rsidR="00B7052B" w:rsidRPr="00DE5FD2">
        <w:rPr>
          <w:rFonts w:eastAsia="Times New Roman"/>
          <w:bCs/>
          <w:spacing w:val="-1"/>
          <w:szCs w:val="20"/>
        </w:rPr>
        <w:t>No data available</w:t>
      </w:r>
      <w:r w:rsidR="0009639E" w:rsidRPr="00DE5FD2">
        <w:rPr>
          <w:rFonts w:eastAsia="Times New Roman"/>
          <w:bCs/>
          <w:spacing w:val="-1"/>
          <w:szCs w:val="20"/>
        </w:rPr>
        <w:t>.</w:t>
      </w:r>
    </w:p>
    <w:p w14:paraId="712F1501" w14:textId="77777777" w:rsidR="00EE34CA" w:rsidRPr="00DE5FD2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DE5FD2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DE5FD2">
        <w:rPr>
          <w:rFonts w:eastAsia="Times New Roman"/>
          <w:bCs/>
          <w:spacing w:val="-1"/>
          <w:szCs w:val="20"/>
        </w:rPr>
        <w:t xml:space="preserve">  </w:t>
      </w:r>
      <w:r w:rsidR="00EE34CA" w:rsidRPr="00DE5FD2">
        <w:rPr>
          <w:rFonts w:eastAsia="Times New Roman"/>
          <w:bCs/>
          <w:spacing w:val="-1"/>
          <w:szCs w:val="20"/>
        </w:rPr>
        <w:t>No data available.</w:t>
      </w:r>
    </w:p>
    <w:p w14:paraId="3645ABFE" w14:textId="77777777" w:rsidR="004521E9" w:rsidRPr="00DE5FD2" w:rsidRDefault="004521E9" w:rsidP="00AA55EE">
      <w:pPr>
        <w:widowControl/>
        <w:spacing w:before="60"/>
        <w:rPr>
          <w:rFonts w:eastAsia="Times New Roman"/>
          <w:b/>
          <w:bCs/>
          <w:spacing w:val="-1"/>
          <w:szCs w:val="20"/>
        </w:rPr>
      </w:pPr>
      <w:r w:rsidRPr="00DE5FD2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DE5FD2">
        <w:rPr>
          <w:rFonts w:eastAsia="Times New Roman"/>
          <w:bCs/>
          <w:spacing w:val="-1"/>
          <w:szCs w:val="20"/>
        </w:rPr>
        <w:t xml:space="preserve">  </w:t>
      </w:r>
      <w:r w:rsidR="00B7052B" w:rsidRPr="00DE5FD2">
        <w:rPr>
          <w:rFonts w:eastAsia="Times New Roman"/>
          <w:bCs/>
          <w:spacing w:val="-1"/>
          <w:szCs w:val="20"/>
        </w:rPr>
        <w:t>No data available.</w:t>
      </w:r>
    </w:p>
    <w:p w14:paraId="29E40704" w14:textId="77777777" w:rsidR="004521E9" w:rsidRPr="00B7052B" w:rsidRDefault="004521E9" w:rsidP="00AA55EE">
      <w:pPr>
        <w:widowControl/>
        <w:spacing w:before="60" w:after="120"/>
        <w:rPr>
          <w:rFonts w:eastAsia="Times New Roman"/>
          <w:b/>
          <w:bCs/>
          <w:spacing w:val="-1"/>
          <w:szCs w:val="20"/>
        </w:rPr>
      </w:pPr>
      <w:r w:rsidRPr="00DE5FD2">
        <w:rPr>
          <w:rFonts w:eastAsia="Times New Roman"/>
          <w:b/>
          <w:bCs/>
          <w:spacing w:val="-1"/>
          <w:szCs w:val="20"/>
        </w:rPr>
        <w:t>Other Adverse effects:</w:t>
      </w:r>
      <w:r w:rsidRPr="00DE5FD2">
        <w:rPr>
          <w:rFonts w:eastAsia="Times New Roman"/>
          <w:bCs/>
          <w:spacing w:val="-1"/>
          <w:szCs w:val="20"/>
        </w:rPr>
        <w:t xml:space="preserve">  </w:t>
      </w:r>
      <w:r w:rsidR="00B7052B" w:rsidRPr="00DE5FD2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14:paraId="628988B4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2BEDF2D4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514E4B7D" w14:textId="77777777" w:rsidR="004521E9" w:rsidRPr="001E7A76" w:rsidRDefault="004521E9" w:rsidP="006B75AB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/>
          <w:bCs/>
          <w:szCs w:val="20"/>
        </w:rPr>
        <w:t>W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e</w:t>
      </w:r>
      <w:r>
        <w:rPr>
          <w:rFonts w:eastAsia="Times New Roman"/>
          <w:b/>
          <w:bCs/>
          <w:spacing w:val="5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l:</w:t>
      </w:r>
      <w:r w:rsidRPr="003C7893">
        <w:rPr>
          <w:rFonts w:eastAsia="Times New Roman"/>
          <w:bCs/>
          <w:szCs w:val="20"/>
        </w:rPr>
        <w:t xml:space="preserve"> </w:t>
      </w:r>
      <w:r w:rsidRPr="003C7893">
        <w:rPr>
          <w:rFonts w:eastAsia="Times New Roman"/>
          <w:bCs/>
          <w:spacing w:val="13"/>
          <w:szCs w:val="20"/>
        </w:rPr>
        <w:t xml:space="preserve"> </w:t>
      </w:r>
      <w:r>
        <w:rPr>
          <w:rFonts w:eastAsia="Times New Roman"/>
          <w:szCs w:val="20"/>
        </w:rPr>
        <w:t>Di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7"/>
          <w:szCs w:val="20"/>
        </w:rPr>
        <w:t xml:space="preserve"> </w:t>
      </w:r>
      <w:r>
        <w:rPr>
          <w:rFonts w:eastAsia="Times New Roman"/>
          <w:szCs w:val="20"/>
        </w:rPr>
        <w:t>acc</w:t>
      </w:r>
      <w:r>
        <w:rPr>
          <w:rFonts w:eastAsia="Times New Roman"/>
          <w:spacing w:val="1"/>
          <w:szCs w:val="20"/>
        </w:rPr>
        <w:t>ord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all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 xml:space="preserve">le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al,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tate,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gu</w:t>
      </w:r>
      <w:r>
        <w:rPr>
          <w:rFonts w:eastAsia="Times New Roman"/>
          <w:szCs w:val="20"/>
        </w:rPr>
        <w:t>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ns</w:t>
      </w:r>
      <w:r w:rsidR="001E7A76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521E9" w14:paraId="3FB05F7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43B2DC0B" w14:textId="77777777" w:rsidR="004521E9" w:rsidRDefault="004521E9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C4B77C0" w14:textId="77777777" w:rsidR="00466137" w:rsidRPr="008C4669" w:rsidRDefault="004521E9" w:rsidP="008C4669">
      <w:pPr>
        <w:tabs>
          <w:tab w:val="left" w:pos="0"/>
        </w:tabs>
        <w:spacing w:before="120" w:after="120"/>
        <w:rPr>
          <w:bCs/>
        </w:rPr>
      </w:pPr>
      <w:r w:rsidRPr="001E7A76">
        <w:rPr>
          <w:rFonts w:eastAsia="Times New Roman"/>
          <w:b/>
          <w:bCs/>
          <w:szCs w:val="20"/>
        </w:rPr>
        <w:t>U</w:t>
      </w:r>
      <w:r w:rsidRPr="001E7A76">
        <w:rPr>
          <w:rFonts w:eastAsia="Times New Roman"/>
          <w:b/>
          <w:bCs/>
          <w:spacing w:val="1"/>
          <w:szCs w:val="20"/>
        </w:rPr>
        <w:t>.</w:t>
      </w:r>
      <w:r w:rsidRPr="001E7A76">
        <w:rPr>
          <w:rFonts w:eastAsia="Times New Roman"/>
          <w:b/>
          <w:bCs/>
          <w:szCs w:val="20"/>
        </w:rPr>
        <w:t>S.</w:t>
      </w:r>
      <w:r w:rsidRPr="001E7A76">
        <w:rPr>
          <w:rFonts w:eastAsia="Times New Roman"/>
          <w:b/>
          <w:bCs/>
          <w:spacing w:val="4"/>
          <w:szCs w:val="20"/>
        </w:rPr>
        <w:t xml:space="preserve"> </w:t>
      </w:r>
      <w:r w:rsidRPr="001E7A76">
        <w:rPr>
          <w:rFonts w:eastAsia="Times New Roman"/>
          <w:b/>
          <w:bCs/>
          <w:szCs w:val="20"/>
        </w:rPr>
        <w:t>D</w:t>
      </w:r>
      <w:r w:rsidRPr="001E7A76">
        <w:rPr>
          <w:rFonts w:eastAsia="Times New Roman"/>
          <w:b/>
          <w:bCs/>
          <w:spacing w:val="1"/>
          <w:szCs w:val="20"/>
        </w:rPr>
        <w:t>O</w:t>
      </w:r>
      <w:r w:rsidRPr="001E7A76">
        <w:rPr>
          <w:rFonts w:eastAsia="Times New Roman"/>
          <w:b/>
          <w:bCs/>
          <w:szCs w:val="20"/>
        </w:rPr>
        <w:t>T</w:t>
      </w:r>
      <w:r w:rsidRPr="001E7A76">
        <w:rPr>
          <w:rFonts w:eastAsia="Times New Roman"/>
          <w:b/>
          <w:bCs/>
          <w:spacing w:val="3"/>
          <w:szCs w:val="20"/>
        </w:rPr>
        <w:t xml:space="preserve"> </w:t>
      </w:r>
      <w:r w:rsidRPr="001E7A76">
        <w:rPr>
          <w:rFonts w:eastAsia="Times New Roman"/>
          <w:b/>
          <w:bCs/>
          <w:spacing w:val="1"/>
          <w:szCs w:val="20"/>
        </w:rPr>
        <w:t>a</w:t>
      </w:r>
      <w:r w:rsidRPr="001E7A76">
        <w:rPr>
          <w:rFonts w:eastAsia="Times New Roman"/>
          <w:b/>
          <w:bCs/>
          <w:szCs w:val="20"/>
        </w:rPr>
        <w:t>nd</w:t>
      </w:r>
      <w:r w:rsidRPr="001E7A76">
        <w:rPr>
          <w:rFonts w:eastAsia="Times New Roman"/>
          <w:b/>
          <w:bCs/>
          <w:spacing w:val="4"/>
          <w:szCs w:val="20"/>
        </w:rPr>
        <w:t xml:space="preserve"> </w:t>
      </w:r>
      <w:r w:rsidRPr="001E7A76">
        <w:rPr>
          <w:rFonts w:eastAsia="Times New Roman"/>
          <w:b/>
          <w:bCs/>
          <w:spacing w:val="-1"/>
          <w:szCs w:val="20"/>
        </w:rPr>
        <w:t>I</w:t>
      </w:r>
      <w:r w:rsidRPr="001E7A76">
        <w:rPr>
          <w:rFonts w:eastAsia="Times New Roman"/>
          <w:b/>
          <w:bCs/>
          <w:szCs w:val="20"/>
        </w:rPr>
        <w:t>A</w:t>
      </w:r>
      <w:r w:rsidRPr="001E7A76">
        <w:rPr>
          <w:rFonts w:eastAsia="Times New Roman"/>
          <w:b/>
          <w:bCs/>
          <w:spacing w:val="-1"/>
          <w:szCs w:val="20"/>
        </w:rPr>
        <w:t>T</w:t>
      </w:r>
      <w:r w:rsidRPr="001E7A76">
        <w:rPr>
          <w:rFonts w:eastAsia="Times New Roman"/>
          <w:b/>
          <w:bCs/>
          <w:szCs w:val="20"/>
        </w:rPr>
        <w:t>A:</w:t>
      </w:r>
      <w:r w:rsidRPr="0048626D">
        <w:rPr>
          <w:rFonts w:eastAsia="Times New Roman"/>
          <w:bCs/>
          <w:szCs w:val="20"/>
        </w:rPr>
        <w:t xml:space="preserve"> </w:t>
      </w:r>
      <w:r w:rsidRPr="0048626D">
        <w:rPr>
          <w:rFonts w:eastAsia="Times New Roman"/>
          <w:bCs/>
          <w:spacing w:val="10"/>
          <w:szCs w:val="20"/>
        </w:rPr>
        <w:t xml:space="preserve"> </w:t>
      </w:r>
      <w:r w:rsidR="00DE5FD2" w:rsidRPr="006C4FBC">
        <w:t xml:space="preserve">Not </w:t>
      </w:r>
      <w:r w:rsidR="00DE5FD2">
        <w:t>r</w:t>
      </w:r>
      <w:r w:rsidR="00DE5FD2" w:rsidRPr="006C4FBC">
        <w:t>egulated by DOT and IATA.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D5857" w14:paraId="3210D553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263DF5F1" w14:textId="77777777" w:rsidR="003D5857" w:rsidRDefault="003D5857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D4A286" w14:textId="77777777" w:rsidR="003D5857" w:rsidRDefault="003D5857" w:rsidP="006B75AB">
      <w:pPr>
        <w:keepNext/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/>
          <w:bCs/>
          <w:szCs w:val="20"/>
        </w:rPr>
        <w:t>U</w:t>
      </w:r>
      <w:r>
        <w:rPr>
          <w:rFonts w:eastAsia="Times New Roman"/>
          <w:b/>
          <w:bCs/>
          <w:spacing w:val="1"/>
          <w:szCs w:val="20"/>
        </w:rPr>
        <w:t>.</w:t>
      </w:r>
      <w:r>
        <w:rPr>
          <w:rFonts w:eastAsia="Times New Roman"/>
          <w:b/>
          <w:bCs/>
          <w:szCs w:val="20"/>
        </w:rPr>
        <w:t>S.</w:t>
      </w:r>
      <w:r>
        <w:rPr>
          <w:rFonts w:eastAsia="Times New Roman"/>
          <w:b/>
          <w:bCs/>
          <w:spacing w:val="-3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 w:rsidR="008E1B26">
        <w:rPr>
          <w:rFonts w:eastAsia="Times New Roman"/>
          <w:b/>
          <w:bCs/>
          <w:szCs w:val="20"/>
        </w:rPr>
        <w:t>egulations</w:t>
      </w:r>
    </w:p>
    <w:p w14:paraId="5A6BD28F" w14:textId="77777777" w:rsidR="003D5857" w:rsidRPr="006C2B88" w:rsidRDefault="003D5857" w:rsidP="00FA192B">
      <w:pPr>
        <w:keepNext/>
        <w:widowControl/>
        <w:spacing w:before="60"/>
        <w:ind w:left="360"/>
        <w:rPr>
          <w:rFonts w:eastAsia="Times New Roman"/>
          <w:szCs w:val="20"/>
        </w:rPr>
      </w:pPr>
      <w:r w:rsidRPr="006C2B88">
        <w:rPr>
          <w:rFonts w:eastAsia="Times New Roman"/>
          <w:spacing w:val="-1"/>
          <w:szCs w:val="20"/>
        </w:rPr>
        <w:t>C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pacing w:val="-1"/>
          <w:szCs w:val="20"/>
        </w:rPr>
        <w:t>RC</w:t>
      </w:r>
      <w:r w:rsidRPr="006C2B88">
        <w:rPr>
          <w:rFonts w:eastAsia="Times New Roman"/>
          <w:spacing w:val="-2"/>
          <w:szCs w:val="20"/>
        </w:rPr>
        <w:t>L</w:t>
      </w:r>
      <w:r w:rsidRPr="006C2B88">
        <w:rPr>
          <w:rFonts w:eastAsia="Times New Roman"/>
          <w:szCs w:val="20"/>
        </w:rPr>
        <w:t>A</w:t>
      </w:r>
      <w:r w:rsidRPr="006C2B88">
        <w:rPr>
          <w:rFonts w:eastAsia="Times New Roman"/>
          <w:spacing w:val="-10"/>
          <w:szCs w:val="20"/>
        </w:rPr>
        <w:t xml:space="preserve"> </w:t>
      </w:r>
      <w:r w:rsidRPr="006C2B88">
        <w:rPr>
          <w:rFonts w:eastAsia="Times New Roman"/>
          <w:szCs w:val="20"/>
        </w:rPr>
        <w:t>Secti</w:t>
      </w:r>
      <w:r w:rsidRPr="006C2B88">
        <w:rPr>
          <w:rFonts w:eastAsia="Times New Roman"/>
          <w:spacing w:val="1"/>
          <w:szCs w:val="20"/>
        </w:rPr>
        <w:t>o</w:t>
      </w:r>
      <w:r w:rsidRPr="006C2B88">
        <w:rPr>
          <w:rFonts w:eastAsia="Times New Roman"/>
          <w:spacing w:val="-1"/>
          <w:szCs w:val="20"/>
        </w:rPr>
        <w:t>n</w:t>
      </w: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102</w:t>
      </w:r>
      <w:r w:rsidRPr="006C2B88">
        <w:rPr>
          <w:rFonts w:eastAsia="Times New Roman"/>
          <w:szCs w:val="20"/>
        </w:rPr>
        <w:t>a/</w:t>
      </w:r>
      <w:r w:rsidRPr="006C2B88">
        <w:rPr>
          <w:rFonts w:eastAsia="Times New Roman"/>
          <w:spacing w:val="1"/>
          <w:szCs w:val="20"/>
        </w:rPr>
        <w:t>10</w:t>
      </w:r>
      <w:r w:rsidRPr="006C2B88">
        <w:rPr>
          <w:rFonts w:eastAsia="Times New Roman"/>
          <w:szCs w:val="20"/>
        </w:rPr>
        <w:t>3</w:t>
      </w:r>
      <w:r w:rsidRPr="006C2B88">
        <w:rPr>
          <w:rFonts w:eastAsia="Times New Roman"/>
          <w:spacing w:val="-5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(4</w:t>
      </w:r>
      <w:r w:rsidRPr="006C2B88">
        <w:rPr>
          <w:rFonts w:eastAsia="Times New Roman"/>
          <w:szCs w:val="20"/>
        </w:rPr>
        <w:t>0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302.4)</w:t>
      </w:r>
      <w:r w:rsidRPr="006C2B88">
        <w:rPr>
          <w:rFonts w:eastAsia="Times New Roman"/>
          <w:szCs w:val="20"/>
        </w:rPr>
        <w:t>:</w:t>
      </w:r>
      <w:r w:rsidR="001E7A76" w:rsidRPr="006C2B88">
        <w:rPr>
          <w:rFonts w:eastAsia="Times New Roman"/>
          <w:szCs w:val="20"/>
        </w:rPr>
        <w:t xml:space="preserve">  Not regulated.</w:t>
      </w:r>
    </w:p>
    <w:p w14:paraId="757996A8" w14:textId="77777777" w:rsidR="003D5857" w:rsidRPr="006C2B88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zCs w:val="20"/>
        </w:rPr>
        <w:t>A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itle</w:t>
      </w:r>
      <w:r w:rsidRPr="006C2B88">
        <w:rPr>
          <w:rFonts w:eastAsia="Times New Roman"/>
          <w:spacing w:val="-3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II</w:t>
      </w:r>
      <w:r w:rsidRPr="006C2B88">
        <w:rPr>
          <w:rFonts w:eastAsia="Times New Roman"/>
          <w:szCs w:val="20"/>
        </w:rPr>
        <w:t>I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zCs w:val="20"/>
        </w:rPr>
        <w:t>Secti</w:t>
      </w:r>
      <w:r w:rsidRPr="006C2B88">
        <w:rPr>
          <w:rFonts w:eastAsia="Times New Roman"/>
          <w:spacing w:val="1"/>
          <w:szCs w:val="20"/>
        </w:rPr>
        <w:t>o</w:t>
      </w:r>
      <w:r w:rsidRPr="006C2B88">
        <w:rPr>
          <w:rFonts w:eastAsia="Times New Roman"/>
          <w:szCs w:val="20"/>
        </w:rPr>
        <w:t>n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30</w:t>
      </w:r>
      <w:r w:rsidRPr="006C2B88">
        <w:rPr>
          <w:rFonts w:eastAsia="Times New Roman"/>
          <w:szCs w:val="20"/>
        </w:rPr>
        <w:t>2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(4</w:t>
      </w:r>
      <w:r w:rsidRPr="006C2B88">
        <w:rPr>
          <w:rFonts w:eastAsia="Times New Roman"/>
          <w:szCs w:val="20"/>
        </w:rPr>
        <w:t>0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355.30)</w:t>
      </w:r>
      <w:r w:rsidRPr="006C2B88">
        <w:rPr>
          <w:rFonts w:eastAsia="Times New Roman"/>
          <w:szCs w:val="20"/>
        </w:rPr>
        <w:t>:</w:t>
      </w:r>
      <w:r w:rsidR="001E7A76" w:rsidRPr="006C2B88">
        <w:rPr>
          <w:rFonts w:eastAsia="Times New Roman"/>
          <w:szCs w:val="20"/>
        </w:rPr>
        <w:t xml:space="preserve">  </w:t>
      </w:r>
      <w:r w:rsidR="00B7052B" w:rsidRPr="006C2B88">
        <w:rPr>
          <w:rFonts w:eastAsia="Times New Roman"/>
          <w:szCs w:val="20"/>
        </w:rPr>
        <w:t>Not regulated.</w:t>
      </w:r>
    </w:p>
    <w:p w14:paraId="54959BA6" w14:textId="77777777" w:rsidR="003D5857" w:rsidRPr="006C2B88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zCs w:val="20"/>
        </w:rPr>
        <w:t>A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itle</w:t>
      </w:r>
      <w:r w:rsidRPr="006C2B88">
        <w:rPr>
          <w:rFonts w:eastAsia="Times New Roman"/>
          <w:spacing w:val="-3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II</w:t>
      </w:r>
      <w:r w:rsidRPr="006C2B88">
        <w:rPr>
          <w:rFonts w:eastAsia="Times New Roman"/>
          <w:szCs w:val="20"/>
        </w:rPr>
        <w:t>I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zCs w:val="20"/>
        </w:rPr>
        <w:t>Secti</w:t>
      </w:r>
      <w:r w:rsidRPr="006C2B88">
        <w:rPr>
          <w:rFonts w:eastAsia="Times New Roman"/>
          <w:spacing w:val="1"/>
          <w:szCs w:val="20"/>
        </w:rPr>
        <w:t>o</w:t>
      </w:r>
      <w:r w:rsidRPr="006C2B88">
        <w:rPr>
          <w:rFonts w:eastAsia="Times New Roman"/>
          <w:szCs w:val="20"/>
        </w:rPr>
        <w:t>n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30</w:t>
      </w:r>
      <w:r w:rsidRPr="006C2B88">
        <w:rPr>
          <w:rFonts w:eastAsia="Times New Roman"/>
          <w:szCs w:val="20"/>
        </w:rPr>
        <w:t>4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(4</w:t>
      </w:r>
      <w:r w:rsidRPr="006C2B88">
        <w:rPr>
          <w:rFonts w:eastAsia="Times New Roman"/>
          <w:szCs w:val="20"/>
        </w:rPr>
        <w:t>0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355.40)</w:t>
      </w:r>
      <w:r w:rsidRPr="006C2B88">
        <w:rPr>
          <w:rFonts w:eastAsia="Times New Roman"/>
          <w:szCs w:val="20"/>
        </w:rPr>
        <w:t>:</w:t>
      </w:r>
      <w:r w:rsidR="001E7A76" w:rsidRPr="006C2B88">
        <w:rPr>
          <w:rFonts w:eastAsia="Times New Roman"/>
          <w:szCs w:val="20"/>
        </w:rPr>
        <w:t xml:space="preserve">  </w:t>
      </w:r>
      <w:r w:rsidR="00B7052B" w:rsidRPr="006C2B88">
        <w:rPr>
          <w:rFonts w:eastAsia="Times New Roman"/>
          <w:szCs w:val="20"/>
        </w:rPr>
        <w:t>Not regulated.</w:t>
      </w:r>
    </w:p>
    <w:p w14:paraId="0A810972" w14:textId="77777777" w:rsidR="003D5857" w:rsidRPr="006C2B88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zCs w:val="20"/>
        </w:rPr>
        <w:t>A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itle</w:t>
      </w:r>
      <w:r w:rsidRPr="006C2B88">
        <w:rPr>
          <w:rFonts w:eastAsia="Times New Roman"/>
          <w:spacing w:val="-3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II</w:t>
      </w:r>
      <w:r w:rsidRPr="006C2B88">
        <w:rPr>
          <w:rFonts w:eastAsia="Times New Roman"/>
          <w:szCs w:val="20"/>
        </w:rPr>
        <w:t>I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zCs w:val="20"/>
        </w:rPr>
        <w:t>Secti</w:t>
      </w:r>
      <w:r w:rsidRPr="006C2B88">
        <w:rPr>
          <w:rFonts w:eastAsia="Times New Roman"/>
          <w:spacing w:val="1"/>
          <w:szCs w:val="20"/>
        </w:rPr>
        <w:t>o</w:t>
      </w:r>
      <w:r w:rsidRPr="006C2B88">
        <w:rPr>
          <w:rFonts w:eastAsia="Times New Roman"/>
          <w:szCs w:val="20"/>
        </w:rPr>
        <w:t>n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31</w:t>
      </w:r>
      <w:r w:rsidRPr="006C2B88">
        <w:rPr>
          <w:rFonts w:eastAsia="Times New Roman"/>
          <w:szCs w:val="20"/>
        </w:rPr>
        <w:t>3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(4</w:t>
      </w:r>
      <w:r w:rsidRPr="006C2B88">
        <w:rPr>
          <w:rFonts w:eastAsia="Times New Roman"/>
          <w:szCs w:val="20"/>
        </w:rPr>
        <w:t>0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372.65)</w:t>
      </w:r>
      <w:r w:rsidRPr="006C2B88">
        <w:rPr>
          <w:rFonts w:eastAsia="Times New Roman"/>
          <w:szCs w:val="20"/>
        </w:rPr>
        <w:t>:</w:t>
      </w:r>
      <w:r w:rsidR="001E7A76" w:rsidRPr="006C2B88">
        <w:rPr>
          <w:rFonts w:eastAsia="Times New Roman"/>
          <w:szCs w:val="20"/>
        </w:rPr>
        <w:t xml:space="preserve">  Not regulated.</w:t>
      </w:r>
    </w:p>
    <w:p w14:paraId="13542199" w14:textId="77777777" w:rsidR="003D5857" w:rsidRPr="006C2B88" w:rsidRDefault="003D5857" w:rsidP="006B75AB">
      <w:pPr>
        <w:widowControl/>
        <w:spacing w:before="60"/>
        <w:ind w:left="360"/>
        <w:rPr>
          <w:rFonts w:eastAsia="Times New Roman"/>
          <w:szCs w:val="20"/>
        </w:rPr>
      </w:pPr>
      <w:r w:rsidRPr="006C2B88">
        <w:rPr>
          <w:rFonts w:eastAsia="Times New Roman"/>
          <w:szCs w:val="20"/>
        </w:rPr>
        <w:lastRenderedPageBreak/>
        <w:t>OSHA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2"/>
          <w:szCs w:val="20"/>
        </w:rPr>
        <w:t>P</w:t>
      </w:r>
      <w:r w:rsidRPr="006C2B88">
        <w:rPr>
          <w:rFonts w:eastAsia="Times New Roman"/>
          <w:spacing w:val="1"/>
          <w:szCs w:val="20"/>
        </w:rPr>
        <w:t>ro</w:t>
      </w:r>
      <w:r w:rsidRPr="006C2B88">
        <w:rPr>
          <w:rFonts w:eastAsia="Times New Roman"/>
          <w:szCs w:val="20"/>
        </w:rPr>
        <w:t>ce</w:t>
      </w:r>
      <w:r w:rsidRPr="006C2B88">
        <w:rPr>
          <w:rFonts w:eastAsia="Times New Roman"/>
          <w:spacing w:val="-1"/>
          <w:szCs w:val="20"/>
        </w:rPr>
        <w:t>s</w:t>
      </w: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6"/>
          <w:szCs w:val="20"/>
        </w:rPr>
        <w:t xml:space="preserve"> </w:t>
      </w:r>
      <w:r w:rsidRPr="006C2B88">
        <w:rPr>
          <w:rFonts w:eastAsia="Times New Roman"/>
          <w:szCs w:val="20"/>
        </w:rPr>
        <w:t>Sa</w:t>
      </w:r>
      <w:r w:rsidRPr="006C2B88">
        <w:rPr>
          <w:rFonts w:eastAsia="Times New Roman"/>
          <w:spacing w:val="-2"/>
          <w:szCs w:val="20"/>
        </w:rPr>
        <w:t>f</w:t>
      </w:r>
      <w:r w:rsidRPr="006C2B88">
        <w:rPr>
          <w:rFonts w:eastAsia="Times New Roman"/>
          <w:szCs w:val="20"/>
        </w:rPr>
        <w:t>ety</w:t>
      </w:r>
      <w:r w:rsidRPr="006C2B88">
        <w:rPr>
          <w:rFonts w:eastAsia="Times New Roman"/>
          <w:spacing w:val="-8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(2</w:t>
      </w:r>
      <w:r w:rsidRPr="006C2B88">
        <w:rPr>
          <w:rFonts w:eastAsia="Times New Roman"/>
          <w:szCs w:val="20"/>
        </w:rPr>
        <w:t>9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1910.119)</w:t>
      </w:r>
      <w:r w:rsidRPr="006C2B88">
        <w:rPr>
          <w:rFonts w:eastAsia="Times New Roman"/>
          <w:szCs w:val="20"/>
        </w:rPr>
        <w:t>:</w:t>
      </w:r>
      <w:r w:rsidR="001E7A76" w:rsidRPr="006C2B88">
        <w:rPr>
          <w:rFonts w:eastAsia="Times New Roman"/>
          <w:szCs w:val="20"/>
        </w:rPr>
        <w:t xml:space="preserve">  </w:t>
      </w:r>
      <w:r w:rsidR="00B7052B" w:rsidRPr="006C2B88">
        <w:rPr>
          <w:rFonts w:eastAsia="Times New Roman"/>
          <w:szCs w:val="20"/>
        </w:rPr>
        <w:t>Not regulated.</w:t>
      </w:r>
    </w:p>
    <w:p w14:paraId="1D99B37D" w14:textId="77777777" w:rsidR="003D5857" w:rsidRPr="006C2B88" w:rsidRDefault="003D5857" w:rsidP="006B75AB">
      <w:pPr>
        <w:keepNext/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zCs w:val="20"/>
        </w:rPr>
        <w:t>A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itle</w:t>
      </w:r>
      <w:r w:rsidRPr="006C2B88">
        <w:rPr>
          <w:rFonts w:eastAsia="Times New Roman"/>
          <w:spacing w:val="-3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II</w:t>
      </w:r>
      <w:r w:rsidRPr="006C2B88">
        <w:rPr>
          <w:rFonts w:eastAsia="Times New Roman"/>
          <w:szCs w:val="20"/>
        </w:rPr>
        <w:t>I</w:t>
      </w:r>
      <w:r w:rsidRPr="006C2B88">
        <w:rPr>
          <w:rFonts w:eastAsia="Times New Roman"/>
          <w:spacing w:val="-1"/>
          <w:szCs w:val="20"/>
        </w:rPr>
        <w:t xml:space="preserve"> </w:t>
      </w:r>
      <w:r w:rsidRPr="006C2B88">
        <w:rPr>
          <w:rFonts w:eastAsia="Times New Roman"/>
          <w:szCs w:val="20"/>
        </w:rPr>
        <w:t>Secti</w:t>
      </w:r>
      <w:r w:rsidRPr="006C2B88">
        <w:rPr>
          <w:rFonts w:eastAsia="Times New Roman"/>
          <w:spacing w:val="1"/>
          <w:szCs w:val="20"/>
        </w:rPr>
        <w:t>o</w:t>
      </w:r>
      <w:r w:rsidRPr="006C2B88">
        <w:rPr>
          <w:rFonts w:eastAsia="Times New Roman"/>
          <w:spacing w:val="-1"/>
          <w:szCs w:val="20"/>
        </w:rPr>
        <w:t>n</w:t>
      </w: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7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311</w:t>
      </w:r>
      <w:r w:rsidRPr="006C2B88">
        <w:rPr>
          <w:rFonts w:eastAsia="Times New Roman"/>
          <w:szCs w:val="20"/>
        </w:rPr>
        <w:t>/</w:t>
      </w:r>
      <w:r w:rsidRPr="006C2B88">
        <w:rPr>
          <w:rFonts w:eastAsia="Times New Roman"/>
          <w:spacing w:val="1"/>
          <w:szCs w:val="20"/>
        </w:rPr>
        <w:t>31</w:t>
      </w:r>
      <w:r w:rsidRPr="006C2B88">
        <w:rPr>
          <w:rFonts w:eastAsia="Times New Roman"/>
          <w:szCs w:val="20"/>
        </w:rPr>
        <w:t>2</w:t>
      </w:r>
      <w:r w:rsidRPr="006C2B88">
        <w:rPr>
          <w:rFonts w:eastAsia="Times New Roman"/>
          <w:spacing w:val="-5"/>
          <w:szCs w:val="20"/>
        </w:rPr>
        <w:t xml:space="preserve"> </w:t>
      </w:r>
      <w:r w:rsidRPr="006C2B88">
        <w:rPr>
          <w:rFonts w:eastAsia="Times New Roman"/>
          <w:szCs w:val="20"/>
        </w:rPr>
        <w:t>Haza</w:t>
      </w:r>
      <w:r w:rsidRPr="006C2B88">
        <w:rPr>
          <w:rFonts w:eastAsia="Times New Roman"/>
          <w:spacing w:val="1"/>
          <w:szCs w:val="20"/>
        </w:rPr>
        <w:t>rdo</w:t>
      </w:r>
      <w:r w:rsidRPr="006C2B88">
        <w:rPr>
          <w:rFonts w:eastAsia="Times New Roman"/>
          <w:spacing w:val="-1"/>
          <w:szCs w:val="20"/>
        </w:rPr>
        <w:t>u</w:t>
      </w:r>
      <w:r w:rsidRPr="006C2B88">
        <w:rPr>
          <w:rFonts w:eastAsia="Times New Roman"/>
          <w:szCs w:val="20"/>
        </w:rPr>
        <w:t>s</w:t>
      </w:r>
      <w:r w:rsidRPr="006C2B88">
        <w:rPr>
          <w:rFonts w:eastAsia="Times New Roman"/>
          <w:spacing w:val="-9"/>
          <w:szCs w:val="20"/>
        </w:rPr>
        <w:t xml:space="preserve"> </w:t>
      </w:r>
      <w:r w:rsidRPr="006C2B88">
        <w:rPr>
          <w:rFonts w:eastAsia="Times New Roman"/>
          <w:spacing w:val="-1"/>
          <w:szCs w:val="20"/>
        </w:rPr>
        <w:t>C</w:t>
      </w:r>
      <w:r w:rsidRPr="006C2B88">
        <w:rPr>
          <w:rFonts w:eastAsia="Times New Roman"/>
          <w:szCs w:val="20"/>
        </w:rPr>
        <w:t>ate</w:t>
      </w:r>
      <w:r w:rsidRPr="006C2B88">
        <w:rPr>
          <w:rFonts w:eastAsia="Times New Roman"/>
          <w:spacing w:val="-1"/>
          <w:szCs w:val="20"/>
        </w:rPr>
        <w:t>g</w:t>
      </w:r>
      <w:r w:rsidRPr="006C2B88">
        <w:rPr>
          <w:rFonts w:eastAsia="Times New Roman"/>
          <w:spacing w:val="1"/>
          <w:szCs w:val="20"/>
        </w:rPr>
        <w:t>or</w:t>
      </w:r>
      <w:r w:rsidRPr="006C2B88">
        <w:rPr>
          <w:rFonts w:eastAsia="Times New Roman"/>
          <w:szCs w:val="20"/>
        </w:rPr>
        <w:t>ies</w:t>
      </w:r>
      <w:r w:rsidRPr="006C2B88">
        <w:rPr>
          <w:rFonts w:eastAsia="Times New Roman"/>
          <w:spacing w:val="-9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(4</w:t>
      </w:r>
      <w:r w:rsidRPr="006C2B88">
        <w:rPr>
          <w:rFonts w:eastAsia="Times New Roman"/>
          <w:szCs w:val="20"/>
        </w:rPr>
        <w:t>0</w:t>
      </w:r>
      <w:r w:rsidRPr="006C2B88">
        <w:rPr>
          <w:rFonts w:eastAsia="Times New Roman"/>
          <w:spacing w:val="-1"/>
          <w:szCs w:val="20"/>
        </w:rPr>
        <w:t xml:space="preserve"> C</w:t>
      </w:r>
      <w:r w:rsidRPr="006C2B88">
        <w:rPr>
          <w:rFonts w:eastAsia="Times New Roman"/>
          <w:szCs w:val="20"/>
        </w:rPr>
        <w:t>FR</w:t>
      </w:r>
      <w:r w:rsidRPr="006C2B88">
        <w:rPr>
          <w:rFonts w:eastAsia="Times New Roman"/>
          <w:spacing w:val="-4"/>
          <w:szCs w:val="20"/>
        </w:rPr>
        <w:t xml:space="preserve"> </w:t>
      </w:r>
      <w:r w:rsidRPr="006C2B88">
        <w:rPr>
          <w:rFonts w:eastAsia="Times New Roman"/>
          <w:spacing w:val="1"/>
          <w:szCs w:val="20"/>
        </w:rPr>
        <w:t>370.21)</w:t>
      </w:r>
    </w:p>
    <w:p w14:paraId="2C879223" w14:textId="77777777" w:rsidR="003D5857" w:rsidRPr="006C2B88" w:rsidRDefault="003D5857" w:rsidP="006B75AB">
      <w:pPr>
        <w:keepNext/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C</w:t>
      </w:r>
      <w:r w:rsidRPr="006C2B88">
        <w:rPr>
          <w:rFonts w:eastAsia="Times New Roman"/>
          <w:szCs w:val="20"/>
        </w:rPr>
        <w:t>U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E</w:t>
      </w:r>
      <w:r w:rsidRPr="006C2B88">
        <w:rPr>
          <w:rFonts w:eastAsia="Times New Roman"/>
          <w:spacing w:val="-6"/>
          <w:szCs w:val="20"/>
        </w:rPr>
        <w:t xml:space="preserve"> </w:t>
      </w:r>
      <w:r w:rsidRPr="006C2B88">
        <w:rPr>
          <w:rFonts w:eastAsia="Times New Roman"/>
          <w:szCs w:val="20"/>
        </w:rPr>
        <w:t>H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pacing w:val="-2"/>
          <w:szCs w:val="20"/>
        </w:rPr>
        <w:t>AL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H:</w:t>
      </w:r>
      <w:r w:rsidR="009F6A9E" w:rsidRPr="006C2B88">
        <w:rPr>
          <w:rFonts w:eastAsia="Times New Roman"/>
          <w:szCs w:val="20"/>
        </w:rPr>
        <w:tab/>
      </w:r>
      <w:r w:rsidR="00DD7BB4">
        <w:rPr>
          <w:rFonts w:eastAsia="Times New Roman"/>
          <w:szCs w:val="20"/>
        </w:rPr>
        <w:t>Yes</w:t>
      </w:r>
    </w:p>
    <w:p w14:paraId="67FE0661" w14:textId="77777777" w:rsidR="003D5857" w:rsidRPr="006C2B88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6C2B88">
        <w:rPr>
          <w:rFonts w:eastAsia="Times New Roman"/>
          <w:spacing w:val="-1"/>
          <w:szCs w:val="20"/>
        </w:rPr>
        <w:t>C</w:t>
      </w:r>
      <w:r w:rsidRPr="006C2B88">
        <w:rPr>
          <w:rFonts w:eastAsia="Times New Roman"/>
          <w:szCs w:val="20"/>
        </w:rPr>
        <w:t>H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zCs w:val="20"/>
        </w:rPr>
        <w:t>ON</w:t>
      </w:r>
      <w:r w:rsidRPr="006C2B88">
        <w:rPr>
          <w:rFonts w:eastAsia="Times New Roman"/>
          <w:spacing w:val="1"/>
          <w:szCs w:val="20"/>
        </w:rPr>
        <w:t>I</w:t>
      </w:r>
      <w:r w:rsidRPr="006C2B88">
        <w:rPr>
          <w:rFonts w:eastAsia="Times New Roman"/>
          <w:szCs w:val="20"/>
        </w:rPr>
        <w:t>C</w:t>
      </w:r>
      <w:r w:rsidRPr="006C2B88">
        <w:rPr>
          <w:rFonts w:eastAsia="Times New Roman"/>
          <w:spacing w:val="-10"/>
          <w:szCs w:val="20"/>
        </w:rPr>
        <w:t xml:space="preserve"> </w:t>
      </w:r>
      <w:r w:rsidRPr="006C2B88">
        <w:rPr>
          <w:rFonts w:eastAsia="Times New Roman"/>
          <w:szCs w:val="20"/>
        </w:rPr>
        <w:t>H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pacing w:val="-2"/>
          <w:szCs w:val="20"/>
        </w:rPr>
        <w:t>AL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zCs w:val="20"/>
        </w:rPr>
        <w:t>H:</w:t>
      </w:r>
      <w:r w:rsidR="009F6A9E" w:rsidRPr="006C2B88">
        <w:rPr>
          <w:rFonts w:eastAsia="Times New Roman"/>
          <w:szCs w:val="20"/>
        </w:rPr>
        <w:tab/>
      </w:r>
      <w:r w:rsidR="007508B9">
        <w:rPr>
          <w:rFonts w:eastAsia="Times New Roman"/>
          <w:szCs w:val="20"/>
        </w:rPr>
        <w:t>No</w:t>
      </w:r>
    </w:p>
    <w:p w14:paraId="1747A3E3" w14:textId="77777777" w:rsidR="003D5857" w:rsidRPr="006C2B88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6C2B88">
        <w:rPr>
          <w:rFonts w:eastAsia="Times New Roman"/>
          <w:szCs w:val="20"/>
        </w:rPr>
        <w:t>F</w:t>
      </w:r>
      <w:r w:rsidRPr="006C2B88">
        <w:rPr>
          <w:rFonts w:eastAsia="Times New Roman"/>
          <w:spacing w:val="1"/>
          <w:szCs w:val="20"/>
        </w:rPr>
        <w:t>I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zCs w:val="20"/>
        </w:rPr>
        <w:t>:</w:t>
      </w:r>
      <w:r w:rsidR="009F6A9E" w:rsidRPr="006C2B88">
        <w:rPr>
          <w:rFonts w:eastAsia="Times New Roman"/>
          <w:szCs w:val="20"/>
        </w:rPr>
        <w:tab/>
      </w:r>
      <w:r w:rsidR="006C2B88">
        <w:rPr>
          <w:rFonts w:eastAsia="Times New Roman"/>
          <w:szCs w:val="20"/>
        </w:rPr>
        <w:t>No</w:t>
      </w:r>
    </w:p>
    <w:p w14:paraId="3266FD7A" w14:textId="77777777" w:rsidR="003D5857" w:rsidRPr="006C2B88" w:rsidRDefault="003D5857" w:rsidP="006B75AB">
      <w:pPr>
        <w:keepNext/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pacing w:val="-2"/>
          <w:szCs w:val="20"/>
        </w:rPr>
        <w:t>A</w:t>
      </w:r>
      <w:r w:rsidRPr="006C2B88">
        <w:rPr>
          <w:rFonts w:eastAsia="Times New Roman"/>
          <w:spacing w:val="-1"/>
          <w:szCs w:val="20"/>
        </w:rPr>
        <w:t>C</w:t>
      </w:r>
      <w:r w:rsidRPr="006C2B88">
        <w:rPr>
          <w:rFonts w:eastAsia="Times New Roman"/>
          <w:spacing w:val="3"/>
          <w:szCs w:val="20"/>
        </w:rPr>
        <w:t>T</w:t>
      </w:r>
      <w:r w:rsidRPr="006C2B88">
        <w:rPr>
          <w:rFonts w:eastAsia="Times New Roman"/>
          <w:spacing w:val="1"/>
          <w:szCs w:val="20"/>
        </w:rPr>
        <w:t>I</w:t>
      </w:r>
      <w:r w:rsidRPr="006C2B88">
        <w:rPr>
          <w:rFonts w:eastAsia="Times New Roman"/>
          <w:szCs w:val="20"/>
        </w:rPr>
        <w:t>V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zCs w:val="20"/>
        </w:rPr>
        <w:t>:</w:t>
      </w:r>
      <w:r w:rsidR="009F6A9E" w:rsidRPr="006C2B88">
        <w:rPr>
          <w:rFonts w:eastAsia="Times New Roman"/>
          <w:szCs w:val="20"/>
        </w:rPr>
        <w:tab/>
        <w:t>No</w:t>
      </w:r>
    </w:p>
    <w:p w14:paraId="34170C22" w14:textId="77777777" w:rsidR="003D5857" w:rsidRPr="006C2B88" w:rsidRDefault="003D5857" w:rsidP="006B75AB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6C2B88">
        <w:rPr>
          <w:rFonts w:eastAsia="Times New Roman"/>
          <w:spacing w:val="2"/>
          <w:szCs w:val="20"/>
        </w:rPr>
        <w:t>P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zCs w:val="20"/>
        </w:rPr>
        <w:t>SSU</w:t>
      </w:r>
      <w:r w:rsidRPr="006C2B88">
        <w:rPr>
          <w:rFonts w:eastAsia="Times New Roman"/>
          <w:spacing w:val="-1"/>
          <w:szCs w:val="20"/>
        </w:rPr>
        <w:t>R</w:t>
      </w:r>
      <w:r w:rsidRPr="006C2B88">
        <w:rPr>
          <w:rFonts w:eastAsia="Times New Roman"/>
          <w:spacing w:val="1"/>
          <w:szCs w:val="20"/>
        </w:rPr>
        <w:t>E</w:t>
      </w:r>
      <w:r w:rsidRPr="006C2B88">
        <w:rPr>
          <w:rFonts w:eastAsia="Times New Roman"/>
          <w:szCs w:val="20"/>
        </w:rPr>
        <w:t>:</w:t>
      </w:r>
      <w:r w:rsidR="009F6A9E" w:rsidRPr="006C2B88">
        <w:rPr>
          <w:rFonts w:eastAsia="Times New Roman"/>
          <w:szCs w:val="20"/>
        </w:rPr>
        <w:tab/>
      </w:r>
      <w:r w:rsidR="00B7052B" w:rsidRPr="006C2B88">
        <w:rPr>
          <w:rFonts w:eastAsia="Times New Roman"/>
          <w:szCs w:val="20"/>
        </w:rPr>
        <w:t>No</w:t>
      </w:r>
    </w:p>
    <w:p w14:paraId="733953E2" w14:textId="77777777" w:rsidR="00761A94" w:rsidRDefault="003D5857" w:rsidP="00E12D28">
      <w:pPr>
        <w:keepNext/>
        <w:widowControl/>
        <w:spacing w:before="60"/>
        <w:rPr>
          <w:rFonts w:eastAsia="Times New Roman"/>
          <w:bCs/>
          <w:szCs w:val="20"/>
        </w:rPr>
      </w:pPr>
      <w:r w:rsidRPr="006C2B88">
        <w:rPr>
          <w:rFonts w:eastAsia="Times New Roman"/>
          <w:b/>
          <w:bCs/>
          <w:szCs w:val="20"/>
        </w:rPr>
        <w:t>S</w:t>
      </w:r>
      <w:r w:rsidR="008E1B26" w:rsidRPr="006C2B88">
        <w:rPr>
          <w:rFonts w:eastAsia="Times New Roman"/>
          <w:b/>
          <w:bCs/>
          <w:szCs w:val="20"/>
        </w:rPr>
        <w:t>tate</w:t>
      </w:r>
      <w:r w:rsidRPr="006C2B88">
        <w:rPr>
          <w:rFonts w:eastAsia="Times New Roman"/>
          <w:b/>
          <w:bCs/>
          <w:spacing w:val="-8"/>
          <w:szCs w:val="20"/>
        </w:rPr>
        <w:t xml:space="preserve"> </w:t>
      </w:r>
      <w:r w:rsidRPr="006C2B88">
        <w:rPr>
          <w:rFonts w:eastAsia="Times New Roman"/>
          <w:b/>
          <w:bCs/>
          <w:szCs w:val="20"/>
        </w:rPr>
        <w:t>R</w:t>
      </w:r>
      <w:r w:rsidR="008E1B26" w:rsidRPr="006C2B88">
        <w:rPr>
          <w:rFonts w:eastAsia="Times New Roman"/>
          <w:b/>
          <w:bCs/>
          <w:szCs w:val="20"/>
        </w:rPr>
        <w:t>egulations</w:t>
      </w:r>
    </w:p>
    <w:p w14:paraId="7953F5A4" w14:textId="77777777" w:rsidR="003D5857" w:rsidRPr="006C2B88" w:rsidRDefault="00761A94" w:rsidP="00837DC8">
      <w:pPr>
        <w:keepNext/>
        <w:widowControl/>
        <w:spacing w:before="60"/>
        <w:ind w:left="720"/>
        <w:rPr>
          <w:rFonts w:eastAsia="Times New Roman"/>
          <w:szCs w:val="20"/>
        </w:rPr>
      </w:pPr>
      <w:r>
        <w:rPr>
          <w:rFonts w:eastAsia="Times New Roman"/>
          <w:bCs/>
          <w:szCs w:val="20"/>
        </w:rPr>
        <w:t xml:space="preserve">California Proposition 65:  </w:t>
      </w:r>
      <w:r w:rsidR="00FC747B">
        <w:rPr>
          <w:rFonts w:eastAsia="Times New Roman"/>
          <w:bCs/>
          <w:szCs w:val="20"/>
        </w:rPr>
        <w:t>Not listed.</w:t>
      </w:r>
    </w:p>
    <w:p w14:paraId="25038E30" w14:textId="77777777" w:rsidR="004521E9" w:rsidRPr="006C2B88" w:rsidRDefault="008E1B26" w:rsidP="008B7495">
      <w:pPr>
        <w:keepNext/>
        <w:widowControl/>
        <w:spacing w:before="60"/>
        <w:ind w:left="720" w:hanging="720"/>
        <w:rPr>
          <w:rFonts w:eastAsia="Times New Roman"/>
          <w:bCs/>
          <w:szCs w:val="20"/>
        </w:rPr>
      </w:pPr>
      <w:r w:rsidRPr="006C2B88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6C2B88">
        <w:rPr>
          <w:rFonts w:eastAsia="Times New Roman"/>
          <w:b/>
          <w:bCs/>
          <w:spacing w:val="-1"/>
          <w:szCs w:val="20"/>
        </w:rPr>
        <w:t>I</w:t>
      </w:r>
      <w:r w:rsidR="003D5857" w:rsidRPr="006C2B88">
        <w:rPr>
          <w:rFonts w:eastAsia="Times New Roman"/>
          <w:b/>
          <w:bCs/>
          <w:szCs w:val="20"/>
        </w:rPr>
        <w:t>n</w:t>
      </w:r>
      <w:r w:rsidR="003D5857" w:rsidRPr="006C2B88">
        <w:rPr>
          <w:rFonts w:eastAsia="Times New Roman"/>
          <w:b/>
          <w:bCs/>
          <w:spacing w:val="1"/>
          <w:szCs w:val="20"/>
        </w:rPr>
        <w:t>v</w:t>
      </w:r>
      <w:r w:rsidR="003D5857" w:rsidRPr="006C2B88">
        <w:rPr>
          <w:rFonts w:eastAsia="Times New Roman"/>
          <w:b/>
          <w:bCs/>
          <w:szCs w:val="20"/>
        </w:rPr>
        <w:t>en</w:t>
      </w:r>
      <w:r w:rsidR="003D5857" w:rsidRPr="006C2B88">
        <w:rPr>
          <w:rFonts w:eastAsia="Times New Roman"/>
          <w:b/>
          <w:bCs/>
          <w:spacing w:val="1"/>
          <w:szCs w:val="20"/>
        </w:rPr>
        <w:t>to</w:t>
      </w:r>
      <w:r w:rsidR="003D5857" w:rsidRPr="006C2B88">
        <w:rPr>
          <w:rFonts w:eastAsia="Times New Roman"/>
          <w:b/>
          <w:bCs/>
          <w:szCs w:val="20"/>
        </w:rPr>
        <w:t>ry:</w:t>
      </w:r>
      <w:r w:rsidR="001E7A76" w:rsidRPr="006C2B88">
        <w:rPr>
          <w:rFonts w:eastAsia="Times New Roman"/>
          <w:bCs/>
          <w:szCs w:val="20"/>
        </w:rPr>
        <w:t xml:space="preserve">  </w:t>
      </w:r>
      <w:r w:rsidR="00FC747B">
        <w:t>2,6,10,14-tetramethylpentadecane is listed</w:t>
      </w:r>
      <w:r w:rsidR="001E7A76" w:rsidRPr="006C2B88">
        <w:rPr>
          <w:rFonts w:eastAsia="Times New Roman"/>
          <w:bCs/>
          <w:szCs w:val="20"/>
        </w:rPr>
        <w:t>.</w:t>
      </w:r>
    </w:p>
    <w:p w14:paraId="147299C9" w14:textId="77777777" w:rsidR="003D5857" w:rsidRPr="001E7A76" w:rsidRDefault="003D5857" w:rsidP="00E12D28">
      <w:pPr>
        <w:widowControl/>
        <w:spacing w:before="60"/>
        <w:rPr>
          <w:rFonts w:eastAsia="Times New Roman"/>
          <w:bCs/>
          <w:szCs w:val="20"/>
        </w:rPr>
      </w:pPr>
      <w:r w:rsidRPr="006C2B88">
        <w:rPr>
          <w:rFonts w:eastAsia="Times New Roman"/>
          <w:b/>
          <w:bCs/>
          <w:spacing w:val="-1"/>
          <w:szCs w:val="20"/>
        </w:rPr>
        <w:t>T</w:t>
      </w:r>
      <w:r w:rsidRPr="006C2B88">
        <w:rPr>
          <w:rFonts w:eastAsia="Times New Roman"/>
          <w:b/>
          <w:bCs/>
          <w:szCs w:val="20"/>
        </w:rPr>
        <w:t>SCA</w:t>
      </w:r>
      <w:r w:rsidRPr="006C2B88">
        <w:rPr>
          <w:rFonts w:eastAsia="Times New Roman"/>
          <w:b/>
          <w:bCs/>
          <w:spacing w:val="-4"/>
          <w:szCs w:val="20"/>
        </w:rPr>
        <w:t xml:space="preserve"> </w:t>
      </w:r>
      <w:r w:rsidRPr="006C2B88">
        <w:rPr>
          <w:rFonts w:eastAsia="Times New Roman"/>
          <w:b/>
          <w:bCs/>
          <w:spacing w:val="1"/>
          <w:szCs w:val="20"/>
        </w:rPr>
        <w:t>12(</w:t>
      </w:r>
      <w:r w:rsidRPr="006C2B88">
        <w:rPr>
          <w:rFonts w:eastAsia="Times New Roman"/>
          <w:b/>
          <w:bCs/>
          <w:szCs w:val="20"/>
        </w:rPr>
        <w:t>b</w:t>
      </w:r>
      <w:r w:rsidRPr="006C2B88">
        <w:rPr>
          <w:rFonts w:eastAsia="Times New Roman"/>
          <w:b/>
          <w:bCs/>
          <w:spacing w:val="1"/>
          <w:szCs w:val="20"/>
        </w:rPr>
        <w:t>)</w:t>
      </w:r>
      <w:r w:rsidRPr="006C2B88">
        <w:rPr>
          <w:rFonts w:eastAsia="Times New Roman"/>
          <w:b/>
          <w:bCs/>
          <w:szCs w:val="20"/>
        </w:rPr>
        <w:t>,</w:t>
      </w:r>
      <w:r w:rsidRPr="006C2B88">
        <w:rPr>
          <w:rFonts w:eastAsia="Times New Roman"/>
          <w:b/>
          <w:bCs/>
          <w:spacing w:val="-4"/>
          <w:szCs w:val="20"/>
        </w:rPr>
        <w:t xml:space="preserve"> </w:t>
      </w:r>
      <w:r w:rsidRPr="006C2B88">
        <w:rPr>
          <w:rFonts w:eastAsia="Times New Roman"/>
          <w:b/>
          <w:bCs/>
          <w:spacing w:val="-1"/>
          <w:szCs w:val="20"/>
        </w:rPr>
        <w:t>Ex</w:t>
      </w:r>
      <w:r w:rsidRPr="006C2B88">
        <w:rPr>
          <w:rFonts w:eastAsia="Times New Roman"/>
          <w:b/>
          <w:bCs/>
          <w:szCs w:val="20"/>
        </w:rPr>
        <w:t>p</w:t>
      </w:r>
      <w:r w:rsidRPr="006C2B88">
        <w:rPr>
          <w:rFonts w:eastAsia="Times New Roman"/>
          <w:b/>
          <w:bCs/>
          <w:spacing w:val="1"/>
          <w:szCs w:val="20"/>
        </w:rPr>
        <w:t>o</w:t>
      </w:r>
      <w:r w:rsidRPr="006C2B88">
        <w:rPr>
          <w:rFonts w:eastAsia="Times New Roman"/>
          <w:b/>
          <w:bCs/>
          <w:szCs w:val="20"/>
        </w:rPr>
        <w:t>rt</w:t>
      </w:r>
      <w:r w:rsidRPr="006C2B88">
        <w:rPr>
          <w:rFonts w:eastAsia="Times New Roman"/>
          <w:b/>
          <w:bCs/>
          <w:spacing w:val="-5"/>
          <w:szCs w:val="20"/>
        </w:rPr>
        <w:t xml:space="preserve"> </w:t>
      </w:r>
      <w:r w:rsidRPr="006C2B88">
        <w:rPr>
          <w:rFonts w:eastAsia="Times New Roman"/>
          <w:b/>
          <w:bCs/>
          <w:szCs w:val="20"/>
        </w:rPr>
        <w:t>N</w:t>
      </w:r>
      <w:r w:rsidRPr="006C2B88">
        <w:rPr>
          <w:rFonts w:eastAsia="Times New Roman"/>
          <w:b/>
          <w:bCs/>
          <w:spacing w:val="1"/>
          <w:szCs w:val="20"/>
        </w:rPr>
        <w:t>ot</w:t>
      </w:r>
      <w:r w:rsidRPr="006C2B88">
        <w:rPr>
          <w:rFonts w:eastAsia="Times New Roman"/>
          <w:b/>
          <w:bCs/>
          <w:szCs w:val="20"/>
        </w:rPr>
        <w:t>i</w:t>
      </w:r>
      <w:r w:rsidRPr="006C2B88">
        <w:rPr>
          <w:rFonts w:eastAsia="Times New Roman"/>
          <w:b/>
          <w:bCs/>
          <w:spacing w:val="1"/>
          <w:szCs w:val="20"/>
        </w:rPr>
        <w:t>f</w:t>
      </w:r>
      <w:r w:rsidRPr="006C2B88">
        <w:rPr>
          <w:rFonts w:eastAsia="Times New Roman"/>
          <w:b/>
          <w:bCs/>
          <w:szCs w:val="20"/>
        </w:rPr>
        <w:t>ic</w:t>
      </w:r>
      <w:r w:rsidRPr="006C2B88">
        <w:rPr>
          <w:rFonts w:eastAsia="Times New Roman"/>
          <w:b/>
          <w:bCs/>
          <w:spacing w:val="1"/>
          <w:szCs w:val="20"/>
        </w:rPr>
        <w:t>at</w:t>
      </w:r>
      <w:r w:rsidRPr="006C2B88">
        <w:rPr>
          <w:rFonts w:eastAsia="Times New Roman"/>
          <w:b/>
          <w:bCs/>
          <w:szCs w:val="20"/>
        </w:rPr>
        <w:t>i</w:t>
      </w:r>
      <w:r w:rsidRPr="006C2B88">
        <w:rPr>
          <w:rFonts w:eastAsia="Times New Roman"/>
          <w:b/>
          <w:bCs/>
          <w:spacing w:val="1"/>
          <w:szCs w:val="20"/>
        </w:rPr>
        <w:t>o</w:t>
      </w:r>
      <w:r w:rsidRPr="006C2B88">
        <w:rPr>
          <w:rFonts w:eastAsia="Times New Roman"/>
          <w:b/>
          <w:bCs/>
          <w:szCs w:val="20"/>
        </w:rPr>
        <w:t>n:</w:t>
      </w:r>
      <w:r w:rsidR="001E7A76" w:rsidRPr="006C2B88">
        <w:rPr>
          <w:rFonts w:eastAsia="Times New Roman"/>
          <w:bCs/>
          <w:szCs w:val="20"/>
        </w:rPr>
        <w:t xml:space="preserve">  Not listed.</w:t>
      </w:r>
    </w:p>
    <w:p w14:paraId="0B827F67" w14:textId="77777777" w:rsidR="00560F25" w:rsidRDefault="003D5857" w:rsidP="003C401E">
      <w:pPr>
        <w:widowControl/>
        <w:spacing w:before="60" w:after="120"/>
      </w:pPr>
      <w:r>
        <w:rPr>
          <w:rFonts w:eastAsia="Times New Roman"/>
          <w:b/>
          <w:bCs/>
          <w:szCs w:val="20"/>
        </w:rPr>
        <w:t>C</w:t>
      </w:r>
      <w:r w:rsidR="00F64644">
        <w:rPr>
          <w:rFonts w:eastAsia="Times New Roman"/>
          <w:b/>
          <w:bCs/>
          <w:szCs w:val="20"/>
        </w:rPr>
        <w:t>anadian Regulations</w:t>
      </w:r>
      <w:r w:rsidR="0095497C">
        <w:rPr>
          <w:rFonts w:eastAsia="Times New Roman"/>
          <w:b/>
          <w:bCs/>
          <w:szCs w:val="20"/>
        </w:rPr>
        <w:t>:</w:t>
      </w:r>
      <w:r w:rsidR="0095497C" w:rsidRPr="008A57C6">
        <w:rPr>
          <w:rFonts w:eastAsia="Times New Roman"/>
          <w:bCs/>
          <w:szCs w:val="20"/>
        </w:rPr>
        <w:t xml:space="preserve">  </w:t>
      </w:r>
      <w:r>
        <w:rPr>
          <w:rFonts w:eastAsia="Times New Roman"/>
          <w:spacing w:val="2"/>
          <w:szCs w:val="20"/>
        </w:rPr>
        <w:t>W</w:t>
      </w:r>
      <w:r>
        <w:rPr>
          <w:rFonts w:eastAsia="Times New Roman"/>
          <w:szCs w:val="20"/>
        </w:rPr>
        <w:t>H</w:t>
      </w:r>
      <w:r>
        <w:rPr>
          <w:rFonts w:eastAsia="Times New Roman"/>
          <w:spacing w:val="1"/>
          <w:szCs w:val="20"/>
        </w:rPr>
        <w:t>MI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 w:rsidR="00761A94">
        <w:rPr>
          <w:rFonts w:eastAsia="Times New Roman"/>
          <w:szCs w:val="20"/>
        </w:rPr>
        <w:t xml:space="preserve"> is 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7534E" w14:paraId="421F85B6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285E3B8E" w14:textId="77777777" w:rsidR="0067534E" w:rsidRDefault="0067534E" w:rsidP="006B75AB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4E5969C3" w14:textId="0EEE3A45" w:rsidR="00622AE4" w:rsidRPr="00C14BD3" w:rsidRDefault="00622AE4" w:rsidP="003939D6">
      <w:pPr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3939D6">
        <w:rPr>
          <w:rFonts w:eastAsia="Times New Roman"/>
          <w:bCs/>
          <w:szCs w:val="20"/>
        </w:rPr>
        <w:tab/>
      </w:r>
      <w:r w:rsidR="005401CD">
        <w:rPr>
          <w:rFonts w:eastAsia="Times New Roman"/>
          <w:bCs/>
          <w:szCs w:val="20"/>
        </w:rPr>
        <w:t>30 </w:t>
      </w:r>
      <w:r w:rsidR="007E3259">
        <w:rPr>
          <w:rFonts w:eastAsia="Times New Roman"/>
          <w:bCs/>
          <w:szCs w:val="20"/>
        </w:rPr>
        <w:t>April 2015</w:t>
      </w:r>
    </w:p>
    <w:p w14:paraId="573B4517" w14:textId="200537B0" w:rsidR="00D93104" w:rsidRDefault="00622AE4" w:rsidP="00FC747B">
      <w:pPr>
        <w:widowControl/>
        <w:tabs>
          <w:tab w:val="left" w:pos="1080"/>
        </w:tabs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3939D6">
        <w:rPr>
          <w:rFonts w:eastAsia="Times New Roman"/>
          <w:bCs/>
          <w:spacing w:val="1"/>
          <w:position w:val="-1"/>
          <w:szCs w:val="20"/>
        </w:rPr>
        <w:tab/>
      </w:r>
      <w:r w:rsidR="003939D6">
        <w:rPr>
          <w:rFonts w:eastAsia="Times New Roman"/>
          <w:spacing w:val="-1"/>
          <w:szCs w:val="20"/>
        </w:rPr>
        <w:t>Ch</w:t>
      </w:r>
      <w:r w:rsidR="003939D6">
        <w:rPr>
          <w:rFonts w:eastAsia="Times New Roman"/>
          <w:szCs w:val="20"/>
        </w:rPr>
        <w:t>e</w:t>
      </w:r>
      <w:r w:rsidR="003939D6">
        <w:rPr>
          <w:rFonts w:eastAsia="Times New Roman"/>
          <w:spacing w:val="-4"/>
          <w:szCs w:val="20"/>
        </w:rPr>
        <w:t>m</w:t>
      </w:r>
      <w:r w:rsidR="003939D6">
        <w:rPr>
          <w:rFonts w:eastAsia="Times New Roman"/>
          <w:spacing w:val="-2"/>
          <w:szCs w:val="20"/>
        </w:rPr>
        <w:t>A</w:t>
      </w:r>
      <w:r w:rsidR="003939D6">
        <w:rPr>
          <w:rFonts w:eastAsia="Times New Roman"/>
          <w:szCs w:val="20"/>
        </w:rPr>
        <w:t>DV</w:t>
      </w:r>
      <w:r w:rsidR="003939D6">
        <w:rPr>
          <w:rFonts w:eastAsia="Times New Roman"/>
          <w:spacing w:val="1"/>
          <w:szCs w:val="20"/>
        </w:rPr>
        <w:t>I</w:t>
      </w:r>
      <w:r w:rsidR="003939D6">
        <w:rPr>
          <w:rFonts w:eastAsia="Times New Roman"/>
          <w:szCs w:val="20"/>
        </w:rPr>
        <w:t>SO</w:t>
      </w:r>
      <w:r w:rsidR="003939D6">
        <w:rPr>
          <w:rFonts w:eastAsia="Times New Roman"/>
          <w:spacing w:val="-1"/>
          <w:szCs w:val="20"/>
        </w:rPr>
        <w:t>R</w:t>
      </w:r>
      <w:r w:rsidR="003939D6">
        <w:rPr>
          <w:rFonts w:eastAsia="Times New Roman"/>
          <w:szCs w:val="20"/>
        </w:rPr>
        <w:t>,</w:t>
      </w:r>
      <w:r w:rsidR="003939D6">
        <w:rPr>
          <w:rFonts w:eastAsia="Times New Roman"/>
          <w:spacing w:val="-13"/>
          <w:szCs w:val="20"/>
        </w:rPr>
        <w:t xml:space="preserve"> </w:t>
      </w:r>
      <w:r w:rsidR="003939D6">
        <w:rPr>
          <w:rFonts w:eastAsia="Times New Roman"/>
          <w:spacing w:val="1"/>
          <w:szCs w:val="20"/>
        </w:rPr>
        <w:t>I</w:t>
      </w:r>
      <w:r w:rsidR="003939D6">
        <w:rPr>
          <w:rFonts w:eastAsia="Times New Roman"/>
          <w:spacing w:val="-1"/>
          <w:szCs w:val="20"/>
        </w:rPr>
        <w:t>n</w:t>
      </w:r>
      <w:r w:rsidR="003939D6">
        <w:rPr>
          <w:rFonts w:eastAsia="Times New Roman"/>
          <w:szCs w:val="20"/>
        </w:rPr>
        <w:t>c</w:t>
      </w:r>
      <w:r w:rsidR="003939D6">
        <w:rPr>
          <w:rFonts w:eastAsia="Times New Roman"/>
          <w:spacing w:val="1"/>
          <w:szCs w:val="20"/>
        </w:rPr>
        <w:t>.</w:t>
      </w:r>
      <w:r w:rsidR="003939D6">
        <w:rPr>
          <w:rFonts w:eastAsia="Times New Roman"/>
          <w:szCs w:val="20"/>
        </w:rPr>
        <w:t>,</w:t>
      </w:r>
      <w:r w:rsidR="003939D6">
        <w:rPr>
          <w:rFonts w:eastAsia="Times New Roman"/>
          <w:spacing w:val="-3"/>
          <w:szCs w:val="20"/>
        </w:rPr>
        <w:t xml:space="preserve"> </w:t>
      </w:r>
      <w:r w:rsidR="003939D6">
        <w:rPr>
          <w:rFonts w:eastAsia="Times New Roman"/>
          <w:szCs w:val="20"/>
        </w:rPr>
        <w:t>SDS</w:t>
      </w:r>
      <w:r w:rsidR="003939D6">
        <w:rPr>
          <w:rFonts w:eastAsia="Times New Roman"/>
          <w:spacing w:val="-5"/>
          <w:szCs w:val="20"/>
        </w:rPr>
        <w:t xml:space="preserve"> </w:t>
      </w:r>
      <w:r w:rsidR="003939D6">
        <w:rPr>
          <w:rFonts w:eastAsia="Times New Roman"/>
          <w:szCs w:val="20"/>
        </w:rPr>
        <w:t>,</w:t>
      </w:r>
      <w:r w:rsidR="003939D6">
        <w:rPr>
          <w:rFonts w:eastAsia="Times New Roman"/>
          <w:spacing w:val="-4"/>
          <w:szCs w:val="20"/>
        </w:rPr>
        <w:t xml:space="preserve"> </w:t>
      </w:r>
      <w:r w:rsidR="007E3259" w:rsidRPr="00FC747B">
        <w:rPr>
          <w:i/>
        </w:rPr>
        <w:t>2,6,10,14-</w:t>
      </w:r>
      <w:r w:rsidR="00C648F3">
        <w:rPr>
          <w:i/>
        </w:rPr>
        <w:t>T</w:t>
      </w:r>
      <w:r w:rsidR="007E3259" w:rsidRPr="00FC747B">
        <w:rPr>
          <w:i/>
        </w:rPr>
        <w:t>etramethylpentadecane</w:t>
      </w:r>
      <w:r w:rsidR="00FC747B">
        <w:t xml:space="preserve">, </w:t>
      </w:r>
      <w:r w:rsidR="00FC747B">
        <w:rPr>
          <w:rFonts w:eastAsia="Times New Roman"/>
          <w:szCs w:val="20"/>
        </w:rPr>
        <w:t>15</w:t>
      </w:r>
      <w:r w:rsidR="00FC747B">
        <w:rPr>
          <w:rFonts w:eastAsia="Times New Roman"/>
          <w:spacing w:val="1"/>
          <w:szCs w:val="20"/>
        </w:rPr>
        <w:t> </w:t>
      </w:r>
      <w:r w:rsidR="003939D6">
        <w:rPr>
          <w:rFonts w:eastAsia="Times New Roman"/>
          <w:spacing w:val="1"/>
          <w:szCs w:val="20"/>
        </w:rPr>
        <w:t>December </w:t>
      </w:r>
      <w:r w:rsidR="00FC747B">
        <w:rPr>
          <w:rFonts w:eastAsia="Times New Roman"/>
          <w:spacing w:val="1"/>
          <w:szCs w:val="20"/>
        </w:rPr>
        <w:t>2014</w:t>
      </w:r>
      <w:r w:rsidR="003939D6">
        <w:rPr>
          <w:rFonts w:eastAsia="Times New Roman"/>
          <w:szCs w:val="20"/>
        </w:rPr>
        <w:t>.</w:t>
      </w:r>
    </w:p>
    <w:p w14:paraId="21E405F9" w14:textId="118DEAE5" w:rsidR="00102991" w:rsidRPr="00102991" w:rsidRDefault="00102991" w:rsidP="00FC747B">
      <w:pPr>
        <w:widowControl/>
        <w:tabs>
          <w:tab w:val="left" w:pos="1080"/>
        </w:tabs>
        <w:spacing w:before="120"/>
        <w:rPr>
          <w:b/>
          <w:szCs w:val="20"/>
        </w:rPr>
      </w:pPr>
      <w:r>
        <w:rPr>
          <w:rFonts w:eastAsia="Times New Roman"/>
          <w:szCs w:val="20"/>
        </w:rPr>
        <w:tab/>
        <w:t>Vendor SDS, Sigma</w:t>
      </w:r>
      <w:r w:rsidR="004B5F80">
        <w:rPr>
          <w:rFonts w:eastAsia="Times New Roman"/>
          <w:szCs w:val="20"/>
        </w:rPr>
        <w:t>-</w:t>
      </w:r>
      <w:r>
        <w:rPr>
          <w:rFonts w:eastAsia="Times New Roman"/>
          <w:szCs w:val="20"/>
        </w:rPr>
        <w:t>Aldrich Safety Data Sheet,</w:t>
      </w:r>
      <w:r>
        <w:rPr>
          <w:rFonts w:eastAsia="Times New Roman"/>
          <w:i/>
          <w:szCs w:val="20"/>
        </w:rPr>
        <w:t xml:space="preserve"> Pristane</w:t>
      </w:r>
      <w:r>
        <w:rPr>
          <w:rFonts w:eastAsia="Times New Roman"/>
          <w:szCs w:val="20"/>
        </w:rPr>
        <w:t xml:space="preserve">, </w:t>
      </w:r>
      <w:r w:rsidR="004B5F80">
        <w:rPr>
          <w:rFonts w:eastAsia="Times New Roman"/>
          <w:szCs w:val="20"/>
        </w:rPr>
        <w:t>Revision Date 09 July 2014.</w:t>
      </w:r>
    </w:p>
    <w:p w14:paraId="17D668BC" w14:textId="574F8098" w:rsidR="007E3259" w:rsidRPr="0093270C" w:rsidRDefault="007E3259" w:rsidP="007E3259">
      <w:pPr>
        <w:widowControl/>
        <w:tabs>
          <w:tab w:val="left" w:pos="1080"/>
        </w:tabs>
        <w:spacing w:before="120" w:after="120"/>
        <w:ind w:left="1080" w:hanging="1080"/>
        <w:rPr>
          <w:szCs w:val="20"/>
        </w:rPr>
      </w:pPr>
      <w:r>
        <w:rPr>
          <w:b/>
          <w:szCs w:val="20"/>
        </w:rPr>
        <w:tab/>
      </w:r>
    </w:p>
    <w:p w14:paraId="177CC4EC" w14:textId="77777777" w:rsidR="00FA192B" w:rsidRPr="00FC747B" w:rsidRDefault="00FA192B">
      <w:pPr>
        <w:widowControl/>
        <w:jc w:val="left"/>
        <w:rPr>
          <w:szCs w:val="20"/>
        </w:rPr>
      </w:pPr>
    </w:p>
    <w:p w14:paraId="289B564C" w14:textId="77777777" w:rsidR="007E3259" w:rsidRPr="00FC747B" w:rsidRDefault="007E3259">
      <w:pPr>
        <w:widowControl/>
        <w:jc w:val="left"/>
        <w:rPr>
          <w:szCs w:val="20"/>
        </w:rPr>
      </w:pPr>
    </w:p>
    <w:p w14:paraId="6A4A5CCD" w14:textId="77777777" w:rsidR="0095497C" w:rsidRDefault="00EC2C72" w:rsidP="006B75AB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66C4ADAE" w14:textId="77777777" w:rsidTr="00487D90">
        <w:trPr>
          <w:trHeight w:val="197"/>
        </w:trPr>
        <w:tc>
          <w:tcPr>
            <w:tcW w:w="1024" w:type="dxa"/>
          </w:tcPr>
          <w:p w14:paraId="41D71158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72C133E2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78F059E9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7B646BE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4C17E58E" w14:textId="77777777" w:rsidTr="00487D90">
        <w:trPr>
          <w:trHeight w:val="144"/>
        </w:trPr>
        <w:tc>
          <w:tcPr>
            <w:tcW w:w="1024" w:type="dxa"/>
          </w:tcPr>
          <w:p w14:paraId="2247D111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82C3F62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4887403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1D74FA9" w14:textId="77777777" w:rsidR="0095497C" w:rsidRPr="006545B0" w:rsidRDefault="0095497C" w:rsidP="00487D90">
            <w:pPr>
              <w:widowControl/>
              <w:ind w:right="-86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1472AE9" w14:textId="77777777" w:rsidTr="00487D90">
        <w:trPr>
          <w:trHeight w:val="144"/>
        </w:trPr>
        <w:tc>
          <w:tcPr>
            <w:tcW w:w="1024" w:type="dxa"/>
          </w:tcPr>
          <w:p w14:paraId="4BCE4649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36B4638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71BB2C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7263EE1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Permissible Exposure </w:t>
            </w:r>
            <w:r w:rsidR="00E85B4F">
              <w:rPr>
                <w:sz w:val="16"/>
                <w:szCs w:val="16"/>
              </w:rPr>
              <w:t>Limit</w:t>
            </w:r>
          </w:p>
        </w:tc>
      </w:tr>
      <w:tr w:rsidR="0095497C" w:rsidRPr="006545B0" w14:paraId="29C5C9B7" w14:textId="77777777" w:rsidTr="00487D90">
        <w:trPr>
          <w:trHeight w:val="144"/>
        </w:trPr>
        <w:tc>
          <w:tcPr>
            <w:tcW w:w="1024" w:type="dxa"/>
          </w:tcPr>
          <w:p w14:paraId="7245F925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173EBBE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7278FB2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3C077EF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C6EF49" w14:textId="77777777" w:rsidTr="00487D90">
        <w:trPr>
          <w:trHeight w:val="144"/>
        </w:trPr>
        <w:tc>
          <w:tcPr>
            <w:tcW w:w="1024" w:type="dxa"/>
          </w:tcPr>
          <w:p w14:paraId="23D84CAC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C021822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764AC4A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C3267DA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B34962B" w14:textId="77777777" w:rsidTr="00487D90">
        <w:trPr>
          <w:trHeight w:val="144"/>
        </w:trPr>
        <w:tc>
          <w:tcPr>
            <w:tcW w:w="1024" w:type="dxa"/>
          </w:tcPr>
          <w:p w14:paraId="7ED69C3B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0A34860A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C06D1D3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CAC5B3A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DC0E647" w14:textId="77777777" w:rsidTr="00487D90">
        <w:trPr>
          <w:trHeight w:val="144"/>
        </w:trPr>
        <w:tc>
          <w:tcPr>
            <w:tcW w:w="1024" w:type="dxa"/>
          </w:tcPr>
          <w:p w14:paraId="7B7197C8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FD8BB48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8959B16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2E6B8458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77AEE104" w14:textId="77777777" w:rsidTr="00487D90">
        <w:trPr>
          <w:trHeight w:val="144"/>
        </w:trPr>
        <w:tc>
          <w:tcPr>
            <w:tcW w:w="1024" w:type="dxa"/>
          </w:tcPr>
          <w:p w14:paraId="1C4F287B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3D0C5BC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B3E88FA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919A3D4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BF00604" w14:textId="77777777" w:rsidTr="00487D90">
        <w:trPr>
          <w:trHeight w:val="144"/>
        </w:trPr>
        <w:tc>
          <w:tcPr>
            <w:tcW w:w="1024" w:type="dxa"/>
          </w:tcPr>
          <w:p w14:paraId="0AFB50F7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665DC69B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6990EF6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8DFC75D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89F965F" w14:textId="77777777" w:rsidTr="00487D90">
        <w:trPr>
          <w:trHeight w:val="144"/>
        </w:trPr>
        <w:tc>
          <w:tcPr>
            <w:tcW w:w="1024" w:type="dxa"/>
          </w:tcPr>
          <w:p w14:paraId="32238904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184C35D2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EB98B30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F1D785E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C07F69" w14:textId="77777777" w:rsidTr="00487D90">
        <w:trPr>
          <w:trHeight w:val="144"/>
        </w:trPr>
        <w:tc>
          <w:tcPr>
            <w:tcW w:w="1024" w:type="dxa"/>
          </w:tcPr>
          <w:p w14:paraId="7D58ADD3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4E116665" w14:textId="77777777" w:rsidR="0095497C" w:rsidRPr="006545B0" w:rsidRDefault="0095497C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C921C84" w14:textId="77777777" w:rsidR="0095497C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STOT</w:t>
            </w:r>
          </w:p>
        </w:tc>
        <w:tc>
          <w:tcPr>
            <w:tcW w:w="3600" w:type="dxa"/>
          </w:tcPr>
          <w:p w14:paraId="5C5CB60A" w14:textId="77777777" w:rsidR="0095497C" w:rsidRPr="006545B0" w:rsidRDefault="008F24DE" w:rsidP="0052237E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 Target Organ Toxicity</w:t>
            </w:r>
          </w:p>
        </w:tc>
      </w:tr>
      <w:tr w:rsidR="008F24DE" w:rsidRPr="006545B0" w14:paraId="5DDD201B" w14:textId="77777777" w:rsidTr="00487D90">
        <w:trPr>
          <w:trHeight w:val="144"/>
        </w:trPr>
        <w:tc>
          <w:tcPr>
            <w:tcW w:w="1024" w:type="dxa"/>
          </w:tcPr>
          <w:p w14:paraId="52E4E0EB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3195884A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509A4E75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AC0B499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</w:t>
            </w:r>
            <w:r>
              <w:rPr>
                <w:sz w:val="16"/>
                <w:szCs w:val="16"/>
              </w:rPr>
              <w:t xml:space="preserve">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6A17011D" w14:textId="77777777" w:rsidTr="00487D90">
        <w:trPr>
          <w:trHeight w:val="144"/>
        </w:trPr>
        <w:tc>
          <w:tcPr>
            <w:tcW w:w="1024" w:type="dxa"/>
          </w:tcPr>
          <w:p w14:paraId="07259370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795EB2E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D6C2617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8FE2D27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29681E35" w14:textId="77777777" w:rsidTr="00487D90">
        <w:trPr>
          <w:trHeight w:val="144"/>
        </w:trPr>
        <w:tc>
          <w:tcPr>
            <w:tcW w:w="1024" w:type="dxa"/>
          </w:tcPr>
          <w:p w14:paraId="0F92AE79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93C11E1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086A7DF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8E30CA0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003FCFDA" w14:textId="77777777" w:rsidTr="00487D90">
        <w:trPr>
          <w:trHeight w:val="144"/>
        </w:trPr>
        <w:tc>
          <w:tcPr>
            <w:tcW w:w="1024" w:type="dxa"/>
          </w:tcPr>
          <w:p w14:paraId="1A5BA70E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92488B8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99DE35F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92875E6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33DA3070" w14:textId="77777777" w:rsidTr="00487D90">
        <w:trPr>
          <w:trHeight w:val="144"/>
        </w:trPr>
        <w:tc>
          <w:tcPr>
            <w:tcW w:w="1024" w:type="dxa"/>
          </w:tcPr>
          <w:p w14:paraId="2B1582C3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3463EE4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8E7A710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A0102EE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379AB48B" w14:textId="77777777" w:rsidTr="00487D90">
        <w:trPr>
          <w:trHeight w:val="144"/>
        </w:trPr>
        <w:tc>
          <w:tcPr>
            <w:tcW w:w="1024" w:type="dxa"/>
          </w:tcPr>
          <w:p w14:paraId="54811992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77BECA8E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6D6DA597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22768360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8F24DE" w:rsidRPr="006545B0" w14:paraId="4261A058" w14:textId="77777777" w:rsidTr="00487D90">
        <w:trPr>
          <w:trHeight w:val="144"/>
        </w:trPr>
        <w:tc>
          <w:tcPr>
            <w:tcW w:w="1024" w:type="dxa"/>
          </w:tcPr>
          <w:p w14:paraId="450D1AF4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22CFD00B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196D01D4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05EBCE9A" w14:textId="77777777" w:rsidR="008F24DE" w:rsidRPr="006545B0" w:rsidRDefault="008F24DE" w:rsidP="00487D90">
            <w:pPr>
              <w:widowControl/>
              <w:ind w:right="-90"/>
              <w:contextualSpacing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365124DD" w14:textId="77777777" w:rsidR="00FA192B" w:rsidRDefault="00FA192B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62000468" w14:textId="77777777" w:rsidR="00FC747B" w:rsidRDefault="00FC747B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35B5E69E" w14:textId="77777777" w:rsidR="00C648F3" w:rsidRDefault="00C648F3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1E5D1743" w14:textId="77777777" w:rsidR="00C648F3" w:rsidRDefault="00C648F3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646078F3" w14:textId="77777777" w:rsidR="00FC747B" w:rsidRDefault="00FC747B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236B10DB" w14:textId="77777777" w:rsidR="005342B8" w:rsidRDefault="005342B8" w:rsidP="006B75AB">
      <w:pPr>
        <w:widowControl/>
        <w:spacing w:before="120"/>
        <w:rPr>
          <w:rFonts w:eastAsia="Times New Roman"/>
          <w:b/>
          <w:bCs/>
          <w:szCs w:val="20"/>
        </w:rPr>
      </w:pPr>
    </w:p>
    <w:p w14:paraId="640CEF5F" w14:textId="77777777" w:rsidR="00537670" w:rsidRPr="00D93104" w:rsidRDefault="00BF5DD9" w:rsidP="006B75AB">
      <w:pPr>
        <w:widowControl/>
        <w:spacing w:before="120"/>
        <w:rPr>
          <w:rFonts w:eastAsia="Times New Roman"/>
          <w:szCs w:val="20"/>
        </w:rPr>
      </w:pPr>
      <w:r w:rsidRPr="00D93104">
        <w:rPr>
          <w:rFonts w:eastAsia="Times New Roman"/>
          <w:b/>
          <w:bCs/>
          <w:szCs w:val="20"/>
        </w:rPr>
        <w:t>Di</w:t>
      </w:r>
      <w:r w:rsidRPr="00D93104">
        <w:rPr>
          <w:rFonts w:eastAsia="Times New Roman"/>
          <w:b/>
          <w:bCs/>
          <w:spacing w:val="-1"/>
          <w:szCs w:val="20"/>
        </w:rPr>
        <w:t>s</w:t>
      </w:r>
      <w:r w:rsidRPr="00D93104">
        <w:rPr>
          <w:rFonts w:eastAsia="Times New Roman"/>
          <w:b/>
          <w:bCs/>
          <w:szCs w:val="20"/>
        </w:rPr>
        <w:t>cl</w:t>
      </w:r>
      <w:r w:rsidRPr="00D93104">
        <w:rPr>
          <w:rFonts w:eastAsia="Times New Roman"/>
          <w:b/>
          <w:bCs/>
          <w:spacing w:val="1"/>
          <w:szCs w:val="20"/>
        </w:rPr>
        <w:t>a</w:t>
      </w:r>
      <w:r w:rsidRPr="00D93104">
        <w:rPr>
          <w:rFonts w:eastAsia="Times New Roman"/>
          <w:b/>
          <w:bCs/>
          <w:szCs w:val="20"/>
        </w:rPr>
        <w:t>i</w:t>
      </w:r>
      <w:r w:rsidRPr="00D93104">
        <w:rPr>
          <w:rFonts w:eastAsia="Times New Roman"/>
          <w:b/>
          <w:bCs/>
          <w:spacing w:val="-5"/>
          <w:szCs w:val="20"/>
        </w:rPr>
        <w:t>m</w:t>
      </w:r>
      <w:r w:rsidRPr="00D93104">
        <w:rPr>
          <w:rFonts w:eastAsia="Times New Roman"/>
          <w:b/>
          <w:bCs/>
          <w:szCs w:val="20"/>
        </w:rPr>
        <w:t>er:</w:t>
      </w:r>
      <w:r w:rsidRPr="00D93104">
        <w:rPr>
          <w:rFonts w:eastAsia="Times New Roman"/>
          <w:bCs/>
          <w:szCs w:val="20"/>
        </w:rPr>
        <w:t xml:space="preserve"> </w:t>
      </w:r>
      <w:r w:rsidRPr="00D93104">
        <w:rPr>
          <w:rFonts w:eastAsia="Times New Roman"/>
          <w:bCs/>
          <w:spacing w:val="40"/>
          <w:szCs w:val="20"/>
        </w:rPr>
        <w:t xml:space="preserve"> </w:t>
      </w:r>
      <w:r w:rsidRPr="00D93104">
        <w:rPr>
          <w:rFonts w:eastAsia="Times New Roman"/>
          <w:spacing w:val="2"/>
          <w:szCs w:val="20"/>
        </w:rPr>
        <w:t>P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pacing w:val="-4"/>
          <w:szCs w:val="20"/>
        </w:rPr>
        <w:t>y</w:t>
      </w:r>
      <w:r w:rsidRPr="00D93104">
        <w:rPr>
          <w:rFonts w:eastAsia="Times New Roman"/>
          <w:spacing w:val="-1"/>
          <w:szCs w:val="20"/>
        </w:rPr>
        <w:t>s</w:t>
      </w:r>
      <w:r w:rsidRPr="00D93104">
        <w:rPr>
          <w:rFonts w:eastAsia="Times New Roman"/>
          <w:szCs w:val="20"/>
        </w:rPr>
        <w:t>ical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d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ical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ata</w:t>
      </w:r>
      <w:r w:rsidRPr="00D93104">
        <w:rPr>
          <w:rFonts w:eastAsia="Times New Roman"/>
          <w:spacing w:val="46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tai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42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is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SDS</w:t>
      </w:r>
      <w:r w:rsidRPr="00D93104">
        <w:rPr>
          <w:rFonts w:eastAsia="Times New Roman"/>
          <w:spacing w:val="43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pro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43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ly</w:t>
      </w:r>
      <w:r w:rsidRPr="00D93104">
        <w:rPr>
          <w:rFonts w:eastAsia="Times New Roman"/>
          <w:spacing w:val="41"/>
          <w:szCs w:val="20"/>
        </w:rPr>
        <w:t xml:space="preserve"> 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r</w:t>
      </w:r>
      <w:r w:rsidRPr="00D93104">
        <w:rPr>
          <w:rFonts w:eastAsia="Times New Roman"/>
          <w:spacing w:val="47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us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46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-1"/>
          <w:szCs w:val="20"/>
        </w:rPr>
        <w:t>ss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ss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g</w:t>
      </w:r>
      <w:r w:rsidRPr="00D93104">
        <w:rPr>
          <w:rFonts w:eastAsia="Times New Roman"/>
          <w:spacing w:val="40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he h</w:t>
      </w:r>
      <w:r w:rsidRPr="00D93104">
        <w:rPr>
          <w:rFonts w:eastAsia="Times New Roman"/>
          <w:szCs w:val="20"/>
        </w:rPr>
        <w:t>aza</w:t>
      </w:r>
      <w:r w:rsidRPr="00D93104">
        <w:rPr>
          <w:rFonts w:eastAsia="Times New Roman"/>
          <w:spacing w:val="1"/>
          <w:szCs w:val="20"/>
        </w:rPr>
        <w:t>rdo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s</w:t>
      </w:r>
      <w:r w:rsidRPr="00D93104">
        <w:rPr>
          <w:rFonts w:eastAsia="Times New Roman"/>
          <w:spacing w:val="-1"/>
          <w:szCs w:val="20"/>
        </w:rPr>
        <w:t xml:space="preserve"> n</w:t>
      </w:r>
      <w:r w:rsidRPr="00D93104">
        <w:rPr>
          <w:rFonts w:eastAsia="Times New Roman"/>
          <w:szCs w:val="20"/>
        </w:rPr>
        <w:t>at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3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f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6"/>
          <w:szCs w:val="20"/>
        </w:rPr>
        <w:t xml:space="preserve"> 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ate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 xml:space="preserve">ial. </w:t>
      </w:r>
      <w:r w:rsidRPr="00D93104">
        <w:rPr>
          <w:rFonts w:eastAsia="Times New Roman"/>
          <w:spacing w:val="9"/>
          <w:szCs w:val="20"/>
        </w:rPr>
        <w:t xml:space="preserve"> </w:t>
      </w:r>
      <w:r w:rsidRPr="00D93104">
        <w:rPr>
          <w:rFonts w:eastAsia="Times New Roman"/>
          <w:spacing w:val="3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5"/>
          <w:szCs w:val="20"/>
        </w:rPr>
        <w:t xml:space="preserve"> </w:t>
      </w:r>
      <w:r w:rsidRPr="00D93104">
        <w:rPr>
          <w:rFonts w:eastAsia="Times New Roman"/>
          <w:szCs w:val="20"/>
        </w:rPr>
        <w:t>SDS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pacing w:val="-5"/>
          <w:szCs w:val="20"/>
        </w:rPr>
        <w:t>w</w:t>
      </w:r>
      <w:r w:rsidRPr="00D93104">
        <w:rPr>
          <w:rFonts w:eastAsia="Times New Roman"/>
          <w:szCs w:val="20"/>
        </w:rPr>
        <w:t>as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pr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p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ed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zCs w:val="20"/>
        </w:rPr>
        <w:t>ca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ll</w:t>
      </w:r>
      <w:r w:rsidRPr="00D93104">
        <w:rPr>
          <w:rFonts w:eastAsia="Times New Roman"/>
          <w:spacing w:val="-4"/>
          <w:szCs w:val="20"/>
        </w:rPr>
        <w:t>y</w:t>
      </w:r>
      <w:r w:rsidRPr="00D93104">
        <w:rPr>
          <w:rFonts w:eastAsia="Times New Roman"/>
          <w:szCs w:val="20"/>
        </w:rPr>
        <w:t xml:space="preserve">, </w:t>
      </w:r>
      <w:r w:rsidRPr="00D93104">
        <w:rPr>
          <w:rFonts w:eastAsia="Times New Roman"/>
          <w:spacing w:val="-1"/>
          <w:szCs w:val="20"/>
        </w:rPr>
        <w:t>us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g</w:t>
      </w:r>
      <w:r w:rsidRPr="00D93104">
        <w:rPr>
          <w:rFonts w:eastAsia="Times New Roman"/>
          <w:spacing w:val="2"/>
          <w:szCs w:val="20"/>
        </w:rPr>
        <w:t xml:space="preserve"> </w:t>
      </w:r>
      <w:r w:rsidRPr="00D93104">
        <w:rPr>
          <w:rFonts w:eastAsia="Times New Roman"/>
          <w:szCs w:val="20"/>
        </w:rPr>
        <w:t>c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pacing w:val="1"/>
          <w:szCs w:val="20"/>
        </w:rPr>
        <w:t>rr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1"/>
          <w:szCs w:val="20"/>
        </w:rPr>
        <w:t xml:space="preserve"> 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zCs w:val="20"/>
        </w:rPr>
        <w:t>ce</w:t>
      </w:r>
      <w:r w:rsidRPr="00D93104">
        <w:rPr>
          <w:rFonts w:eastAsia="Times New Roman"/>
          <w:spacing w:val="-1"/>
          <w:szCs w:val="20"/>
        </w:rPr>
        <w:t>s</w:t>
      </w:r>
      <w:r w:rsidRPr="00D93104">
        <w:rPr>
          <w:rFonts w:eastAsia="Times New Roman"/>
          <w:szCs w:val="20"/>
        </w:rPr>
        <w:t>;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pacing w:val="-5"/>
          <w:szCs w:val="20"/>
        </w:rPr>
        <w:t>w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,</w:t>
      </w:r>
      <w:r w:rsidRPr="00D93104">
        <w:rPr>
          <w:rFonts w:eastAsia="Times New Roman"/>
          <w:spacing w:val="1"/>
          <w:szCs w:val="20"/>
        </w:rPr>
        <w:t xml:space="preserve"> </w:t>
      </w:r>
      <w:r w:rsidRPr="00D93104">
        <w:rPr>
          <w:rFonts w:eastAsia="Times New Roman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I</w:t>
      </w:r>
      <w:r w:rsidRPr="00D93104">
        <w:rPr>
          <w:rFonts w:eastAsia="Times New Roman"/>
          <w:szCs w:val="20"/>
        </w:rPr>
        <w:t>ST</w:t>
      </w:r>
      <w:r w:rsidRPr="00D93104">
        <w:rPr>
          <w:rFonts w:eastAsia="Times New Roman"/>
          <w:spacing w:val="4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do</w:t>
      </w:r>
      <w:r w:rsidRPr="00D93104">
        <w:rPr>
          <w:rFonts w:eastAsia="Times New Roman"/>
          <w:szCs w:val="20"/>
        </w:rPr>
        <w:t xml:space="preserve">es </w:t>
      </w:r>
      <w:r w:rsidRPr="00D93104">
        <w:rPr>
          <w:rFonts w:eastAsia="Times New Roman"/>
          <w:spacing w:val="-1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ce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ti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zCs w:val="20"/>
        </w:rPr>
        <w:t>y</w:t>
      </w:r>
      <w:r w:rsidRPr="00D93104">
        <w:rPr>
          <w:rFonts w:eastAsia="Times New Roman"/>
          <w:spacing w:val="-8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pacing w:val="1"/>
          <w:szCs w:val="20"/>
        </w:rPr>
        <w:t>d</w:t>
      </w:r>
      <w:r w:rsidRPr="00D93104">
        <w:rPr>
          <w:rFonts w:eastAsia="Times New Roman"/>
          <w:szCs w:val="20"/>
        </w:rPr>
        <w:t>ata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SDS.</w:t>
      </w:r>
      <w:r w:rsidR="00537670" w:rsidRPr="00D93104">
        <w:rPr>
          <w:rFonts w:eastAsia="Times New Roman"/>
          <w:spacing w:val="45"/>
          <w:szCs w:val="20"/>
        </w:rPr>
        <w:t xml:space="preserve"> </w:t>
      </w:r>
      <w:r w:rsidR="009721CD" w:rsidRPr="00D93104">
        <w:rPr>
          <w:rFonts w:eastAsia="Times New Roman"/>
          <w:spacing w:val="45"/>
          <w:szCs w:val="20"/>
        </w:rPr>
        <w:t xml:space="preserve"> </w:t>
      </w:r>
      <w:r w:rsidRPr="00D93104">
        <w:rPr>
          <w:rFonts w:eastAsia="Times New Roman"/>
          <w:spacing w:val="3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2"/>
          <w:szCs w:val="20"/>
        </w:rPr>
        <w:t xml:space="preserve"> 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al</w:t>
      </w:r>
      <w:r w:rsidRPr="00D93104">
        <w:rPr>
          <w:rFonts w:eastAsia="Times New Roman"/>
          <w:spacing w:val="-1"/>
          <w:szCs w:val="20"/>
        </w:rPr>
        <w:t>u</w:t>
      </w:r>
      <w:r w:rsidRPr="00D93104">
        <w:rPr>
          <w:rFonts w:eastAsia="Times New Roman"/>
          <w:szCs w:val="20"/>
        </w:rPr>
        <w:t>es</w:t>
      </w:r>
      <w:r w:rsidRPr="00D93104">
        <w:rPr>
          <w:rFonts w:eastAsia="Times New Roman"/>
          <w:spacing w:val="-5"/>
          <w:szCs w:val="20"/>
        </w:rPr>
        <w:t xml:space="preserve"> </w:t>
      </w:r>
      <w:r w:rsidRPr="00D93104">
        <w:rPr>
          <w:rFonts w:eastAsia="Times New Roman"/>
          <w:spacing w:val="-2"/>
          <w:szCs w:val="20"/>
        </w:rPr>
        <w:t>f</w:t>
      </w:r>
      <w:r w:rsidRPr="00D93104">
        <w:rPr>
          <w:rFonts w:eastAsia="Times New Roman"/>
          <w:spacing w:val="1"/>
          <w:szCs w:val="20"/>
        </w:rPr>
        <w:t>o</w:t>
      </w:r>
      <w:r w:rsidRPr="00D93104">
        <w:rPr>
          <w:rFonts w:eastAsia="Times New Roman"/>
          <w:szCs w:val="20"/>
        </w:rPr>
        <w:t>r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is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pacing w:val="-4"/>
          <w:szCs w:val="20"/>
        </w:rPr>
        <w:t>m</w:t>
      </w:r>
      <w:r w:rsidRPr="00D93104">
        <w:rPr>
          <w:rFonts w:eastAsia="Times New Roman"/>
          <w:szCs w:val="20"/>
        </w:rPr>
        <w:t>ate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ial</w:t>
      </w:r>
      <w:r w:rsidRPr="00D93104">
        <w:rPr>
          <w:rFonts w:eastAsia="Times New Roman"/>
          <w:spacing w:val="-7"/>
          <w:szCs w:val="20"/>
        </w:rPr>
        <w:t xml:space="preserve"> </w:t>
      </w:r>
      <w:r w:rsidRPr="00D93104">
        <w:rPr>
          <w:rFonts w:eastAsia="Times New Roman"/>
          <w:szCs w:val="20"/>
        </w:rPr>
        <w:t>a</w:t>
      </w:r>
      <w:r w:rsidRPr="00D93104">
        <w:rPr>
          <w:rFonts w:eastAsia="Times New Roman"/>
          <w:spacing w:val="1"/>
          <w:szCs w:val="20"/>
        </w:rPr>
        <w:t>r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g</w:t>
      </w:r>
      <w:r w:rsidRPr="00D93104">
        <w:rPr>
          <w:rFonts w:eastAsia="Times New Roman"/>
          <w:szCs w:val="20"/>
        </w:rPr>
        <w:t>i</w:t>
      </w:r>
      <w:r w:rsidRPr="00D93104">
        <w:rPr>
          <w:rFonts w:eastAsia="Times New Roman"/>
          <w:spacing w:val="-1"/>
          <w:szCs w:val="20"/>
        </w:rPr>
        <w:t>v</w:t>
      </w:r>
      <w:r w:rsidRPr="00D93104">
        <w:rPr>
          <w:rFonts w:eastAsia="Times New Roman"/>
          <w:szCs w:val="20"/>
        </w:rPr>
        <w:t>en</w:t>
      </w:r>
      <w:r w:rsidRPr="00D93104">
        <w:rPr>
          <w:rFonts w:eastAsia="Times New Roman"/>
          <w:spacing w:val="-5"/>
          <w:szCs w:val="20"/>
        </w:rPr>
        <w:t xml:space="preserve"> </w:t>
      </w:r>
      <w:r w:rsidRPr="00D93104">
        <w:rPr>
          <w:rFonts w:eastAsia="Times New Roman"/>
          <w:szCs w:val="20"/>
        </w:rPr>
        <w:t>in</w:t>
      </w:r>
      <w:r w:rsidRPr="00D93104">
        <w:rPr>
          <w:rFonts w:eastAsia="Times New Roman"/>
          <w:spacing w:val="-3"/>
          <w:szCs w:val="20"/>
        </w:rPr>
        <w:t xml:space="preserve"> </w:t>
      </w:r>
      <w:r w:rsidRPr="00D93104">
        <w:rPr>
          <w:rFonts w:eastAsia="Times New Roman"/>
          <w:szCs w:val="20"/>
        </w:rPr>
        <w:t>t</w:t>
      </w:r>
      <w:r w:rsidRPr="00D93104">
        <w:rPr>
          <w:rFonts w:eastAsia="Times New Roman"/>
          <w:spacing w:val="-1"/>
          <w:szCs w:val="20"/>
        </w:rPr>
        <w:t>h</w:t>
      </w:r>
      <w:r w:rsidRPr="00D93104">
        <w:rPr>
          <w:rFonts w:eastAsia="Times New Roman"/>
          <w:szCs w:val="20"/>
        </w:rPr>
        <w:t>e</w:t>
      </w:r>
      <w:r w:rsidRPr="00D93104">
        <w:rPr>
          <w:rFonts w:eastAsia="Times New Roman"/>
          <w:spacing w:val="-1"/>
          <w:szCs w:val="20"/>
        </w:rPr>
        <w:t xml:space="preserve"> </w:t>
      </w:r>
      <w:r w:rsidRPr="00D93104">
        <w:rPr>
          <w:rFonts w:eastAsia="Times New Roman"/>
          <w:szCs w:val="20"/>
        </w:rPr>
        <w:t>N</w:t>
      </w:r>
      <w:r w:rsidRPr="00D93104">
        <w:rPr>
          <w:rFonts w:eastAsia="Times New Roman"/>
          <w:spacing w:val="1"/>
          <w:szCs w:val="20"/>
        </w:rPr>
        <w:t>I</w:t>
      </w:r>
      <w:r w:rsidRPr="00D93104">
        <w:rPr>
          <w:rFonts w:eastAsia="Times New Roman"/>
          <w:szCs w:val="20"/>
        </w:rPr>
        <w:t>ST</w:t>
      </w:r>
      <w:r w:rsidRPr="00D93104">
        <w:rPr>
          <w:rFonts w:eastAsia="Times New Roman"/>
          <w:spacing w:val="-1"/>
          <w:szCs w:val="20"/>
        </w:rPr>
        <w:t xml:space="preserve"> </w:t>
      </w:r>
      <w:r w:rsidR="008C4669" w:rsidRPr="00D93104">
        <w:rPr>
          <w:rFonts w:eastAsia="Times New Roman"/>
          <w:spacing w:val="-1"/>
          <w:szCs w:val="20"/>
        </w:rPr>
        <w:t>Certificate of Analysis</w:t>
      </w:r>
      <w:r w:rsidRPr="00D93104">
        <w:rPr>
          <w:rFonts w:eastAsia="Times New Roman"/>
          <w:szCs w:val="20"/>
        </w:rPr>
        <w:t>.</w:t>
      </w:r>
    </w:p>
    <w:p w14:paraId="5F47FB55" w14:textId="77777777" w:rsidR="0076501C" w:rsidRPr="00E2089A" w:rsidRDefault="001E2F4C" w:rsidP="006B75AB">
      <w:pPr>
        <w:widowControl/>
        <w:spacing w:before="120"/>
        <w:rPr>
          <w:rFonts w:eastAsia="Times New Roman"/>
          <w:szCs w:val="20"/>
        </w:rPr>
      </w:pPr>
      <w:r w:rsidRPr="00D93104">
        <w:rPr>
          <w:iCs/>
          <w:szCs w:val="20"/>
        </w:rPr>
        <w:t xml:space="preserve">Users of this </w:t>
      </w:r>
      <w:r w:rsidR="008C4669" w:rsidRPr="00D93104">
        <w:rPr>
          <w:iCs/>
          <w:szCs w:val="20"/>
        </w:rPr>
        <w:t>S</w:t>
      </w:r>
      <w:r w:rsidR="001948EA" w:rsidRPr="00D93104">
        <w:rPr>
          <w:iCs/>
          <w:szCs w:val="20"/>
        </w:rPr>
        <w:t xml:space="preserve">RM should ensure that the SDS in their possession is current. </w:t>
      </w:r>
      <w:r w:rsidR="009721CD" w:rsidRPr="00D93104">
        <w:rPr>
          <w:iCs/>
          <w:szCs w:val="20"/>
        </w:rPr>
        <w:t xml:space="preserve"> </w:t>
      </w:r>
      <w:r w:rsidR="001948EA" w:rsidRPr="00D93104">
        <w:rPr>
          <w:iCs/>
          <w:szCs w:val="20"/>
        </w:rPr>
        <w:t>This can be accomplished by contacting the SRM Program: telephone (301) 975-2200; fax (301) 948-3730; e-mail srm</w:t>
      </w:r>
      <w:r w:rsidR="00A148AB" w:rsidRPr="00D93104">
        <w:rPr>
          <w:iCs/>
          <w:szCs w:val="20"/>
        </w:rPr>
        <w:t>msds</w:t>
      </w:r>
      <w:r w:rsidR="001948EA" w:rsidRPr="00D93104">
        <w:rPr>
          <w:iCs/>
          <w:szCs w:val="20"/>
        </w:rPr>
        <w:t>@nist.gov; or via the</w:t>
      </w:r>
      <w:r w:rsidR="001948EA" w:rsidRPr="001948EA">
        <w:rPr>
          <w:iCs/>
          <w:szCs w:val="20"/>
        </w:rPr>
        <w:t xml:space="preserve"> Internet at </w:t>
      </w:r>
      <w:hyperlink r:id="rId12" w:history="1">
        <w:r w:rsidR="0076501C" w:rsidRPr="004F5806">
          <w:rPr>
            <w:rStyle w:val="Hyperlink"/>
            <w:iCs/>
            <w:szCs w:val="20"/>
          </w:rPr>
          <w:t>http://www.nist.gov/srm</w:t>
        </w:r>
      </w:hyperlink>
      <w:r w:rsidR="001948EA" w:rsidRPr="00E2089A">
        <w:rPr>
          <w:iCs/>
          <w:szCs w:val="20"/>
        </w:rPr>
        <w:t>.</w:t>
      </w:r>
    </w:p>
    <w:sectPr w:rsidR="0076501C" w:rsidRPr="00E2089A" w:rsidSect="00371ED3">
      <w:footerReference w:type="default" r:id="rId13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3E123" w14:textId="77777777" w:rsidR="00123491" w:rsidRDefault="00123491" w:rsidP="00E24579">
      <w:r>
        <w:separator/>
      </w:r>
    </w:p>
  </w:endnote>
  <w:endnote w:type="continuationSeparator" w:id="0">
    <w:p w14:paraId="6A14FCDA" w14:textId="77777777" w:rsidR="00123491" w:rsidRDefault="00123491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D5F41" w14:textId="77777777" w:rsidR="00123491" w:rsidRPr="00371ED3" w:rsidRDefault="00123491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>
      <w:rPr>
        <w:szCs w:val="20"/>
      </w:rPr>
      <w:t xml:space="preserve"> </w:t>
    </w:r>
    <w:r w:rsidR="007E3259">
      <w:rPr>
        <w:szCs w:val="20"/>
      </w:rPr>
      <w:t>2490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6A3975">
      <w:rPr>
        <w:noProof/>
        <w:szCs w:val="20"/>
      </w:rPr>
      <w:t>2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r w:rsidR="006A3975">
      <w:fldChar w:fldCharType="begin"/>
    </w:r>
    <w:r w:rsidR="006A3975">
      <w:instrText xml:space="preserve"> SECTIONPAGES  \* Arabic  \* MERGEFORMAT </w:instrText>
    </w:r>
    <w:r w:rsidR="006A3975">
      <w:fldChar w:fldCharType="separate"/>
    </w:r>
    <w:r w:rsidR="006A3975" w:rsidRPr="006A3975">
      <w:rPr>
        <w:noProof/>
        <w:szCs w:val="20"/>
      </w:rPr>
      <w:t>5</w:t>
    </w:r>
    <w:r w:rsidR="006A3975">
      <w:rPr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667B9" w14:textId="77777777" w:rsidR="00123491" w:rsidRDefault="00123491" w:rsidP="00E24579">
      <w:r>
        <w:separator/>
      </w:r>
    </w:p>
  </w:footnote>
  <w:footnote w:type="continuationSeparator" w:id="0">
    <w:p w14:paraId="48E7D781" w14:textId="77777777" w:rsidR="00123491" w:rsidRDefault="00123491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80"/>
    <w:rsid w:val="00002713"/>
    <w:rsid w:val="00011CAC"/>
    <w:rsid w:val="00014957"/>
    <w:rsid w:val="0001504A"/>
    <w:rsid w:val="000174E9"/>
    <w:rsid w:val="00020BB2"/>
    <w:rsid w:val="00040740"/>
    <w:rsid w:val="00041F06"/>
    <w:rsid w:val="000425F7"/>
    <w:rsid w:val="0005067D"/>
    <w:rsid w:val="00055F61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A4203"/>
    <w:rsid w:val="000B4BD9"/>
    <w:rsid w:val="000B79EB"/>
    <w:rsid w:val="000D31BB"/>
    <w:rsid w:val="000E147E"/>
    <w:rsid w:val="000E1EBF"/>
    <w:rsid w:val="000F1959"/>
    <w:rsid w:val="000F255D"/>
    <w:rsid w:val="000F304F"/>
    <w:rsid w:val="000F79CD"/>
    <w:rsid w:val="00102991"/>
    <w:rsid w:val="00123491"/>
    <w:rsid w:val="001248AA"/>
    <w:rsid w:val="00125FD4"/>
    <w:rsid w:val="001335D4"/>
    <w:rsid w:val="00144362"/>
    <w:rsid w:val="00145AD5"/>
    <w:rsid w:val="00145B5B"/>
    <w:rsid w:val="00150BAB"/>
    <w:rsid w:val="0015316C"/>
    <w:rsid w:val="0016291F"/>
    <w:rsid w:val="00170F65"/>
    <w:rsid w:val="00172026"/>
    <w:rsid w:val="00183947"/>
    <w:rsid w:val="00193FA9"/>
    <w:rsid w:val="001948EA"/>
    <w:rsid w:val="00194A53"/>
    <w:rsid w:val="0019668F"/>
    <w:rsid w:val="001A0BF3"/>
    <w:rsid w:val="001A0E78"/>
    <w:rsid w:val="001A2262"/>
    <w:rsid w:val="001A4280"/>
    <w:rsid w:val="001A4C0C"/>
    <w:rsid w:val="001C0B53"/>
    <w:rsid w:val="001C16E2"/>
    <w:rsid w:val="001C4515"/>
    <w:rsid w:val="001C4AA7"/>
    <w:rsid w:val="001C4F6D"/>
    <w:rsid w:val="001C544F"/>
    <w:rsid w:val="001D3B26"/>
    <w:rsid w:val="001D7FE4"/>
    <w:rsid w:val="001E0E50"/>
    <w:rsid w:val="001E1EEB"/>
    <w:rsid w:val="001E2F4C"/>
    <w:rsid w:val="001E45BD"/>
    <w:rsid w:val="001E6672"/>
    <w:rsid w:val="001E7A76"/>
    <w:rsid w:val="001F0A6E"/>
    <w:rsid w:val="00205783"/>
    <w:rsid w:val="002065AA"/>
    <w:rsid w:val="00206AE7"/>
    <w:rsid w:val="0021772B"/>
    <w:rsid w:val="002214BB"/>
    <w:rsid w:val="002256F0"/>
    <w:rsid w:val="0023218B"/>
    <w:rsid w:val="002326AE"/>
    <w:rsid w:val="00242591"/>
    <w:rsid w:val="00252092"/>
    <w:rsid w:val="00255DA9"/>
    <w:rsid w:val="002678D7"/>
    <w:rsid w:val="002779BE"/>
    <w:rsid w:val="0028318C"/>
    <w:rsid w:val="002861BE"/>
    <w:rsid w:val="00290315"/>
    <w:rsid w:val="00297126"/>
    <w:rsid w:val="002A0775"/>
    <w:rsid w:val="002A4B34"/>
    <w:rsid w:val="002B22C8"/>
    <w:rsid w:val="002C593F"/>
    <w:rsid w:val="002D1849"/>
    <w:rsid w:val="002D4E7C"/>
    <w:rsid w:val="002D63F4"/>
    <w:rsid w:val="002E6B30"/>
    <w:rsid w:val="002F0794"/>
    <w:rsid w:val="002F1207"/>
    <w:rsid w:val="002F3AF7"/>
    <w:rsid w:val="002F7FCE"/>
    <w:rsid w:val="003122C1"/>
    <w:rsid w:val="0031663D"/>
    <w:rsid w:val="00330300"/>
    <w:rsid w:val="0033474D"/>
    <w:rsid w:val="00335DD7"/>
    <w:rsid w:val="00343B25"/>
    <w:rsid w:val="003466CD"/>
    <w:rsid w:val="00371ED3"/>
    <w:rsid w:val="0037222D"/>
    <w:rsid w:val="0037287B"/>
    <w:rsid w:val="00373DC9"/>
    <w:rsid w:val="00377BA9"/>
    <w:rsid w:val="003906AF"/>
    <w:rsid w:val="00390E05"/>
    <w:rsid w:val="003939D6"/>
    <w:rsid w:val="0039599D"/>
    <w:rsid w:val="003969F0"/>
    <w:rsid w:val="00397BAA"/>
    <w:rsid w:val="003B4B8E"/>
    <w:rsid w:val="003B54FB"/>
    <w:rsid w:val="003C401E"/>
    <w:rsid w:val="003C7893"/>
    <w:rsid w:val="003D5857"/>
    <w:rsid w:val="003D6279"/>
    <w:rsid w:val="003E0999"/>
    <w:rsid w:val="003F2D96"/>
    <w:rsid w:val="003F3387"/>
    <w:rsid w:val="004021D2"/>
    <w:rsid w:val="00405269"/>
    <w:rsid w:val="0041060D"/>
    <w:rsid w:val="00416E1E"/>
    <w:rsid w:val="0043184F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35B9"/>
    <w:rsid w:val="00476E72"/>
    <w:rsid w:val="00481905"/>
    <w:rsid w:val="00484293"/>
    <w:rsid w:val="004843C1"/>
    <w:rsid w:val="004846A9"/>
    <w:rsid w:val="00484EF6"/>
    <w:rsid w:val="0048626D"/>
    <w:rsid w:val="00487D90"/>
    <w:rsid w:val="00492783"/>
    <w:rsid w:val="00496712"/>
    <w:rsid w:val="00497AEA"/>
    <w:rsid w:val="004A4FE2"/>
    <w:rsid w:val="004B5F80"/>
    <w:rsid w:val="004C124B"/>
    <w:rsid w:val="004C5973"/>
    <w:rsid w:val="004C7614"/>
    <w:rsid w:val="004D676C"/>
    <w:rsid w:val="004D69F0"/>
    <w:rsid w:val="004E06D8"/>
    <w:rsid w:val="004E2F79"/>
    <w:rsid w:val="004E4B86"/>
    <w:rsid w:val="004F48BC"/>
    <w:rsid w:val="005024F0"/>
    <w:rsid w:val="00510CBD"/>
    <w:rsid w:val="005142E1"/>
    <w:rsid w:val="0052237E"/>
    <w:rsid w:val="00522E29"/>
    <w:rsid w:val="00523A63"/>
    <w:rsid w:val="00533785"/>
    <w:rsid w:val="005342B8"/>
    <w:rsid w:val="00534548"/>
    <w:rsid w:val="005353D2"/>
    <w:rsid w:val="00537467"/>
    <w:rsid w:val="00537670"/>
    <w:rsid w:val="005401CD"/>
    <w:rsid w:val="005417F8"/>
    <w:rsid w:val="00550D9B"/>
    <w:rsid w:val="0055271F"/>
    <w:rsid w:val="00555A1B"/>
    <w:rsid w:val="00556719"/>
    <w:rsid w:val="00557B75"/>
    <w:rsid w:val="00560801"/>
    <w:rsid w:val="00560F25"/>
    <w:rsid w:val="00564B80"/>
    <w:rsid w:val="00565AA3"/>
    <w:rsid w:val="00571946"/>
    <w:rsid w:val="00581505"/>
    <w:rsid w:val="00583245"/>
    <w:rsid w:val="005840FA"/>
    <w:rsid w:val="005842D2"/>
    <w:rsid w:val="00584A22"/>
    <w:rsid w:val="0058757B"/>
    <w:rsid w:val="00592BBC"/>
    <w:rsid w:val="0059305E"/>
    <w:rsid w:val="005A374B"/>
    <w:rsid w:val="005A4EF7"/>
    <w:rsid w:val="005B71B4"/>
    <w:rsid w:val="005C0DEC"/>
    <w:rsid w:val="005C1D13"/>
    <w:rsid w:val="005D0F87"/>
    <w:rsid w:val="005D3405"/>
    <w:rsid w:val="005D3B3C"/>
    <w:rsid w:val="005D632D"/>
    <w:rsid w:val="005D7469"/>
    <w:rsid w:val="005E087F"/>
    <w:rsid w:val="005E0A42"/>
    <w:rsid w:val="005E4F60"/>
    <w:rsid w:val="005E7B97"/>
    <w:rsid w:val="005F10AD"/>
    <w:rsid w:val="005F28B9"/>
    <w:rsid w:val="00601872"/>
    <w:rsid w:val="00603B7D"/>
    <w:rsid w:val="00617BDE"/>
    <w:rsid w:val="006202BD"/>
    <w:rsid w:val="00620718"/>
    <w:rsid w:val="00621E3C"/>
    <w:rsid w:val="00622AE4"/>
    <w:rsid w:val="00623C6E"/>
    <w:rsid w:val="006251CA"/>
    <w:rsid w:val="006303F4"/>
    <w:rsid w:val="00631E15"/>
    <w:rsid w:val="0063268F"/>
    <w:rsid w:val="00632742"/>
    <w:rsid w:val="006347B9"/>
    <w:rsid w:val="00640F25"/>
    <w:rsid w:val="0064486D"/>
    <w:rsid w:val="006449F9"/>
    <w:rsid w:val="00645989"/>
    <w:rsid w:val="00652654"/>
    <w:rsid w:val="00655EC3"/>
    <w:rsid w:val="00661CCC"/>
    <w:rsid w:val="0066464E"/>
    <w:rsid w:val="00667439"/>
    <w:rsid w:val="0067077D"/>
    <w:rsid w:val="0067534E"/>
    <w:rsid w:val="00676339"/>
    <w:rsid w:val="00676966"/>
    <w:rsid w:val="00682DCA"/>
    <w:rsid w:val="0068405F"/>
    <w:rsid w:val="00686C6A"/>
    <w:rsid w:val="00690218"/>
    <w:rsid w:val="006A3975"/>
    <w:rsid w:val="006A5336"/>
    <w:rsid w:val="006B276B"/>
    <w:rsid w:val="006B33F5"/>
    <w:rsid w:val="006B75AB"/>
    <w:rsid w:val="006C2B88"/>
    <w:rsid w:val="006D10B0"/>
    <w:rsid w:val="006E0117"/>
    <w:rsid w:val="006E6A17"/>
    <w:rsid w:val="006E776E"/>
    <w:rsid w:val="006F0F73"/>
    <w:rsid w:val="006F1049"/>
    <w:rsid w:val="006F1246"/>
    <w:rsid w:val="00703F19"/>
    <w:rsid w:val="00705772"/>
    <w:rsid w:val="0071192B"/>
    <w:rsid w:val="0072264A"/>
    <w:rsid w:val="00730686"/>
    <w:rsid w:val="0073150A"/>
    <w:rsid w:val="007315EF"/>
    <w:rsid w:val="007460C3"/>
    <w:rsid w:val="00746987"/>
    <w:rsid w:val="007502B5"/>
    <w:rsid w:val="007508B9"/>
    <w:rsid w:val="00761A94"/>
    <w:rsid w:val="0076501C"/>
    <w:rsid w:val="007655D2"/>
    <w:rsid w:val="007666FB"/>
    <w:rsid w:val="00783F68"/>
    <w:rsid w:val="00792BC0"/>
    <w:rsid w:val="00793ED7"/>
    <w:rsid w:val="00795575"/>
    <w:rsid w:val="007971BD"/>
    <w:rsid w:val="00797B3C"/>
    <w:rsid w:val="007A2437"/>
    <w:rsid w:val="007A47D1"/>
    <w:rsid w:val="007A6342"/>
    <w:rsid w:val="007B5725"/>
    <w:rsid w:val="007B7280"/>
    <w:rsid w:val="007C1CDE"/>
    <w:rsid w:val="007D08E5"/>
    <w:rsid w:val="007D7435"/>
    <w:rsid w:val="007E3259"/>
    <w:rsid w:val="007E453B"/>
    <w:rsid w:val="007E6EDD"/>
    <w:rsid w:val="007F1963"/>
    <w:rsid w:val="007F5046"/>
    <w:rsid w:val="007F56B8"/>
    <w:rsid w:val="007F5C40"/>
    <w:rsid w:val="007F660E"/>
    <w:rsid w:val="00805CA4"/>
    <w:rsid w:val="00820852"/>
    <w:rsid w:val="0083198A"/>
    <w:rsid w:val="00832544"/>
    <w:rsid w:val="008354ED"/>
    <w:rsid w:val="00837422"/>
    <w:rsid w:val="00837DC8"/>
    <w:rsid w:val="00850B47"/>
    <w:rsid w:val="008606FD"/>
    <w:rsid w:val="008609A4"/>
    <w:rsid w:val="008657C4"/>
    <w:rsid w:val="008660ED"/>
    <w:rsid w:val="00872494"/>
    <w:rsid w:val="00885ED8"/>
    <w:rsid w:val="00886C5A"/>
    <w:rsid w:val="008925FA"/>
    <w:rsid w:val="00893F73"/>
    <w:rsid w:val="008A25A5"/>
    <w:rsid w:val="008A3CC1"/>
    <w:rsid w:val="008A57C6"/>
    <w:rsid w:val="008A5F10"/>
    <w:rsid w:val="008B3DDF"/>
    <w:rsid w:val="008B7495"/>
    <w:rsid w:val="008C4669"/>
    <w:rsid w:val="008C79A0"/>
    <w:rsid w:val="008D3C28"/>
    <w:rsid w:val="008E1B26"/>
    <w:rsid w:val="008E5F63"/>
    <w:rsid w:val="008F0498"/>
    <w:rsid w:val="008F1308"/>
    <w:rsid w:val="008F24DE"/>
    <w:rsid w:val="008F646B"/>
    <w:rsid w:val="0090699C"/>
    <w:rsid w:val="00910EA2"/>
    <w:rsid w:val="00911A75"/>
    <w:rsid w:val="00911DCF"/>
    <w:rsid w:val="00911E81"/>
    <w:rsid w:val="00915962"/>
    <w:rsid w:val="00916539"/>
    <w:rsid w:val="009175D1"/>
    <w:rsid w:val="00922515"/>
    <w:rsid w:val="0093254E"/>
    <w:rsid w:val="00944226"/>
    <w:rsid w:val="00953EFC"/>
    <w:rsid w:val="0095497C"/>
    <w:rsid w:val="00957B26"/>
    <w:rsid w:val="00965806"/>
    <w:rsid w:val="009721CD"/>
    <w:rsid w:val="00981AAE"/>
    <w:rsid w:val="0098347B"/>
    <w:rsid w:val="009838CE"/>
    <w:rsid w:val="0099505F"/>
    <w:rsid w:val="009A7B97"/>
    <w:rsid w:val="009C5E2F"/>
    <w:rsid w:val="009D76EF"/>
    <w:rsid w:val="009F18A8"/>
    <w:rsid w:val="009F3C46"/>
    <w:rsid w:val="009F6A9E"/>
    <w:rsid w:val="00A00A2B"/>
    <w:rsid w:val="00A049BD"/>
    <w:rsid w:val="00A119C4"/>
    <w:rsid w:val="00A148AB"/>
    <w:rsid w:val="00A14B09"/>
    <w:rsid w:val="00A161C5"/>
    <w:rsid w:val="00A211A5"/>
    <w:rsid w:val="00A2133B"/>
    <w:rsid w:val="00A23A91"/>
    <w:rsid w:val="00A267BD"/>
    <w:rsid w:val="00A31815"/>
    <w:rsid w:val="00A34016"/>
    <w:rsid w:val="00A4540A"/>
    <w:rsid w:val="00A5395F"/>
    <w:rsid w:val="00A55EFF"/>
    <w:rsid w:val="00A56380"/>
    <w:rsid w:val="00A73159"/>
    <w:rsid w:val="00A8310B"/>
    <w:rsid w:val="00A939DC"/>
    <w:rsid w:val="00AA55EE"/>
    <w:rsid w:val="00AA5906"/>
    <w:rsid w:val="00AB0EC3"/>
    <w:rsid w:val="00AB1DE0"/>
    <w:rsid w:val="00AC2A20"/>
    <w:rsid w:val="00AD050B"/>
    <w:rsid w:val="00AE0BA9"/>
    <w:rsid w:val="00AE191B"/>
    <w:rsid w:val="00AF1AA4"/>
    <w:rsid w:val="00AF3E0B"/>
    <w:rsid w:val="00AF488F"/>
    <w:rsid w:val="00AF68F9"/>
    <w:rsid w:val="00AF7E1C"/>
    <w:rsid w:val="00B0155D"/>
    <w:rsid w:val="00B124D7"/>
    <w:rsid w:val="00B15084"/>
    <w:rsid w:val="00B173FB"/>
    <w:rsid w:val="00B177FF"/>
    <w:rsid w:val="00B208C0"/>
    <w:rsid w:val="00B263D0"/>
    <w:rsid w:val="00B33652"/>
    <w:rsid w:val="00B33D41"/>
    <w:rsid w:val="00B44158"/>
    <w:rsid w:val="00B45C19"/>
    <w:rsid w:val="00B4602F"/>
    <w:rsid w:val="00B52092"/>
    <w:rsid w:val="00B52943"/>
    <w:rsid w:val="00B54925"/>
    <w:rsid w:val="00B55CD5"/>
    <w:rsid w:val="00B6198D"/>
    <w:rsid w:val="00B653CE"/>
    <w:rsid w:val="00B7052B"/>
    <w:rsid w:val="00B84C4C"/>
    <w:rsid w:val="00B874FA"/>
    <w:rsid w:val="00B908D3"/>
    <w:rsid w:val="00B97847"/>
    <w:rsid w:val="00BA10D3"/>
    <w:rsid w:val="00BA6E6B"/>
    <w:rsid w:val="00BB0995"/>
    <w:rsid w:val="00BB2176"/>
    <w:rsid w:val="00BB55E8"/>
    <w:rsid w:val="00BC41CD"/>
    <w:rsid w:val="00BD0059"/>
    <w:rsid w:val="00BE3E93"/>
    <w:rsid w:val="00BF0592"/>
    <w:rsid w:val="00BF230B"/>
    <w:rsid w:val="00BF58B1"/>
    <w:rsid w:val="00BF5DD9"/>
    <w:rsid w:val="00C01A6F"/>
    <w:rsid w:val="00C04BAA"/>
    <w:rsid w:val="00C10BCF"/>
    <w:rsid w:val="00C12A63"/>
    <w:rsid w:val="00C131D0"/>
    <w:rsid w:val="00C1391B"/>
    <w:rsid w:val="00C14BD3"/>
    <w:rsid w:val="00C151EB"/>
    <w:rsid w:val="00C3000E"/>
    <w:rsid w:val="00C30FD3"/>
    <w:rsid w:val="00C34D5C"/>
    <w:rsid w:val="00C36D28"/>
    <w:rsid w:val="00C40E05"/>
    <w:rsid w:val="00C508A0"/>
    <w:rsid w:val="00C53DC1"/>
    <w:rsid w:val="00C540D7"/>
    <w:rsid w:val="00C54708"/>
    <w:rsid w:val="00C547EA"/>
    <w:rsid w:val="00C605BC"/>
    <w:rsid w:val="00C648F3"/>
    <w:rsid w:val="00C73B1B"/>
    <w:rsid w:val="00C82019"/>
    <w:rsid w:val="00C85DA2"/>
    <w:rsid w:val="00C87FA4"/>
    <w:rsid w:val="00C9625A"/>
    <w:rsid w:val="00CA1914"/>
    <w:rsid w:val="00CA4187"/>
    <w:rsid w:val="00CA4B1F"/>
    <w:rsid w:val="00CB7828"/>
    <w:rsid w:val="00CD0FFB"/>
    <w:rsid w:val="00CD3DE8"/>
    <w:rsid w:val="00CD7057"/>
    <w:rsid w:val="00CE77B3"/>
    <w:rsid w:val="00CE77FB"/>
    <w:rsid w:val="00CF50B6"/>
    <w:rsid w:val="00D03028"/>
    <w:rsid w:val="00D2295A"/>
    <w:rsid w:val="00D22C9B"/>
    <w:rsid w:val="00D278C6"/>
    <w:rsid w:val="00D34188"/>
    <w:rsid w:val="00D409AB"/>
    <w:rsid w:val="00D45C73"/>
    <w:rsid w:val="00D50720"/>
    <w:rsid w:val="00D60A36"/>
    <w:rsid w:val="00D61695"/>
    <w:rsid w:val="00D76D7D"/>
    <w:rsid w:val="00D77265"/>
    <w:rsid w:val="00D81C94"/>
    <w:rsid w:val="00D86180"/>
    <w:rsid w:val="00D90F89"/>
    <w:rsid w:val="00D93104"/>
    <w:rsid w:val="00D97002"/>
    <w:rsid w:val="00DA74AE"/>
    <w:rsid w:val="00DB4D63"/>
    <w:rsid w:val="00DB53D1"/>
    <w:rsid w:val="00DC1232"/>
    <w:rsid w:val="00DC207B"/>
    <w:rsid w:val="00DD4757"/>
    <w:rsid w:val="00DD6DEB"/>
    <w:rsid w:val="00DD7BB4"/>
    <w:rsid w:val="00DD7C49"/>
    <w:rsid w:val="00DE0622"/>
    <w:rsid w:val="00DE5FD2"/>
    <w:rsid w:val="00DE64B4"/>
    <w:rsid w:val="00DF283A"/>
    <w:rsid w:val="00DF29FF"/>
    <w:rsid w:val="00DF36DB"/>
    <w:rsid w:val="00DF7399"/>
    <w:rsid w:val="00E01681"/>
    <w:rsid w:val="00E0337A"/>
    <w:rsid w:val="00E05484"/>
    <w:rsid w:val="00E12D28"/>
    <w:rsid w:val="00E15A11"/>
    <w:rsid w:val="00E2089A"/>
    <w:rsid w:val="00E24579"/>
    <w:rsid w:val="00E31138"/>
    <w:rsid w:val="00E31C5E"/>
    <w:rsid w:val="00E368C4"/>
    <w:rsid w:val="00E37538"/>
    <w:rsid w:val="00E3778C"/>
    <w:rsid w:val="00E403E1"/>
    <w:rsid w:val="00E4393B"/>
    <w:rsid w:val="00E568E7"/>
    <w:rsid w:val="00E61212"/>
    <w:rsid w:val="00E7130C"/>
    <w:rsid w:val="00E73C74"/>
    <w:rsid w:val="00E7608D"/>
    <w:rsid w:val="00E76DFD"/>
    <w:rsid w:val="00E81150"/>
    <w:rsid w:val="00E81BD0"/>
    <w:rsid w:val="00E85B4F"/>
    <w:rsid w:val="00E87747"/>
    <w:rsid w:val="00E91030"/>
    <w:rsid w:val="00E93DD1"/>
    <w:rsid w:val="00E97C87"/>
    <w:rsid w:val="00EA0FD1"/>
    <w:rsid w:val="00EB5E4A"/>
    <w:rsid w:val="00EB7190"/>
    <w:rsid w:val="00EB76F7"/>
    <w:rsid w:val="00EC06B0"/>
    <w:rsid w:val="00EC2C72"/>
    <w:rsid w:val="00ED0A99"/>
    <w:rsid w:val="00EE1F37"/>
    <w:rsid w:val="00EE34CA"/>
    <w:rsid w:val="00EF0F7C"/>
    <w:rsid w:val="00EF2775"/>
    <w:rsid w:val="00EF3672"/>
    <w:rsid w:val="00EF3E03"/>
    <w:rsid w:val="00F057E8"/>
    <w:rsid w:val="00F0610F"/>
    <w:rsid w:val="00F14C49"/>
    <w:rsid w:val="00F2490E"/>
    <w:rsid w:val="00F353D7"/>
    <w:rsid w:val="00F4046F"/>
    <w:rsid w:val="00F4079E"/>
    <w:rsid w:val="00F41BFB"/>
    <w:rsid w:val="00F43C37"/>
    <w:rsid w:val="00F53018"/>
    <w:rsid w:val="00F55E2E"/>
    <w:rsid w:val="00F5790E"/>
    <w:rsid w:val="00F64644"/>
    <w:rsid w:val="00F7593E"/>
    <w:rsid w:val="00F76F7E"/>
    <w:rsid w:val="00F77790"/>
    <w:rsid w:val="00F941BF"/>
    <w:rsid w:val="00FA0D88"/>
    <w:rsid w:val="00FA192B"/>
    <w:rsid w:val="00FA5DC8"/>
    <w:rsid w:val="00FA673A"/>
    <w:rsid w:val="00FB05DA"/>
    <w:rsid w:val="00FB5F8A"/>
    <w:rsid w:val="00FC2284"/>
    <w:rsid w:val="00FC3C8B"/>
    <w:rsid w:val="00FC4026"/>
    <w:rsid w:val="00FC5035"/>
    <w:rsid w:val="00FC747B"/>
    <w:rsid w:val="00FD3BFB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186A25F3"/>
  <w15:docId w15:val="{CD5C2524-8A13-435C-9F16-EE56BFD5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939DC"/>
    <w:pPr>
      <w:autoSpaceDE w:val="0"/>
      <w:autoSpaceDN w:val="0"/>
      <w:adjustRightInd w:val="0"/>
    </w:pPr>
    <w:rPr>
      <w:rFonts w:ascii="Times New Roman" w:hAnsi="Times New Roman"/>
      <w:color w:val="000000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  <w:style w:type="paragraph" w:styleId="BodyText">
    <w:name w:val="Body Text"/>
    <w:basedOn w:val="Normal"/>
    <w:link w:val="BodyTextChar"/>
    <w:semiHidden/>
    <w:rsid w:val="007B7280"/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B7280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EF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st.gov/s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4DA30-48BA-4C45-8B58-C7BCC61C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1893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12660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Benkstein, Jennifer</cp:lastModifiedBy>
  <cp:revision>2</cp:revision>
  <cp:lastPrinted>2014-01-28T13:27:00Z</cp:lastPrinted>
  <dcterms:created xsi:type="dcterms:W3CDTF">2015-04-30T19:02:00Z</dcterms:created>
  <dcterms:modified xsi:type="dcterms:W3CDTF">2015-04-30T19:02:00Z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