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95D" w:rsidRDefault="00CB55D4" w:rsidP="00D431F2">
      <w:pPr>
        <w:pStyle w:val="Title"/>
        <w:tabs>
          <w:tab w:val="clear" w:pos="900"/>
          <w:tab w:val="clear" w:pos="4680"/>
        </w:tabs>
        <w:rPr>
          <w:rFonts w:ascii="Linotext" w:hAnsi="Linotext"/>
        </w:rPr>
      </w:pPr>
      <w:r w:rsidRPr="00CB55D4">
        <w:rPr>
          <w:rFonts w:ascii="Linotext" w:hAnsi="Linotext"/>
          <w:noProof/>
          <w:sz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6.65pt;margin-top:-18.85pt;width:113.9pt;height:63.4pt;z-index:-251658752" fillcolor="window">
            <v:imagedata r:id="rId8" o:title=""/>
          </v:shape>
          <o:OLEObject Type="Embed" ProgID="Word.Document.8" ShapeID="_x0000_s1027" DrawAspect="Content" ObjectID="_1362219935" r:id="rId9">
            <o:FieldCodes>\s</o:FieldCodes>
          </o:OLEObject>
        </w:pict>
      </w:r>
      <w:r w:rsidR="00EF195D" w:rsidRPr="007A5EBA">
        <w:rPr>
          <w:rFonts w:ascii="Linotext" w:hAnsi="Linotext"/>
        </w:rPr>
        <w:t>National Institute of Standards &amp; Technology</w:t>
      </w:r>
    </w:p>
    <w:p w:rsidR="004F6038" w:rsidRPr="00074245" w:rsidRDefault="004F6038" w:rsidP="00D431F2">
      <w:pPr>
        <w:pStyle w:val="Title"/>
        <w:tabs>
          <w:tab w:val="clear" w:pos="900"/>
          <w:tab w:val="clear" w:pos="4680"/>
        </w:tabs>
        <w:rPr>
          <w:rFonts w:ascii="Times New Roman" w:hAnsi="Times New Roman"/>
          <w:sz w:val="20"/>
        </w:rPr>
      </w:pPr>
    </w:p>
    <w:p w:rsidR="00EF195D" w:rsidRDefault="00EF195D" w:rsidP="00D431F2">
      <w:pPr>
        <w:pStyle w:val="Subtitle"/>
        <w:rPr>
          <w:rFonts w:ascii="Linotext" w:hAnsi="Linotext"/>
        </w:rPr>
      </w:pPr>
      <w:r w:rsidRPr="007A5EBA">
        <w:rPr>
          <w:rFonts w:ascii="Linotext" w:hAnsi="Linotext"/>
        </w:rPr>
        <w:t>Certificate of Analysis</w:t>
      </w:r>
    </w:p>
    <w:p w:rsidR="00EF195D" w:rsidRPr="004F6038" w:rsidRDefault="00EF195D" w:rsidP="00D431F2">
      <w:pPr>
        <w:pStyle w:val="Subtitle"/>
        <w:rPr>
          <w:rFonts w:ascii="Times New Roman" w:hAnsi="Times New Roman"/>
          <w:sz w:val="20"/>
        </w:rPr>
      </w:pPr>
    </w:p>
    <w:p w:rsidR="006F1865" w:rsidRDefault="00EF195D" w:rsidP="00D431F2">
      <w:pPr>
        <w:widowControl/>
        <w:jc w:val="center"/>
        <w:rPr>
          <w:sz w:val="16"/>
          <w:szCs w:val="16"/>
        </w:rPr>
      </w:pPr>
      <w:r w:rsidRPr="00EF195D">
        <w:rPr>
          <w:sz w:val="36"/>
          <w:szCs w:val="36"/>
        </w:rPr>
        <w:t>St</w:t>
      </w:r>
      <w:r w:rsidR="006F1865" w:rsidRPr="00EF195D">
        <w:rPr>
          <w:sz w:val="36"/>
          <w:szCs w:val="36"/>
        </w:rPr>
        <w:t>andard R</w:t>
      </w:r>
      <w:r w:rsidR="006F1865">
        <w:rPr>
          <w:sz w:val="36"/>
          <w:szCs w:val="36"/>
        </w:rPr>
        <w:t xml:space="preserve">eference </w:t>
      </w:r>
      <w:r w:rsidR="002816A6">
        <w:rPr>
          <w:sz w:val="36"/>
          <w:szCs w:val="36"/>
        </w:rPr>
        <w:t>Material</w:t>
      </w:r>
      <w:r w:rsidR="00D431F2">
        <w:rPr>
          <w:rFonts w:ascii="Times New Roman" w:hAnsi="Times New Roman"/>
          <w:sz w:val="36"/>
          <w:szCs w:val="36"/>
          <w:vertAlign w:val="superscript"/>
        </w:rPr>
        <w:t>®</w:t>
      </w:r>
      <w:r w:rsidR="00D431F2">
        <w:rPr>
          <w:sz w:val="36"/>
          <w:szCs w:val="36"/>
        </w:rPr>
        <w:t> </w:t>
      </w:r>
      <w:r w:rsidR="006F1865">
        <w:rPr>
          <w:sz w:val="36"/>
          <w:szCs w:val="36"/>
        </w:rPr>
        <w:t>1959</w:t>
      </w:r>
    </w:p>
    <w:p w:rsidR="006F1865" w:rsidRPr="00074245" w:rsidRDefault="006F1865" w:rsidP="00D431F2">
      <w:pPr>
        <w:widowControl/>
        <w:jc w:val="center"/>
        <w:rPr>
          <w:rFonts w:ascii="Times New Roman" w:hAnsi="Times New Roman"/>
          <w:szCs w:val="20"/>
        </w:rPr>
      </w:pPr>
    </w:p>
    <w:p w:rsidR="006F1865" w:rsidRPr="0048208D" w:rsidRDefault="006F1865" w:rsidP="00D431F2">
      <w:pPr>
        <w:pStyle w:val="Heading1"/>
        <w:tabs>
          <w:tab w:val="clear" w:pos="4680"/>
        </w:tabs>
        <w:jc w:val="center"/>
        <w:rPr>
          <w:rFonts w:ascii="Times New Roman" w:hAnsi="Times New Roman"/>
        </w:rPr>
      </w:pPr>
      <w:r w:rsidRPr="0048208D">
        <w:rPr>
          <w:rFonts w:ascii="Times New Roman" w:hAnsi="Times New Roman"/>
        </w:rPr>
        <w:t>Drugs of Abuse in Frozen Human Serum</w:t>
      </w:r>
    </w:p>
    <w:p w:rsidR="006F1865" w:rsidRPr="00074245" w:rsidRDefault="006F1865" w:rsidP="00DE7C26">
      <w:pPr>
        <w:widowControl/>
        <w:jc w:val="both"/>
        <w:rPr>
          <w:rFonts w:ascii="Times New Roman" w:hAnsi="Times New Roman"/>
          <w:szCs w:val="20"/>
        </w:rPr>
      </w:pPr>
    </w:p>
    <w:p w:rsidR="006F1865" w:rsidRPr="0048208D" w:rsidRDefault="006F1865" w:rsidP="00DE7C26">
      <w:pPr>
        <w:widowControl/>
        <w:jc w:val="both"/>
        <w:rPr>
          <w:rFonts w:ascii="Times New Roman" w:hAnsi="Times New Roman"/>
          <w:szCs w:val="20"/>
        </w:rPr>
      </w:pPr>
      <w:r w:rsidRPr="0048208D">
        <w:rPr>
          <w:rFonts w:ascii="Times New Roman" w:hAnsi="Times New Roman"/>
          <w:szCs w:val="20"/>
        </w:rPr>
        <w:t xml:space="preserve">This Standard Reference </w:t>
      </w:r>
      <w:r w:rsidR="00D431F2" w:rsidRPr="0048208D">
        <w:rPr>
          <w:rFonts w:ascii="Times New Roman" w:hAnsi="Times New Roman"/>
          <w:szCs w:val="20"/>
        </w:rPr>
        <w:t>Material</w:t>
      </w:r>
      <w:r w:rsidR="00D431F2">
        <w:rPr>
          <w:rFonts w:ascii="Times New Roman" w:hAnsi="Times New Roman"/>
          <w:szCs w:val="20"/>
        </w:rPr>
        <w:t> </w:t>
      </w:r>
      <w:r w:rsidRPr="0048208D">
        <w:rPr>
          <w:rFonts w:ascii="Times New Roman" w:hAnsi="Times New Roman"/>
          <w:szCs w:val="20"/>
        </w:rPr>
        <w:t xml:space="preserve">(SRM) is intended primarily for use in evaluating the accuracy of procedures for the determination of drugs of abuse in human </w:t>
      </w:r>
      <w:r w:rsidR="005673B2">
        <w:rPr>
          <w:rFonts w:ascii="Times New Roman" w:hAnsi="Times New Roman"/>
          <w:szCs w:val="20"/>
        </w:rPr>
        <w:t xml:space="preserve">serum and </w:t>
      </w:r>
      <w:r w:rsidRPr="0048208D">
        <w:rPr>
          <w:rFonts w:ascii="Times New Roman" w:hAnsi="Times New Roman"/>
          <w:szCs w:val="20"/>
        </w:rPr>
        <w:t>blood.  It is also intended for use in validating working or secondary reference materials.</w:t>
      </w:r>
      <w:r w:rsidR="00A824A5" w:rsidRPr="00A824A5">
        <w:rPr>
          <w:rFonts w:ascii="Times New Roman" w:hAnsi="Times New Roman"/>
          <w:color w:val="000000" w:themeColor="text1"/>
          <w:szCs w:val="20"/>
        </w:rPr>
        <w:t xml:space="preserve">  </w:t>
      </w:r>
      <w:r w:rsidRPr="0048208D">
        <w:rPr>
          <w:rFonts w:ascii="Times New Roman" w:hAnsi="Times New Roman"/>
          <w:szCs w:val="20"/>
        </w:rPr>
        <w:t xml:space="preserve">A unit of </w:t>
      </w:r>
      <w:r w:rsidR="00D431F2" w:rsidRPr="0048208D">
        <w:rPr>
          <w:rFonts w:ascii="Times New Roman" w:hAnsi="Times New Roman"/>
          <w:szCs w:val="20"/>
        </w:rPr>
        <w:t>SRM</w:t>
      </w:r>
      <w:r w:rsidR="00D431F2">
        <w:rPr>
          <w:rFonts w:ascii="Times New Roman" w:hAnsi="Times New Roman"/>
          <w:szCs w:val="20"/>
        </w:rPr>
        <w:t> </w:t>
      </w:r>
      <w:r w:rsidRPr="0048208D">
        <w:rPr>
          <w:rFonts w:ascii="Times New Roman" w:hAnsi="Times New Roman"/>
          <w:szCs w:val="36"/>
        </w:rPr>
        <w:t>1959</w:t>
      </w:r>
      <w:r w:rsidRPr="0048208D">
        <w:rPr>
          <w:rFonts w:ascii="Times New Roman" w:hAnsi="Times New Roman"/>
          <w:szCs w:val="20"/>
        </w:rPr>
        <w:t xml:space="preserve"> consists of two </w:t>
      </w:r>
      <w:r w:rsidR="0048208D">
        <w:rPr>
          <w:rFonts w:ascii="Times New Roman" w:hAnsi="Times New Roman"/>
          <w:szCs w:val="20"/>
        </w:rPr>
        <w:t xml:space="preserve">vials </w:t>
      </w:r>
      <w:r w:rsidRPr="0048208D">
        <w:rPr>
          <w:rFonts w:ascii="Times New Roman" w:hAnsi="Times New Roman"/>
          <w:szCs w:val="20"/>
        </w:rPr>
        <w:t>of frozen human serum</w:t>
      </w:r>
      <w:r w:rsidR="0048208D">
        <w:rPr>
          <w:rFonts w:ascii="Times New Roman" w:hAnsi="Times New Roman"/>
          <w:szCs w:val="20"/>
        </w:rPr>
        <w:t xml:space="preserve"> that has been fortified with seven drugs of abuse</w:t>
      </w:r>
      <w:r w:rsidRPr="0048208D">
        <w:rPr>
          <w:rFonts w:ascii="Times New Roman" w:hAnsi="Times New Roman"/>
          <w:szCs w:val="20"/>
        </w:rPr>
        <w:t>.</w:t>
      </w:r>
      <w:r w:rsidR="00A824A5" w:rsidRPr="00A824A5">
        <w:rPr>
          <w:rFonts w:ascii="Times New Roman" w:hAnsi="Times New Roman"/>
          <w:color w:val="000000" w:themeColor="text1"/>
          <w:szCs w:val="20"/>
        </w:rPr>
        <w:t xml:space="preserve">  </w:t>
      </w:r>
      <w:r w:rsidRPr="0048208D">
        <w:rPr>
          <w:rFonts w:ascii="Times New Roman" w:hAnsi="Times New Roman"/>
          <w:szCs w:val="20"/>
        </w:rPr>
        <w:t xml:space="preserve">Each </w:t>
      </w:r>
      <w:r w:rsidR="0048208D">
        <w:rPr>
          <w:rFonts w:ascii="Times New Roman" w:hAnsi="Times New Roman"/>
          <w:szCs w:val="20"/>
        </w:rPr>
        <w:t xml:space="preserve">vial contains approximately </w:t>
      </w:r>
      <w:r w:rsidR="00D431F2" w:rsidRPr="0048208D">
        <w:rPr>
          <w:rFonts w:ascii="Times New Roman" w:hAnsi="Times New Roman"/>
          <w:szCs w:val="20"/>
        </w:rPr>
        <w:t>5</w:t>
      </w:r>
      <w:r w:rsidR="00D431F2">
        <w:rPr>
          <w:rFonts w:ascii="Times New Roman" w:hAnsi="Times New Roman"/>
          <w:szCs w:val="20"/>
        </w:rPr>
        <w:t> </w:t>
      </w:r>
      <w:r w:rsidRPr="0048208D">
        <w:rPr>
          <w:rFonts w:ascii="Times New Roman" w:hAnsi="Times New Roman"/>
          <w:szCs w:val="20"/>
        </w:rPr>
        <w:t xml:space="preserve">mL serum. </w:t>
      </w:r>
    </w:p>
    <w:p w:rsidR="006F1865" w:rsidRPr="0048208D" w:rsidRDefault="006F1865" w:rsidP="00DE7C26">
      <w:pPr>
        <w:widowControl/>
        <w:jc w:val="both"/>
        <w:rPr>
          <w:rFonts w:ascii="Times New Roman" w:hAnsi="Times New Roman"/>
          <w:b/>
          <w:spacing w:val="4"/>
        </w:rPr>
      </w:pPr>
    </w:p>
    <w:p w:rsidR="006F1865" w:rsidRDefault="006F1865" w:rsidP="00DE7C26">
      <w:pPr>
        <w:widowControl/>
        <w:jc w:val="both"/>
        <w:rPr>
          <w:rFonts w:ascii="Times New Roman" w:hAnsi="Times New Roman"/>
          <w:szCs w:val="20"/>
        </w:rPr>
      </w:pPr>
      <w:r w:rsidRPr="0048208D">
        <w:rPr>
          <w:rFonts w:ascii="Times New Roman" w:hAnsi="Times New Roman"/>
          <w:b/>
          <w:bCs/>
          <w:szCs w:val="20"/>
        </w:rPr>
        <w:t>Certified Concentration Values:</w:t>
      </w:r>
      <w:r w:rsidRPr="0048208D">
        <w:rPr>
          <w:rFonts w:ascii="Times New Roman" w:hAnsi="Times New Roman"/>
          <w:szCs w:val="20"/>
        </w:rPr>
        <w:t xml:space="preserve">  </w:t>
      </w:r>
      <w:r w:rsidR="00193458" w:rsidRPr="0048208D">
        <w:rPr>
          <w:rFonts w:ascii="Times New Roman" w:hAnsi="Times New Roman"/>
        </w:rPr>
        <w:t>The certified concentration values</w:t>
      </w:r>
      <w:r w:rsidR="002126F0">
        <w:rPr>
          <w:rFonts w:ascii="Times New Roman" w:hAnsi="Times New Roman"/>
        </w:rPr>
        <w:t xml:space="preserve"> </w:t>
      </w:r>
      <w:r w:rsidR="00193458" w:rsidRPr="0048208D">
        <w:rPr>
          <w:rFonts w:ascii="Times New Roman" w:hAnsi="Times New Roman"/>
        </w:rPr>
        <w:t xml:space="preserve">for </w:t>
      </w:r>
      <w:r w:rsidR="0048208D">
        <w:rPr>
          <w:rFonts w:ascii="Times New Roman" w:hAnsi="Times New Roman"/>
        </w:rPr>
        <w:t xml:space="preserve">benzoylecgonine, methadone, methamphetamine, morphine, phencyclidine, and nordiazepam </w:t>
      </w:r>
      <w:r w:rsidR="0048208D">
        <w:rPr>
          <w:rFonts w:ascii="Times New Roman" w:hAnsi="Times New Roman"/>
          <w:szCs w:val="20"/>
        </w:rPr>
        <w:t>are provided in</w:t>
      </w:r>
      <w:r w:rsidR="00193458" w:rsidRPr="0048208D">
        <w:rPr>
          <w:rFonts w:ascii="Times New Roman" w:hAnsi="Times New Roman"/>
        </w:rPr>
        <w:t xml:space="preserve"> </w:t>
      </w:r>
      <w:r w:rsidR="00D431F2" w:rsidRPr="0048208D">
        <w:rPr>
          <w:rFonts w:ascii="Times New Roman" w:hAnsi="Times New Roman"/>
        </w:rPr>
        <w:t>Table</w:t>
      </w:r>
      <w:r w:rsidR="00D431F2">
        <w:rPr>
          <w:rFonts w:ascii="Times New Roman" w:hAnsi="Times New Roman"/>
        </w:rPr>
        <w:t> </w:t>
      </w:r>
      <w:r w:rsidR="00193458" w:rsidRPr="0048208D">
        <w:rPr>
          <w:rFonts w:ascii="Times New Roman" w:hAnsi="Times New Roman"/>
        </w:rPr>
        <w:t xml:space="preserve">1.  A NIST certified value is a value for which NIST has the highest confidence in its accuracy in that all known or suspected sources of bias have been investigated or taken into </w:t>
      </w:r>
      <w:r w:rsidR="00D431F2" w:rsidRPr="0048208D">
        <w:rPr>
          <w:rFonts w:ascii="Times New Roman" w:hAnsi="Times New Roman"/>
        </w:rPr>
        <w:t>account</w:t>
      </w:r>
      <w:r w:rsidR="00D431F2">
        <w:rPr>
          <w:rFonts w:ascii="Times New Roman" w:hAnsi="Times New Roman"/>
        </w:rPr>
        <w:t> </w:t>
      </w:r>
      <w:r w:rsidR="00193458" w:rsidRPr="0048208D">
        <w:rPr>
          <w:rFonts w:ascii="Times New Roman" w:hAnsi="Times New Roman"/>
        </w:rPr>
        <w:t>[</w:t>
      </w:r>
      <w:r w:rsidR="00193458" w:rsidRPr="00D77664">
        <w:rPr>
          <w:rFonts w:ascii="Times New Roman" w:hAnsi="Times New Roman"/>
          <w:color w:val="000000"/>
        </w:rPr>
        <w:t>1</w:t>
      </w:r>
      <w:r w:rsidR="00193458" w:rsidRPr="0048208D">
        <w:rPr>
          <w:rFonts w:ascii="Times New Roman" w:hAnsi="Times New Roman"/>
        </w:rPr>
        <w:t xml:space="preserve">].  The certified concentration values for these analytes are based on the agreement of results from isotope dilution </w:t>
      </w:r>
      <w:r w:rsidR="0048208D">
        <w:rPr>
          <w:rFonts w:ascii="Times New Roman" w:hAnsi="Times New Roman"/>
        </w:rPr>
        <w:t xml:space="preserve">gas </w:t>
      </w:r>
      <w:r w:rsidR="00193458" w:rsidRPr="0048208D">
        <w:rPr>
          <w:rFonts w:ascii="Times New Roman" w:hAnsi="Times New Roman"/>
        </w:rPr>
        <w:t xml:space="preserve">chromatography </w:t>
      </w:r>
      <w:r w:rsidR="005673B2">
        <w:rPr>
          <w:rFonts w:ascii="Times New Roman" w:hAnsi="Times New Roman"/>
        </w:rPr>
        <w:t xml:space="preserve">with </w:t>
      </w:r>
      <w:r w:rsidR="00193458" w:rsidRPr="0048208D">
        <w:rPr>
          <w:rFonts w:ascii="Times New Roman" w:hAnsi="Times New Roman"/>
        </w:rPr>
        <w:t>mass spectrometr</w:t>
      </w:r>
      <w:r w:rsidR="005673B2">
        <w:rPr>
          <w:rFonts w:ascii="Times New Roman" w:hAnsi="Times New Roman"/>
        </w:rPr>
        <w:t xml:space="preserve">ic </w:t>
      </w:r>
      <w:r w:rsidR="00D431F2">
        <w:rPr>
          <w:rFonts w:ascii="Times New Roman" w:hAnsi="Times New Roman"/>
        </w:rPr>
        <w:t>detection </w:t>
      </w:r>
      <w:r w:rsidR="00193458" w:rsidRPr="0048208D">
        <w:rPr>
          <w:rFonts w:ascii="Times New Roman" w:hAnsi="Times New Roman"/>
        </w:rPr>
        <w:t>(ID</w:t>
      </w:r>
      <w:r w:rsidR="00D431F2">
        <w:rPr>
          <w:rFonts w:ascii="Times New Roman" w:hAnsi="Times New Roman"/>
        </w:rPr>
        <w:noBreakHyphen/>
      </w:r>
      <w:r w:rsidR="0048208D">
        <w:rPr>
          <w:rFonts w:ascii="Times New Roman" w:hAnsi="Times New Roman"/>
        </w:rPr>
        <w:t>GC</w:t>
      </w:r>
      <w:r w:rsidR="00D431F2">
        <w:rPr>
          <w:rFonts w:ascii="Times New Roman" w:hAnsi="Times New Roman"/>
        </w:rPr>
        <w:noBreakHyphen/>
      </w:r>
      <w:r w:rsidR="00193458" w:rsidRPr="0048208D">
        <w:rPr>
          <w:rFonts w:ascii="Times New Roman" w:hAnsi="Times New Roman"/>
        </w:rPr>
        <w:t xml:space="preserve">MS) and isotope dilution liquid chromatography </w:t>
      </w:r>
      <w:r w:rsidR="005673B2">
        <w:rPr>
          <w:rFonts w:ascii="Times New Roman" w:hAnsi="Times New Roman"/>
        </w:rPr>
        <w:t xml:space="preserve">with </w:t>
      </w:r>
      <w:r w:rsidR="00193458" w:rsidRPr="0048208D">
        <w:rPr>
          <w:rFonts w:ascii="Times New Roman" w:hAnsi="Times New Roman"/>
        </w:rPr>
        <w:t>mass spectrometr</w:t>
      </w:r>
      <w:r w:rsidR="005673B2">
        <w:rPr>
          <w:rFonts w:ascii="Times New Roman" w:hAnsi="Times New Roman"/>
        </w:rPr>
        <w:t xml:space="preserve">ic </w:t>
      </w:r>
      <w:r w:rsidR="00D431F2">
        <w:rPr>
          <w:rFonts w:ascii="Times New Roman" w:hAnsi="Times New Roman"/>
        </w:rPr>
        <w:t>detection </w:t>
      </w:r>
      <w:r w:rsidR="00193458" w:rsidRPr="0048208D">
        <w:rPr>
          <w:rFonts w:ascii="Times New Roman" w:hAnsi="Times New Roman"/>
        </w:rPr>
        <w:t>(ID</w:t>
      </w:r>
      <w:r w:rsidR="00D431F2">
        <w:rPr>
          <w:rFonts w:ascii="Times New Roman" w:hAnsi="Times New Roman"/>
        </w:rPr>
        <w:noBreakHyphen/>
      </w:r>
      <w:r w:rsidR="00193458" w:rsidRPr="0048208D">
        <w:rPr>
          <w:rFonts w:ascii="Times New Roman" w:hAnsi="Times New Roman"/>
        </w:rPr>
        <w:t>LC</w:t>
      </w:r>
      <w:r w:rsidR="00D431F2">
        <w:rPr>
          <w:rFonts w:ascii="Times New Roman" w:hAnsi="Times New Roman"/>
        </w:rPr>
        <w:noBreakHyphen/>
      </w:r>
      <w:r w:rsidR="00193458" w:rsidRPr="0048208D">
        <w:rPr>
          <w:rFonts w:ascii="Times New Roman" w:hAnsi="Times New Roman"/>
        </w:rPr>
        <w:t>MS)</w:t>
      </w:r>
      <w:r w:rsidR="00C228B6">
        <w:rPr>
          <w:rFonts w:ascii="Times New Roman" w:hAnsi="Times New Roman"/>
        </w:rPr>
        <w:t xml:space="preserve">.  </w:t>
      </w:r>
      <w:r w:rsidRPr="0048208D">
        <w:rPr>
          <w:rFonts w:ascii="Times New Roman" w:hAnsi="Times New Roman"/>
          <w:szCs w:val="20"/>
        </w:rPr>
        <w:t xml:space="preserve">The certified concentrations apply only to serum thawed to room temperature, </w:t>
      </w:r>
      <w:r w:rsidR="00D431F2" w:rsidRPr="0048208D">
        <w:rPr>
          <w:rFonts w:ascii="Times New Roman" w:hAnsi="Times New Roman"/>
          <w:szCs w:val="20"/>
        </w:rPr>
        <w:t>20</w:t>
      </w:r>
      <w:r w:rsidR="00D431F2">
        <w:rPr>
          <w:rFonts w:ascii="Times New Roman" w:hAnsi="Times New Roman"/>
          <w:szCs w:val="20"/>
        </w:rPr>
        <w:t> </w:t>
      </w:r>
      <w:r w:rsidR="00C228B6">
        <w:rPr>
          <w:rFonts w:ascii="Times New Roman" w:hAnsi="Times New Roman"/>
          <w:szCs w:val="20"/>
        </w:rPr>
        <w:t>º</w:t>
      </w:r>
      <w:r w:rsidRPr="0048208D">
        <w:rPr>
          <w:rFonts w:ascii="Times New Roman" w:hAnsi="Times New Roman"/>
          <w:szCs w:val="20"/>
        </w:rPr>
        <w:t>C</w:t>
      </w:r>
      <w:r w:rsidR="00A97F42">
        <w:rPr>
          <w:rFonts w:ascii="Times New Roman" w:hAnsi="Times New Roman"/>
          <w:szCs w:val="20"/>
        </w:rPr>
        <w:t> </w:t>
      </w:r>
      <w:r w:rsidRPr="0048208D">
        <w:rPr>
          <w:rFonts w:ascii="Times New Roman" w:hAnsi="Times New Roman"/>
          <w:szCs w:val="20"/>
        </w:rPr>
        <w:t>to</w:t>
      </w:r>
      <w:r w:rsidR="00A97F42">
        <w:rPr>
          <w:rFonts w:ascii="Times New Roman" w:hAnsi="Times New Roman"/>
          <w:szCs w:val="20"/>
        </w:rPr>
        <w:t> </w:t>
      </w:r>
      <w:r w:rsidR="00D431F2" w:rsidRPr="0048208D">
        <w:rPr>
          <w:rFonts w:ascii="Times New Roman" w:hAnsi="Times New Roman"/>
          <w:szCs w:val="20"/>
        </w:rPr>
        <w:t>25</w:t>
      </w:r>
      <w:r w:rsidR="00D431F2">
        <w:rPr>
          <w:rFonts w:ascii="Times New Roman" w:hAnsi="Times New Roman"/>
          <w:szCs w:val="20"/>
        </w:rPr>
        <w:t> </w:t>
      </w:r>
      <w:r w:rsidR="00C228B6">
        <w:rPr>
          <w:rFonts w:ascii="Times New Roman" w:hAnsi="Times New Roman"/>
          <w:szCs w:val="20"/>
        </w:rPr>
        <w:t>º</w:t>
      </w:r>
      <w:r w:rsidRPr="0048208D">
        <w:rPr>
          <w:rFonts w:ascii="Times New Roman" w:hAnsi="Times New Roman"/>
          <w:szCs w:val="20"/>
        </w:rPr>
        <w:t xml:space="preserve">C (see </w:t>
      </w:r>
      <w:r w:rsidR="00D431F2">
        <w:rPr>
          <w:rFonts w:ascii="Times New Roman" w:hAnsi="Times New Roman"/>
          <w:szCs w:val="20"/>
        </w:rPr>
        <w:t>“</w:t>
      </w:r>
      <w:r w:rsidRPr="0048208D">
        <w:rPr>
          <w:rFonts w:ascii="Times New Roman" w:hAnsi="Times New Roman"/>
          <w:szCs w:val="20"/>
        </w:rPr>
        <w:t xml:space="preserve">Instructions for </w:t>
      </w:r>
      <w:r w:rsidR="00C00DA4">
        <w:rPr>
          <w:rFonts w:ascii="Times New Roman" w:hAnsi="Times New Roman"/>
          <w:szCs w:val="20"/>
        </w:rPr>
        <w:t>Storage</w:t>
      </w:r>
      <w:r w:rsidR="005079A6">
        <w:rPr>
          <w:rFonts w:ascii="Times New Roman" w:hAnsi="Times New Roman"/>
          <w:szCs w:val="20"/>
        </w:rPr>
        <w:t xml:space="preserve"> and</w:t>
      </w:r>
      <w:r w:rsidR="00C00DA4">
        <w:rPr>
          <w:rFonts w:ascii="Times New Roman" w:hAnsi="Times New Roman"/>
          <w:szCs w:val="20"/>
        </w:rPr>
        <w:t xml:space="preserve"> </w:t>
      </w:r>
      <w:r w:rsidRPr="0048208D">
        <w:rPr>
          <w:rFonts w:ascii="Times New Roman" w:hAnsi="Times New Roman"/>
          <w:szCs w:val="20"/>
        </w:rPr>
        <w:t>Use</w:t>
      </w:r>
      <w:r w:rsidR="00D431F2">
        <w:rPr>
          <w:rFonts w:ascii="Times New Roman" w:hAnsi="Times New Roman"/>
          <w:szCs w:val="20"/>
        </w:rPr>
        <w:t>”</w:t>
      </w:r>
      <w:r w:rsidRPr="0048208D">
        <w:rPr>
          <w:rFonts w:ascii="Times New Roman" w:hAnsi="Times New Roman"/>
          <w:szCs w:val="20"/>
        </w:rPr>
        <w:t>).</w:t>
      </w:r>
    </w:p>
    <w:p w:rsidR="0048208D" w:rsidRDefault="0048208D" w:rsidP="00DE7C26">
      <w:pPr>
        <w:widowControl/>
        <w:jc w:val="both"/>
        <w:rPr>
          <w:rFonts w:ascii="Times New Roman" w:hAnsi="Times New Roman"/>
          <w:szCs w:val="20"/>
        </w:rPr>
      </w:pPr>
    </w:p>
    <w:p w:rsidR="0048208D" w:rsidRPr="00C228B6" w:rsidRDefault="0048208D" w:rsidP="00DE7C26">
      <w:pPr>
        <w:spacing w:line="220" w:lineRule="exact"/>
        <w:jc w:val="both"/>
        <w:rPr>
          <w:rFonts w:ascii="Times New Roman" w:hAnsi="Times New Roman"/>
        </w:rPr>
      </w:pPr>
      <w:r w:rsidRPr="00C228B6">
        <w:rPr>
          <w:rFonts w:ascii="Times New Roman" w:hAnsi="Times New Roman"/>
          <w:b/>
          <w:bCs/>
        </w:rPr>
        <w:t>Reference Concentration Values:</w:t>
      </w:r>
      <w:r w:rsidRPr="00C228B6">
        <w:rPr>
          <w:rFonts w:ascii="Times New Roman" w:hAnsi="Times New Roman"/>
        </w:rPr>
        <w:t xml:space="preserve">  </w:t>
      </w:r>
      <w:r w:rsidR="00C228B6">
        <w:rPr>
          <w:rFonts w:ascii="Times New Roman" w:hAnsi="Times New Roman"/>
        </w:rPr>
        <w:t>The r</w:t>
      </w:r>
      <w:r w:rsidRPr="00C228B6">
        <w:rPr>
          <w:rFonts w:ascii="Times New Roman" w:hAnsi="Times New Roman"/>
        </w:rPr>
        <w:t xml:space="preserve">eference concentration value for </w:t>
      </w:r>
      <w:r w:rsidR="00C228B6" w:rsidRPr="00C228B6">
        <w:rPr>
          <w:rFonts w:ascii="Times New Roman" w:hAnsi="Times New Roman"/>
          <w:szCs w:val="20"/>
        </w:rPr>
        <w:t>11</w:t>
      </w:r>
      <w:r w:rsidR="00285105">
        <w:rPr>
          <w:rFonts w:ascii="Times New Roman" w:hAnsi="Times New Roman"/>
          <w:szCs w:val="20"/>
        </w:rPr>
        <w:noBreakHyphen/>
      </w:r>
      <w:r w:rsidR="00C228B6" w:rsidRPr="00C228B6">
        <w:rPr>
          <w:rFonts w:ascii="Times New Roman" w:hAnsi="Times New Roman"/>
          <w:szCs w:val="20"/>
        </w:rPr>
        <w:t>nor</w:t>
      </w:r>
      <w:r w:rsidR="00285105">
        <w:rPr>
          <w:rFonts w:ascii="Times New Roman" w:hAnsi="Times New Roman"/>
          <w:szCs w:val="20"/>
        </w:rPr>
        <w:noBreakHyphen/>
      </w:r>
      <w:r w:rsidR="00C228B6" w:rsidRPr="00C228B6">
        <w:rPr>
          <w:rFonts w:ascii="Times New Roman" w:hAnsi="Times New Roman"/>
          <w:szCs w:val="20"/>
        </w:rPr>
        <w:t>delta</w:t>
      </w:r>
      <w:r w:rsidR="00285105">
        <w:rPr>
          <w:rFonts w:ascii="Times New Roman" w:hAnsi="Times New Roman"/>
          <w:szCs w:val="20"/>
        </w:rPr>
        <w:noBreakHyphen/>
      </w:r>
      <w:r w:rsidR="00C228B6" w:rsidRPr="00C228B6">
        <w:rPr>
          <w:rFonts w:ascii="Times New Roman" w:hAnsi="Times New Roman"/>
          <w:szCs w:val="20"/>
        </w:rPr>
        <w:t>9</w:t>
      </w:r>
      <w:r w:rsidR="00285105">
        <w:rPr>
          <w:rFonts w:ascii="Times New Roman" w:hAnsi="Times New Roman"/>
          <w:szCs w:val="20"/>
        </w:rPr>
        <w:noBreakHyphen/>
      </w:r>
      <w:r w:rsidR="00C228B6" w:rsidRPr="00C228B6">
        <w:rPr>
          <w:rFonts w:ascii="Times New Roman" w:hAnsi="Times New Roman"/>
          <w:szCs w:val="20"/>
        </w:rPr>
        <w:t>tetrahydrocannabinol</w:t>
      </w:r>
      <w:r w:rsidR="00285105">
        <w:rPr>
          <w:rFonts w:ascii="Times New Roman" w:hAnsi="Times New Roman"/>
          <w:szCs w:val="20"/>
        </w:rPr>
        <w:noBreakHyphen/>
      </w:r>
      <w:r w:rsidR="00C228B6" w:rsidRPr="00C228B6">
        <w:rPr>
          <w:rFonts w:ascii="Times New Roman" w:hAnsi="Times New Roman"/>
          <w:szCs w:val="20"/>
        </w:rPr>
        <w:t>9</w:t>
      </w:r>
      <w:r w:rsidR="00285105">
        <w:rPr>
          <w:rFonts w:ascii="Times New Roman" w:hAnsi="Times New Roman"/>
          <w:szCs w:val="20"/>
        </w:rPr>
        <w:noBreakHyphen/>
      </w:r>
      <w:r w:rsidR="00C228B6" w:rsidRPr="00C228B6">
        <w:rPr>
          <w:rFonts w:ascii="Times New Roman" w:hAnsi="Times New Roman"/>
          <w:szCs w:val="20"/>
        </w:rPr>
        <w:t xml:space="preserve">carboxylic </w:t>
      </w:r>
      <w:r w:rsidR="00285105" w:rsidRPr="00C228B6">
        <w:rPr>
          <w:rFonts w:ascii="Times New Roman" w:hAnsi="Times New Roman"/>
          <w:szCs w:val="20"/>
        </w:rPr>
        <w:t>acid</w:t>
      </w:r>
      <w:r w:rsidR="00285105">
        <w:rPr>
          <w:rFonts w:ascii="Times New Roman" w:hAnsi="Times New Roman"/>
          <w:szCs w:val="20"/>
        </w:rPr>
        <w:t> </w:t>
      </w:r>
      <w:r w:rsidR="00C228B6" w:rsidRPr="00C228B6">
        <w:rPr>
          <w:rFonts w:ascii="Times New Roman" w:hAnsi="Times New Roman"/>
          <w:szCs w:val="20"/>
        </w:rPr>
        <w:t>(THC</w:t>
      </w:r>
      <w:r w:rsidR="00D431F2">
        <w:rPr>
          <w:rFonts w:ascii="Times New Roman" w:hAnsi="Times New Roman"/>
          <w:szCs w:val="20"/>
        </w:rPr>
        <w:noBreakHyphen/>
      </w:r>
      <w:r w:rsidR="00C228B6" w:rsidRPr="00C228B6">
        <w:rPr>
          <w:rFonts w:ascii="Times New Roman" w:hAnsi="Times New Roman"/>
          <w:szCs w:val="20"/>
        </w:rPr>
        <w:t>9</w:t>
      </w:r>
      <w:r w:rsidR="00D431F2">
        <w:rPr>
          <w:rFonts w:ascii="Times New Roman" w:hAnsi="Times New Roman"/>
          <w:szCs w:val="20"/>
        </w:rPr>
        <w:noBreakHyphen/>
      </w:r>
      <w:r w:rsidR="00C228B6" w:rsidRPr="00C228B6">
        <w:rPr>
          <w:rFonts w:ascii="Times New Roman" w:hAnsi="Times New Roman"/>
          <w:szCs w:val="20"/>
        </w:rPr>
        <w:t xml:space="preserve">COOH) </w:t>
      </w:r>
      <w:r w:rsidR="00C228B6">
        <w:rPr>
          <w:rFonts w:ascii="Times New Roman" w:hAnsi="Times New Roman"/>
          <w:szCs w:val="20"/>
        </w:rPr>
        <w:t>is</w:t>
      </w:r>
      <w:r w:rsidRPr="00C228B6">
        <w:rPr>
          <w:rFonts w:ascii="Times New Roman" w:hAnsi="Times New Roman"/>
        </w:rPr>
        <w:t xml:space="preserve"> provided in </w:t>
      </w:r>
      <w:r w:rsidR="00285105" w:rsidRPr="00C228B6">
        <w:rPr>
          <w:rFonts w:ascii="Times New Roman" w:hAnsi="Times New Roman"/>
        </w:rPr>
        <w:t>Table</w:t>
      </w:r>
      <w:r w:rsidR="00285105">
        <w:rPr>
          <w:rFonts w:ascii="Times New Roman" w:hAnsi="Times New Roman"/>
        </w:rPr>
        <w:t> </w:t>
      </w:r>
      <w:r w:rsidRPr="00C228B6">
        <w:rPr>
          <w:rFonts w:ascii="Times New Roman" w:hAnsi="Times New Roman"/>
        </w:rPr>
        <w:t xml:space="preserve">2. </w:t>
      </w:r>
      <w:r w:rsidR="005673B2">
        <w:rPr>
          <w:rFonts w:ascii="Times New Roman" w:hAnsi="Times New Roman"/>
        </w:rPr>
        <w:t xml:space="preserve"> A r</w:t>
      </w:r>
      <w:r w:rsidRPr="00C228B6">
        <w:rPr>
          <w:rFonts w:ascii="Times New Roman" w:hAnsi="Times New Roman"/>
        </w:rPr>
        <w:t xml:space="preserve">eference value </w:t>
      </w:r>
      <w:r w:rsidR="005673B2">
        <w:rPr>
          <w:rFonts w:ascii="Times New Roman" w:hAnsi="Times New Roman"/>
        </w:rPr>
        <w:t>is a</w:t>
      </w:r>
      <w:r w:rsidR="005673B2" w:rsidRPr="00C228B6">
        <w:rPr>
          <w:rFonts w:ascii="Times New Roman" w:hAnsi="Times New Roman"/>
        </w:rPr>
        <w:t xml:space="preserve"> </w:t>
      </w:r>
      <w:r w:rsidRPr="00C228B6">
        <w:rPr>
          <w:rFonts w:ascii="Times New Roman" w:hAnsi="Times New Roman"/>
        </w:rPr>
        <w:t xml:space="preserve">noncertified value that </w:t>
      </w:r>
      <w:r w:rsidR="005673B2">
        <w:rPr>
          <w:rFonts w:ascii="Times New Roman" w:hAnsi="Times New Roman"/>
        </w:rPr>
        <w:t>is</w:t>
      </w:r>
      <w:r w:rsidRPr="00C228B6">
        <w:rPr>
          <w:rFonts w:ascii="Times New Roman" w:hAnsi="Times New Roman"/>
        </w:rPr>
        <w:t xml:space="preserve"> the best estimate of the true value based on available data; however, the value do</w:t>
      </w:r>
      <w:r w:rsidR="005673B2">
        <w:rPr>
          <w:rFonts w:ascii="Times New Roman" w:hAnsi="Times New Roman"/>
        </w:rPr>
        <w:t>es</w:t>
      </w:r>
      <w:r w:rsidRPr="00C228B6">
        <w:rPr>
          <w:rFonts w:ascii="Times New Roman" w:hAnsi="Times New Roman"/>
        </w:rPr>
        <w:t xml:space="preserve"> not meet the NIST criteria for certification and </w:t>
      </w:r>
      <w:r w:rsidR="005673B2">
        <w:rPr>
          <w:rFonts w:ascii="Times New Roman" w:hAnsi="Times New Roman"/>
        </w:rPr>
        <w:t>is</w:t>
      </w:r>
      <w:r w:rsidR="005673B2" w:rsidRPr="00C228B6">
        <w:rPr>
          <w:rFonts w:ascii="Times New Roman" w:hAnsi="Times New Roman"/>
        </w:rPr>
        <w:t xml:space="preserve"> </w:t>
      </w:r>
      <w:r w:rsidRPr="00C228B6">
        <w:rPr>
          <w:rFonts w:ascii="Times New Roman" w:hAnsi="Times New Roman"/>
        </w:rPr>
        <w:t xml:space="preserve">provided with </w:t>
      </w:r>
      <w:r w:rsidR="005673B2">
        <w:rPr>
          <w:rFonts w:ascii="Times New Roman" w:hAnsi="Times New Roman"/>
        </w:rPr>
        <w:t xml:space="preserve">an </w:t>
      </w:r>
      <w:r w:rsidRPr="00C228B6">
        <w:rPr>
          <w:rFonts w:ascii="Times New Roman" w:hAnsi="Times New Roman"/>
        </w:rPr>
        <w:t>associated uncertaint</w:t>
      </w:r>
      <w:r w:rsidR="005673B2">
        <w:rPr>
          <w:rFonts w:ascii="Times New Roman" w:hAnsi="Times New Roman"/>
        </w:rPr>
        <w:t>y</w:t>
      </w:r>
      <w:r w:rsidRPr="00C228B6">
        <w:rPr>
          <w:rFonts w:ascii="Times New Roman" w:hAnsi="Times New Roman"/>
        </w:rPr>
        <w:t xml:space="preserve"> that may reflect only measurement precision, may not include all sources of uncertainty, or may reflect a lack of sufficient statistical agreement among multiple analytical </w:t>
      </w:r>
      <w:r w:rsidR="00285105" w:rsidRPr="00C228B6">
        <w:rPr>
          <w:rFonts w:ascii="Times New Roman" w:hAnsi="Times New Roman"/>
        </w:rPr>
        <w:t>methods</w:t>
      </w:r>
      <w:r w:rsidR="00285105">
        <w:rPr>
          <w:rFonts w:ascii="Times New Roman" w:hAnsi="Times New Roman"/>
        </w:rPr>
        <w:t> </w:t>
      </w:r>
      <w:r w:rsidRPr="00C228B6">
        <w:rPr>
          <w:rFonts w:ascii="Times New Roman" w:hAnsi="Times New Roman"/>
        </w:rPr>
        <w:t xml:space="preserve">[1].  The reference value for </w:t>
      </w:r>
      <w:r w:rsidR="00741190">
        <w:rPr>
          <w:rFonts w:ascii="Times New Roman" w:hAnsi="Times New Roman"/>
        </w:rPr>
        <w:t>THC</w:t>
      </w:r>
      <w:r w:rsidR="00285105">
        <w:rPr>
          <w:rFonts w:ascii="Times New Roman" w:hAnsi="Times New Roman"/>
        </w:rPr>
        <w:noBreakHyphen/>
      </w:r>
      <w:r w:rsidR="00741190">
        <w:rPr>
          <w:rFonts w:ascii="Times New Roman" w:hAnsi="Times New Roman"/>
        </w:rPr>
        <w:t>9</w:t>
      </w:r>
      <w:r w:rsidR="00285105">
        <w:rPr>
          <w:rFonts w:ascii="Times New Roman" w:hAnsi="Times New Roman"/>
        </w:rPr>
        <w:noBreakHyphen/>
      </w:r>
      <w:r w:rsidR="00741190">
        <w:rPr>
          <w:rFonts w:ascii="Times New Roman" w:hAnsi="Times New Roman"/>
        </w:rPr>
        <w:t xml:space="preserve">COOH is based on measurements by </w:t>
      </w:r>
      <w:r w:rsidR="00D431F2" w:rsidRPr="0048208D">
        <w:rPr>
          <w:rFonts w:ascii="Times New Roman" w:hAnsi="Times New Roman"/>
        </w:rPr>
        <w:t>ID</w:t>
      </w:r>
      <w:r w:rsidR="00D431F2">
        <w:rPr>
          <w:rFonts w:ascii="Times New Roman" w:hAnsi="Times New Roman"/>
        </w:rPr>
        <w:noBreakHyphen/>
        <w:t>GC</w:t>
      </w:r>
      <w:r w:rsidR="00D431F2">
        <w:rPr>
          <w:rFonts w:ascii="Times New Roman" w:hAnsi="Times New Roman"/>
        </w:rPr>
        <w:noBreakHyphen/>
      </w:r>
      <w:r w:rsidR="00D431F2" w:rsidRPr="0048208D">
        <w:rPr>
          <w:rFonts w:ascii="Times New Roman" w:hAnsi="Times New Roman"/>
        </w:rPr>
        <w:t>MS</w:t>
      </w:r>
      <w:r w:rsidR="00741190">
        <w:rPr>
          <w:rFonts w:ascii="Times New Roman" w:hAnsi="Times New Roman"/>
        </w:rPr>
        <w:t xml:space="preserve">, </w:t>
      </w:r>
      <w:r w:rsidR="00D431F2" w:rsidRPr="0048208D">
        <w:rPr>
          <w:rFonts w:ascii="Times New Roman" w:hAnsi="Times New Roman"/>
        </w:rPr>
        <w:t>ID</w:t>
      </w:r>
      <w:r w:rsidR="00D431F2">
        <w:rPr>
          <w:rFonts w:ascii="Times New Roman" w:hAnsi="Times New Roman"/>
        </w:rPr>
        <w:noBreakHyphen/>
      </w:r>
      <w:r w:rsidR="00D431F2" w:rsidRPr="0048208D">
        <w:rPr>
          <w:rFonts w:ascii="Times New Roman" w:hAnsi="Times New Roman"/>
        </w:rPr>
        <w:t>LC</w:t>
      </w:r>
      <w:r w:rsidR="00D431F2">
        <w:rPr>
          <w:rFonts w:ascii="Times New Roman" w:hAnsi="Times New Roman"/>
        </w:rPr>
        <w:noBreakHyphen/>
      </w:r>
      <w:r w:rsidR="00D431F2" w:rsidRPr="0048208D">
        <w:rPr>
          <w:rFonts w:ascii="Times New Roman" w:hAnsi="Times New Roman"/>
        </w:rPr>
        <w:t>MS</w:t>
      </w:r>
      <w:r w:rsidR="00741190">
        <w:rPr>
          <w:rFonts w:ascii="Times New Roman" w:hAnsi="Times New Roman"/>
        </w:rPr>
        <w:t>, and isotope dilution liquid chromatography tandem mass spectrometry (</w:t>
      </w:r>
      <w:r w:rsidR="00D431F2" w:rsidRPr="0048208D">
        <w:rPr>
          <w:rFonts w:ascii="Times New Roman" w:hAnsi="Times New Roman"/>
        </w:rPr>
        <w:t>ID</w:t>
      </w:r>
      <w:r w:rsidR="00D431F2">
        <w:rPr>
          <w:rFonts w:ascii="Times New Roman" w:hAnsi="Times New Roman"/>
        </w:rPr>
        <w:noBreakHyphen/>
      </w:r>
      <w:r w:rsidR="00D431F2" w:rsidRPr="0048208D">
        <w:rPr>
          <w:rFonts w:ascii="Times New Roman" w:hAnsi="Times New Roman"/>
        </w:rPr>
        <w:t>LC</w:t>
      </w:r>
      <w:r w:rsidR="00D431F2">
        <w:rPr>
          <w:rFonts w:ascii="Times New Roman" w:hAnsi="Times New Roman"/>
        </w:rPr>
        <w:noBreakHyphen/>
      </w:r>
      <w:r w:rsidR="00D431F2" w:rsidRPr="0048208D">
        <w:rPr>
          <w:rFonts w:ascii="Times New Roman" w:hAnsi="Times New Roman"/>
        </w:rPr>
        <w:t>MS</w:t>
      </w:r>
      <w:r w:rsidR="00741190">
        <w:rPr>
          <w:rFonts w:ascii="Times New Roman" w:hAnsi="Times New Roman"/>
        </w:rPr>
        <w:t>/MS).</w:t>
      </w:r>
      <w:r w:rsidR="00E335EE">
        <w:rPr>
          <w:rFonts w:ascii="Times New Roman" w:hAnsi="Times New Roman"/>
        </w:rPr>
        <w:t xml:space="preserve">  The reference concentrations apply only to serum thawed to room temperature, 20</w:t>
      </w:r>
      <w:r w:rsidR="009F5173">
        <w:rPr>
          <w:rFonts w:ascii="Times New Roman" w:hAnsi="Times New Roman"/>
        </w:rPr>
        <w:t> </w:t>
      </w:r>
      <w:r w:rsidR="00E335EE">
        <w:rPr>
          <w:rFonts w:ascii="Times New Roman" w:hAnsi="Times New Roman"/>
          <w:szCs w:val="20"/>
        </w:rPr>
        <w:t>º</w:t>
      </w:r>
      <w:r w:rsidR="00E335EE">
        <w:rPr>
          <w:rFonts w:ascii="Times New Roman" w:hAnsi="Times New Roman"/>
        </w:rPr>
        <w:t>C to 25</w:t>
      </w:r>
      <w:r w:rsidR="009F5173">
        <w:rPr>
          <w:rFonts w:ascii="Times New Roman" w:hAnsi="Times New Roman"/>
        </w:rPr>
        <w:t> </w:t>
      </w:r>
      <w:r w:rsidR="00E335EE">
        <w:rPr>
          <w:rFonts w:ascii="Times New Roman" w:hAnsi="Times New Roman"/>
          <w:szCs w:val="20"/>
        </w:rPr>
        <w:t>º</w:t>
      </w:r>
      <w:r w:rsidR="00E335EE">
        <w:rPr>
          <w:rFonts w:ascii="Times New Roman" w:hAnsi="Times New Roman"/>
        </w:rPr>
        <w:t xml:space="preserve">C (see “Instructions for </w:t>
      </w:r>
      <w:r w:rsidR="00C00DA4">
        <w:rPr>
          <w:rFonts w:ascii="Times New Roman" w:hAnsi="Times New Roman"/>
        </w:rPr>
        <w:t>Storage</w:t>
      </w:r>
      <w:r w:rsidR="005079A6">
        <w:rPr>
          <w:rFonts w:ascii="Times New Roman" w:hAnsi="Times New Roman"/>
        </w:rPr>
        <w:t xml:space="preserve"> and</w:t>
      </w:r>
      <w:r w:rsidR="00C00DA4">
        <w:rPr>
          <w:rFonts w:ascii="Times New Roman" w:hAnsi="Times New Roman"/>
        </w:rPr>
        <w:t xml:space="preserve"> </w:t>
      </w:r>
      <w:r w:rsidR="00E335EE">
        <w:rPr>
          <w:rFonts w:ascii="Times New Roman" w:hAnsi="Times New Roman"/>
        </w:rPr>
        <w:t>Use”).</w:t>
      </w:r>
    </w:p>
    <w:p w:rsidR="0048208D" w:rsidRPr="0048208D" w:rsidRDefault="0048208D" w:rsidP="00DE7C26">
      <w:pPr>
        <w:widowControl/>
        <w:jc w:val="both"/>
        <w:rPr>
          <w:rFonts w:ascii="Times New Roman" w:hAnsi="Times New Roman"/>
          <w:szCs w:val="20"/>
        </w:rPr>
      </w:pPr>
    </w:p>
    <w:p w:rsidR="00B47D11" w:rsidRDefault="00193458">
      <w:pPr>
        <w:spacing w:line="220" w:lineRule="exact"/>
        <w:jc w:val="both"/>
        <w:rPr>
          <w:szCs w:val="20"/>
        </w:rPr>
      </w:pPr>
      <w:r w:rsidRPr="0048208D">
        <w:rPr>
          <w:rFonts w:ascii="Times New Roman" w:hAnsi="Times New Roman"/>
          <w:b/>
          <w:bCs/>
        </w:rPr>
        <w:t>Expiration of Certification:</w:t>
      </w:r>
      <w:r w:rsidRPr="0048208D">
        <w:rPr>
          <w:rFonts w:ascii="Times New Roman" w:hAnsi="Times New Roman"/>
        </w:rPr>
        <w:t xml:space="preserve">  The </w:t>
      </w:r>
      <w:r w:rsidR="00074245">
        <w:rPr>
          <w:rFonts w:ascii="Times New Roman" w:hAnsi="Times New Roman"/>
        </w:rPr>
        <w:t>certification of SRM 1959 is</w:t>
      </w:r>
      <w:r w:rsidRPr="0048208D">
        <w:rPr>
          <w:rFonts w:ascii="Times New Roman" w:hAnsi="Times New Roman"/>
        </w:rPr>
        <w:t xml:space="preserve"> valid</w:t>
      </w:r>
      <w:r w:rsidR="00074245">
        <w:rPr>
          <w:rFonts w:ascii="Times New Roman" w:hAnsi="Times New Roman"/>
        </w:rPr>
        <w:t>,</w:t>
      </w:r>
      <w:r w:rsidRPr="0048208D">
        <w:rPr>
          <w:rFonts w:ascii="Times New Roman" w:hAnsi="Times New Roman"/>
        </w:rPr>
        <w:t xml:space="preserve"> </w:t>
      </w:r>
      <w:r w:rsidR="00074245" w:rsidRPr="0048208D">
        <w:rPr>
          <w:rFonts w:ascii="Times New Roman" w:hAnsi="Times New Roman"/>
        </w:rPr>
        <w:t>within the measurement uncertainties specified</w:t>
      </w:r>
      <w:r w:rsidR="00074245">
        <w:rPr>
          <w:rFonts w:ascii="Times New Roman" w:hAnsi="Times New Roman"/>
        </w:rPr>
        <w:t>,</w:t>
      </w:r>
      <w:r w:rsidR="00074245" w:rsidRPr="0048208D">
        <w:rPr>
          <w:rFonts w:ascii="Times New Roman" w:hAnsi="Times New Roman"/>
        </w:rPr>
        <w:t xml:space="preserve"> </w:t>
      </w:r>
      <w:r w:rsidRPr="0048208D">
        <w:rPr>
          <w:rFonts w:ascii="Times New Roman" w:hAnsi="Times New Roman"/>
        </w:rPr>
        <w:t xml:space="preserve">until </w:t>
      </w:r>
      <w:r w:rsidR="009F5173" w:rsidRPr="009F5173">
        <w:rPr>
          <w:rFonts w:ascii="Times New Roman" w:hAnsi="Times New Roman"/>
          <w:b/>
        </w:rPr>
        <w:t>0</w:t>
      </w:r>
      <w:r w:rsidR="00285105" w:rsidRPr="0048208D">
        <w:rPr>
          <w:rFonts w:ascii="Times New Roman" w:hAnsi="Times New Roman"/>
          <w:b/>
        </w:rPr>
        <w:t>1</w:t>
      </w:r>
      <w:r w:rsidR="00285105">
        <w:rPr>
          <w:rFonts w:ascii="Times New Roman" w:hAnsi="Times New Roman"/>
          <w:b/>
        </w:rPr>
        <w:t> October </w:t>
      </w:r>
      <w:r w:rsidR="004B2CDE" w:rsidRPr="0048208D">
        <w:rPr>
          <w:rFonts w:ascii="Times New Roman" w:hAnsi="Times New Roman"/>
          <w:b/>
        </w:rPr>
        <w:t>201</w:t>
      </w:r>
      <w:r w:rsidR="004B2CDE">
        <w:rPr>
          <w:rFonts w:ascii="Times New Roman" w:hAnsi="Times New Roman"/>
          <w:b/>
        </w:rPr>
        <w:t>5</w:t>
      </w:r>
      <w:r w:rsidRPr="0048208D">
        <w:rPr>
          <w:rFonts w:ascii="Times New Roman" w:hAnsi="Times New Roman"/>
        </w:rPr>
        <w:t xml:space="preserve">, provided the SRM is handled and stored in accordance with the instructions given in this certificate (see “Instructions for </w:t>
      </w:r>
      <w:r w:rsidR="00074245">
        <w:rPr>
          <w:rFonts w:ascii="Times New Roman" w:hAnsi="Times New Roman"/>
        </w:rPr>
        <w:t xml:space="preserve">Storage </w:t>
      </w:r>
      <w:r w:rsidR="005079A6">
        <w:rPr>
          <w:rFonts w:ascii="Times New Roman" w:hAnsi="Times New Roman"/>
        </w:rPr>
        <w:t xml:space="preserve">and </w:t>
      </w:r>
      <w:r w:rsidRPr="0048208D">
        <w:rPr>
          <w:rFonts w:ascii="Times New Roman" w:hAnsi="Times New Roman"/>
        </w:rPr>
        <w:t xml:space="preserve">Use”).  </w:t>
      </w:r>
      <w:r w:rsidR="00074245">
        <w:rPr>
          <w:rFonts w:ascii="Times New Roman" w:hAnsi="Times New Roman"/>
        </w:rPr>
        <w:t>The</w:t>
      </w:r>
      <w:r w:rsidRPr="0048208D">
        <w:rPr>
          <w:rFonts w:ascii="Times New Roman" w:hAnsi="Times New Roman"/>
        </w:rPr>
        <w:t xml:space="preserve"> certification is nullified if the SRM is damaged, contaminated, or otherwise modified.</w:t>
      </w:r>
    </w:p>
    <w:p w:rsidR="00B47D11" w:rsidRDefault="00B47D11">
      <w:pPr>
        <w:spacing w:line="220" w:lineRule="exact"/>
        <w:jc w:val="both"/>
        <w:rPr>
          <w:szCs w:val="20"/>
        </w:rPr>
      </w:pPr>
    </w:p>
    <w:p w:rsidR="00741190" w:rsidRDefault="00741190" w:rsidP="00DE7C26">
      <w:pPr>
        <w:widowControl/>
        <w:spacing w:line="220" w:lineRule="exact"/>
        <w:jc w:val="both"/>
        <w:rPr>
          <w:rFonts w:ascii="Times New Roman" w:hAnsi="Times New Roman"/>
        </w:rPr>
      </w:pPr>
      <w:r w:rsidRPr="00741190">
        <w:rPr>
          <w:rFonts w:ascii="Times New Roman" w:hAnsi="Times New Roman"/>
          <w:b/>
          <w:bCs/>
        </w:rPr>
        <w:t>Maintenance of SRM Certificate:</w:t>
      </w:r>
      <w:r w:rsidRPr="00741190">
        <w:rPr>
          <w:rFonts w:ascii="Times New Roman" w:hAnsi="Times New Roman"/>
        </w:rPr>
        <w:t xml:space="preserve">  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741190" w:rsidRDefault="00741190" w:rsidP="00DE7C26">
      <w:pPr>
        <w:widowControl/>
        <w:spacing w:line="220" w:lineRule="exact"/>
        <w:jc w:val="both"/>
        <w:rPr>
          <w:rFonts w:ascii="Times New Roman" w:hAnsi="Times New Roman"/>
        </w:rPr>
      </w:pPr>
    </w:p>
    <w:p w:rsidR="00AE466B" w:rsidRDefault="00AE466B" w:rsidP="00DE7C26">
      <w:pPr>
        <w:widowControl/>
        <w:jc w:val="both"/>
        <w:rPr>
          <w:rFonts w:ascii="Times New Roman" w:hAnsi="Times New Roman"/>
          <w:szCs w:val="20"/>
        </w:rPr>
      </w:pPr>
      <w:r w:rsidRPr="00FC25B4">
        <w:rPr>
          <w:rFonts w:ascii="Times New Roman" w:hAnsi="Times New Roman"/>
          <w:szCs w:val="20"/>
        </w:rPr>
        <w:t xml:space="preserve">The overall direction and coordination of the </w:t>
      </w:r>
      <w:r>
        <w:rPr>
          <w:rFonts w:ascii="Times New Roman" w:hAnsi="Times New Roman"/>
          <w:szCs w:val="20"/>
        </w:rPr>
        <w:t>preparation and analytical measurements leading to the certification of this SRM w</w:t>
      </w:r>
      <w:r w:rsidR="00675FC7">
        <w:rPr>
          <w:rFonts w:ascii="Times New Roman" w:hAnsi="Times New Roman"/>
          <w:szCs w:val="20"/>
        </w:rPr>
        <w:t>ere</w:t>
      </w:r>
      <w:r>
        <w:rPr>
          <w:rFonts w:ascii="Times New Roman" w:hAnsi="Times New Roman"/>
          <w:szCs w:val="20"/>
        </w:rPr>
        <w:t xml:space="preserve"> performed by K.W</w:t>
      </w:r>
      <w:r w:rsidR="00DE7C26">
        <w:rPr>
          <w:rFonts w:ascii="Times New Roman" w:hAnsi="Times New Roman"/>
          <w:szCs w:val="20"/>
        </w:rPr>
        <w:t>. </w:t>
      </w:r>
      <w:r>
        <w:rPr>
          <w:rFonts w:ascii="Times New Roman" w:hAnsi="Times New Roman"/>
          <w:szCs w:val="20"/>
        </w:rPr>
        <w:t>Phinney and M.</w:t>
      </w:r>
      <w:r w:rsidRPr="00FC25B4">
        <w:rPr>
          <w:rFonts w:ascii="Times New Roman" w:hAnsi="Times New Roman"/>
          <w:szCs w:val="20"/>
        </w:rPr>
        <w:t>J</w:t>
      </w:r>
      <w:r w:rsidR="00DE7C26" w:rsidRPr="00FC25B4">
        <w:rPr>
          <w:rFonts w:ascii="Times New Roman" w:hAnsi="Times New Roman"/>
          <w:szCs w:val="20"/>
        </w:rPr>
        <w:t>.</w:t>
      </w:r>
      <w:r w:rsidR="00DE7C26">
        <w:rPr>
          <w:rFonts w:ascii="Times New Roman" w:hAnsi="Times New Roman"/>
          <w:szCs w:val="20"/>
        </w:rPr>
        <w:t> </w:t>
      </w:r>
      <w:r w:rsidRPr="00FC25B4">
        <w:rPr>
          <w:rFonts w:ascii="Times New Roman" w:hAnsi="Times New Roman"/>
          <w:szCs w:val="20"/>
        </w:rPr>
        <w:t>Welch of the NIST Analytical Chemistry Division.</w:t>
      </w:r>
    </w:p>
    <w:p w:rsidR="00741190" w:rsidRPr="00741190" w:rsidRDefault="00741190" w:rsidP="00DE7C26">
      <w:pPr>
        <w:widowControl/>
        <w:spacing w:line="220" w:lineRule="exact"/>
        <w:jc w:val="both"/>
        <w:rPr>
          <w:rFonts w:ascii="Times New Roman" w:hAnsi="Times New Roman"/>
        </w:rPr>
      </w:pPr>
    </w:p>
    <w:p w:rsidR="006506F4" w:rsidRDefault="006506F4" w:rsidP="00DE7C26">
      <w:pPr>
        <w:pStyle w:val="BodyText"/>
        <w:tabs>
          <w:tab w:val="clear" w:pos="1350"/>
          <w:tab w:val="clear" w:pos="4320"/>
          <w:tab w:val="clear" w:pos="4860"/>
          <w:tab w:val="clear" w:pos="5310"/>
          <w:tab w:val="clear" w:pos="7470"/>
          <w:tab w:val="clear" w:pos="7920"/>
          <w:tab w:val="clear" w:pos="8370"/>
        </w:tabs>
        <w:rPr>
          <w:rFonts w:ascii="Times New Roman" w:hAnsi="Times New Roman"/>
        </w:rPr>
      </w:pPr>
      <w:r>
        <w:rPr>
          <w:rFonts w:ascii="Times New Roman" w:hAnsi="Times New Roman"/>
        </w:rPr>
        <w:t>A</w:t>
      </w:r>
      <w:r w:rsidRPr="00FC25B4">
        <w:rPr>
          <w:rFonts w:ascii="Times New Roman" w:hAnsi="Times New Roman"/>
        </w:rPr>
        <w:t xml:space="preserve">nalytical measurements were performed </w:t>
      </w:r>
      <w:r>
        <w:rPr>
          <w:rFonts w:ascii="Times New Roman" w:hAnsi="Times New Roman"/>
        </w:rPr>
        <w:t xml:space="preserve">by </w:t>
      </w:r>
      <w:r w:rsidRPr="00FC25B4">
        <w:rPr>
          <w:rFonts w:ascii="Times New Roman" w:hAnsi="Times New Roman"/>
        </w:rPr>
        <w:t>L.T</w:t>
      </w:r>
      <w:r w:rsidR="00DE7C26" w:rsidRPr="00FC25B4">
        <w:rPr>
          <w:rFonts w:ascii="Times New Roman" w:hAnsi="Times New Roman"/>
        </w:rPr>
        <w:t>.</w:t>
      </w:r>
      <w:r w:rsidR="00DE7C26">
        <w:rPr>
          <w:rFonts w:ascii="Times New Roman" w:hAnsi="Times New Roman"/>
        </w:rPr>
        <w:t> </w:t>
      </w:r>
      <w:r w:rsidRPr="00FC25B4">
        <w:rPr>
          <w:rFonts w:ascii="Times New Roman" w:hAnsi="Times New Roman"/>
        </w:rPr>
        <w:t>Sniegoski,</w:t>
      </w:r>
      <w:r>
        <w:rPr>
          <w:rFonts w:ascii="Times New Roman" w:hAnsi="Times New Roman"/>
        </w:rPr>
        <w:t xml:space="preserve"> S.S</w:t>
      </w:r>
      <w:r w:rsidR="00DE7C26">
        <w:rPr>
          <w:rFonts w:ascii="Times New Roman" w:hAnsi="Times New Roman"/>
        </w:rPr>
        <w:noBreakHyphen/>
      </w:r>
      <w:r>
        <w:rPr>
          <w:rFonts w:ascii="Times New Roman" w:hAnsi="Times New Roman"/>
        </w:rPr>
        <w:t>C</w:t>
      </w:r>
      <w:r w:rsidR="00DE7C26">
        <w:rPr>
          <w:rFonts w:ascii="Times New Roman" w:hAnsi="Times New Roman"/>
        </w:rPr>
        <w:t>. </w:t>
      </w:r>
      <w:r>
        <w:rPr>
          <w:rFonts w:ascii="Times New Roman" w:hAnsi="Times New Roman"/>
        </w:rPr>
        <w:t>Tai, and J.L</w:t>
      </w:r>
      <w:r w:rsidR="00DE7C26">
        <w:rPr>
          <w:rFonts w:ascii="Times New Roman" w:hAnsi="Times New Roman"/>
        </w:rPr>
        <w:t>. </w:t>
      </w:r>
      <w:r>
        <w:rPr>
          <w:rFonts w:ascii="Times New Roman" w:hAnsi="Times New Roman"/>
        </w:rPr>
        <w:t>Prendergast of the NIST Analytical Chemistry Division.</w:t>
      </w:r>
    </w:p>
    <w:p w:rsidR="004F6038" w:rsidRPr="00FC25B4" w:rsidRDefault="004F6038" w:rsidP="00DE7C26">
      <w:pPr>
        <w:pStyle w:val="BodyText"/>
        <w:tabs>
          <w:tab w:val="clear" w:pos="1350"/>
          <w:tab w:val="clear" w:pos="4320"/>
          <w:tab w:val="clear" w:pos="4860"/>
          <w:tab w:val="clear" w:pos="5310"/>
          <w:tab w:val="clear" w:pos="7470"/>
          <w:tab w:val="clear" w:pos="7920"/>
          <w:tab w:val="clear" w:pos="8370"/>
        </w:tabs>
        <w:rPr>
          <w:rFonts w:ascii="Times New Roman" w:hAnsi="Times New Roman"/>
        </w:rPr>
      </w:pPr>
    </w:p>
    <w:p w:rsidR="004F6038" w:rsidRDefault="004F6038" w:rsidP="00DE7C26">
      <w:pPr>
        <w:widowControl/>
        <w:jc w:val="both"/>
        <w:rPr>
          <w:rFonts w:ascii="Times New Roman" w:hAnsi="Times New Roman"/>
          <w:szCs w:val="20"/>
        </w:rPr>
      </w:pPr>
      <w:r w:rsidRPr="00FC25B4">
        <w:rPr>
          <w:rFonts w:ascii="Times New Roman" w:hAnsi="Times New Roman"/>
          <w:szCs w:val="20"/>
        </w:rPr>
        <w:t>Design of the sampling protocol and statistical analysis of</w:t>
      </w:r>
      <w:r>
        <w:rPr>
          <w:rFonts w:ascii="Times New Roman" w:hAnsi="Times New Roman"/>
          <w:szCs w:val="20"/>
        </w:rPr>
        <w:t xml:space="preserve"> the data were performed by N.</w:t>
      </w:r>
      <w:r w:rsidRPr="00FC25B4">
        <w:rPr>
          <w:rFonts w:ascii="Times New Roman" w:hAnsi="Times New Roman"/>
          <w:szCs w:val="20"/>
        </w:rPr>
        <w:t>F.</w:t>
      </w:r>
      <w:r w:rsidR="00E754A0">
        <w:rPr>
          <w:rFonts w:ascii="Times New Roman" w:hAnsi="Times New Roman"/>
          <w:szCs w:val="20"/>
        </w:rPr>
        <w:t> </w:t>
      </w:r>
      <w:r w:rsidRPr="00FC25B4">
        <w:rPr>
          <w:rFonts w:ascii="Times New Roman" w:hAnsi="Times New Roman"/>
          <w:szCs w:val="20"/>
        </w:rPr>
        <w:t xml:space="preserve">Zhang </w:t>
      </w:r>
      <w:r w:rsidR="00675FC7">
        <w:rPr>
          <w:rFonts w:ascii="Times New Roman" w:hAnsi="Times New Roman"/>
          <w:szCs w:val="20"/>
        </w:rPr>
        <w:t xml:space="preserve">of </w:t>
      </w:r>
      <w:r w:rsidRPr="00FC25B4">
        <w:rPr>
          <w:rFonts w:ascii="Times New Roman" w:hAnsi="Times New Roman"/>
          <w:szCs w:val="20"/>
        </w:rPr>
        <w:t>the NIST Statistical Engineering Division.</w:t>
      </w:r>
    </w:p>
    <w:p w:rsidR="00E754A0" w:rsidRDefault="00E754A0" w:rsidP="00DE7C26">
      <w:pPr>
        <w:widowControl/>
        <w:jc w:val="both"/>
        <w:rPr>
          <w:rFonts w:ascii="Times New Roman" w:hAnsi="Times New Roman"/>
          <w:szCs w:val="20"/>
        </w:rPr>
      </w:pPr>
    </w:p>
    <w:p w:rsidR="004F6038" w:rsidRPr="00D95F7C" w:rsidRDefault="004F6038" w:rsidP="00DE7C26">
      <w:pPr>
        <w:widowControl/>
        <w:jc w:val="both"/>
        <w:rPr>
          <w:rFonts w:ascii="Times New Roman" w:hAnsi="Times New Roman"/>
          <w:szCs w:val="20"/>
        </w:rPr>
      </w:pPr>
      <w:r w:rsidRPr="00D95F7C">
        <w:rPr>
          <w:rFonts w:ascii="Times New Roman" w:hAnsi="Times New Roman"/>
          <w:szCs w:val="20"/>
        </w:rPr>
        <w:t>Support aspects involved in the issuance of this SRM were coordinated through the NIST Measurement Services Division.</w:t>
      </w:r>
    </w:p>
    <w:p w:rsidR="00E754A0" w:rsidRDefault="00E754A0" w:rsidP="00DE7C26">
      <w:pPr>
        <w:jc w:val="both"/>
        <w:rPr>
          <w:rFonts w:ascii="Times New Roman" w:hAnsi="Times New Roman"/>
          <w:szCs w:val="20"/>
        </w:rPr>
      </w:pPr>
    </w:p>
    <w:p w:rsidR="005673B2" w:rsidRDefault="005673B2" w:rsidP="00E754A0">
      <w:pPr>
        <w:keepNext/>
        <w:keepLines/>
        <w:tabs>
          <w:tab w:val="right" w:pos="9360"/>
        </w:tabs>
        <w:jc w:val="both"/>
        <w:rPr>
          <w:rFonts w:ascii="Times New Roman" w:hAnsi="Times New Roman"/>
          <w:szCs w:val="20"/>
        </w:rPr>
      </w:pPr>
      <w:r>
        <w:rPr>
          <w:rFonts w:ascii="Times New Roman" w:hAnsi="Times New Roman"/>
          <w:szCs w:val="20"/>
        </w:rPr>
        <w:tab/>
        <w:t>Stephen</w:t>
      </w:r>
      <w:r w:rsidR="00E754A0">
        <w:rPr>
          <w:rFonts w:ascii="Times New Roman" w:hAnsi="Times New Roman"/>
          <w:szCs w:val="20"/>
        </w:rPr>
        <w:t> </w:t>
      </w:r>
      <w:r>
        <w:rPr>
          <w:rFonts w:ascii="Times New Roman" w:hAnsi="Times New Roman"/>
          <w:szCs w:val="20"/>
        </w:rPr>
        <w:t>A.</w:t>
      </w:r>
      <w:r w:rsidR="00E754A0">
        <w:rPr>
          <w:rFonts w:ascii="Times New Roman" w:hAnsi="Times New Roman"/>
          <w:szCs w:val="20"/>
        </w:rPr>
        <w:t> </w:t>
      </w:r>
      <w:r>
        <w:rPr>
          <w:rFonts w:ascii="Times New Roman" w:hAnsi="Times New Roman"/>
          <w:szCs w:val="20"/>
        </w:rPr>
        <w:t>Wise,</w:t>
      </w:r>
      <w:r w:rsidR="00E754A0">
        <w:rPr>
          <w:rFonts w:ascii="Times New Roman" w:hAnsi="Times New Roman"/>
          <w:szCs w:val="20"/>
        </w:rPr>
        <w:t> </w:t>
      </w:r>
      <w:r>
        <w:rPr>
          <w:rFonts w:ascii="Times New Roman" w:hAnsi="Times New Roman"/>
          <w:szCs w:val="20"/>
        </w:rPr>
        <w:t>Chief</w:t>
      </w:r>
    </w:p>
    <w:p w:rsidR="005673B2" w:rsidRDefault="005673B2" w:rsidP="00E754A0">
      <w:pPr>
        <w:keepNext/>
        <w:keepLines/>
        <w:tabs>
          <w:tab w:val="right" w:pos="9360"/>
        </w:tabs>
        <w:jc w:val="both"/>
        <w:rPr>
          <w:rFonts w:ascii="Times New Roman" w:hAnsi="Times New Roman"/>
          <w:szCs w:val="20"/>
        </w:rPr>
      </w:pPr>
      <w:r>
        <w:rPr>
          <w:rFonts w:ascii="Times New Roman" w:hAnsi="Times New Roman"/>
          <w:szCs w:val="20"/>
        </w:rPr>
        <w:tab/>
        <w:t>Analytical</w:t>
      </w:r>
      <w:r w:rsidR="00E754A0">
        <w:rPr>
          <w:rFonts w:ascii="Times New Roman" w:hAnsi="Times New Roman"/>
          <w:szCs w:val="20"/>
        </w:rPr>
        <w:t> </w:t>
      </w:r>
      <w:r>
        <w:rPr>
          <w:rFonts w:ascii="Times New Roman" w:hAnsi="Times New Roman"/>
          <w:szCs w:val="20"/>
        </w:rPr>
        <w:t>Chemistry</w:t>
      </w:r>
      <w:r w:rsidR="00E754A0">
        <w:rPr>
          <w:rFonts w:ascii="Times New Roman" w:hAnsi="Times New Roman"/>
          <w:szCs w:val="20"/>
        </w:rPr>
        <w:t> </w:t>
      </w:r>
      <w:r>
        <w:rPr>
          <w:rFonts w:ascii="Times New Roman" w:hAnsi="Times New Roman"/>
          <w:szCs w:val="20"/>
        </w:rPr>
        <w:t>Division</w:t>
      </w:r>
    </w:p>
    <w:p w:rsidR="005673B2" w:rsidRDefault="005673B2" w:rsidP="00E754A0">
      <w:pPr>
        <w:keepNext/>
        <w:keepLines/>
        <w:jc w:val="both"/>
        <w:rPr>
          <w:rFonts w:ascii="Times New Roman" w:hAnsi="Times New Roman"/>
          <w:szCs w:val="20"/>
        </w:rPr>
      </w:pPr>
    </w:p>
    <w:p w:rsidR="005673B2" w:rsidRDefault="005673B2" w:rsidP="00E754A0">
      <w:pPr>
        <w:keepNext/>
        <w:keepLines/>
        <w:tabs>
          <w:tab w:val="left" w:pos="0"/>
          <w:tab w:val="right" w:pos="9360"/>
        </w:tabs>
        <w:jc w:val="both"/>
        <w:rPr>
          <w:rFonts w:ascii="Times New Roman" w:hAnsi="Times New Roman"/>
          <w:szCs w:val="20"/>
        </w:rPr>
      </w:pPr>
      <w:r>
        <w:rPr>
          <w:rFonts w:ascii="Times New Roman" w:hAnsi="Times New Roman"/>
          <w:szCs w:val="20"/>
        </w:rPr>
        <w:t>Gaithersburg,</w:t>
      </w:r>
      <w:r w:rsidR="00E754A0">
        <w:rPr>
          <w:rFonts w:ascii="Times New Roman" w:hAnsi="Times New Roman"/>
          <w:szCs w:val="20"/>
        </w:rPr>
        <w:t> MD 20899</w:t>
      </w:r>
      <w:r>
        <w:rPr>
          <w:rFonts w:ascii="Times New Roman" w:hAnsi="Times New Roman"/>
          <w:szCs w:val="20"/>
        </w:rPr>
        <w:tab/>
        <w:t>Robert</w:t>
      </w:r>
      <w:r w:rsidR="00E754A0">
        <w:rPr>
          <w:rFonts w:ascii="Times New Roman" w:hAnsi="Times New Roman"/>
          <w:szCs w:val="20"/>
        </w:rPr>
        <w:t> </w:t>
      </w:r>
      <w:r>
        <w:rPr>
          <w:rFonts w:ascii="Times New Roman" w:hAnsi="Times New Roman"/>
          <w:szCs w:val="20"/>
        </w:rPr>
        <w:t>L.</w:t>
      </w:r>
      <w:r w:rsidR="00E754A0">
        <w:rPr>
          <w:rFonts w:ascii="Times New Roman" w:hAnsi="Times New Roman"/>
          <w:szCs w:val="20"/>
        </w:rPr>
        <w:t> </w:t>
      </w:r>
      <w:r>
        <w:rPr>
          <w:rFonts w:ascii="Times New Roman" w:hAnsi="Times New Roman"/>
          <w:szCs w:val="20"/>
        </w:rPr>
        <w:t>Watters,</w:t>
      </w:r>
      <w:r w:rsidR="00E754A0">
        <w:rPr>
          <w:rFonts w:ascii="Times New Roman" w:hAnsi="Times New Roman"/>
          <w:szCs w:val="20"/>
        </w:rPr>
        <w:t> </w:t>
      </w:r>
      <w:r>
        <w:rPr>
          <w:rFonts w:ascii="Times New Roman" w:hAnsi="Times New Roman"/>
          <w:szCs w:val="20"/>
        </w:rPr>
        <w:t>Jr.,</w:t>
      </w:r>
      <w:r w:rsidR="00E754A0">
        <w:rPr>
          <w:rFonts w:ascii="Times New Roman" w:hAnsi="Times New Roman"/>
          <w:szCs w:val="20"/>
        </w:rPr>
        <w:t> </w:t>
      </w:r>
      <w:r>
        <w:rPr>
          <w:rFonts w:ascii="Times New Roman" w:hAnsi="Times New Roman"/>
          <w:szCs w:val="20"/>
        </w:rPr>
        <w:t>Chief</w:t>
      </w:r>
    </w:p>
    <w:p w:rsidR="004F6038" w:rsidRDefault="005673B2" w:rsidP="00E754A0">
      <w:pPr>
        <w:keepLines/>
        <w:tabs>
          <w:tab w:val="right" w:pos="9360"/>
        </w:tabs>
        <w:jc w:val="both"/>
        <w:rPr>
          <w:rFonts w:ascii="Times New Roman" w:hAnsi="Times New Roman"/>
          <w:szCs w:val="20"/>
        </w:rPr>
      </w:pPr>
      <w:r>
        <w:rPr>
          <w:rFonts w:ascii="Times New Roman" w:hAnsi="Times New Roman"/>
          <w:szCs w:val="20"/>
        </w:rPr>
        <w:t xml:space="preserve">Certificate Issue Date:  </w:t>
      </w:r>
      <w:r w:rsidR="00EF367C">
        <w:rPr>
          <w:rFonts w:ascii="Times New Roman" w:hAnsi="Times New Roman"/>
          <w:szCs w:val="20"/>
        </w:rPr>
        <w:t>21 </w:t>
      </w:r>
      <w:r w:rsidR="00907299">
        <w:rPr>
          <w:rFonts w:ascii="Times New Roman" w:hAnsi="Times New Roman"/>
          <w:szCs w:val="20"/>
        </w:rPr>
        <w:t>March </w:t>
      </w:r>
      <w:r w:rsidR="00340E84">
        <w:rPr>
          <w:rFonts w:ascii="Times New Roman" w:hAnsi="Times New Roman"/>
          <w:szCs w:val="20"/>
        </w:rPr>
        <w:t>201</w:t>
      </w:r>
      <w:r w:rsidR="00F76012">
        <w:rPr>
          <w:rFonts w:ascii="Times New Roman" w:hAnsi="Times New Roman"/>
          <w:szCs w:val="20"/>
        </w:rPr>
        <w:t>1</w:t>
      </w:r>
      <w:r>
        <w:rPr>
          <w:rFonts w:ascii="Times New Roman" w:hAnsi="Times New Roman"/>
          <w:szCs w:val="20"/>
        </w:rPr>
        <w:tab/>
        <w:t>Measurement</w:t>
      </w:r>
      <w:r w:rsidR="00E754A0">
        <w:rPr>
          <w:rFonts w:ascii="Times New Roman" w:hAnsi="Times New Roman"/>
          <w:szCs w:val="20"/>
        </w:rPr>
        <w:t> </w:t>
      </w:r>
      <w:r>
        <w:rPr>
          <w:rFonts w:ascii="Times New Roman" w:hAnsi="Times New Roman"/>
          <w:szCs w:val="20"/>
        </w:rPr>
        <w:t>Services</w:t>
      </w:r>
      <w:r w:rsidR="00E754A0">
        <w:rPr>
          <w:rFonts w:ascii="Times New Roman" w:hAnsi="Times New Roman"/>
          <w:szCs w:val="20"/>
        </w:rPr>
        <w:t> </w:t>
      </w:r>
      <w:r>
        <w:rPr>
          <w:rFonts w:ascii="Times New Roman" w:hAnsi="Times New Roman"/>
          <w:szCs w:val="20"/>
        </w:rPr>
        <w:t>Division</w:t>
      </w:r>
    </w:p>
    <w:p w:rsidR="006F1865" w:rsidRPr="00E754A0" w:rsidRDefault="006F1865" w:rsidP="00E754A0">
      <w:pPr>
        <w:widowControl/>
        <w:autoSpaceDE/>
        <w:autoSpaceDN/>
        <w:adjustRightInd/>
        <w:rPr>
          <w:rFonts w:ascii="Times New Roman" w:hAnsi="Times New Roman"/>
          <w:b/>
          <w:bCs/>
          <w:szCs w:val="20"/>
        </w:rPr>
      </w:pPr>
      <w:r w:rsidRPr="00FC25B4">
        <w:rPr>
          <w:rFonts w:ascii="Times New Roman" w:hAnsi="Times New Roman"/>
          <w:b/>
          <w:bCs/>
          <w:szCs w:val="20"/>
        </w:rPr>
        <w:lastRenderedPageBreak/>
        <w:t>NOTICE AND WARNINGS TO USERS</w:t>
      </w:r>
      <w:r w:rsidRPr="00FC25B4">
        <w:rPr>
          <w:rFonts w:ascii="Times New Roman" w:hAnsi="Times New Roman"/>
          <w:szCs w:val="20"/>
        </w:rPr>
        <w:t xml:space="preserve"> </w:t>
      </w:r>
    </w:p>
    <w:p w:rsidR="006F1865" w:rsidRPr="00907299"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6F1865" w:rsidRPr="005B1F66" w:rsidRDefault="006506F4">
      <w:pPr>
        <w:widowControl/>
        <w:tabs>
          <w:tab w:val="left" w:pos="1080"/>
          <w:tab w:val="decimal" w:pos="3150"/>
          <w:tab w:val="left" w:pos="3960"/>
          <w:tab w:val="decimal" w:pos="5400"/>
          <w:tab w:val="left" w:pos="6210"/>
          <w:tab w:val="decimal" w:pos="7650"/>
          <w:tab w:val="left" w:pos="8370"/>
        </w:tabs>
        <w:jc w:val="both"/>
        <w:rPr>
          <w:rFonts w:ascii="Times New Roman" w:hAnsi="Times New Roman"/>
          <w:color w:val="000000" w:themeColor="text1"/>
          <w:szCs w:val="20"/>
        </w:rPr>
      </w:pPr>
      <w:r w:rsidRPr="006506F4">
        <w:rPr>
          <w:rFonts w:ascii="Times New Roman" w:hAnsi="Times New Roman"/>
          <w:b/>
          <w:szCs w:val="20"/>
        </w:rPr>
        <w:t>Warning:</w:t>
      </w:r>
      <w:r>
        <w:rPr>
          <w:rFonts w:ascii="Times New Roman" w:hAnsi="Times New Roman"/>
          <w:szCs w:val="20"/>
        </w:rPr>
        <w:t xml:space="preserve">  </w:t>
      </w:r>
      <w:r w:rsidR="006F1865" w:rsidRPr="00FC25B4">
        <w:rPr>
          <w:rFonts w:ascii="Times New Roman" w:hAnsi="Times New Roman"/>
          <w:szCs w:val="20"/>
        </w:rPr>
        <w:t>SRM</w:t>
      </w:r>
      <w:r w:rsidR="008B76F7">
        <w:rPr>
          <w:rFonts w:ascii="Times New Roman" w:hAnsi="Times New Roman"/>
          <w:szCs w:val="20"/>
        </w:rPr>
        <w:t> </w:t>
      </w:r>
      <w:r w:rsidR="006F1865" w:rsidRPr="00FC25B4">
        <w:rPr>
          <w:rFonts w:ascii="Times New Roman" w:hAnsi="Times New Roman"/>
          <w:szCs w:val="20"/>
        </w:rPr>
        <w:t>1959 IS INTENDED FOR IN</w:t>
      </w:r>
      <w:r w:rsidR="00C00DA4">
        <w:rPr>
          <w:rFonts w:ascii="Times New Roman" w:hAnsi="Times New Roman"/>
          <w:szCs w:val="20"/>
        </w:rPr>
        <w:noBreakHyphen/>
      </w:r>
      <w:r w:rsidR="006F1865" w:rsidRPr="00FC25B4">
        <w:rPr>
          <w:rFonts w:ascii="Times New Roman" w:hAnsi="Times New Roman"/>
          <w:szCs w:val="20"/>
        </w:rPr>
        <w:t xml:space="preserve">VITRO DIAGNOSTIC USE ONLY.  THIS IS A </w:t>
      </w:r>
      <w:r w:rsidR="005673B2" w:rsidRPr="00FC25B4">
        <w:rPr>
          <w:rFonts w:ascii="Times New Roman" w:hAnsi="Times New Roman"/>
          <w:szCs w:val="20"/>
        </w:rPr>
        <w:t>HUMAN</w:t>
      </w:r>
      <w:r w:rsidR="005673B2">
        <w:rPr>
          <w:rFonts w:ascii="Times New Roman" w:hAnsi="Times New Roman"/>
          <w:szCs w:val="20"/>
        </w:rPr>
        <w:t>-</w:t>
      </w:r>
      <w:r w:rsidR="006F1865" w:rsidRPr="00FC25B4">
        <w:rPr>
          <w:rFonts w:ascii="Times New Roman" w:hAnsi="Times New Roman"/>
          <w:szCs w:val="20"/>
        </w:rPr>
        <w:t xml:space="preserve">SOURCE MATERIAL.  HANDLE PRODUCT AS A BIOHAZARDOUS MATERIAL CAPABLE OF TRANSMITTING INFECTIOUS DISEASE.  The supplier of this serum has reported that each donor unit of serum or plasma used in the preparation of this product has been tested by an </w:t>
      </w:r>
      <w:r w:rsidR="00675FC7" w:rsidRPr="00FC25B4">
        <w:rPr>
          <w:rFonts w:ascii="Times New Roman" w:hAnsi="Times New Roman"/>
          <w:szCs w:val="20"/>
        </w:rPr>
        <w:t>FDA</w:t>
      </w:r>
      <w:r w:rsidR="00675FC7">
        <w:rPr>
          <w:rFonts w:ascii="Times New Roman" w:hAnsi="Times New Roman"/>
          <w:szCs w:val="20"/>
        </w:rPr>
        <w:t>-</w:t>
      </w:r>
      <w:r w:rsidR="006F1865" w:rsidRPr="00FC25B4">
        <w:rPr>
          <w:rFonts w:ascii="Times New Roman" w:hAnsi="Times New Roman"/>
          <w:szCs w:val="20"/>
        </w:rPr>
        <w:t xml:space="preserve">approved method and found non-reactive/negative for </w:t>
      </w:r>
      <w:r w:rsidR="005673B2">
        <w:rPr>
          <w:rFonts w:ascii="Times New Roman" w:hAnsi="Times New Roman"/>
          <w:szCs w:val="20"/>
        </w:rPr>
        <w:t>hepatitis B surface antigen</w:t>
      </w:r>
      <w:r w:rsidR="008B76F7">
        <w:rPr>
          <w:rFonts w:ascii="Times New Roman" w:hAnsi="Times New Roman"/>
          <w:szCs w:val="20"/>
        </w:rPr>
        <w:t> </w:t>
      </w:r>
      <w:r w:rsidR="005673B2">
        <w:rPr>
          <w:rFonts w:ascii="Times New Roman" w:hAnsi="Times New Roman"/>
          <w:szCs w:val="20"/>
        </w:rPr>
        <w:t>(</w:t>
      </w:r>
      <w:r w:rsidR="006F1865" w:rsidRPr="00FC25B4">
        <w:rPr>
          <w:rFonts w:ascii="Times New Roman" w:hAnsi="Times New Roman"/>
          <w:szCs w:val="20"/>
        </w:rPr>
        <w:t>HbsAg</w:t>
      </w:r>
      <w:r w:rsidR="005673B2">
        <w:rPr>
          <w:rFonts w:ascii="Times New Roman" w:hAnsi="Times New Roman"/>
          <w:szCs w:val="20"/>
        </w:rPr>
        <w:t>)</w:t>
      </w:r>
      <w:r w:rsidR="006F1865" w:rsidRPr="00FC25B4">
        <w:rPr>
          <w:rFonts w:ascii="Times New Roman" w:hAnsi="Times New Roman"/>
          <w:szCs w:val="20"/>
        </w:rPr>
        <w:t xml:space="preserve">, </w:t>
      </w:r>
      <w:r w:rsidR="005673B2">
        <w:rPr>
          <w:rFonts w:ascii="Times New Roman" w:hAnsi="Times New Roman"/>
          <w:szCs w:val="20"/>
        </w:rPr>
        <w:t>human immunodeficiency virus</w:t>
      </w:r>
      <w:r w:rsidR="008B76F7">
        <w:rPr>
          <w:rFonts w:ascii="Times New Roman" w:hAnsi="Times New Roman"/>
          <w:szCs w:val="20"/>
        </w:rPr>
        <w:t> </w:t>
      </w:r>
      <w:r w:rsidR="005673B2">
        <w:rPr>
          <w:rFonts w:ascii="Times New Roman" w:hAnsi="Times New Roman"/>
          <w:szCs w:val="20"/>
        </w:rPr>
        <w:t>(HIV)</w:t>
      </w:r>
      <w:r w:rsidR="008B76F7">
        <w:rPr>
          <w:rFonts w:ascii="Times New Roman" w:hAnsi="Times New Roman"/>
          <w:szCs w:val="20"/>
        </w:rPr>
        <w:t> </w:t>
      </w:r>
      <w:r w:rsidR="006F1865" w:rsidRPr="00FC25B4">
        <w:rPr>
          <w:rFonts w:ascii="Times New Roman" w:hAnsi="Times New Roman"/>
          <w:szCs w:val="20"/>
        </w:rPr>
        <w:t>1</w:t>
      </w:r>
      <w:r w:rsidR="008B76F7">
        <w:rPr>
          <w:rFonts w:ascii="Times New Roman" w:hAnsi="Times New Roman"/>
          <w:szCs w:val="20"/>
        </w:rPr>
        <w:t> </w:t>
      </w:r>
      <w:r w:rsidR="005673B2">
        <w:rPr>
          <w:rFonts w:ascii="Times New Roman" w:hAnsi="Times New Roman"/>
          <w:szCs w:val="20"/>
        </w:rPr>
        <w:t>and</w:t>
      </w:r>
      <w:r w:rsidR="006F1865" w:rsidRPr="00FC25B4">
        <w:rPr>
          <w:rFonts w:ascii="Times New Roman" w:hAnsi="Times New Roman"/>
          <w:szCs w:val="20"/>
        </w:rPr>
        <w:t xml:space="preserve"> 2</w:t>
      </w:r>
      <w:r w:rsidR="008B76F7">
        <w:rPr>
          <w:rFonts w:ascii="Times New Roman" w:hAnsi="Times New Roman"/>
          <w:szCs w:val="20"/>
        </w:rPr>
        <w:t> </w:t>
      </w:r>
      <w:r w:rsidR="006F1865" w:rsidRPr="00FC25B4">
        <w:rPr>
          <w:rFonts w:ascii="Times New Roman" w:hAnsi="Times New Roman"/>
          <w:szCs w:val="20"/>
        </w:rPr>
        <w:t xml:space="preserve">antibodies, </w:t>
      </w:r>
      <w:r w:rsidR="005673B2">
        <w:rPr>
          <w:rFonts w:ascii="Times New Roman" w:hAnsi="Times New Roman"/>
          <w:szCs w:val="20"/>
        </w:rPr>
        <w:t>hepatitis</w:t>
      </w:r>
      <w:r w:rsidR="008B76F7">
        <w:rPr>
          <w:rFonts w:ascii="Times New Roman" w:hAnsi="Times New Roman"/>
          <w:szCs w:val="20"/>
        </w:rPr>
        <w:t> </w:t>
      </w:r>
      <w:r w:rsidR="005673B2">
        <w:rPr>
          <w:rFonts w:ascii="Times New Roman" w:hAnsi="Times New Roman"/>
          <w:szCs w:val="20"/>
        </w:rPr>
        <w:t>C</w:t>
      </w:r>
      <w:r w:rsidR="008B76F7">
        <w:rPr>
          <w:rFonts w:ascii="Times New Roman" w:hAnsi="Times New Roman"/>
          <w:szCs w:val="20"/>
        </w:rPr>
        <w:t> </w:t>
      </w:r>
      <w:r w:rsidR="005673B2">
        <w:rPr>
          <w:rFonts w:ascii="Times New Roman" w:hAnsi="Times New Roman"/>
          <w:szCs w:val="20"/>
        </w:rPr>
        <w:t>virus</w:t>
      </w:r>
      <w:r w:rsidR="008B76F7">
        <w:rPr>
          <w:rFonts w:ascii="Times New Roman" w:hAnsi="Times New Roman"/>
          <w:szCs w:val="20"/>
        </w:rPr>
        <w:t> </w:t>
      </w:r>
      <w:r w:rsidR="005673B2">
        <w:rPr>
          <w:rFonts w:ascii="Times New Roman" w:hAnsi="Times New Roman"/>
          <w:szCs w:val="20"/>
        </w:rPr>
        <w:t>(</w:t>
      </w:r>
      <w:r w:rsidR="006F1865" w:rsidRPr="00FC25B4">
        <w:rPr>
          <w:rFonts w:ascii="Times New Roman" w:hAnsi="Times New Roman"/>
          <w:szCs w:val="20"/>
        </w:rPr>
        <w:t>HCV</w:t>
      </w:r>
      <w:r w:rsidR="005673B2">
        <w:rPr>
          <w:rFonts w:ascii="Times New Roman" w:hAnsi="Times New Roman"/>
          <w:szCs w:val="20"/>
        </w:rPr>
        <w:t>),</w:t>
      </w:r>
      <w:r w:rsidR="006F1865" w:rsidRPr="00FC25B4">
        <w:rPr>
          <w:rFonts w:ascii="Times New Roman" w:hAnsi="Times New Roman"/>
          <w:szCs w:val="20"/>
        </w:rPr>
        <w:t xml:space="preserve"> and syphilis.  However, no known test method can offer complete assurance that hepatitis</w:t>
      </w:r>
      <w:r w:rsidR="008B76F7">
        <w:rPr>
          <w:rFonts w:ascii="Times New Roman" w:hAnsi="Times New Roman"/>
          <w:szCs w:val="20"/>
        </w:rPr>
        <w:t> </w:t>
      </w:r>
      <w:r w:rsidR="006F1865" w:rsidRPr="00FC25B4">
        <w:rPr>
          <w:rFonts w:ascii="Times New Roman" w:hAnsi="Times New Roman"/>
          <w:szCs w:val="20"/>
        </w:rPr>
        <w:t>B</w:t>
      </w:r>
      <w:r w:rsidR="008B76F7">
        <w:rPr>
          <w:rFonts w:ascii="Times New Roman" w:hAnsi="Times New Roman"/>
          <w:szCs w:val="20"/>
        </w:rPr>
        <w:t> </w:t>
      </w:r>
      <w:r w:rsidR="006F1865" w:rsidRPr="00FC25B4">
        <w:rPr>
          <w:rFonts w:ascii="Times New Roman" w:hAnsi="Times New Roman"/>
          <w:szCs w:val="20"/>
        </w:rPr>
        <w:t xml:space="preserve">virus, </w:t>
      </w:r>
      <w:r w:rsidR="008B76F7">
        <w:rPr>
          <w:rFonts w:ascii="Times New Roman" w:hAnsi="Times New Roman"/>
          <w:szCs w:val="20"/>
        </w:rPr>
        <w:t>HCV</w:t>
      </w:r>
      <w:r w:rsidR="006F1865" w:rsidRPr="00FC25B4">
        <w:rPr>
          <w:rFonts w:ascii="Times New Roman" w:hAnsi="Times New Roman"/>
          <w:szCs w:val="20"/>
        </w:rPr>
        <w:t>, HIV, or other infectious agents are absent from this material.  Accordingly, this human blood-based product should be handled at the Biosafety Level</w:t>
      </w:r>
      <w:r w:rsidR="008B76F7">
        <w:rPr>
          <w:rFonts w:ascii="Times New Roman" w:hAnsi="Times New Roman"/>
          <w:szCs w:val="20"/>
        </w:rPr>
        <w:t> </w:t>
      </w:r>
      <w:r w:rsidR="006F1865" w:rsidRPr="00FC25B4">
        <w:rPr>
          <w:rFonts w:ascii="Times New Roman" w:hAnsi="Times New Roman"/>
          <w:szCs w:val="20"/>
        </w:rPr>
        <w:t>2 or higher as recommended for any POTENTIALLY INFECTIOUS HUMAN SERUM OR BLOOD SPECIMEN in the Centers for Disease Control/National Institutes of Health Manual</w:t>
      </w:r>
      <w:r w:rsidR="008B76F7">
        <w:rPr>
          <w:rFonts w:ascii="Times New Roman" w:hAnsi="Times New Roman"/>
          <w:szCs w:val="20"/>
        </w:rPr>
        <w:t> </w:t>
      </w:r>
      <w:r w:rsidR="006F1865" w:rsidRPr="00FC25B4">
        <w:rPr>
          <w:rFonts w:ascii="Times New Roman" w:hAnsi="Times New Roman"/>
          <w:szCs w:val="20"/>
        </w:rPr>
        <w:t>[</w:t>
      </w:r>
      <w:r w:rsidR="005E75FB">
        <w:rPr>
          <w:rFonts w:ascii="Times New Roman" w:hAnsi="Times New Roman"/>
          <w:szCs w:val="20"/>
        </w:rPr>
        <w:t>2</w:t>
      </w:r>
      <w:r w:rsidR="006F1865" w:rsidRPr="00FC25B4">
        <w:rPr>
          <w:rFonts w:ascii="Times New Roman" w:hAnsi="Times New Roman"/>
          <w:szCs w:val="20"/>
        </w:rPr>
        <w:t>].</w:t>
      </w:r>
    </w:p>
    <w:p w:rsidR="006F1865" w:rsidRPr="005B1F66"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color w:val="000000" w:themeColor="text1"/>
          <w:szCs w:val="20"/>
        </w:rPr>
      </w:pPr>
    </w:p>
    <w:p w:rsidR="00D40560" w:rsidRDefault="00D40560">
      <w:pPr>
        <w:widowControl/>
        <w:tabs>
          <w:tab w:val="left" w:pos="1080"/>
          <w:tab w:val="decimal" w:pos="3150"/>
          <w:tab w:val="left" w:pos="3960"/>
          <w:tab w:val="decimal" w:pos="5400"/>
          <w:tab w:val="left" w:pos="6210"/>
          <w:tab w:val="decimal" w:pos="7650"/>
          <w:tab w:val="left" w:pos="8370"/>
        </w:tabs>
        <w:jc w:val="both"/>
        <w:rPr>
          <w:rFonts w:ascii="Times New Roman" w:hAnsi="Times New Roman"/>
          <w:b/>
          <w:bCs/>
          <w:szCs w:val="20"/>
        </w:rPr>
      </w:pPr>
      <w:r>
        <w:rPr>
          <w:rFonts w:ascii="Times New Roman" w:hAnsi="Times New Roman"/>
          <w:b/>
          <w:bCs/>
          <w:szCs w:val="20"/>
        </w:rPr>
        <w:t>INSTRUCTIONS FOR STORAGE AND USE</w:t>
      </w:r>
    </w:p>
    <w:p w:rsidR="00D40560" w:rsidRPr="00907299" w:rsidRDefault="00D40560">
      <w:pPr>
        <w:widowControl/>
        <w:tabs>
          <w:tab w:val="left" w:pos="1080"/>
          <w:tab w:val="decimal" w:pos="3150"/>
          <w:tab w:val="left" w:pos="3960"/>
          <w:tab w:val="decimal" w:pos="5400"/>
          <w:tab w:val="left" w:pos="6210"/>
          <w:tab w:val="decimal" w:pos="7650"/>
          <w:tab w:val="left" w:pos="8370"/>
        </w:tabs>
        <w:jc w:val="both"/>
        <w:rPr>
          <w:rFonts w:ascii="Times New Roman" w:hAnsi="Times New Roman"/>
          <w:bCs/>
          <w:szCs w:val="20"/>
        </w:rPr>
      </w:pPr>
    </w:p>
    <w:p w:rsidR="006F1865" w:rsidRPr="00A27C16"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FC25B4">
        <w:rPr>
          <w:rFonts w:ascii="Times New Roman" w:hAnsi="Times New Roman"/>
          <w:b/>
          <w:bCs/>
          <w:szCs w:val="20"/>
        </w:rPr>
        <w:t>Storage:</w:t>
      </w:r>
      <w:r w:rsidRPr="00FC25B4">
        <w:rPr>
          <w:rFonts w:ascii="Times New Roman" w:hAnsi="Times New Roman"/>
          <w:szCs w:val="20"/>
        </w:rPr>
        <w:t xml:space="preserve">  The serum is shipped frozen (on dry ice) and, upon receipt, should be stored frozen until ready for use.  A freezer temperature of </w:t>
      </w:r>
      <w:r w:rsidR="008B76F7">
        <w:rPr>
          <w:rFonts w:ascii="Times New Roman" w:hAnsi="Times New Roman"/>
        </w:rPr>
        <w:t>–</w:t>
      </w:r>
      <w:r w:rsidRPr="00FC25B4">
        <w:rPr>
          <w:rFonts w:ascii="Times New Roman" w:hAnsi="Times New Roman"/>
          <w:szCs w:val="20"/>
        </w:rPr>
        <w:t>20</w:t>
      </w:r>
      <w:r w:rsidR="008B76F7">
        <w:rPr>
          <w:rFonts w:ascii="Times New Roman" w:hAnsi="Times New Roman"/>
          <w:szCs w:val="20"/>
        </w:rPr>
        <w:t> </w:t>
      </w:r>
      <w:r w:rsidR="005E75FB">
        <w:rPr>
          <w:rFonts w:ascii="Times New Roman" w:hAnsi="Times New Roman"/>
          <w:szCs w:val="20"/>
        </w:rPr>
        <w:t>º</w:t>
      </w:r>
      <w:r w:rsidRPr="00FC25B4">
        <w:rPr>
          <w:rFonts w:ascii="Times New Roman" w:hAnsi="Times New Roman"/>
          <w:szCs w:val="20"/>
        </w:rPr>
        <w:t xml:space="preserve">C is acceptable for storage up to one week.  If a longer storage time is anticipated, the material should be stored at or below </w:t>
      </w:r>
      <w:r w:rsidR="008B76F7">
        <w:rPr>
          <w:rFonts w:ascii="Times New Roman" w:hAnsi="Times New Roman"/>
        </w:rPr>
        <w:t>–</w:t>
      </w:r>
      <w:r w:rsidRPr="00FC25B4">
        <w:rPr>
          <w:rFonts w:ascii="Times New Roman" w:hAnsi="Times New Roman"/>
          <w:szCs w:val="20"/>
        </w:rPr>
        <w:t>50</w:t>
      </w:r>
      <w:r w:rsidR="008B76F7">
        <w:rPr>
          <w:rFonts w:ascii="Times New Roman" w:hAnsi="Times New Roman"/>
          <w:szCs w:val="20"/>
        </w:rPr>
        <w:t> </w:t>
      </w:r>
      <w:r w:rsidR="005E75FB">
        <w:rPr>
          <w:rFonts w:ascii="Times New Roman" w:hAnsi="Times New Roman"/>
          <w:szCs w:val="20"/>
        </w:rPr>
        <w:t>º</w:t>
      </w:r>
      <w:r w:rsidRPr="00FC25B4">
        <w:rPr>
          <w:rFonts w:ascii="Times New Roman" w:hAnsi="Times New Roman"/>
          <w:szCs w:val="20"/>
        </w:rPr>
        <w:t>C.  The SRM should not be exposed to sunlight or ultraviolet radiation.  Storage of thawed material at room or refrigerator temperatures may result in cha</w:t>
      </w:r>
      <w:r w:rsidR="008B76F7">
        <w:rPr>
          <w:rFonts w:ascii="Times New Roman" w:hAnsi="Times New Roman"/>
          <w:szCs w:val="20"/>
        </w:rPr>
        <w:t>nges in analyte concentrations.</w:t>
      </w:r>
    </w:p>
    <w:p w:rsidR="006F1865" w:rsidRPr="00907299"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bCs/>
          <w:color w:val="000000" w:themeColor="text1"/>
          <w:szCs w:val="20"/>
        </w:rPr>
      </w:pPr>
    </w:p>
    <w:p w:rsidR="006F1865" w:rsidRPr="00FC25B4"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FC25B4">
        <w:rPr>
          <w:rFonts w:ascii="Times New Roman" w:hAnsi="Times New Roman"/>
          <w:b/>
          <w:bCs/>
          <w:szCs w:val="20"/>
        </w:rPr>
        <w:t>Use:</w:t>
      </w:r>
      <w:r w:rsidRPr="00FC25B4">
        <w:rPr>
          <w:rFonts w:ascii="Times New Roman" w:hAnsi="Times New Roman"/>
          <w:szCs w:val="20"/>
        </w:rPr>
        <w:t xml:space="preserve">  </w:t>
      </w:r>
      <w:r w:rsidR="00017FE0">
        <w:rPr>
          <w:rFonts w:ascii="Times New Roman" w:hAnsi="Times New Roman"/>
          <w:szCs w:val="20"/>
        </w:rPr>
        <w:t>Vials</w:t>
      </w:r>
      <w:r w:rsidRPr="00FC25B4">
        <w:rPr>
          <w:rFonts w:ascii="Times New Roman" w:hAnsi="Times New Roman"/>
          <w:szCs w:val="20"/>
        </w:rPr>
        <w:t xml:space="preserve"> of the SRM to be analyzed should be removed from the freezer and allowed to stand at room temperature (20</w:t>
      </w:r>
      <w:r w:rsidR="00A97F42">
        <w:rPr>
          <w:rFonts w:ascii="Times New Roman" w:hAnsi="Times New Roman"/>
          <w:szCs w:val="20"/>
        </w:rPr>
        <w:t> </w:t>
      </w:r>
      <w:r w:rsidR="005E75FB">
        <w:rPr>
          <w:rFonts w:ascii="Times New Roman" w:hAnsi="Times New Roman"/>
          <w:szCs w:val="20"/>
        </w:rPr>
        <w:t>º</w:t>
      </w:r>
      <w:r w:rsidRPr="00FC25B4">
        <w:rPr>
          <w:rFonts w:ascii="Times New Roman" w:hAnsi="Times New Roman"/>
          <w:szCs w:val="20"/>
        </w:rPr>
        <w:t>C</w:t>
      </w:r>
      <w:r w:rsidR="00A97F42">
        <w:rPr>
          <w:rFonts w:ascii="Times New Roman" w:hAnsi="Times New Roman"/>
          <w:szCs w:val="20"/>
        </w:rPr>
        <w:t> </w:t>
      </w:r>
      <w:r w:rsidRPr="00FC25B4">
        <w:rPr>
          <w:rFonts w:ascii="Times New Roman" w:hAnsi="Times New Roman"/>
          <w:szCs w:val="20"/>
        </w:rPr>
        <w:t>to</w:t>
      </w:r>
      <w:r w:rsidR="00A97F42">
        <w:rPr>
          <w:rFonts w:ascii="Times New Roman" w:hAnsi="Times New Roman"/>
          <w:szCs w:val="20"/>
        </w:rPr>
        <w:t> </w:t>
      </w:r>
      <w:r w:rsidRPr="00FC25B4">
        <w:rPr>
          <w:rFonts w:ascii="Times New Roman" w:hAnsi="Times New Roman"/>
          <w:szCs w:val="20"/>
        </w:rPr>
        <w:t>25</w:t>
      </w:r>
      <w:r w:rsidR="00A97F42">
        <w:rPr>
          <w:rFonts w:ascii="Times New Roman" w:hAnsi="Times New Roman"/>
          <w:szCs w:val="20"/>
        </w:rPr>
        <w:t> </w:t>
      </w:r>
      <w:r w:rsidR="005E75FB">
        <w:rPr>
          <w:rFonts w:ascii="Times New Roman" w:hAnsi="Times New Roman"/>
          <w:szCs w:val="20"/>
        </w:rPr>
        <w:t>º</w:t>
      </w:r>
      <w:r w:rsidRPr="00FC25B4">
        <w:rPr>
          <w:rFonts w:ascii="Times New Roman" w:hAnsi="Times New Roman"/>
          <w:szCs w:val="20"/>
        </w:rPr>
        <w:t>C) until thawed.  After the material is thawed, it should be used immediately.  The material should be swirled gently to mix</w:t>
      </w:r>
      <w:r w:rsidR="00A97F42">
        <w:rPr>
          <w:rFonts w:ascii="Times New Roman" w:hAnsi="Times New Roman"/>
          <w:szCs w:val="20"/>
        </w:rPr>
        <w:t xml:space="preserve"> before aliquots are withdrawn.</w:t>
      </w:r>
    </w:p>
    <w:p w:rsidR="006F1865" w:rsidRPr="00FC25B4" w:rsidRDefault="006F186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6F1865" w:rsidRPr="00FC25B4" w:rsidRDefault="005E75FB">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Pr>
          <w:rFonts w:ascii="Times New Roman" w:hAnsi="Times New Roman"/>
          <w:b/>
          <w:bCs/>
          <w:szCs w:val="20"/>
        </w:rPr>
        <w:t xml:space="preserve">PREPARATION </w:t>
      </w:r>
      <w:r w:rsidR="006F1865" w:rsidRPr="00FC25B4">
        <w:rPr>
          <w:rFonts w:ascii="Times New Roman" w:hAnsi="Times New Roman"/>
          <w:b/>
          <w:bCs/>
          <w:szCs w:val="20"/>
        </w:rPr>
        <w:t>AND ANALYSIS</w:t>
      </w:r>
      <w:r w:rsidR="00A97F42" w:rsidRPr="00A97F42">
        <w:rPr>
          <w:rFonts w:ascii="Times New Roman" w:hAnsi="Times New Roman"/>
          <w:b/>
          <w:bCs/>
          <w:szCs w:val="20"/>
          <w:vertAlign w:val="superscript"/>
        </w:rPr>
        <w:t>(</w:t>
      </w:r>
      <w:r w:rsidR="005673B2" w:rsidRPr="00D93DF4">
        <w:rPr>
          <w:rStyle w:val="FootnoteReference"/>
          <w:rFonts w:ascii="Times New Roman" w:hAnsi="Times New Roman"/>
          <w:b/>
          <w:bCs/>
          <w:szCs w:val="20"/>
          <w:vertAlign w:val="superscript"/>
        </w:rPr>
        <w:footnoteReference w:id="1"/>
      </w:r>
      <w:r w:rsidR="00A97F42">
        <w:rPr>
          <w:rFonts w:ascii="Times New Roman" w:hAnsi="Times New Roman"/>
          <w:b/>
          <w:bCs/>
          <w:szCs w:val="20"/>
          <w:vertAlign w:val="superscript"/>
        </w:rPr>
        <w:t>)</w:t>
      </w:r>
    </w:p>
    <w:p w:rsidR="006F1865" w:rsidRPr="00FC25B4" w:rsidRDefault="006F1865">
      <w:pPr>
        <w:widowControl/>
        <w:autoSpaceDE/>
        <w:autoSpaceDN/>
        <w:adjustRightInd/>
        <w:jc w:val="both"/>
        <w:rPr>
          <w:rFonts w:ascii="Times New Roman" w:hAnsi="Times New Roman"/>
          <w:szCs w:val="20"/>
        </w:rPr>
      </w:pPr>
    </w:p>
    <w:p w:rsidR="006F1865" w:rsidRPr="005B1F66" w:rsidRDefault="005E75FB" w:rsidP="00A56EE2">
      <w:pPr>
        <w:pStyle w:val="BodyText"/>
        <w:tabs>
          <w:tab w:val="clear" w:pos="1350"/>
          <w:tab w:val="clear" w:pos="4320"/>
          <w:tab w:val="clear" w:pos="4860"/>
          <w:tab w:val="clear" w:pos="5310"/>
          <w:tab w:val="clear" w:pos="7470"/>
          <w:tab w:val="clear" w:pos="7920"/>
          <w:tab w:val="clear" w:pos="8370"/>
        </w:tabs>
        <w:autoSpaceDE/>
        <w:autoSpaceDN/>
        <w:adjustRightInd/>
        <w:rPr>
          <w:rFonts w:ascii="Times New Roman" w:hAnsi="Times New Roman"/>
          <w:color w:val="000000" w:themeColor="text1"/>
        </w:rPr>
      </w:pPr>
      <w:r w:rsidRPr="005E75FB">
        <w:rPr>
          <w:rFonts w:ascii="Times New Roman" w:hAnsi="Times New Roman"/>
          <w:b/>
        </w:rPr>
        <w:t>Preparation of SRM Serum Pool:</w:t>
      </w:r>
      <w:r>
        <w:rPr>
          <w:rFonts w:ascii="Times New Roman" w:hAnsi="Times New Roman"/>
        </w:rPr>
        <w:t xml:space="preserve"> </w:t>
      </w:r>
      <w:r w:rsidR="005673B2">
        <w:rPr>
          <w:rFonts w:ascii="Times New Roman" w:hAnsi="Times New Roman"/>
        </w:rPr>
        <w:t xml:space="preserve"> </w:t>
      </w:r>
      <w:r w:rsidR="006F1865" w:rsidRPr="00FC25B4">
        <w:rPr>
          <w:rFonts w:ascii="Times New Roman" w:hAnsi="Times New Roman"/>
        </w:rPr>
        <w:t>SRM</w:t>
      </w:r>
      <w:r w:rsidR="00A97F42">
        <w:rPr>
          <w:rFonts w:ascii="Times New Roman" w:hAnsi="Times New Roman"/>
        </w:rPr>
        <w:t> </w:t>
      </w:r>
      <w:r w:rsidR="006F1865" w:rsidRPr="00FC25B4">
        <w:rPr>
          <w:rFonts w:ascii="Times New Roman" w:hAnsi="Times New Roman"/>
        </w:rPr>
        <w:t>1959 was prepared by Bioreclamation, Inc., Hicksville,</w:t>
      </w:r>
      <w:r w:rsidR="00A97F42">
        <w:rPr>
          <w:rFonts w:ascii="Times New Roman" w:hAnsi="Times New Roman"/>
        </w:rPr>
        <w:t> </w:t>
      </w:r>
      <w:r w:rsidR="006F1865" w:rsidRPr="00FC25B4">
        <w:rPr>
          <w:rFonts w:ascii="Times New Roman" w:hAnsi="Times New Roman"/>
        </w:rPr>
        <w:t>NY</w:t>
      </w:r>
      <w:r w:rsidR="00907299">
        <w:rPr>
          <w:rFonts w:ascii="Times New Roman" w:hAnsi="Times New Roman"/>
        </w:rPr>
        <w:t>.</w:t>
      </w:r>
      <w:r w:rsidR="006F1865" w:rsidRPr="00FC25B4">
        <w:rPr>
          <w:rFonts w:ascii="Times New Roman" w:hAnsi="Times New Roman"/>
        </w:rPr>
        <w:t xml:space="preserve">  It was prepared by pooling drug</w:t>
      </w:r>
      <w:r w:rsidR="00C00DA4">
        <w:rPr>
          <w:rFonts w:ascii="Times New Roman" w:hAnsi="Times New Roman"/>
        </w:rPr>
        <w:noBreakHyphen/>
      </w:r>
      <w:r w:rsidR="006F1865" w:rsidRPr="00FC25B4">
        <w:rPr>
          <w:rFonts w:ascii="Times New Roman" w:hAnsi="Times New Roman"/>
        </w:rPr>
        <w:t>free serum collected from healthy adult donors</w:t>
      </w:r>
      <w:r w:rsidR="00212008">
        <w:rPr>
          <w:rFonts w:ascii="Times New Roman" w:hAnsi="Times New Roman"/>
        </w:rPr>
        <w:t xml:space="preserve">, </w:t>
      </w:r>
      <w:r w:rsidR="006F1865" w:rsidRPr="00FC25B4">
        <w:rPr>
          <w:rFonts w:ascii="Times New Roman" w:hAnsi="Times New Roman"/>
        </w:rPr>
        <w:t>passing it through 0.2</w:t>
      </w:r>
      <w:r w:rsidR="00A97F42">
        <w:rPr>
          <w:rFonts w:ascii="Times New Roman" w:hAnsi="Times New Roman"/>
        </w:rPr>
        <w:t> </w:t>
      </w:r>
      <w:r w:rsidR="00D93DF4">
        <w:rPr>
          <w:rFonts w:ascii="Times New Roman" w:hAnsi="Times New Roman"/>
        </w:rPr>
        <w:t xml:space="preserve">µm </w:t>
      </w:r>
      <w:r w:rsidR="006F1865" w:rsidRPr="00FC25B4">
        <w:rPr>
          <w:rFonts w:ascii="Times New Roman" w:hAnsi="Times New Roman"/>
        </w:rPr>
        <w:t xml:space="preserve">filters, and spiking it with appropriate quantities of the analytes of interest.  The SRM was dispensed into amber cryovials </w:t>
      </w:r>
      <w:r w:rsidR="00A2471C">
        <w:rPr>
          <w:rFonts w:ascii="Times New Roman" w:hAnsi="Times New Roman"/>
        </w:rPr>
        <w:t xml:space="preserve">suitable for </w:t>
      </w:r>
      <w:r w:rsidR="006F1865" w:rsidRPr="00FC25B4">
        <w:rPr>
          <w:rFonts w:ascii="Times New Roman" w:hAnsi="Times New Roman"/>
        </w:rPr>
        <w:t>storage at –80</w:t>
      </w:r>
      <w:r w:rsidR="00A97F42">
        <w:rPr>
          <w:rFonts w:ascii="Times New Roman" w:hAnsi="Times New Roman"/>
        </w:rPr>
        <w:t> </w:t>
      </w:r>
      <w:r w:rsidR="006F1865" w:rsidRPr="00FC25B4">
        <w:rPr>
          <w:rFonts w:ascii="Times New Roman" w:hAnsi="Times New Roman"/>
        </w:rPr>
        <w:t>ºC.</w:t>
      </w:r>
    </w:p>
    <w:p w:rsidR="006F1865" w:rsidRPr="005B1F66" w:rsidRDefault="006F1865" w:rsidP="00A56EE2">
      <w:pPr>
        <w:widowControl/>
        <w:tabs>
          <w:tab w:val="left" w:pos="1080"/>
          <w:tab w:val="decimal" w:pos="3150"/>
          <w:tab w:val="left" w:pos="3960"/>
          <w:tab w:val="decimal" w:pos="5400"/>
          <w:tab w:val="left" w:pos="6210"/>
          <w:tab w:val="decimal" w:pos="7650"/>
          <w:tab w:val="left" w:pos="8370"/>
        </w:tabs>
        <w:jc w:val="both"/>
        <w:rPr>
          <w:rFonts w:ascii="Times New Roman" w:hAnsi="Times New Roman"/>
          <w:color w:val="000000" w:themeColor="text1"/>
          <w:szCs w:val="20"/>
        </w:rPr>
      </w:pPr>
    </w:p>
    <w:p w:rsidR="00515E5F" w:rsidRDefault="006F1865" w:rsidP="00A56EE2">
      <w:pPr>
        <w:widowControl/>
        <w:jc w:val="both"/>
        <w:rPr>
          <w:rFonts w:ascii="Times New Roman" w:hAnsi="Times New Roman"/>
          <w:szCs w:val="20"/>
        </w:rPr>
      </w:pPr>
      <w:r w:rsidRPr="00FC25B4">
        <w:rPr>
          <w:rFonts w:ascii="Times New Roman" w:hAnsi="Times New Roman"/>
          <w:b/>
          <w:bCs/>
          <w:szCs w:val="20"/>
        </w:rPr>
        <w:t>Analytical Methods:</w:t>
      </w:r>
      <w:r w:rsidR="005E75FB">
        <w:rPr>
          <w:rFonts w:ascii="Times New Roman" w:hAnsi="Times New Roman"/>
          <w:szCs w:val="20"/>
        </w:rPr>
        <w:t xml:space="preserve"> </w:t>
      </w:r>
      <w:r w:rsidR="00C00DA4">
        <w:rPr>
          <w:rFonts w:ascii="Times New Roman" w:hAnsi="Times New Roman"/>
          <w:szCs w:val="20"/>
        </w:rPr>
        <w:t xml:space="preserve"> </w:t>
      </w:r>
      <w:r w:rsidR="005E75FB">
        <w:rPr>
          <w:rFonts w:ascii="Times New Roman" w:hAnsi="Times New Roman"/>
          <w:szCs w:val="20"/>
        </w:rPr>
        <w:t xml:space="preserve">Samples </w:t>
      </w:r>
      <w:r w:rsidRPr="00FC25B4">
        <w:rPr>
          <w:rFonts w:ascii="Times New Roman" w:hAnsi="Times New Roman"/>
          <w:szCs w:val="20"/>
        </w:rPr>
        <w:t xml:space="preserve">for analysis were selected by a stratified random process applied across the manufacturer’s filling run.  For each analyte, two independent methods were used, one based upon </w:t>
      </w:r>
      <w:r w:rsidR="00A97F42" w:rsidRPr="0048208D">
        <w:rPr>
          <w:rFonts w:ascii="Times New Roman" w:hAnsi="Times New Roman"/>
        </w:rPr>
        <w:t>ID</w:t>
      </w:r>
      <w:r w:rsidR="00A97F42">
        <w:rPr>
          <w:rFonts w:ascii="Times New Roman" w:hAnsi="Times New Roman"/>
        </w:rPr>
        <w:noBreakHyphen/>
        <w:t>GC</w:t>
      </w:r>
      <w:r w:rsidR="00A97F42">
        <w:rPr>
          <w:rFonts w:ascii="Times New Roman" w:hAnsi="Times New Roman"/>
        </w:rPr>
        <w:noBreakHyphen/>
      </w:r>
      <w:r w:rsidR="00A97F42" w:rsidRPr="0048208D">
        <w:rPr>
          <w:rFonts w:ascii="Times New Roman" w:hAnsi="Times New Roman"/>
        </w:rPr>
        <w:t>MS</w:t>
      </w:r>
      <w:r w:rsidR="005E75FB">
        <w:rPr>
          <w:rFonts w:ascii="Times New Roman" w:hAnsi="Times New Roman"/>
          <w:szCs w:val="20"/>
        </w:rPr>
        <w:t xml:space="preserve"> and one </w:t>
      </w:r>
      <w:r w:rsidRPr="00FC25B4">
        <w:rPr>
          <w:rFonts w:ascii="Times New Roman" w:hAnsi="Times New Roman"/>
          <w:szCs w:val="20"/>
        </w:rPr>
        <w:t xml:space="preserve">based upon </w:t>
      </w:r>
      <w:r w:rsidR="00A97F42" w:rsidRPr="0048208D">
        <w:rPr>
          <w:rFonts w:ascii="Times New Roman" w:hAnsi="Times New Roman"/>
        </w:rPr>
        <w:t>ID</w:t>
      </w:r>
      <w:r w:rsidR="00A97F42">
        <w:rPr>
          <w:rFonts w:ascii="Times New Roman" w:hAnsi="Times New Roman"/>
        </w:rPr>
        <w:noBreakHyphen/>
        <w:t>LC</w:t>
      </w:r>
      <w:r w:rsidR="00A97F42">
        <w:rPr>
          <w:rFonts w:ascii="Times New Roman" w:hAnsi="Times New Roman"/>
        </w:rPr>
        <w:noBreakHyphen/>
      </w:r>
      <w:r w:rsidR="00A97F42" w:rsidRPr="0048208D">
        <w:rPr>
          <w:rFonts w:ascii="Times New Roman" w:hAnsi="Times New Roman"/>
        </w:rPr>
        <w:t>MS</w:t>
      </w:r>
      <w:r w:rsidR="005E75FB">
        <w:rPr>
          <w:rFonts w:ascii="Times New Roman" w:hAnsi="Times New Roman"/>
          <w:szCs w:val="20"/>
        </w:rPr>
        <w:t xml:space="preserve">. </w:t>
      </w:r>
      <w:r w:rsidR="00515E5F">
        <w:rPr>
          <w:rFonts w:ascii="Times New Roman" w:hAnsi="Times New Roman"/>
          <w:szCs w:val="20"/>
        </w:rPr>
        <w:t xml:space="preserve"> For THC</w:t>
      </w:r>
      <w:r w:rsidR="00A97F42">
        <w:rPr>
          <w:rFonts w:ascii="Times New Roman" w:hAnsi="Times New Roman"/>
          <w:szCs w:val="20"/>
        </w:rPr>
        <w:noBreakHyphen/>
      </w:r>
      <w:r w:rsidR="00515E5F">
        <w:rPr>
          <w:rFonts w:ascii="Times New Roman" w:hAnsi="Times New Roman"/>
          <w:szCs w:val="20"/>
        </w:rPr>
        <w:t>9</w:t>
      </w:r>
      <w:r w:rsidR="00A97F42">
        <w:rPr>
          <w:rFonts w:ascii="Times New Roman" w:hAnsi="Times New Roman"/>
          <w:szCs w:val="20"/>
        </w:rPr>
        <w:noBreakHyphen/>
      </w:r>
      <w:r w:rsidR="00515E5F">
        <w:rPr>
          <w:rFonts w:ascii="Times New Roman" w:hAnsi="Times New Roman"/>
          <w:szCs w:val="20"/>
        </w:rPr>
        <w:t xml:space="preserve">COOH, a third method based upon </w:t>
      </w:r>
      <w:r w:rsidR="00A97F42" w:rsidRPr="0048208D">
        <w:rPr>
          <w:rFonts w:ascii="Times New Roman" w:hAnsi="Times New Roman"/>
        </w:rPr>
        <w:t>ID</w:t>
      </w:r>
      <w:r w:rsidR="00A97F42">
        <w:rPr>
          <w:rFonts w:ascii="Times New Roman" w:hAnsi="Times New Roman"/>
        </w:rPr>
        <w:noBreakHyphen/>
        <w:t>LC</w:t>
      </w:r>
      <w:r w:rsidR="00A97F42">
        <w:rPr>
          <w:rFonts w:ascii="Times New Roman" w:hAnsi="Times New Roman"/>
        </w:rPr>
        <w:noBreakHyphen/>
      </w:r>
      <w:r w:rsidR="00A97F42" w:rsidRPr="0048208D">
        <w:rPr>
          <w:rFonts w:ascii="Times New Roman" w:hAnsi="Times New Roman"/>
        </w:rPr>
        <w:t>MS</w:t>
      </w:r>
      <w:r w:rsidR="00515E5F">
        <w:rPr>
          <w:rFonts w:ascii="Times New Roman" w:hAnsi="Times New Roman"/>
          <w:szCs w:val="20"/>
        </w:rPr>
        <w:t>/MS was also used.</w:t>
      </w:r>
      <w:r w:rsidR="00EA2F88">
        <w:rPr>
          <w:rFonts w:ascii="Times New Roman" w:hAnsi="Times New Roman"/>
          <w:szCs w:val="20"/>
        </w:rPr>
        <w:t xml:space="preserve">  Isotopically labeled internal standards were employed for all measurements.</w:t>
      </w:r>
    </w:p>
    <w:p w:rsidR="00515E5F" w:rsidRDefault="00515E5F" w:rsidP="00A56EE2">
      <w:pPr>
        <w:widowControl/>
        <w:jc w:val="both"/>
        <w:rPr>
          <w:rFonts w:ascii="Times New Roman" w:hAnsi="Times New Roman"/>
          <w:szCs w:val="20"/>
        </w:rPr>
      </w:pPr>
    </w:p>
    <w:p w:rsidR="006F1865" w:rsidRDefault="00BB0AAC" w:rsidP="00A56EE2">
      <w:pPr>
        <w:widowControl/>
        <w:jc w:val="both"/>
        <w:rPr>
          <w:rFonts w:ascii="Times New Roman" w:hAnsi="Times New Roman"/>
          <w:szCs w:val="20"/>
        </w:rPr>
      </w:pPr>
      <w:r w:rsidRPr="00BB0AAC">
        <w:rPr>
          <w:rFonts w:ascii="Times New Roman" w:hAnsi="Times New Roman"/>
          <w:i/>
          <w:szCs w:val="20"/>
        </w:rPr>
        <w:t>Analysis b</w:t>
      </w:r>
      <w:r w:rsidRPr="00A97F42">
        <w:rPr>
          <w:rFonts w:ascii="Times New Roman" w:hAnsi="Times New Roman"/>
          <w:i/>
          <w:szCs w:val="20"/>
        </w:rPr>
        <w:t xml:space="preserve">y </w:t>
      </w:r>
      <w:r w:rsidR="00A97F42" w:rsidRPr="00A97F42">
        <w:rPr>
          <w:rFonts w:ascii="Times New Roman" w:hAnsi="Times New Roman"/>
          <w:i/>
        </w:rPr>
        <w:t>ID</w:t>
      </w:r>
      <w:r w:rsidR="00A97F42" w:rsidRPr="00A97F42">
        <w:rPr>
          <w:rFonts w:ascii="Times New Roman" w:hAnsi="Times New Roman"/>
          <w:i/>
        </w:rPr>
        <w:noBreakHyphen/>
        <w:t>GC</w:t>
      </w:r>
      <w:r w:rsidR="00A97F42" w:rsidRPr="00A97F42">
        <w:rPr>
          <w:rFonts w:ascii="Times New Roman" w:hAnsi="Times New Roman"/>
          <w:i/>
        </w:rPr>
        <w:noBreakHyphen/>
        <w:t>MS</w:t>
      </w:r>
      <w:r w:rsidRPr="00BB0AAC">
        <w:rPr>
          <w:rFonts w:ascii="Times New Roman" w:hAnsi="Times New Roman"/>
          <w:i/>
          <w:szCs w:val="20"/>
        </w:rPr>
        <w:t>.</w:t>
      </w:r>
      <w:r>
        <w:rPr>
          <w:rFonts w:ascii="Times New Roman" w:hAnsi="Times New Roman"/>
          <w:szCs w:val="20"/>
        </w:rPr>
        <w:t xml:space="preserve"> </w:t>
      </w:r>
      <w:r w:rsidR="00EA2F88">
        <w:rPr>
          <w:rFonts w:ascii="Times New Roman" w:hAnsi="Times New Roman"/>
          <w:szCs w:val="20"/>
        </w:rPr>
        <w:t xml:space="preserve">Measurement of </w:t>
      </w:r>
      <w:r>
        <w:rPr>
          <w:rFonts w:ascii="Times New Roman" w:hAnsi="Times New Roman"/>
          <w:szCs w:val="20"/>
        </w:rPr>
        <w:t>benzoylecgonine</w:t>
      </w:r>
      <w:r w:rsidR="00EA2F88">
        <w:rPr>
          <w:rFonts w:ascii="Times New Roman" w:hAnsi="Times New Roman"/>
          <w:szCs w:val="20"/>
        </w:rPr>
        <w:t xml:space="preserve">, </w:t>
      </w:r>
      <w:r>
        <w:rPr>
          <w:rFonts w:ascii="Times New Roman" w:hAnsi="Times New Roman"/>
          <w:szCs w:val="20"/>
        </w:rPr>
        <w:t xml:space="preserve">methadone, </w:t>
      </w:r>
      <w:r w:rsidR="00EA2F88">
        <w:rPr>
          <w:rFonts w:ascii="Times New Roman" w:hAnsi="Times New Roman"/>
          <w:szCs w:val="20"/>
        </w:rPr>
        <w:t xml:space="preserve">morphine, </w:t>
      </w:r>
      <w:r w:rsidR="00200C7F">
        <w:rPr>
          <w:rFonts w:ascii="Times New Roman" w:hAnsi="Times New Roman"/>
          <w:szCs w:val="20"/>
        </w:rPr>
        <w:t xml:space="preserve">nordiazepam, </w:t>
      </w:r>
      <w:r w:rsidR="00EA2F88">
        <w:rPr>
          <w:rFonts w:ascii="Times New Roman" w:hAnsi="Times New Roman"/>
          <w:szCs w:val="20"/>
        </w:rPr>
        <w:t>and phencyclidine was performed in a single analysis.  For these analytes,</w:t>
      </w:r>
      <w:r>
        <w:rPr>
          <w:rFonts w:ascii="Times New Roman" w:hAnsi="Times New Roman"/>
          <w:szCs w:val="20"/>
        </w:rPr>
        <w:t xml:space="preserve"> 1</w:t>
      </w:r>
      <w:r w:rsidR="00F76012">
        <w:rPr>
          <w:rFonts w:ascii="Times New Roman" w:hAnsi="Times New Roman"/>
          <w:szCs w:val="20"/>
        </w:rPr>
        <w:t> </w:t>
      </w:r>
      <w:r>
        <w:rPr>
          <w:rFonts w:ascii="Times New Roman" w:hAnsi="Times New Roman"/>
          <w:szCs w:val="20"/>
        </w:rPr>
        <w:t xml:space="preserve">mL aliquots of serum were weighed into </w:t>
      </w:r>
      <w:r w:rsidR="00C77348">
        <w:rPr>
          <w:rFonts w:ascii="Times New Roman" w:hAnsi="Times New Roman"/>
          <w:szCs w:val="20"/>
        </w:rPr>
        <w:t xml:space="preserve">centrifuge tubes </w:t>
      </w:r>
      <w:r w:rsidR="005609B0">
        <w:rPr>
          <w:rFonts w:ascii="Times New Roman" w:hAnsi="Times New Roman"/>
          <w:szCs w:val="20"/>
        </w:rPr>
        <w:t>and adjusted to pH</w:t>
      </w:r>
      <w:r w:rsidR="00A97F42">
        <w:rPr>
          <w:rFonts w:ascii="Times New Roman" w:hAnsi="Times New Roman"/>
          <w:szCs w:val="20"/>
        </w:rPr>
        <w:t> </w:t>
      </w:r>
      <w:r w:rsidR="005609B0">
        <w:rPr>
          <w:rFonts w:ascii="Times New Roman" w:hAnsi="Times New Roman"/>
          <w:szCs w:val="20"/>
        </w:rPr>
        <w:t>6 with 0.1</w:t>
      </w:r>
      <w:r w:rsidR="00A97F42">
        <w:rPr>
          <w:rFonts w:ascii="Times New Roman" w:hAnsi="Times New Roman"/>
          <w:szCs w:val="20"/>
        </w:rPr>
        <w:t> </w:t>
      </w:r>
      <w:r w:rsidR="007148DA">
        <w:rPr>
          <w:rFonts w:ascii="Times New Roman" w:hAnsi="Times New Roman"/>
          <w:szCs w:val="20"/>
        </w:rPr>
        <w:t>mol/L</w:t>
      </w:r>
      <w:r w:rsidR="005609B0">
        <w:rPr>
          <w:rFonts w:ascii="Times New Roman" w:hAnsi="Times New Roman"/>
          <w:szCs w:val="20"/>
        </w:rPr>
        <w:t xml:space="preserve"> </w:t>
      </w:r>
      <w:r>
        <w:rPr>
          <w:rFonts w:ascii="Times New Roman" w:hAnsi="Times New Roman"/>
          <w:szCs w:val="20"/>
        </w:rPr>
        <w:t>phosphate buffer</w:t>
      </w:r>
      <w:r w:rsidR="005609B0">
        <w:rPr>
          <w:rFonts w:ascii="Times New Roman" w:hAnsi="Times New Roman"/>
          <w:szCs w:val="20"/>
        </w:rPr>
        <w:t xml:space="preserve">.  </w:t>
      </w:r>
      <w:r w:rsidR="00EA2F88">
        <w:rPr>
          <w:rFonts w:ascii="Times New Roman" w:hAnsi="Times New Roman"/>
          <w:szCs w:val="20"/>
        </w:rPr>
        <w:t>Labeled internal standards were added to give approximately 1:1 ratio</w:t>
      </w:r>
      <w:r w:rsidR="00B61881">
        <w:rPr>
          <w:rFonts w:ascii="Times New Roman" w:hAnsi="Times New Roman"/>
          <w:szCs w:val="20"/>
        </w:rPr>
        <w:t>s</w:t>
      </w:r>
      <w:r w:rsidR="00EA2F88">
        <w:rPr>
          <w:rFonts w:ascii="Times New Roman" w:hAnsi="Times New Roman"/>
          <w:szCs w:val="20"/>
        </w:rPr>
        <w:t xml:space="preserve"> between labeled and unlabeled analytes.  </w:t>
      </w:r>
      <w:r w:rsidR="00A84005">
        <w:rPr>
          <w:rFonts w:ascii="Times New Roman" w:hAnsi="Times New Roman"/>
          <w:szCs w:val="20"/>
        </w:rPr>
        <w:t xml:space="preserve">Solid phase </w:t>
      </w:r>
      <w:r w:rsidR="00EB7961">
        <w:rPr>
          <w:rFonts w:ascii="Times New Roman" w:hAnsi="Times New Roman"/>
          <w:szCs w:val="20"/>
        </w:rPr>
        <w:t>extraction</w:t>
      </w:r>
      <w:r w:rsidR="00A97F42">
        <w:rPr>
          <w:rFonts w:ascii="Times New Roman" w:hAnsi="Times New Roman"/>
          <w:szCs w:val="20"/>
        </w:rPr>
        <w:t> </w:t>
      </w:r>
      <w:r w:rsidR="00EB7961">
        <w:rPr>
          <w:rFonts w:ascii="Times New Roman" w:hAnsi="Times New Roman"/>
          <w:szCs w:val="20"/>
        </w:rPr>
        <w:t xml:space="preserve">(SPE) </w:t>
      </w:r>
      <w:r w:rsidR="00A84005">
        <w:rPr>
          <w:rFonts w:ascii="Times New Roman" w:hAnsi="Times New Roman"/>
          <w:szCs w:val="20"/>
        </w:rPr>
        <w:t>cartridges (Bond Elut Certify</w:t>
      </w:r>
      <w:r w:rsidR="0096383B">
        <w:rPr>
          <w:rFonts w:ascii="Times New Roman" w:hAnsi="Times New Roman"/>
          <w:szCs w:val="20"/>
        </w:rPr>
        <w:t>, Varian, Inc.</w:t>
      </w:r>
      <w:r w:rsidR="007148DA">
        <w:rPr>
          <w:rFonts w:ascii="Times New Roman" w:hAnsi="Times New Roman"/>
          <w:szCs w:val="20"/>
        </w:rPr>
        <w:t>, Lake Forest,</w:t>
      </w:r>
      <w:r w:rsidR="00A97F42">
        <w:rPr>
          <w:rFonts w:ascii="Times New Roman" w:hAnsi="Times New Roman"/>
          <w:szCs w:val="20"/>
        </w:rPr>
        <w:t> </w:t>
      </w:r>
      <w:r w:rsidR="007148DA">
        <w:rPr>
          <w:rFonts w:ascii="Times New Roman" w:hAnsi="Times New Roman"/>
          <w:szCs w:val="20"/>
        </w:rPr>
        <w:t>CA</w:t>
      </w:r>
      <w:r w:rsidR="00A84005">
        <w:rPr>
          <w:rFonts w:ascii="Times New Roman" w:hAnsi="Times New Roman"/>
          <w:szCs w:val="20"/>
        </w:rPr>
        <w:t>) were used to isolate the drugs of abuse from the serum matrix</w:t>
      </w:r>
      <w:r w:rsidR="006D2C74">
        <w:rPr>
          <w:rFonts w:ascii="Times New Roman" w:hAnsi="Times New Roman"/>
          <w:szCs w:val="20"/>
        </w:rPr>
        <w:t xml:space="preserve">, and the </w:t>
      </w:r>
      <w:r w:rsidR="00B61881">
        <w:rPr>
          <w:rFonts w:ascii="Times New Roman" w:hAnsi="Times New Roman"/>
          <w:szCs w:val="20"/>
        </w:rPr>
        <w:t>analytes were</w:t>
      </w:r>
      <w:r w:rsidR="001F098E">
        <w:rPr>
          <w:rFonts w:ascii="Times New Roman" w:hAnsi="Times New Roman"/>
          <w:szCs w:val="20"/>
        </w:rPr>
        <w:t xml:space="preserve"> then</w:t>
      </w:r>
      <w:r w:rsidR="00B61881">
        <w:rPr>
          <w:rFonts w:ascii="Times New Roman" w:hAnsi="Times New Roman"/>
          <w:szCs w:val="20"/>
        </w:rPr>
        <w:t xml:space="preserve"> </w:t>
      </w:r>
      <w:proofErr w:type="spellStart"/>
      <w:r w:rsidR="00B61881">
        <w:rPr>
          <w:rFonts w:ascii="Times New Roman" w:hAnsi="Times New Roman"/>
          <w:szCs w:val="20"/>
        </w:rPr>
        <w:t>derivatized</w:t>
      </w:r>
      <w:proofErr w:type="spellEnd"/>
      <w:r w:rsidR="00B61881">
        <w:rPr>
          <w:rFonts w:ascii="Times New Roman" w:hAnsi="Times New Roman"/>
          <w:szCs w:val="20"/>
        </w:rPr>
        <w:t xml:space="preserve"> with </w:t>
      </w:r>
      <w:proofErr w:type="spellStart"/>
      <w:r w:rsidR="00B61881">
        <w:rPr>
          <w:rFonts w:ascii="Times New Roman" w:hAnsi="Times New Roman"/>
          <w:szCs w:val="20"/>
        </w:rPr>
        <w:t>N</w:t>
      </w:r>
      <w:proofErr w:type="gramStart"/>
      <w:r w:rsidR="00B61881">
        <w:rPr>
          <w:rFonts w:ascii="Times New Roman" w:hAnsi="Times New Roman"/>
          <w:szCs w:val="20"/>
        </w:rPr>
        <w:t>,O</w:t>
      </w:r>
      <w:proofErr w:type="gramEnd"/>
      <w:r w:rsidR="00A97F42">
        <w:rPr>
          <w:rFonts w:ascii="Times New Roman" w:hAnsi="Times New Roman"/>
          <w:szCs w:val="20"/>
        </w:rPr>
        <w:noBreakHyphen/>
      </w:r>
      <w:r w:rsidR="00B61881">
        <w:rPr>
          <w:rFonts w:ascii="Times New Roman" w:hAnsi="Times New Roman"/>
          <w:szCs w:val="20"/>
        </w:rPr>
        <w:t>bis</w:t>
      </w:r>
      <w:proofErr w:type="spellEnd"/>
      <w:r w:rsidR="00B61881">
        <w:rPr>
          <w:rFonts w:ascii="Times New Roman" w:hAnsi="Times New Roman"/>
          <w:szCs w:val="20"/>
        </w:rPr>
        <w:t>(</w:t>
      </w:r>
      <w:proofErr w:type="spellStart"/>
      <w:r w:rsidR="00B61881">
        <w:rPr>
          <w:rFonts w:ascii="Times New Roman" w:hAnsi="Times New Roman"/>
          <w:szCs w:val="20"/>
        </w:rPr>
        <w:t>trimethylsilyl</w:t>
      </w:r>
      <w:proofErr w:type="spellEnd"/>
      <w:r w:rsidR="00B61881">
        <w:rPr>
          <w:rFonts w:ascii="Times New Roman" w:hAnsi="Times New Roman"/>
          <w:szCs w:val="20"/>
        </w:rPr>
        <w:t>)</w:t>
      </w:r>
      <w:proofErr w:type="spellStart"/>
      <w:r w:rsidR="00B61881">
        <w:rPr>
          <w:rFonts w:ascii="Times New Roman" w:hAnsi="Times New Roman"/>
          <w:szCs w:val="20"/>
        </w:rPr>
        <w:t>acetamide</w:t>
      </w:r>
      <w:proofErr w:type="spellEnd"/>
      <w:r w:rsidR="00B61881">
        <w:rPr>
          <w:rFonts w:ascii="Times New Roman" w:hAnsi="Times New Roman"/>
          <w:szCs w:val="20"/>
        </w:rPr>
        <w:t xml:space="preserve">.  </w:t>
      </w:r>
      <w:r w:rsidR="00EB7961">
        <w:rPr>
          <w:rFonts w:ascii="Times New Roman" w:hAnsi="Times New Roman"/>
          <w:szCs w:val="20"/>
        </w:rPr>
        <w:t xml:space="preserve">Analysis of methamphetamine was performed in a similar manner, </w:t>
      </w:r>
      <w:r w:rsidR="001F098E">
        <w:rPr>
          <w:rFonts w:ascii="Times New Roman" w:hAnsi="Times New Roman"/>
          <w:szCs w:val="20"/>
        </w:rPr>
        <w:t xml:space="preserve">but </w:t>
      </w:r>
      <w:r w:rsidR="00EB7961">
        <w:rPr>
          <w:rFonts w:ascii="Times New Roman" w:hAnsi="Times New Roman"/>
          <w:szCs w:val="20"/>
        </w:rPr>
        <w:t xml:space="preserve">the methamphetamine was derivatized with heptafluorobutyric </w:t>
      </w:r>
      <w:r w:rsidR="00C96571">
        <w:rPr>
          <w:rFonts w:ascii="Times New Roman" w:hAnsi="Times New Roman"/>
          <w:szCs w:val="20"/>
        </w:rPr>
        <w:t xml:space="preserve">acid </w:t>
      </w:r>
      <w:r w:rsidR="00EB7961">
        <w:rPr>
          <w:rFonts w:ascii="Times New Roman" w:hAnsi="Times New Roman"/>
          <w:szCs w:val="20"/>
        </w:rPr>
        <w:t>anhydride</w:t>
      </w:r>
      <w:r w:rsidR="005609B0">
        <w:rPr>
          <w:rFonts w:ascii="Times New Roman" w:hAnsi="Times New Roman"/>
          <w:szCs w:val="20"/>
        </w:rPr>
        <w:t xml:space="preserve">.  </w:t>
      </w:r>
      <w:r w:rsidR="00EB7961">
        <w:rPr>
          <w:rFonts w:ascii="Times New Roman" w:hAnsi="Times New Roman"/>
          <w:szCs w:val="20"/>
        </w:rPr>
        <w:t>For analysis of THC</w:t>
      </w:r>
      <w:r w:rsidR="00A97F42">
        <w:rPr>
          <w:rFonts w:ascii="Times New Roman" w:hAnsi="Times New Roman"/>
          <w:szCs w:val="20"/>
        </w:rPr>
        <w:noBreakHyphen/>
      </w:r>
      <w:r w:rsidR="00EB7961">
        <w:rPr>
          <w:rFonts w:ascii="Times New Roman" w:hAnsi="Times New Roman"/>
          <w:szCs w:val="20"/>
        </w:rPr>
        <w:t>9</w:t>
      </w:r>
      <w:r w:rsidR="00A97F42">
        <w:rPr>
          <w:rFonts w:ascii="Times New Roman" w:hAnsi="Times New Roman"/>
          <w:szCs w:val="20"/>
        </w:rPr>
        <w:noBreakHyphen/>
      </w:r>
      <w:r w:rsidR="00EB7961">
        <w:rPr>
          <w:rFonts w:ascii="Times New Roman" w:hAnsi="Times New Roman"/>
          <w:szCs w:val="20"/>
        </w:rPr>
        <w:t>COOH, 1</w:t>
      </w:r>
      <w:r w:rsidR="00A97F42">
        <w:rPr>
          <w:rFonts w:ascii="Times New Roman" w:hAnsi="Times New Roman"/>
          <w:szCs w:val="20"/>
        </w:rPr>
        <w:t> </w:t>
      </w:r>
      <w:r w:rsidR="00EB7961">
        <w:rPr>
          <w:rFonts w:ascii="Times New Roman" w:hAnsi="Times New Roman"/>
          <w:szCs w:val="20"/>
        </w:rPr>
        <w:t xml:space="preserve">mL serum aliquots were weighed into centrifuge tubes, and </w:t>
      </w:r>
      <w:r w:rsidR="005609B0">
        <w:rPr>
          <w:rFonts w:ascii="Times New Roman" w:hAnsi="Times New Roman"/>
          <w:szCs w:val="20"/>
        </w:rPr>
        <w:t>acetate buffer (0.1</w:t>
      </w:r>
      <w:r w:rsidR="00A97F42">
        <w:rPr>
          <w:rFonts w:ascii="Times New Roman" w:hAnsi="Times New Roman"/>
          <w:szCs w:val="20"/>
        </w:rPr>
        <w:t> </w:t>
      </w:r>
      <w:r w:rsidR="007148DA">
        <w:rPr>
          <w:rFonts w:ascii="Times New Roman" w:hAnsi="Times New Roman"/>
          <w:szCs w:val="20"/>
        </w:rPr>
        <w:t>mol/L</w:t>
      </w:r>
      <w:r w:rsidR="005609B0">
        <w:rPr>
          <w:rFonts w:ascii="Times New Roman" w:hAnsi="Times New Roman"/>
          <w:szCs w:val="20"/>
        </w:rPr>
        <w:t>, pH</w:t>
      </w:r>
      <w:r w:rsidR="00A97F42">
        <w:rPr>
          <w:rFonts w:ascii="Times New Roman" w:hAnsi="Times New Roman"/>
          <w:szCs w:val="20"/>
        </w:rPr>
        <w:t> </w:t>
      </w:r>
      <w:r w:rsidR="005609B0">
        <w:rPr>
          <w:rFonts w:ascii="Times New Roman" w:hAnsi="Times New Roman"/>
          <w:szCs w:val="20"/>
        </w:rPr>
        <w:t xml:space="preserve">4) and the </w:t>
      </w:r>
      <w:r w:rsidR="00EB7961">
        <w:rPr>
          <w:rFonts w:ascii="Times New Roman" w:hAnsi="Times New Roman"/>
          <w:szCs w:val="20"/>
        </w:rPr>
        <w:t>labeled internal standard were added.  The analyte was isolated by SPE</w:t>
      </w:r>
      <w:r w:rsidR="00A97F42">
        <w:rPr>
          <w:rFonts w:ascii="Times New Roman" w:hAnsi="Times New Roman"/>
          <w:szCs w:val="20"/>
        </w:rPr>
        <w:t> </w:t>
      </w:r>
      <w:r w:rsidR="00EB7961">
        <w:rPr>
          <w:rFonts w:ascii="Times New Roman" w:hAnsi="Times New Roman"/>
          <w:szCs w:val="20"/>
        </w:rPr>
        <w:t xml:space="preserve">(Bond </w:t>
      </w:r>
      <w:proofErr w:type="spellStart"/>
      <w:r w:rsidR="00EB7961">
        <w:rPr>
          <w:rFonts w:ascii="Times New Roman" w:hAnsi="Times New Roman"/>
          <w:szCs w:val="20"/>
        </w:rPr>
        <w:t>Elut</w:t>
      </w:r>
      <w:proofErr w:type="spellEnd"/>
      <w:r w:rsidR="00EB7961">
        <w:rPr>
          <w:rFonts w:ascii="Times New Roman" w:hAnsi="Times New Roman"/>
          <w:szCs w:val="20"/>
        </w:rPr>
        <w:t xml:space="preserve"> Certify) and</w:t>
      </w:r>
      <w:r w:rsidR="001F098E">
        <w:rPr>
          <w:rFonts w:ascii="Times New Roman" w:hAnsi="Times New Roman"/>
          <w:szCs w:val="20"/>
        </w:rPr>
        <w:t xml:space="preserve"> </w:t>
      </w:r>
      <w:proofErr w:type="spellStart"/>
      <w:r w:rsidR="00262DC1">
        <w:rPr>
          <w:rFonts w:ascii="Times New Roman" w:hAnsi="Times New Roman"/>
          <w:szCs w:val="20"/>
        </w:rPr>
        <w:t>derivatized</w:t>
      </w:r>
      <w:proofErr w:type="spellEnd"/>
      <w:r w:rsidR="00262DC1">
        <w:rPr>
          <w:rFonts w:ascii="Times New Roman" w:hAnsi="Times New Roman"/>
          <w:szCs w:val="20"/>
        </w:rPr>
        <w:t xml:space="preserve"> with </w:t>
      </w:r>
      <w:proofErr w:type="spellStart"/>
      <w:r w:rsidR="001F098E">
        <w:rPr>
          <w:rFonts w:ascii="Times New Roman" w:hAnsi="Times New Roman"/>
          <w:szCs w:val="20"/>
        </w:rPr>
        <w:t>N</w:t>
      </w:r>
      <w:proofErr w:type="gramStart"/>
      <w:r w:rsidR="001F098E">
        <w:rPr>
          <w:rFonts w:ascii="Times New Roman" w:hAnsi="Times New Roman"/>
          <w:szCs w:val="20"/>
        </w:rPr>
        <w:t>,O</w:t>
      </w:r>
      <w:proofErr w:type="gramEnd"/>
      <w:r w:rsidR="00A97F42">
        <w:rPr>
          <w:rFonts w:ascii="Times New Roman" w:hAnsi="Times New Roman"/>
          <w:szCs w:val="20"/>
        </w:rPr>
        <w:noBreakHyphen/>
      </w:r>
      <w:r w:rsidR="001F098E">
        <w:rPr>
          <w:rFonts w:ascii="Times New Roman" w:hAnsi="Times New Roman"/>
          <w:szCs w:val="20"/>
        </w:rPr>
        <w:t>bis</w:t>
      </w:r>
      <w:proofErr w:type="spellEnd"/>
      <w:r w:rsidR="001F098E">
        <w:rPr>
          <w:rFonts w:ascii="Times New Roman" w:hAnsi="Times New Roman"/>
          <w:szCs w:val="20"/>
        </w:rPr>
        <w:t>(</w:t>
      </w:r>
      <w:proofErr w:type="spellStart"/>
      <w:r w:rsidR="001F098E">
        <w:rPr>
          <w:rFonts w:ascii="Times New Roman" w:hAnsi="Times New Roman"/>
          <w:szCs w:val="20"/>
        </w:rPr>
        <w:t>trimethylsilyl</w:t>
      </w:r>
      <w:proofErr w:type="spellEnd"/>
      <w:r w:rsidR="001F098E">
        <w:rPr>
          <w:rFonts w:ascii="Times New Roman" w:hAnsi="Times New Roman"/>
          <w:szCs w:val="20"/>
        </w:rPr>
        <w:t>)</w:t>
      </w:r>
      <w:proofErr w:type="spellStart"/>
      <w:r w:rsidR="001F098E">
        <w:rPr>
          <w:rFonts w:ascii="Times New Roman" w:hAnsi="Times New Roman"/>
          <w:szCs w:val="20"/>
        </w:rPr>
        <w:t>acetamide</w:t>
      </w:r>
      <w:proofErr w:type="spellEnd"/>
      <w:r w:rsidR="00262DC1">
        <w:rPr>
          <w:rFonts w:ascii="Times New Roman" w:hAnsi="Times New Roman"/>
          <w:szCs w:val="20"/>
        </w:rPr>
        <w:t>.  All samples were analyzed by GC</w:t>
      </w:r>
      <w:r w:rsidR="00A97F42">
        <w:rPr>
          <w:rFonts w:ascii="Times New Roman" w:hAnsi="Times New Roman"/>
          <w:szCs w:val="20"/>
        </w:rPr>
        <w:noBreakHyphen/>
      </w:r>
      <w:r w:rsidR="00262DC1">
        <w:rPr>
          <w:rFonts w:ascii="Times New Roman" w:hAnsi="Times New Roman"/>
          <w:szCs w:val="20"/>
        </w:rPr>
        <w:t>MS using electron impact ionization</w:t>
      </w:r>
      <w:r w:rsidR="007148DA">
        <w:rPr>
          <w:rFonts w:ascii="Times New Roman" w:hAnsi="Times New Roman"/>
          <w:szCs w:val="20"/>
        </w:rPr>
        <w:t xml:space="preserve"> and a </w:t>
      </w:r>
      <w:r w:rsidR="00262DC1">
        <w:rPr>
          <w:rFonts w:ascii="Times New Roman" w:hAnsi="Times New Roman"/>
          <w:szCs w:val="20"/>
        </w:rPr>
        <w:t>30</w:t>
      </w:r>
      <w:r w:rsidR="00A97F42">
        <w:rPr>
          <w:rFonts w:ascii="Times New Roman" w:hAnsi="Times New Roman"/>
          <w:szCs w:val="20"/>
        </w:rPr>
        <w:t> </w:t>
      </w:r>
      <w:r w:rsidR="00262DC1">
        <w:rPr>
          <w:rFonts w:ascii="Times New Roman" w:hAnsi="Times New Roman"/>
          <w:szCs w:val="20"/>
        </w:rPr>
        <w:t>m</w:t>
      </w:r>
      <w:r w:rsidR="005E507F">
        <w:rPr>
          <w:rFonts w:ascii="Times New Roman" w:hAnsi="Times New Roman"/>
          <w:szCs w:val="20"/>
        </w:rPr>
        <w:t xml:space="preserve"> fused silica capillary column with a 5</w:t>
      </w:r>
      <w:r w:rsidR="00A97F42">
        <w:rPr>
          <w:rFonts w:ascii="Times New Roman" w:hAnsi="Times New Roman"/>
          <w:szCs w:val="20"/>
        </w:rPr>
        <w:t> </w:t>
      </w:r>
      <w:r w:rsidR="005E507F">
        <w:rPr>
          <w:rFonts w:ascii="Times New Roman" w:hAnsi="Times New Roman"/>
          <w:szCs w:val="20"/>
        </w:rPr>
        <w:t>% phenyl</w:t>
      </w:r>
      <w:r w:rsidR="00675FC7">
        <w:rPr>
          <w:rFonts w:ascii="Times New Roman" w:hAnsi="Times New Roman"/>
          <w:szCs w:val="20"/>
        </w:rPr>
        <w:t>/</w:t>
      </w:r>
      <w:r w:rsidR="005E507F">
        <w:rPr>
          <w:rFonts w:ascii="Times New Roman" w:hAnsi="Times New Roman"/>
          <w:szCs w:val="20"/>
        </w:rPr>
        <w:t>95</w:t>
      </w:r>
      <w:r w:rsidR="00A97F42">
        <w:rPr>
          <w:rFonts w:ascii="Times New Roman" w:hAnsi="Times New Roman"/>
          <w:szCs w:val="20"/>
        </w:rPr>
        <w:t> </w:t>
      </w:r>
      <w:r w:rsidR="005E507F">
        <w:rPr>
          <w:rFonts w:ascii="Times New Roman" w:hAnsi="Times New Roman"/>
          <w:szCs w:val="20"/>
        </w:rPr>
        <w:t>% dimethyl arylene siloxane phase (DB</w:t>
      </w:r>
      <w:r w:rsidR="00712973">
        <w:rPr>
          <w:rFonts w:ascii="Times New Roman" w:hAnsi="Times New Roman"/>
          <w:szCs w:val="20"/>
        </w:rPr>
        <w:noBreakHyphen/>
      </w:r>
      <w:r w:rsidR="005E507F">
        <w:rPr>
          <w:rFonts w:ascii="Times New Roman" w:hAnsi="Times New Roman"/>
          <w:szCs w:val="20"/>
        </w:rPr>
        <w:t>5ms</w:t>
      </w:r>
      <w:r w:rsidR="007148DA">
        <w:rPr>
          <w:rFonts w:ascii="Times New Roman" w:hAnsi="Times New Roman"/>
          <w:szCs w:val="20"/>
        </w:rPr>
        <w:t>, J</w:t>
      </w:r>
      <w:r w:rsidR="00A97F42">
        <w:rPr>
          <w:rFonts w:ascii="Times New Roman" w:hAnsi="Times New Roman"/>
          <w:szCs w:val="20"/>
        </w:rPr>
        <w:t> </w:t>
      </w:r>
      <w:r w:rsidR="007148DA">
        <w:rPr>
          <w:rFonts w:ascii="Times New Roman" w:hAnsi="Times New Roman"/>
          <w:szCs w:val="20"/>
        </w:rPr>
        <w:t>&amp;</w:t>
      </w:r>
      <w:r w:rsidR="00A97F42">
        <w:rPr>
          <w:rFonts w:ascii="Times New Roman" w:hAnsi="Times New Roman"/>
          <w:szCs w:val="20"/>
        </w:rPr>
        <w:t> </w:t>
      </w:r>
      <w:r w:rsidR="007148DA">
        <w:rPr>
          <w:rFonts w:ascii="Times New Roman" w:hAnsi="Times New Roman"/>
          <w:szCs w:val="20"/>
        </w:rPr>
        <w:t>W</w:t>
      </w:r>
      <w:r w:rsidR="00A97F42">
        <w:rPr>
          <w:rFonts w:ascii="Times New Roman" w:hAnsi="Times New Roman"/>
          <w:szCs w:val="20"/>
        </w:rPr>
        <w:t> </w:t>
      </w:r>
      <w:r w:rsidR="007148DA">
        <w:rPr>
          <w:rFonts w:ascii="Times New Roman" w:hAnsi="Times New Roman"/>
          <w:szCs w:val="20"/>
        </w:rPr>
        <w:t>Scientific, Rancho Cordova,</w:t>
      </w:r>
      <w:r w:rsidR="00A97F42">
        <w:rPr>
          <w:rFonts w:ascii="Times New Roman" w:hAnsi="Times New Roman"/>
          <w:szCs w:val="20"/>
        </w:rPr>
        <w:t> </w:t>
      </w:r>
      <w:r w:rsidR="007148DA">
        <w:rPr>
          <w:rFonts w:ascii="Times New Roman" w:hAnsi="Times New Roman"/>
          <w:szCs w:val="20"/>
        </w:rPr>
        <w:t>CA</w:t>
      </w:r>
      <w:r w:rsidR="005E507F">
        <w:rPr>
          <w:rFonts w:ascii="Times New Roman" w:hAnsi="Times New Roman"/>
          <w:szCs w:val="20"/>
        </w:rPr>
        <w:t>)</w:t>
      </w:r>
      <w:r w:rsidR="007148DA">
        <w:rPr>
          <w:rFonts w:ascii="Times New Roman" w:hAnsi="Times New Roman"/>
          <w:szCs w:val="20"/>
        </w:rPr>
        <w:t>.</w:t>
      </w:r>
    </w:p>
    <w:p w:rsidR="00A97F42" w:rsidRDefault="00A97F42" w:rsidP="00A56EE2">
      <w:pPr>
        <w:widowControl/>
        <w:jc w:val="both"/>
        <w:rPr>
          <w:rFonts w:ascii="Times New Roman" w:hAnsi="Times New Roman"/>
          <w:szCs w:val="20"/>
        </w:rPr>
      </w:pPr>
    </w:p>
    <w:p w:rsidR="00254914" w:rsidRPr="00FC25B4" w:rsidRDefault="00254914" w:rsidP="00A56EE2">
      <w:pPr>
        <w:widowControl/>
        <w:jc w:val="both"/>
        <w:rPr>
          <w:rFonts w:ascii="Times New Roman" w:hAnsi="Times New Roman"/>
          <w:szCs w:val="20"/>
        </w:rPr>
      </w:pPr>
      <w:r w:rsidRPr="0096383B">
        <w:rPr>
          <w:rFonts w:ascii="Times New Roman" w:hAnsi="Times New Roman"/>
          <w:i/>
          <w:szCs w:val="20"/>
        </w:rPr>
        <w:t>Analysis by ID</w:t>
      </w:r>
      <w:r w:rsidR="00A97F42">
        <w:rPr>
          <w:rFonts w:ascii="Times New Roman" w:hAnsi="Times New Roman"/>
          <w:i/>
          <w:szCs w:val="20"/>
        </w:rPr>
        <w:noBreakHyphen/>
      </w:r>
      <w:r w:rsidRPr="0096383B">
        <w:rPr>
          <w:rFonts w:ascii="Times New Roman" w:hAnsi="Times New Roman"/>
          <w:i/>
          <w:szCs w:val="20"/>
        </w:rPr>
        <w:t>LC</w:t>
      </w:r>
      <w:r w:rsidR="00A97F42">
        <w:rPr>
          <w:rFonts w:ascii="Times New Roman" w:hAnsi="Times New Roman"/>
          <w:i/>
          <w:szCs w:val="20"/>
        </w:rPr>
        <w:noBreakHyphen/>
      </w:r>
      <w:r w:rsidRPr="0096383B">
        <w:rPr>
          <w:rFonts w:ascii="Times New Roman" w:hAnsi="Times New Roman"/>
          <w:i/>
          <w:szCs w:val="20"/>
        </w:rPr>
        <w:t>MS</w:t>
      </w:r>
      <w:r w:rsidR="00A2471C">
        <w:rPr>
          <w:rFonts w:ascii="Times New Roman" w:hAnsi="Times New Roman"/>
          <w:i/>
          <w:szCs w:val="20"/>
        </w:rPr>
        <w:t xml:space="preserve"> and ID</w:t>
      </w:r>
      <w:r w:rsidR="00A97F42">
        <w:rPr>
          <w:rFonts w:ascii="Times New Roman" w:hAnsi="Times New Roman"/>
          <w:i/>
          <w:szCs w:val="20"/>
        </w:rPr>
        <w:noBreakHyphen/>
      </w:r>
      <w:r w:rsidR="00A2471C">
        <w:rPr>
          <w:rFonts w:ascii="Times New Roman" w:hAnsi="Times New Roman"/>
          <w:i/>
          <w:szCs w:val="20"/>
        </w:rPr>
        <w:t>LC</w:t>
      </w:r>
      <w:r w:rsidR="00A97F42">
        <w:rPr>
          <w:rFonts w:ascii="Times New Roman" w:hAnsi="Times New Roman"/>
          <w:i/>
          <w:szCs w:val="20"/>
        </w:rPr>
        <w:noBreakHyphen/>
      </w:r>
      <w:r w:rsidR="00A2471C">
        <w:rPr>
          <w:rFonts w:ascii="Times New Roman" w:hAnsi="Times New Roman"/>
          <w:i/>
          <w:szCs w:val="20"/>
        </w:rPr>
        <w:t>MS/MS</w:t>
      </w:r>
      <w:r w:rsidRPr="0096383B">
        <w:rPr>
          <w:rFonts w:ascii="Times New Roman" w:hAnsi="Times New Roman"/>
          <w:i/>
          <w:szCs w:val="20"/>
        </w:rPr>
        <w:t>.</w:t>
      </w:r>
      <w:r>
        <w:rPr>
          <w:rFonts w:ascii="Times New Roman" w:hAnsi="Times New Roman"/>
          <w:szCs w:val="20"/>
        </w:rPr>
        <w:t xml:space="preserve"> </w:t>
      </w:r>
      <w:r w:rsidR="00BA5880">
        <w:rPr>
          <w:rFonts w:ascii="Times New Roman" w:hAnsi="Times New Roman"/>
          <w:szCs w:val="20"/>
        </w:rPr>
        <w:t xml:space="preserve">Measurement of </w:t>
      </w:r>
      <w:r w:rsidR="00200C7F">
        <w:rPr>
          <w:rFonts w:ascii="Times New Roman" w:hAnsi="Times New Roman"/>
          <w:szCs w:val="20"/>
        </w:rPr>
        <w:t xml:space="preserve">methadone, </w:t>
      </w:r>
      <w:r w:rsidR="00BA5880">
        <w:rPr>
          <w:rFonts w:ascii="Times New Roman" w:hAnsi="Times New Roman"/>
          <w:szCs w:val="20"/>
        </w:rPr>
        <w:t xml:space="preserve">methamphetamine, </w:t>
      </w:r>
      <w:r w:rsidR="00200C7F">
        <w:rPr>
          <w:rFonts w:ascii="Times New Roman" w:hAnsi="Times New Roman"/>
          <w:szCs w:val="20"/>
        </w:rPr>
        <w:t>morphine</w:t>
      </w:r>
      <w:r w:rsidR="00BA5880">
        <w:rPr>
          <w:rFonts w:ascii="Times New Roman" w:hAnsi="Times New Roman"/>
          <w:szCs w:val="20"/>
        </w:rPr>
        <w:t>, and phencyclidine was performed in a single analysis.  Aliquots of serum (1</w:t>
      </w:r>
      <w:r w:rsidR="00A97F42">
        <w:rPr>
          <w:rFonts w:ascii="Times New Roman" w:hAnsi="Times New Roman"/>
          <w:szCs w:val="20"/>
        </w:rPr>
        <w:t> </w:t>
      </w:r>
      <w:r w:rsidR="00BA5880">
        <w:rPr>
          <w:rFonts w:ascii="Times New Roman" w:hAnsi="Times New Roman"/>
          <w:szCs w:val="20"/>
        </w:rPr>
        <w:t>g) were weighed into centrifuge tubes and adjusted to pH</w:t>
      </w:r>
      <w:r w:rsidR="00A97F42">
        <w:rPr>
          <w:rFonts w:ascii="Times New Roman" w:hAnsi="Times New Roman"/>
          <w:szCs w:val="20"/>
        </w:rPr>
        <w:t> </w:t>
      </w:r>
      <w:r w:rsidR="00BA5880">
        <w:rPr>
          <w:rFonts w:ascii="Times New Roman" w:hAnsi="Times New Roman"/>
          <w:szCs w:val="20"/>
        </w:rPr>
        <w:t xml:space="preserve">6 with </w:t>
      </w:r>
      <w:r w:rsidR="005609B0">
        <w:rPr>
          <w:rFonts w:ascii="Times New Roman" w:hAnsi="Times New Roman"/>
          <w:szCs w:val="20"/>
        </w:rPr>
        <w:t>0.1</w:t>
      </w:r>
      <w:r w:rsidR="00A97F42">
        <w:rPr>
          <w:rFonts w:ascii="Times New Roman" w:hAnsi="Times New Roman"/>
          <w:szCs w:val="20"/>
        </w:rPr>
        <w:t> </w:t>
      </w:r>
      <w:r w:rsidR="00A56EE2">
        <w:rPr>
          <w:rFonts w:ascii="Times New Roman" w:hAnsi="Times New Roman"/>
          <w:szCs w:val="20"/>
        </w:rPr>
        <w:t>mol/L</w:t>
      </w:r>
      <w:r w:rsidR="005609B0">
        <w:rPr>
          <w:rFonts w:ascii="Times New Roman" w:hAnsi="Times New Roman"/>
          <w:szCs w:val="20"/>
        </w:rPr>
        <w:t xml:space="preserve"> phosphate buffer.  </w:t>
      </w:r>
      <w:r w:rsidR="00BA5880">
        <w:rPr>
          <w:rFonts w:ascii="Times New Roman" w:hAnsi="Times New Roman"/>
          <w:szCs w:val="20"/>
        </w:rPr>
        <w:t>Labeled internal standards were added to give approximately 1:1</w:t>
      </w:r>
      <w:r w:rsidR="00E9449F">
        <w:rPr>
          <w:rFonts w:ascii="Times New Roman" w:hAnsi="Times New Roman"/>
          <w:szCs w:val="20"/>
        </w:rPr>
        <w:t> </w:t>
      </w:r>
      <w:r w:rsidR="00BA5880">
        <w:rPr>
          <w:rFonts w:ascii="Times New Roman" w:hAnsi="Times New Roman"/>
          <w:szCs w:val="20"/>
        </w:rPr>
        <w:t>ratios between labeled and unlabeled analytes.  The drugs of abuse were isolated from the serum matrix by SPE</w:t>
      </w:r>
      <w:r w:rsidR="00DF5930">
        <w:rPr>
          <w:rFonts w:ascii="Times New Roman" w:hAnsi="Times New Roman"/>
          <w:szCs w:val="20"/>
        </w:rPr>
        <w:t xml:space="preserve"> </w:t>
      </w:r>
      <w:r w:rsidR="00BA5880">
        <w:rPr>
          <w:rFonts w:ascii="Times New Roman" w:hAnsi="Times New Roman"/>
          <w:szCs w:val="20"/>
        </w:rPr>
        <w:t>with Clean Screen</w:t>
      </w:r>
      <w:r w:rsidR="00E9449F">
        <w:rPr>
          <w:rFonts w:ascii="Times New Roman" w:hAnsi="Times New Roman"/>
          <w:szCs w:val="20"/>
        </w:rPr>
        <w:t> </w:t>
      </w:r>
      <w:r w:rsidR="00BA5880">
        <w:rPr>
          <w:rFonts w:ascii="Times New Roman" w:hAnsi="Times New Roman"/>
          <w:szCs w:val="20"/>
        </w:rPr>
        <w:t>DAU</w:t>
      </w:r>
      <w:r w:rsidR="00E9449F">
        <w:rPr>
          <w:rFonts w:ascii="Times New Roman" w:hAnsi="Times New Roman"/>
          <w:szCs w:val="20"/>
        </w:rPr>
        <w:t> </w:t>
      </w:r>
      <w:r w:rsidR="0096383B">
        <w:rPr>
          <w:rFonts w:ascii="Times New Roman" w:hAnsi="Times New Roman"/>
          <w:szCs w:val="20"/>
        </w:rPr>
        <w:t xml:space="preserve">(United Chemical Technologies, </w:t>
      </w:r>
      <w:r w:rsidR="00A56EE2">
        <w:rPr>
          <w:rFonts w:ascii="Times New Roman" w:hAnsi="Times New Roman"/>
          <w:szCs w:val="20"/>
        </w:rPr>
        <w:t>Bristol,</w:t>
      </w:r>
      <w:r w:rsidR="00E9449F">
        <w:rPr>
          <w:rFonts w:ascii="Times New Roman" w:hAnsi="Times New Roman"/>
          <w:szCs w:val="20"/>
        </w:rPr>
        <w:t> </w:t>
      </w:r>
      <w:r w:rsidR="00A56EE2">
        <w:rPr>
          <w:rFonts w:ascii="Times New Roman" w:hAnsi="Times New Roman"/>
          <w:szCs w:val="20"/>
        </w:rPr>
        <w:t>PA</w:t>
      </w:r>
      <w:r w:rsidR="0096383B">
        <w:rPr>
          <w:rFonts w:ascii="Times New Roman" w:hAnsi="Times New Roman"/>
          <w:szCs w:val="20"/>
        </w:rPr>
        <w:t xml:space="preserve">) </w:t>
      </w:r>
      <w:r w:rsidR="00BA5880">
        <w:rPr>
          <w:rFonts w:ascii="Times New Roman" w:hAnsi="Times New Roman"/>
          <w:szCs w:val="20"/>
        </w:rPr>
        <w:t>cartridges</w:t>
      </w:r>
      <w:r w:rsidR="0096383B">
        <w:rPr>
          <w:rFonts w:ascii="Times New Roman" w:hAnsi="Times New Roman"/>
          <w:szCs w:val="20"/>
        </w:rPr>
        <w:t xml:space="preserve">.  </w:t>
      </w:r>
      <w:r w:rsidR="00B37103">
        <w:rPr>
          <w:rFonts w:ascii="Times New Roman" w:hAnsi="Times New Roman"/>
          <w:szCs w:val="20"/>
        </w:rPr>
        <w:t>Measurement of nordiazepam was performed in a similar manner</w:t>
      </w:r>
      <w:r w:rsidR="00503CE7">
        <w:rPr>
          <w:rFonts w:ascii="Times New Roman" w:hAnsi="Times New Roman"/>
          <w:szCs w:val="20"/>
        </w:rPr>
        <w:t xml:space="preserve">.  </w:t>
      </w:r>
      <w:r w:rsidR="00B37103">
        <w:rPr>
          <w:rFonts w:ascii="Times New Roman" w:hAnsi="Times New Roman"/>
          <w:szCs w:val="20"/>
        </w:rPr>
        <w:t xml:space="preserve">For analysis of </w:t>
      </w:r>
      <w:r w:rsidR="00E9449F">
        <w:rPr>
          <w:rFonts w:ascii="Times New Roman" w:hAnsi="Times New Roman"/>
          <w:szCs w:val="20"/>
        </w:rPr>
        <w:t>THC</w:t>
      </w:r>
      <w:r w:rsidR="00E9449F">
        <w:rPr>
          <w:rFonts w:ascii="Times New Roman" w:hAnsi="Times New Roman"/>
          <w:szCs w:val="20"/>
        </w:rPr>
        <w:noBreakHyphen/>
        <w:t>9</w:t>
      </w:r>
      <w:r w:rsidR="00E9449F">
        <w:rPr>
          <w:rFonts w:ascii="Times New Roman" w:hAnsi="Times New Roman"/>
          <w:szCs w:val="20"/>
        </w:rPr>
        <w:noBreakHyphen/>
        <w:t>COOH</w:t>
      </w:r>
      <w:r w:rsidR="00B37103">
        <w:rPr>
          <w:rFonts w:ascii="Times New Roman" w:hAnsi="Times New Roman"/>
          <w:szCs w:val="20"/>
        </w:rPr>
        <w:t>, 1 g serum aliquots were weighed into centrifuge tubes and adjusted to pH</w:t>
      </w:r>
      <w:r w:rsidR="00E9449F">
        <w:rPr>
          <w:rFonts w:ascii="Times New Roman" w:hAnsi="Times New Roman"/>
          <w:szCs w:val="20"/>
        </w:rPr>
        <w:t> </w:t>
      </w:r>
      <w:r w:rsidR="00B37103">
        <w:rPr>
          <w:rFonts w:ascii="Times New Roman" w:hAnsi="Times New Roman"/>
          <w:szCs w:val="20"/>
        </w:rPr>
        <w:t>3</w:t>
      </w:r>
      <w:r w:rsidR="00E9449F">
        <w:rPr>
          <w:rFonts w:ascii="Times New Roman" w:hAnsi="Times New Roman"/>
          <w:szCs w:val="20"/>
        </w:rPr>
        <w:t> </w:t>
      </w:r>
      <w:r w:rsidR="000275F3">
        <w:rPr>
          <w:rFonts w:ascii="Times New Roman" w:hAnsi="Times New Roman"/>
          <w:szCs w:val="20"/>
        </w:rPr>
        <w:t>to</w:t>
      </w:r>
      <w:r w:rsidR="00E9449F">
        <w:rPr>
          <w:rFonts w:ascii="Times New Roman" w:hAnsi="Times New Roman"/>
          <w:szCs w:val="20"/>
        </w:rPr>
        <w:t> </w:t>
      </w:r>
      <w:r w:rsidR="00B37103">
        <w:rPr>
          <w:rFonts w:ascii="Times New Roman" w:hAnsi="Times New Roman"/>
          <w:szCs w:val="20"/>
        </w:rPr>
        <w:t>4 with 0.1</w:t>
      </w:r>
      <w:r w:rsidR="00E9449F">
        <w:rPr>
          <w:rFonts w:ascii="Times New Roman" w:hAnsi="Times New Roman"/>
          <w:szCs w:val="20"/>
        </w:rPr>
        <w:t> </w:t>
      </w:r>
      <w:r w:rsidR="00697807">
        <w:rPr>
          <w:rFonts w:ascii="Times New Roman" w:hAnsi="Times New Roman"/>
          <w:szCs w:val="20"/>
        </w:rPr>
        <w:t>mol/L</w:t>
      </w:r>
      <w:r w:rsidR="00B37103">
        <w:rPr>
          <w:rFonts w:ascii="Times New Roman" w:hAnsi="Times New Roman"/>
          <w:szCs w:val="20"/>
        </w:rPr>
        <w:t xml:space="preserve"> acetate buffer</w:t>
      </w:r>
      <w:r w:rsidR="00E9449F">
        <w:rPr>
          <w:rFonts w:ascii="Times New Roman" w:hAnsi="Times New Roman"/>
          <w:szCs w:val="20"/>
        </w:rPr>
        <w:t> </w:t>
      </w:r>
      <w:r w:rsidR="00B37103">
        <w:rPr>
          <w:rFonts w:ascii="Times New Roman" w:hAnsi="Times New Roman"/>
          <w:szCs w:val="20"/>
        </w:rPr>
        <w:t>(pH</w:t>
      </w:r>
      <w:r w:rsidR="00E9449F">
        <w:rPr>
          <w:rFonts w:ascii="Times New Roman" w:hAnsi="Times New Roman"/>
          <w:szCs w:val="20"/>
        </w:rPr>
        <w:t> </w:t>
      </w:r>
      <w:r w:rsidR="00B37103">
        <w:rPr>
          <w:rFonts w:ascii="Times New Roman" w:hAnsi="Times New Roman"/>
          <w:szCs w:val="20"/>
        </w:rPr>
        <w:t>4).  Labeled internal standard was added to give approximately 1:1</w:t>
      </w:r>
      <w:r w:rsidR="00E9449F">
        <w:rPr>
          <w:rFonts w:ascii="Times New Roman" w:hAnsi="Times New Roman"/>
          <w:szCs w:val="20"/>
        </w:rPr>
        <w:t> </w:t>
      </w:r>
      <w:r w:rsidR="00B37103">
        <w:rPr>
          <w:rFonts w:ascii="Times New Roman" w:hAnsi="Times New Roman"/>
          <w:szCs w:val="20"/>
        </w:rPr>
        <w:t xml:space="preserve">ratios between the labeled and unlabeled analyte.  </w:t>
      </w:r>
      <w:r w:rsidR="0016510D">
        <w:rPr>
          <w:rFonts w:ascii="Times New Roman" w:hAnsi="Times New Roman"/>
          <w:szCs w:val="20"/>
        </w:rPr>
        <w:t>The THC</w:t>
      </w:r>
      <w:r w:rsidR="00E9449F">
        <w:rPr>
          <w:rFonts w:ascii="Times New Roman" w:hAnsi="Times New Roman"/>
          <w:szCs w:val="20"/>
        </w:rPr>
        <w:noBreakHyphen/>
      </w:r>
      <w:r w:rsidR="0016510D">
        <w:rPr>
          <w:rFonts w:ascii="Times New Roman" w:hAnsi="Times New Roman"/>
          <w:szCs w:val="20"/>
        </w:rPr>
        <w:t>9</w:t>
      </w:r>
      <w:r w:rsidR="00E9449F">
        <w:rPr>
          <w:rFonts w:ascii="Times New Roman" w:hAnsi="Times New Roman"/>
          <w:szCs w:val="20"/>
        </w:rPr>
        <w:noBreakHyphen/>
      </w:r>
      <w:r w:rsidR="0016510D">
        <w:rPr>
          <w:rFonts w:ascii="Times New Roman" w:hAnsi="Times New Roman"/>
          <w:szCs w:val="20"/>
        </w:rPr>
        <w:t xml:space="preserve">COOH was isolated from the </w:t>
      </w:r>
      <w:r w:rsidR="0016510D">
        <w:rPr>
          <w:rFonts w:ascii="Times New Roman" w:hAnsi="Times New Roman"/>
          <w:szCs w:val="20"/>
        </w:rPr>
        <w:lastRenderedPageBreak/>
        <w:t>serum matrix by SPE with a C</w:t>
      </w:r>
      <w:r w:rsidR="0016510D" w:rsidRPr="00697807">
        <w:rPr>
          <w:rFonts w:ascii="Times New Roman" w:hAnsi="Times New Roman"/>
          <w:szCs w:val="20"/>
          <w:vertAlign w:val="subscript"/>
        </w:rPr>
        <w:t>18</w:t>
      </w:r>
      <w:r w:rsidR="00E9449F">
        <w:rPr>
          <w:rFonts w:ascii="Times New Roman" w:hAnsi="Times New Roman"/>
          <w:szCs w:val="20"/>
        </w:rPr>
        <w:t> </w:t>
      </w:r>
      <w:r w:rsidR="0016510D">
        <w:rPr>
          <w:rFonts w:ascii="Times New Roman" w:hAnsi="Times New Roman"/>
          <w:szCs w:val="20"/>
        </w:rPr>
        <w:t>cartridge (Sep</w:t>
      </w:r>
      <w:r w:rsidR="00C00DA4">
        <w:rPr>
          <w:rFonts w:ascii="Times New Roman" w:hAnsi="Times New Roman"/>
          <w:szCs w:val="20"/>
        </w:rPr>
        <w:noBreakHyphen/>
      </w:r>
      <w:r w:rsidR="0016510D">
        <w:rPr>
          <w:rFonts w:ascii="Times New Roman" w:hAnsi="Times New Roman"/>
          <w:szCs w:val="20"/>
        </w:rPr>
        <w:t>Pak, Waters</w:t>
      </w:r>
      <w:r w:rsidR="00697807">
        <w:rPr>
          <w:rFonts w:ascii="Times New Roman" w:hAnsi="Times New Roman"/>
          <w:szCs w:val="20"/>
        </w:rPr>
        <w:t xml:space="preserve"> Corporation, Milford,</w:t>
      </w:r>
      <w:r w:rsidR="00E9449F">
        <w:rPr>
          <w:rFonts w:ascii="Times New Roman" w:hAnsi="Times New Roman"/>
          <w:szCs w:val="20"/>
        </w:rPr>
        <w:t> </w:t>
      </w:r>
      <w:r w:rsidR="00697807">
        <w:rPr>
          <w:rFonts w:ascii="Times New Roman" w:hAnsi="Times New Roman"/>
          <w:szCs w:val="20"/>
        </w:rPr>
        <w:t>MA</w:t>
      </w:r>
      <w:r w:rsidR="0016510D">
        <w:rPr>
          <w:rFonts w:ascii="Times New Roman" w:hAnsi="Times New Roman"/>
          <w:szCs w:val="20"/>
        </w:rPr>
        <w:t xml:space="preserve">).  </w:t>
      </w:r>
      <w:r w:rsidR="005609B0">
        <w:rPr>
          <w:rFonts w:ascii="Times New Roman" w:hAnsi="Times New Roman"/>
          <w:szCs w:val="20"/>
        </w:rPr>
        <w:t>Analysis by LC</w:t>
      </w:r>
      <w:r w:rsidR="00E9449F">
        <w:rPr>
          <w:rFonts w:ascii="Times New Roman" w:hAnsi="Times New Roman"/>
          <w:szCs w:val="20"/>
        </w:rPr>
        <w:noBreakHyphen/>
      </w:r>
      <w:r w:rsidR="005609B0">
        <w:rPr>
          <w:rFonts w:ascii="Times New Roman" w:hAnsi="Times New Roman"/>
          <w:szCs w:val="20"/>
        </w:rPr>
        <w:t xml:space="preserve">MS was performed with electrospray ionization in the positive ion mode.  Chromatographic separations </w:t>
      </w:r>
      <w:r w:rsidR="00A2471C">
        <w:rPr>
          <w:rFonts w:ascii="Times New Roman" w:hAnsi="Times New Roman"/>
          <w:szCs w:val="20"/>
        </w:rPr>
        <w:t xml:space="preserve">for determination of methadone, methamphetamine, morphine, </w:t>
      </w:r>
      <w:r w:rsidR="00697807">
        <w:rPr>
          <w:rFonts w:ascii="Times New Roman" w:hAnsi="Times New Roman"/>
          <w:szCs w:val="20"/>
        </w:rPr>
        <w:t xml:space="preserve">nordiazepam, </w:t>
      </w:r>
      <w:r w:rsidR="00A2471C">
        <w:rPr>
          <w:rFonts w:ascii="Times New Roman" w:hAnsi="Times New Roman"/>
          <w:szCs w:val="20"/>
        </w:rPr>
        <w:t xml:space="preserve">and phencyclidine </w:t>
      </w:r>
      <w:r w:rsidR="005609B0">
        <w:rPr>
          <w:rFonts w:ascii="Times New Roman" w:hAnsi="Times New Roman"/>
          <w:szCs w:val="20"/>
        </w:rPr>
        <w:t>were performed on a C</w:t>
      </w:r>
      <w:r w:rsidR="005609B0" w:rsidRPr="00A56EE2">
        <w:rPr>
          <w:rFonts w:ascii="Times New Roman" w:hAnsi="Times New Roman"/>
          <w:szCs w:val="20"/>
          <w:vertAlign w:val="subscript"/>
        </w:rPr>
        <w:t>18</w:t>
      </w:r>
      <w:r w:rsidR="005609B0">
        <w:rPr>
          <w:rFonts w:ascii="Times New Roman" w:hAnsi="Times New Roman"/>
          <w:szCs w:val="20"/>
        </w:rPr>
        <w:t xml:space="preserve"> stationary phase (L</w:t>
      </w:r>
      <w:r w:rsidR="00A2471C">
        <w:rPr>
          <w:rFonts w:ascii="Times New Roman" w:hAnsi="Times New Roman"/>
          <w:szCs w:val="20"/>
        </w:rPr>
        <w:t>una</w:t>
      </w:r>
      <w:r w:rsidR="00E9449F">
        <w:rPr>
          <w:rFonts w:ascii="Times New Roman" w:hAnsi="Times New Roman"/>
          <w:szCs w:val="20"/>
        </w:rPr>
        <w:t> </w:t>
      </w:r>
      <w:r w:rsidR="005609B0">
        <w:rPr>
          <w:rFonts w:ascii="Times New Roman" w:hAnsi="Times New Roman"/>
          <w:szCs w:val="20"/>
        </w:rPr>
        <w:t>C18(2), Phenomenex</w:t>
      </w:r>
      <w:r w:rsidR="00601C0B">
        <w:rPr>
          <w:rFonts w:ascii="Times New Roman" w:hAnsi="Times New Roman"/>
          <w:szCs w:val="20"/>
        </w:rPr>
        <w:t>, Torrance,</w:t>
      </w:r>
      <w:r w:rsidR="00E9449F">
        <w:rPr>
          <w:rFonts w:ascii="Times New Roman" w:hAnsi="Times New Roman"/>
          <w:szCs w:val="20"/>
        </w:rPr>
        <w:t> </w:t>
      </w:r>
      <w:r w:rsidR="00601C0B">
        <w:rPr>
          <w:rFonts w:ascii="Times New Roman" w:hAnsi="Times New Roman"/>
          <w:szCs w:val="20"/>
        </w:rPr>
        <w:t>CA</w:t>
      </w:r>
      <w:r w:rsidR="005609B0">
        <w:rPr>
          <w:rFonts w:ascii="Times New Roman" w:hAnsi="Times New Roman"/>
          <w:szCs w:val="20"/>
        </w:rPr>
        <w:t>) with a water:methanol mobile phase containing</w:t>
      </w:r>
      <w:r w:rsidR="00675FC7">
        <w:rPr>
          <w:rFonts w:ascii="Times New Roman" w:hAnsi="Times New Roman"/>
          <w:szCs w:val="20"/>
        </w:rPr>
        <w:t xml:space="preserve"> an acetic acid volume fraction of</w:t>
      </w:r>
      <w:r w:rsidR="005609B0">
        <w:rPr>
          <w:rFonts w:ascii="Times New Roman" w:hAnsi="Times New Roman"/>
          <w:szCs w:val="20"/>
        </w:rPr>
        <w:t xml:space="preserve"> 1</w:t>
      </w:r>
      <w:r w:rsidR="00E9449F">
        <w:rPr>
          <w:rFonts w:ascii="Times New Roman" w:hAnsi="Times New Roman"/>
          <w:szCs w:val="20"/>
        </w:rPr>
        <w:t> </w:t>
      </w:r>
      <w:r w:rsidR="005609B0">
        <w:rPr>
          <w:rFonts w:ascii="Times New Roman" w:hAnsi="Times New Roman"/>
          <w:szCs w:val="20"/>
        </w:rPr>
        <w:t xml:space="preserve">mL/L.  </w:t>
      </w:r>
      <w:r w:rsidR="00A2471C">
        <w:rPr>
          <w:rFonts w:ascii="Times New Roman" w:hAnsi="Times New Roman"/>
          <w:szCs w:val="20"/>
        </w:rPr>
        <w:t>For THC</w:t>
      </w:r>
      <w:r w:rsidR="00E9449F">
        <w:rPr>
          <w:rFonts w:ascii="Times New Roman" w:hAnsi="Times New Roman"/>
          <w:szCs w:val="20"/>
        </w:rPr>
        <w:noBreakHyphen/>
      </w:r>
      <w:r w:rsidR="00A2471C">
        <w:rPr>
          <w:rFonts w:ascii="Times New Roman" w:hAnsi="Times New Roman"/>
          <w:szCs w:val="20"/>
        </w:rPr>
        <w:t>9</w:t>
      </w:r>
      <w:r w:rsidR="00E9449F">
        <w:rPr>
          <w:rFonts w:ascii="Times New Roman" w:hAnsi="Times New Roman"/>
          <w:szCs w:val="20"/>
        </w:rPr>
        <w:noBreakHyphen/>
      </w:r>
      <w:r w:rsidR="00A2471C">
        <w:rPr>
          <w:rFonts w:ascii="Times New Roman" w:hAnsi="Times New Roman"/>
          <w:szCs w:val="20"/>
        </w:rPr>
        <w:t>COOH, a Zorbax Eclipse</w:t>
      </w:r>
      <w:r w:rsidR="00017FE0">
        <w:rPr>
          <w:rFonts w:ascii="Times New Roman" w:hAnsi="Times New Roman"/>
          <w:szCs w:val="20"/>
        </w:rPr>
        <w:t> </w:t>
      </w:r>
      <w:r w:rsidR="00A2471C">
        <w:rPr>
          <w:rFonts w:ascii="Times New Roman" w:hAnsi="Times New Roman"/>
          <w:szCs w:val="20"/>
        </w:rPr>
        <w:t>XDB</w:t>
      </w:r>
      <w:r w:rsidR="00E9449F">
        <w:rPr>
          <w:rFonts w:ascii="Times New Roman" w:hAnsi="Times New Roman"/>
          <w:szCs w:val="20"/>
        </w:rPr>
        <w:noBreakHyphen/>
      </w:r>
      <w:r w:rsidR="00A2471C">
        <w:rPr>
          <w:rFonts w:ascii="Times New Roman" w:hAnsi="Times New Roman"/>
          <w:szCs w:val="20"/>
        </w:rPr>
        <w:t>C18 stationary phase (Agilent Technologies</w:t>
      </w:r>
      <w:r w:rsidR="00697807">
        <w:rPr>
          <w:rFonts w:ascii="Times New Roman" w:hAnsi="Times New Roman"/>
          <w:szCs w:val="20"/>
        </w:rPr>
        <w:t>, Santa Clara,</w:t>
      </w:r>
      <w:r w:rsidR="00E9449F">
        <w:rPr>
          <w:rFonts w:ascii="Times New Roman" w:hAnsi="Times New Roman"/>
          <w:szCs w:val="20"/>
        </w:rPr>
        <w:t> </w:t>
      </w:r>
      <w:r w:rsidR="00697807">
        <w:rPr>
          <w:rFonts w:ascii="Times New Roman" w:hAnsi="Times New Roman"/>
          <w:szCs w:val="20"/>
        </w:rPr>
        <w:t>CA</w:t>
      </w:r>
      <w:r w:rsidR="00A2471C">
        <w:rPr>
          <w:rFonts w:ascii="Times New Roman" w:hAnsi="Times New Roman"/>
          <w:szCs w:val="20"/>
        </w:rPr>
        <w:t>) was used</w:t>
      </w:r>
      <w:r w:rsidR="00697807">
        <w:rPr>
          <w:rFonts w:ascii="Times New Roman" w:hAnsi="Times New Roman"/>
          <w:szCs w:val="20"/>
        </w:rPr>
        <w:t xml:space="preserve"> with a 0.2</w:t>
      </w:r>
      <w:r w:rsidR="00E9449F">
        <w:rPr>
          <w:rFonts w:ascii="Times New Roman" w:hAnsi="Times New Roman"/>
          <w:szCs w:val="20"/>
        </w:rPr>
        <w:t> </w:t>
      </w:r>
      <w:r w:rsidR="00697807">
        <w:rPr>
          <w:rFonts w:ascii="Times New Roman" w:hAnsi="Times New Roman"/>
          <w:szCs w:val="20"/>
        </w:rPr>
        <w:t>mol/L ammonium acetate:methanol (40:60, volume fractions) mobile phase</w:t>
      </w:r>
      <w:r w:rsidR="00A2471C">
        <w:rPr>
          <w:rFonts w:ascii="Times New Roman" w:hAnsi="Times New Roman"/>
          <w:szCs w:val="20"/>
        </w:rPr>
        <w:t>.  Analysis of THC</w:t>
      </w:r>
      <w:r w:rsidR="00E9449F">
        <w:rPr>
          <w:rFonts w:ascii="Times New Roman" w:hAnsi="Times New Roman"/>
          <w:szCs w:val="20"/>
        </w:rPr>
        <w:noBreakHyphen/>
      </w:r>
      <w:r w:rsidR="00A2471C">
        <w:rPr>
          <w:rFonts w:ascii="Times New Roman" w:hAnsi="Times New Roman"/>
          <w:szCs w:val="20"/>
        </w:rPr>
        <w:t>9</w:t>
      </w:r>
      <w:r w:rsidR="00E9449F">
        <w:rPr>
          <w:rFonts w:ascii="Times New Roman" w:hAnsi="Times New Roman"/>
          <w:szCs w:val="20"/>
        </w:rPr>
        <w:noBreakHyphen/>
      </w:r>
      <w:r w:rsidR="00A2471C">
        <w:rPr>
          <w:rFonts w:ascii="Times New Roman" w:hAnsi="Times New Roman"/>
          <w:szCs w:val="20"/>
        </w:rPr>
        <w:t>COOH by LC</w:t>
      </w:r>
      <w:r w:rsidR="00E9449F">
        <w:rPr>
          <w:rFonts w:ascii="Times New Roman" w:hAnsi="Times New Roman"/>
          <w:szCs w:val="20"/>
        </w:rPr>
        <w:noBreakHyphen/>
      </w:r>
      <w:r w:rsidR="00A2471C">
        <w:rPr>
          <w:rFonts w:ascii="Times New Roman" w:hAnsi="Times New Roman"/>
          <w:szCs w:val="20"/>
        </w:rPr>
        <w:t>MS/MS was performed in a similar manner as the LC</w:t>
      </w:r>
      <w:r w:rsidR="00E9449F">
        <w:rPr>
          <w:rFonts w:ascii="Times New Roman" w:hAnsi="Times New Roman"/>
          <w:szCs w:val="20"/>
        </w:rPr>
        <w:noBreakHyphen/>
      </w:r>
      <w:r w:rsidR="00A2471C">
        <w:rPr>
          <w:rFonts w:ascii="Times New Roman" w:hAnsi="Times New Roman"/>
          <w:szCs w:val="20"/>
        </w:rPr>
        <w:t>MS analysis.</w:t>
      </w:r>
    </w:p>
    <w:p w:rsidR="006F1865" w:rsidRPr="00E90844" w:rsidRDefault="006F1865" w:rsidP="00A56EE2">
      <w:pPr>
        <w:widowControl/>
        <w:tabs>
          <w:tab w:val="left" w:pos="1080"/>
          <w:tab w:val="decimal" w:pos="3150"/>
          <w:tab w:val="left" w:pos="3960"/>
          <w:tab w:val="decimal" w:pos="5400"/>
          <w:tab w:val="left" w:pos="6210"/>
          <w:tab w:val="decimal" w:pos="7650"/>
          <w:tab w:val="left" w:pos="8370"/>
        </w:tabs>
        <w:jc w:val="both"/>
        <w:rPr>
          <w:rFonts w:ascii="Times New Roman" w:hAnsi="Times New Roman"/>
          <w:color w:val="000000" w:themeColor="text1"/>
          <w:szCs w:val="20"/>
        </w:rPr>
      </w:pPr>
    </w:p>
    <w:p w:rsidR="006F1865" w:rsidRDefault="006F1865" w:rsidP="00A56EE2">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FC25B4">
        <w:rPr>
          <w:rFonts w:ascii="Times New Roman" w:hAnsi="Times New Roman"/>
          <w:b/>
          <w:bCs/>
          <w:szCs w:val="20"/>
        </w:rPr>
        <w:t>Homogeneity A</w:t>
      </w:r>
      <w:r w:rsidR="00E35C5D">
        <w:rPr>
          <w:rFonts w:ascii="Times New Roman" w:hAnsi="Times New Roman"/>
          <w:b/>
          <w:bCs/>
          <w:szCs w:val="20"/>
        </w:rPr>
        <w:t>ssessment</w:t>
      </w:r>
      <w:r w:rsidRPr="00FC25B4">
        <w:rPr>
          <w:rFonts w:ascii="Times New Roman" w:hAnsi="Times New Roman"/>
          <w:b/>
          <w:bCs/>
          <w:szCs w:val="20"/>
        </w:rPr>
        <w:t>:</w:t>
      </w:r>
      <w:r w:rsidRPr="00FC25B4">
        <w:rPr>
          <w:rFonts w:ascii="Times New Roman" w:hAnsi="Times New Roman"/>
          <w:szCs w:val="20"/>
        </w:rPr>
        <w:t xml:space="preserve">  The homogeneity assessment was made at the time the certification analyses were performed.  A stratified sampling plan was devised to test for homogeneity across the manufacturing process.  The results indicated that there was no apparent trend in the data when plotted against the sequence in which the </w:t>
      </w:r>
      <w:r w:rsidR="00017FE0">
        <w:rPr>
          <w:rFonts w:ascii="Times New Roman" w:hAnsi="Times New Roman"/>
          <w:szCs w:val="20"/>
        </w:rPr>
        <w:t>vial</w:t>
      </w:r>
      <w:r w:rsidRPr="00FC25B4">
        <w:rPr>
          <w:rFonts w:ascii="Times New Roman" w:hAnsi="Times New Roman"/>
          <w:szCs w:val="20"/>
        </w:rPr>
        <w:t>s were prepared.</w:t>
      </w:r>
    </w:p>
    <w:p w:rsidR="00E35C5D" w:rsidRPr="00E35C5D" w:rsidRDefault="00E35C5D">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E35C5D" w:rsidRPr="00B405A0" w:rsidRDefault="00B405A0" w:rsidP="00E35C5D">
      <w:pPr>
        <w:spacing w:line="240" w:lineRule="exact"/>
        <w:jc w:val="both"/>
        <w:rPr>
          <w:rFonts w:ascii="Times New Roman" w:hAnsi="Times New Roman"/>
          <w:kern w:val="2"/>
          <w:szCs w:val="20"/>
        </w:rPr>
      </w:pPr>
      <w:r w:rsidRPr="00B405A0">
        <w:rPr>
          <w:rFonts w:ascii="Times New Roman" w:hAnsi="Times New Roman"/>
          <w:b/>
          <w:szCs w:val="20"/>
        </w:rPr>
        <w:t>Value Assignment:</w:t>
      </w:r>
      <w:r w:rsidRPr="00B405A0">
        <w:rPr>
          <w:rFonts w:ascii="Times New Roman" w:hAnsi="Times New Roman"/>
          <w:szCs w:val="20"/>
        </w:rPr>
        <w:t xml:space="preserve">  The certified or reference value assigned to each measurand is a weighted average of all the measured values obtained for it.  The weights were determined by a Gaussian linear mixed effects model fitted to the data by the method of restricted maximum likelihood [3].  The Type A and Type B assessments of uncertainty components were combined in accordance with the </w:t>
      </w:r>
      <w:r w:rsidR="005079A6">
        <w:rPr>
          <w:rFonts w:ascii="Times New Roman" w:hAnsi="Times New Roman"/>
          <w:szCs w:val="20"/>
        </w:rPr>
        <w:t>ISO Guide</w:t>
      </w:r>
      <w:r w:rsidR="005079A6" w:rsidRPr="00B405A0">
        <w:rPr>
          <w:rFonts w:ascii="Times New Roman" w:hAnsi="Times New Roman"/>
          <w:szCs w:val="20"/>
        </w:rPr>
        <w:t> </w:t>
      </w:r>
      <w:r w:rsidRPr="00B405A0">
        <w:rPr>
          <w:rFonts w:ascii="Times New Roman" w:hAnsi="Times New Roman"/>
          <w:szCs w:val="20"/>
        </w:rPr>
        <w:t xml:space="preserve">[4]. </w:t>
      </w:r>
      <w:r w:rsidR="006177BB">
        <w:rPr>
          <w:rFonts w:ascii="Times New Roman" w:hAnsi="Times New Roman"/>
          <w:szCs w:val="20"/>
        </w:rPr>
        <w:t xml:space="preserve"> </w:t>
      </w:r>
      <w:r w:rsidRPr="00B405A0">
        <w:rPr>
          <w:rFonts w:ascii="Times New Roman" w:hAnsi="Times New Roman"/>
          <w:szCs w:val="20"/>
        </w:rPr>
        <w:t xml:space="preserve">The former reflect contributions from differences between analytical methods, samples, and replicates. </w:t>
      </w:r>
      <w:r w:rsidR="00B91095">
        <w:rPr>
          <w:rFonts w:ascii="Times New Roman" w:hAnsi="Times New Roman"/>
          <w:szCs w:val="20"/>
        </w:rPr>
        <w:t xml:space="preserve"> </w:t>
      </w:r>
      <w:r w:rsidRPr="00B405A0">
        <w:rPr>
          <w:rFonts w:ascii="Times New Roman" w:hAnsi="Times New Roman"/>
          <w:szCs w:val="20"/>
        </w:rPr>
        <w:t xml:space="preserve">The latter reflect contributions from purity, volumetric determinations, and possible interferences. </w:t>
      </w:r>
      <w:r w:rsidR="006177BB">
        <w:rPr>
          <w:rFonts w:ascii="Times New Roman" w:hAnsi="Times New Roman"/>
          <w:szCs w:val="20"/>
        </w:rPr>
        <w:t xml:space="preserve"> </w:t>
      </w:r>
      <w:r w:rsidRPr="00B405A0">
        <w:rPr>
          <w:rFonts w:ascii="Times New Roman" w:hAnsi="Times New Roman"/>
          <w:szCs w:val="20"/>
        </w:rPr>
        <w:t xml:space="preserve">The combined expanded uncertainty listed alongside the estimate of each measurand should cover the measurand’s true value with approximately 95 % probability; the corresponding coverage factor was </w:t>
      </w:r>
      <w:r w:rsidRPr="00B405A0">
        <w:rPr>
          <w:rFonts w:ascii="Times New Roman" w:hAnsi="Times New Roman"/>
          <w:i/>
          <w:szCs w:val="20"/>
        </w:rPr>
        <w:t>k</w:t>
      </w:r>
      <w:r w:rsidRPr="00B405A0">
        <w:rPr>
          <w:rFonts w:ascii="Times New Roman" w:hAnsi="Times New Roman"/>
          <w:szCs w:val="20"/>
        </w:rPr>
        <w:t> = 2.1.  Mass concentration levels were calculated from mass fractions using measured serum density: 1.025 g/mL.</w:t>
      </w:r>
    </w:p>
    <w:p w:rsidR="00017FE0" w:rsidRPr="00B405A0" w:rsidRDefault="00017FE0" w:rsidP="00E35C5D">
      <w:pPr>
        <w:spacing w:line="240" w:lineRule="exact"/>
        <w:jc w:val="both"/>
        <w:rPr>
          <w:rFonts w:ascii="Times New Roman" w:hAnsi="Times New Roman"/>
          <w:kern w:val="2"/>
          <w:szCs w:val="20"/>
        </w:rPr>
      </w:pPr>
    </w:p>
    <w:p w:rsidR="00017FE0" w:rsidRDefault="00017FE0" w:rsidP="00E35C5D">
      <w:pPr>
        <w:spacing w:line="240" w:lineRule="exact"/>
        <w:jc w:val="both"/>
        <w:rPr>
          <w:rFonts w:ascii="Times New Roman" w:hAnsi="Times New Roman"/>
          <w:kern w:val="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2"/>
        <w:gridCol w:w="2520"/>
        <w:gridCol w:w="2246"/>
      </w:tblGrid>
      <w:tr w:rsidR="00017FE0" w:rsidTr="006177BB">
        <w:trPr>
          <w:jc w:val="center"/>
        </w:trPr>
        <w:tc>
          <w:tcPr>
            <w:tcW w:w="7128" w:type="dxa"/>
            <w:gridSpan w:val="3"/>
          </w:tcPr>
          <w:p w:rsidR="008B6648" w:rsidRPr="008B6648" w:rsidRDefault="00017FE0" w:rsidP="00EA4464">
            <w:pPr>
              <w:spacing w:line="480" w:lineRule="auto"/>
              <w:ind w:left="364" w:hanging="364"/>
              <w:jc w:val="center"/>
              <w:rPr>
                <w:rFonts w:ascii="Times New Roman" w:hAnsi="Times New Roman"/>
                <w:szCs w:val="20"/>
                <w:vertAlign w:val="superscript"/>
              </w:rPr>
            </w:pPr>
            <w:r w:rsidRPr="00FC25B4">
              <w:rPr>
                <w:rFonts w:ascii="Times New Roman" w:hAnsi="Times New Roman"/>
                <w:szCs w:val="20"/>
              </w:rPr>
              <w:t>Table</w:t>
            </w:r>
            <w:r>
              <w:rPr>
                <w:rFonts w:ascii="Times New Roman" w:hAnsi="Times New Roman"/>
                <w:szCs w:val="20"/>
              </w:rPr>
              <w:t> </w:t>
            </w:r>
            <w:r w:rsidRPr="00FC25B4">
              <w:rPr>
                <w:rFonts w:ascii="Times New Roman" w:hAnsi="Times New Roman"/>
                <w:szCs w:val="20"/>
              </w:rPr>
              <w:t xml:space="preserve">1.  Certified </w:t>
            </w:r>
            <w:r>
              <w:rPr>
                <w:rFonts w:ascii="Times New Roman" w:hAnsi="Times New Roman"/>
                <w:szCs w:val="20"/>
              </w:rPr>
              <w:t>Values</w:t>
            </w:r>
            <w:r w:rsidRPr="00FC25B4">
              <w:rPr>
                <w:rFonts w:ascii="Times New Roman" w:hAnsi="Times New Roman"/>
                <w:szCs w:val="20"/>
              </w:rPr>
              <w:t xml:space="preserve"> </w:t>
            </w:r>
            <w:r>
              <w:rPr>
                <w:rFonts w:ascii="Times New Roman" w:hAnsi="Times New Roman"/>
                <w:szCs w:val="20"/>
              </w:rPr>
              <w:t xml:space="preserve">for Drugs of Abuse in </w:t>
            </w:r>
            <w:r w:rsidRPr="00FC25B4">
              <w:rPr>
                <w:rFonts w:ascii="Times New Roman" w:hAnsi="Times New Roman"/>
                <w:szCs w:val="20"/>
              </w:rPr>
              <w:t>SRM</w:t>
            </w:r>
            <w:r>
              <w:rPr>
                <w:rFonts w:ascii="Times New Roman" w:hAnsi="Times New Roman"/>
                <w:szCs w:val="20"/>
              </w:rPr>
              <w:t> </w:t>
            </w:r>
            <w:r w:rsidRPr="00FC25B4">
              <w:rPr>
                <w:rFonts w:ascii="Times New Roman" w:hAnsi="Times New Roman"/>
                <w:szCs w:val="20"/>
              </w:rPr>
              <w:t>1959</w:t>
            </w:r>
          </w:p>
        </w:tc>
      </w:tr>
      <w:tr w:rsidR="00017FE0" w:rsidTr="006177BB">
        <w:trPr>
          <w:trHeight w:val="634"/>
          <w:jc w:val="center"/>
        </w:trPr>
        <w:tc>
          <w:tcPr>
            <w:tcW w:w="2362" w:type="dxa"/>
          </w:tcPr>
          <w:p w:rsidR="00017FE0" w:rsidRPr="008B6648" w:rsidRDefault="00017FE0" w:rsidP="001D6131">
            <w:pPr>
              <w:spacing w:after="120" w:line="240" w:lineRule="exact"/>
              <w:ind w:left="364" w:hanging="364"/>
              <w:jc w:val="both"/>
              <w:rPr>
                <w:rFonts w:ascii="Times New Roman" w:hAnsi="Times New Roman"/>
              </w:rPr>
            </w:pPr>
            <w:r w:rsidRPr="008B6648">
              <w:rPr>
                <w:rFonts w:ascii="Times New Roman" w:hAnsi="Times New Roman"/>
                <w:iCs/>
                <w:szCs w:val="20"/>
              </w:rPr>
              <w:t>Analyte</w:t>
            </w:r>
          </w:p>
        </w:tc>
        <w:tc>
          <w:tcPr>
            <w:tcW w:w="2520" w:type="dxa"/>
          </w:tcPr>
          <w:p w:rsidR="008B6648" w:rsidRDefault="00017FE0" w:rsidP="008B6648">
            <w:pPr>
              <w:jc w:val="center"/>
              <w:rPr>
                <w:rFonts w:ascii="Times New Roman" w:hAnsi="Times New Roman"/>
                <w:szCs w:val="20"/>
              </w:rPr>
            </w:pPr>
            <w:r w:rsidRPr="008B6648">
              <w:rPr>
                <w:rFonts w:ascii="Times New Roman" w:hAnsi="Times New Roman"/>
                <w:szCs w:val="20"/>
              </w:rPr>
              <w:t>Mass Fraction</w:t>
            </w:r>
          </w:p>
          <w:p w:rsidR="00017FE0" w:rsidRPr="008B6648" w:rsidRDefault="00017FE0" w:rsidP="008B6648">
            <w:pPr>
              <w:spacing w:after="120"/>
              <w:jc w:val="center"/>
              <w:rPr>
                <w:rFonts w:ascii="Times New Roman" w:hAnsi="Times New Roman"/>
              </w:rPr>
            </w:pPr>
            <w:r w:rsidRPr="008B6648">
              <w:rPr>
                <w:rFonts w:ascii="Times New Roman" w:hAnsi="Times New Roman"/>
                <w:szCs w:val="20"/>
              </w:rPr>
              <w:t>(ng/g)</w:t>
            </w:r>
          </w:p>
        </w:tc>
        <w:tc>
          <w:tcPr>
            <w:tcW w:w="2246" w:type="dxa"/>
          </w:tcPr>
          <w:p w:rsidR="008B6648" w:rsidRDefault="0079037C" w:rsidP="008B6648">
            <w:pPr>
              <w:spacing w:line="240" w:lineRule="exact"/>
              <w:jc w:val="center"/>
              <w:rPr>
                <w:rFonts w:ascii="Times New Roman" w:hAnsi="Times New Roman"/>
                <w:szCs w:val="20"/>
              </w:rPr>
            </w:pPr>
            <w:r>
              <w:rPr>
                <w:rFonts w:ascii="Times New Roman" w:hAnsi="Times New Roman"/>
                <w:iCs/>
                <w:szCs w:val="20"/>
              </w:rPr>
              <w:t xml:space="preserve">Mass </w:t>
            </w:r>
            <w:r w:rsidR="00017FE0" w:rsidRPr="008B6648">
              <w:rPr>
                <w:rFonts w:ascii="Times New Roman" w:hAnsi="Times New Roman"/>
                <w:iCs/>
                <w:szCs w:val="20"/>
              </w:rPr>
              <w:t>Concentration</w:t>
            </w:r>
          </w:p>
          <w:p w:rsidR="00017FE0" w:rsidRPr="008B6648" w:rsidRDefault="00017FE0" w:rsidP="00EA4464">
            <w:pPr>
              <w:spacing w:after="120" w:line="240" w:lineRule="exact"/>
              <w:jc w:val="center"/>
              <w:rPr>
                <w:rFonts w:ascii="Times New Roman" w:hAnsi="Times New Roman"/>
              </w:rPr>
            </w:pPr>
            <w:r w:rsidRPr="008B6648">
              <w:rPr>
                <w:rFonts w:ascii="Times New Roman" w:hAnsi="Times New Roman"/>
                <w:szCs w:val="20"/>
              </w:rPr>
              <w:t>(ng/mL)</w:t>
            </w:r>
          </w:p>
        </w:tc>
      </w:tr>
      <w:tr w:rsidR="00017FE0" w:rsidTr="006177BB">
        <w:trPr>
          <w:jc w:val="center"/>
        </w:trPr>
        <w:tc>
          <w:tcPr>
            <w:tcW w:w="2362" w:type="dxa"/>
          </w:tcPr>
          <w:p w:rsidR="00017FE0" w:rsidRDefault="00017FE0" w:rsidP="001D6131">
            <w:pPr>
              <w:spacing w:line="240" w:lineRule="exact"/>
              <w:ind w:left="364" w:hanging="364"/>
              <w:jc w:val="both"/>
              <w:rPr>
                <w:rFonts w:ascii="Times New Roman" w:hAnsi="Times New Roman"/>
              </w:rPr>
            </w:pPr>
            <w:r>
              <w:rPr>
                <w:rFonts w:ascii="Times New Roman" w:hAnsi="Times New Roman"/>
                <w:szCs w:val="20"/>
              </w:rPr>
              <w:t>Benzoylecgonine</w:t>
            </w:r>
          </w:p>
        </w:tc>
        <w:tc>
          <w:tcPr>
            <w:tcW w:w="2520" w:type="dxa"/>
          </w:tcPr>
          <w:p w:rsidR="00017FE0" w:rsidRDefault="00017FE0" w:rsidP="008B6648">
            <w:pPr>
              <w:tabs>
                <w:tab w:val="decimal" w:pos="432"/>
              </w:tabs>
              <w:spacing w:line="240" w:lineRule="exact"/>
              <w:ind w:right="162"/>
              <w:jc w:val="center"/>
              <w:rPr>
                <w:rFonts w:ascii="Times New Roman" w:hAnsi="Times New Roman"/>
              </w:rPr>
            </w:pPr>
            <w:r>
              <w:rPr>
                <w:rFonts w:ascii="Times New Roman" w:hAnsi="Times New Roman"/>
                <w:szCs w:val="20"/>
              </w:rPr>
              <w:t>1007</w:t>
            </w:r>
            <w:r w:rsidR="009E3668">
              <w:rPr>
                <w:rFonts w:ascii="Times New Roman" w:hAnsi="Times New Roman"/>
                <w:szCs w:val="20"/>
              </w:rPr>
              <w:t> </w:t>
            </w:r>
            <w:r>
              <w:rPr>
                <w:rFonts w:ascii="Times New Roman" w:hAnsi="Times New Roman"/>
                <w:szCs w:val="20"/>
              </w:rPr>
              <w:t> </w:t>
            </w:r>
            <w:r>
              <w:rPr>
                <w:rFonts w:ascii="Times New Roman" w:hAnsi="Times New Roman"/>
                <w:szCs w:val="20"/>
              </w:rPr>
              <w:sym w:font="Symbol" w:char="F0B1"/>
            </w:r>
            <w:r>
              <w:rPr>
                <w:rFonts w:ascii="Times New Roman" w:hAnsi="Times New Roman"/>
                <w:szCs w:val="20"/>
              </w:rPr>
              <w:t> </w:t>
            </w:r>
            <w:r w:rsidR="009E3668">
              <w:rPr>
                <w:rFonts w:ascii="Times New Roman" w:hAnsi="Times New Roman"/>
                <w:szCs w:val="20"/>
              </w:rPr>
              <w:t> </w:t>
            </w:r>
            <w:r w:rsidR="00E335EE">
              <w:rPr>
                <w:rFonts w:ascii="Times New Roman" w:hAnsi="Times New Roman"/>
                <w:szCs w:val="20"/>
              </w:rPr>
              <w:t>94</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103</w:t>
            </w:r>
            <w:r w:rsidR="00E335EE">
              <w:rPr>
                <w:rFonts w:ascii="Times New Roman" w:hAnsi="Times New Roman"/>
                <w:szCs w:val="20"/>
              </w:rPr>
              <w:t>3</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9E3668">
              <w:rPr>
                <w:rFonts w:ascii="Times New Roman" w:hAnsi="Times New Roman"/>
                <w:szCs w:val="20"/>
              </w:rPr>
              <w:t> </w:t>
            </w:r>
            <w:r w:rsidR="008B6648">
              <w:rPr>
                <w:rFonts w:ascii="Times New Roman" w:hAnsi="Times New Roman"/>
                <w:szCs w:val="20"/>
              </w:rPr>
              <w:t> </w:t>
            </w:r>
            <w:r>
              <w:rPr>
                <w:rFonts w:ascii="Times New Roman" w:hAnsi="Times New Roman"/>
                <w:szCs w:val="20"/>
              </w:rPr>
              <w:t>9</w:t>
            </w:r>
            <w:r w:rsidR="00E335EE">
              <w:rPr>
                <w:rFonts w:ascii="Times New Roman" w:hAnsi="Times New Roman"/>
                <w:szCs w:val="20"/>
              </w:rPr>
              <w:t>7</w:t>
            </w:r>
          </w:p>
        </w:tc>
      </w:tr>
      <w:tr w:rsidR="00017FE0" w:rsidTr="006177BB">
        <w:trPr>
          <w:jc w:val="center"/>
        </w:trPr>
        <w:tc>
          <w:tcPr>
            <w:tcW w:w="2362" w:type="dxa"/>
          </w:tcPr>
          <w:p w:rsidR="00017FE0" w:rsidRDefault="00017FE0" w:rsidP="001D6131">
            <w:pPr>
              <w:spacing w:line="240" w:lineRule="exact"/>
              <w:ind w:left="364" w:hanging="364"/>
              <w:jc w:val="both"/>
              <w:rPr>
                <w:rFonts w:ascii="Times New Roman" w:hAnsi="Times New Roman"/>
              </w:rPr>
            </w:pPr>
            <w:r w:rsidRPr="00FC25B4">
              <w:rPr>
                <w:rFonts w:ascii="Times New Roman" w:hAnsi="Times New Roman"/>
                <w:szCs w:val="20"/>
              </w:rPr>
              <w:t>Methadone</w:t>
            </w:r>
          </w:p>
        </w:tc>
        <w:tc>
          <w:tcPr>
            <w:tcW w:w="2520" w:type="dxa"/>
          </w:tcPr>
          <w:p w:rsidR="00017FE0" w:rsidRDefault="008B6648" w:rsidP="008B6648">
            <w:pPr>
              <w:tabs>
                <w:tab w:val="decimal" w:pos="432"/>
              </w:tabs>
              <w:spacing w:line="240" w:lineRule="exact"/>
              <w:ind w:right="162"/>
              <w:jc w:val="center"/>
              <w:rPr>
                <w:rFonts w:ascii="Times New Roman" w:hAnsi="Times New Roman"/>
              </w:rPr>
            </w:pPr>
            <w:r>
              <w:rPr>
                <w:rFonts w:ascii="Times New Roman" w:hAnsi="Times New Roman"/>
                <w:szCs w:val="20"/>
              </w:rPr>
              <w:t>985</w:t>
            </w:r>
            <w:r w:rsidR="009E3668">
              <w:t> </w:t>
            </w:r>
            <w:r>
              <w:rPr>
                <w:rFonts w:ascii="Times New Roman" w:hAnsi="Times New Roman"/>
                <w:szCs w:val="20"/>
              </w:rPr>
              <w:t> </w:t>
            </w:r>
            <w:r>
              <w:rPr>
                <w:rFonts w:ascii="Times New Roman" w:hAnsi="Times New Roman"/>
                <w:szCs w:val="20"/>
              </w:rPr>
              <w:sym w:font="Symbol" w:char="F0B1"/>
            </w:r>
            <w:r>
              <w:rPr>
                <w:rFonts w:ascii="Times New Roman" w:hAnsi="Times New Roman"/>
                <w:szCs w:val="20"/>
              </w:rPr>
              <w:t> </w:t>
            </w:r>
            <w:r w:rsidR="009E3668">
              <w:rPr>
                <w:rFonts w:ascii="Times New Roman" w:hAnsi="Times New Roman"/>
                <w:szCs w:val="20"/>
              </w:rPr>
              <w:t> </w:t>
            </w:r>
            <w:r>
              <w:rPr>
                <w:rFonts w:ascii="Times New Roman" w:hAnsi="Times New Roman"/>
                <w:szCs w:val="20"/>
              </w:rPr>
              <w:t>8</w:t>
            </w:r>
            <w:r w:rsidR="00E335EE">
              <w:rPr>
                <w:rFonts w:ascii="Times New Roman" w:hAnsi="Times New Roman"/>
                <w:szCs w:val="20"/>
              </w:rPr>
              <w:t>9</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1010</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9E3668">
              <w:rPr>
                <w:rFonts w:ascii="Times New Roman" w:hAnsi="Times New Roman"/>
                <w:szCs w:val="20"/>
              </w:rPr>
              <w:t> </w:t>
            </w:r>
            <w:r w:rsidR="00E335EE">
              <w:rPr>
                <w:rFonts w:ascii="Times New Roman" w:hAnsi="Times New Roman"/>
                <w:szCs w:val="20"/>
              </w:rPr>
              <w:t>92</w:t>
            </w:r>
          </w:p>
        </w:tc>
      </w:tr>
      <w:tr w:rsidR="00017FE0" w:rsidTr="006177BB">
        <w:trPr>
          <w:jc w:val="center"/>
        </w:trPr>
        <w:tc>
          <w:tcPr>
            <w:tcW w:w="2362" w:type="dxa"/>
          </w:tcPr>
          <w:p w:rsidR="00017FE0" w:rsidRDefault="00017FE0" w:rsidP="001D6131">
            <w:pPr>
              <w:spacing w:line="240" w:lineRule="exact"/>
              <w:ind w:left="364" w:hanging="364"/>
              <w:jc w:val="both"/>
              <w:rPr>
                <w:rFonts w:ascii="Times New Roman" w:hAnsi="Times New Roman"/>
              </w:rPr>
            </w:pPr>
            <w:r w:rsidRPr="00FC25B4">
              <w:rPr>
                <w:rFonts w:ascii="Times New Roman" w:hAnsi="Times New Roman"/>
                <w:szCs w:val="20"/>
              </w:rPr>
              <w:t>Methamphetamine</w:t>
            </w:r>
          </w:p>
        </w:tc>
        <w:tc>
          <w:tcPr>
            <w:tcW w:w="2520" w:type="dxa"/>
          </w:tcPr>
          <w:p w:rsidR="00017FE0" w:rsidRDefault="008B6648" w:rsidP="008B6648">
            <w:pPr>
              <w:tabs>
                <w:tab w:val="decimal" w:pos="432"/>
              </w:tabs>
              <w:spacing w:line="240" w:lineRule="exact"/>
              <w:ind w:right="162"/>
              <w:jc w:val="center"/>
              <w:rPr>
                <w:rFonts w:ascii="Times New Roman" w:hAnsi="Times New Roman"/>
              </w:rPr>
            </w:pPr>
            <w:r>
              <w:rPr>
                <w:rFonts w:ascii="Times New Roman" w:hAnsi="Times New Roman"/>
                <w:szCs w:val="20"/>
              </w:rPr>
              <w:t>989</w:t>
            </w:r>
            <w:r w:rsidR="009E3668">
              <w:rPr>
                <w:rFonts w:ascii="Times New Roman" w:hAnsi="Times New Roman"/>
                <w:szCs w:val="20"/>
              </w:rPr>
              <w:t> </w:t>
            </w:r>
            <w:r>
              <w:rPr>
                <w:rFonts w:ascii="Times New Roman" w:hAnsi="Times New Roman"/>
                <w:szCs w:val="20"/>
              </w:rPr>
              <w:t> </w:t>
            </w:r>
            <w:r>
              <w:rPr>
                <w:rFonts w:ascii="Times New Roman" w:hAnsi="Times New Roman"/>
                <w:szCs w:val="20"/>
              </w:rPr>
              <w:sym w:font="Symbol" w:char="F0B1"/>
            </w:r>
            <w:r>
              <w:rPr>
                <w:rFonts w:ascii="Times New Roman" w:hAnsi="Times New Roman"/>
                <w:szCs w:val="20"/>
              </w:rPr>
              <w:t> </w:t>
            </w:r>
            <w:r w:rsidR="00E335EE">
              <w:rPr>
                <w:rFonts w:ascii="Times New Roman" w:hAnsi="Times New Roman"/>
                <w:szCs w:val="20"/>
              </w:rPr>
              <w:t>62</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1014</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E335EE">
              <w:rPr>
                <w:rFonts w:ascii="Times New Roman" w:hAnsi="Times New Roman"/>
                <w:szCs w:val="20"/>
              </w:rPr>
              <w:t>63</w:t>
            </w:r>
          </w:p>
        </w:tc>
      </w:tr>
      <w:tr w:rsidR="00017FE0" w:rsidTr="006177BB">
        <w:trPr>
          <w:jc w:val="center"/>
        </w:trPr>
        <w:tc>
          <w:tcPr>
            <w:tcW w:w="2362" w:type="dxa"/>
          </w:tcPr>
          <w:p w:rsidR="00017FE0" w:rsidRDefault="00017FE0" w:rsidP="001D6131">
            <w:pPr>
              <w:spacing w:line="240" w:lineRule="exact"/>
              <w:ind w:left="364" w:hanging="364"/>
              <w:jc w:val="both"/>
              <w:rPr>
                <w:rFonts w:ascii="Times New Roman" w:hAnsi="Times New Roman"/>
              </w:rPr>
            </w:pPr>
            <w:r w:rsidRPr="00FC25B4">
              <w:rPr>
                <w:rFonts w:ascii="Times New Roman" w:hAnsi="Times New Roman"/>
                <w:szCs w:val="20"/>
              </w:rPr>
              <w:t>Morphine</w:t>
            </w:r>
          </w:p>
        </w:tc>
        <w:tc>
          <w:tcPr>
            <w:tcW w:w="2520" w:type="dxa"/>
          </w:tcPr>
          <w:p w:rsidR="00017FE0" w:rsidRDefault="00017FE0" w:rsidP="008B6648">
            <w:pPr>
              <w:tabs>
                <w:tab w:val="decimal" w:pos="432"/>
              </w:tabs>
              <w:spacing w:line="240" w:lineRule="exact"/>
              <w:ind w:right="162"/>
              <w:jc w:val="center"/>
              <w:rPr>
                <w:rFonts w:ascii="Times New Roman" w:hAnsi="Times New Roman"/>
              </w:rPr>
            </w:pPr>
            <w:r>
              <w:rPr>
                <w:rFonts w:ascii="Times New Roman" w:hAnsi="Times New Roman"/>
                <w:szCs w:val="20"/>
              </w:rPr>
              <w:t>987</w:t>
            </w:r>
            <w:r w:rsidR="008B6648">
              <w:rPr>
                <w:rFonts w:ascii="Times New Roman" w:hAnsi="Times New Roman"/>
                <w:szCs w:val="20"/>
              </w:rPr>
              <w:t> </w:t>
            </w:r>
            <w:r w:rsidR="009E3668">
              <w:rPr>
                <w:rFonts w:ascii="Times New Roman" w:hAnsi="Times New Roman"/>
                <w:szCs w:val="20"/>
              </w:rPr>
              <w:t> </w:t>
            </w:r>
            <w:r w:rsidR="008B6648">
              <w:rPr>
                <w:rFonts w:ascii="Times New Roman" w:hAnsi="Times New Roman"/>
                <w:szCs w:val="20"/>
              </w:rPr>
              <w:sym w:font="Symbol" w:char="F0B1"/>
            </w:r>
            <w:r w:rsidR="009E3668">
              <w:rPr>
                <w:rFonts w:ascii="Times New Roman" w:hAnsi="Times New Roman"/>
                <w:szCs w:val="20"/>
              </w:rPr>
              <w:t> </w:t>
            </w:r>
            <w:r w:rsidR="008B6648">
              <w:rPr>
                <w:rFonts w:ascii="Times New Roman" w:hAnsi="Times New Roman"/>
                <w:szCs w:val="20"/>
              </w:rPr>
              <w:t> </w:t>
            </w:r>
            <w:r w:rsidR="00E335EE">
              <w:rPr>
                <w:rFonts w:ascii="Times New Roman" w:hAnsi="Times New Roman"/>
                <w:szCs w:val="20"/>
              </w:rPr>
              <w:t>31</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101</w:t>
            </w:r>
            <w:r w:rsidR="00E335EE">
              <w:rPr>
                <w:rFonts w:ascii="Times New Roman" w:hAnsi="Times New Roman"/>
                <w:szCs w:val="20"/>
              </w:rPr>
              <w:t>2</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9E3668">
              <w:t> </w:t>
            </w:r>
            <w:r w:rsidR="008B6648">
              <w:rPr>
                <w:rFonts w:ascii="Times New Roman" w:hAnsi="Times New Roman"/>
                <w:szCs w:val="20"/>
              </w:rPr>
              <w:t> </w:t>
            </w:r>
            <w:r w:rsidR="00E335EE">
              <w:rPr>
                <w:rFonts w:ascii="Times New Roman" w:hAnsi="Times New Roman"/>
                <w:szCs w:val="20"/>
              </w:rPr>
              <w:t>31</w:t>
            </w:r>
          </w:p>
        </w:tc>
      </w:tr>
      <w:tr w:rsidR="00017FE0" w:rsidTr="005079A6">
        <w:trPr>
          <w:jc w:val="center"/>
        </w:trPr>
        <w:tc>
          <w:tcPr>
            <w:tcW w:w="2362" w:type="dxa"/>
          </w:tcPr>
          <w:p w:rsidR="00017FE0" w:rsidRDefault="00017FE0" w:rsidP="001D6131">
            <w:pPr>
              <w:spacing w:line="240" w:lineRule="exact"/>
              <w:ind w:left="364" w:hanging="364"/>
              <w:jc w:val="both"/>
              <w:rPr>
                <w:rFonts w:ascii="Times New Roman" w:hAnsi="Times New Roman"/>
              </w:rPr>
            </w:pPr>
            <w:r w:rsidRPr="00FC25B4">
              <w:rPr>
                <w:rFonts w:ascii="Times New Roman" w:hAnsi="Times New Roman"/>
                <w:szCs w:val="20"/>
              </w:rPr>
              <w:t>Phencyclidine</w:t>
            </w:r>
          </w:p>
        </w:tc>
        <w:tc>
          <w:tcPr>
            <w:tcW w:w="2520" w:type="dxa"/>
          </w:tcPr>
          <w:p w:rsidR="00017FE0" w:rsidRDefault="00017FE0" w:rsidP="008B6648">
            <w:pPr>
              <w:tabs>
                <w:tab w:val="decimal" w:pos="432"/>
              </w:tabs>
              <w:spacing w:line="240" w:lineRule="exact"/>
              <w:ind w:right="162"/>
              <w:jc w:val="center"/>
              <w:rPr>
                <w:rFonts w:ascii="Times New Roman" w:hAnsi="Times New Roman"/>
              </w:rPr>
            </w:pPr>
            <w:r>
              <w:rPr>
                <w:rFonts w:ascii="Times New Roman" w:hAnsi="Times New Roman"/>
                <w:szCs w:val="20"/>
              </w:rPr>
              <w:t>979</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9E3668">
              <w:rPr>
                <w:rFonts w:ascii="Times New Roman" w:hAnsi="Times New Roman"/>
                <w:szCs w:val="20"/>
              </w:rPr>
              <w:t> </w:t>
            </w:r>
            <w:r w:rsidR="00E335EE">
              <w:rPr>
                <w:rFonts w:ascii="Times New Roman" w:hAnsi="Times New Roman"/>
                <w:szCs w:val="20"/>
              </w:rPr>
              <w:t>31</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1004</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9E3668">
              <w:rPr>
                <w:rFonts w:ascii="Times New Roman" w:hAnsi="Times New Roman"/>
                <w:szCs w:val="20"/>
              </w:rPr>
              <w:t> </w:t>
            </w:r>
            <w:r w:rsidR="00E335EE">
              <w:rPr>
                <w:rFonts w:ascii="Times New Roman" w:hAnsi="Times New Roman"/>
                <w:szCs w:val="20"/>
              </w:rPr>
              <w:t>32</w:t>
            </w:r>
          </w:p>
        </w:tc>
      </w:tr>
      <w:tr w:rsidR="00017FE0" w:rsidTr="006177BB">
        <w:trPr>
          <w:jc w:val="center"/>
        </w:trPr>
        <w:tc>
          <w:tcPr>
            <w:tcW w:w="2362" w:type="dxa"/>
          </w:tcPr>
          <w:p w:rsidR="00017FE0" w:rsidRDefault="00017FE0" w:rsidP="001D6131">
            <w:pPr>
              <w:spacing w:line="240" w:lineRule="exact"/>
              <w:ind w:left="364" w:hanging="364"/>
              <w:jc w:val="both"/>
              <w:rPr>
                <w:rFonts w:ascii="Times New Roman" w:hAnsi="Times New Roman"/>
              </w:rPr>
            </w:pPr>
            <w:r w:rsidRPr="00FC25B4">
              <w:rPr>
                <w:rFonts w:ascii="Times New Roman" w:hAnsi="Times New Roman"/>
                <w:szCs w:val="20"/>
              </w:rPr>
              <w:t>Nordiazepam</w:t>
            </w:r>
          </w:p>
        </w:tc>
        <w:tc>
          <w:tcPr>
            <w:tcW w:w="2520" w:type="dxa"/>
          </w:tcPr>
          <w:p w:rsidR="00017FE0" w:rsidRDefault="00017FE0" w:rsidP="008B6648">
            <w:pPr>
              <w:tabs>
                <w:tab w:val="decimal" w:pos="432"/>
              </w:tabs>
              <w:spacing w:line="240" w:lineRule="exact"/>
              <w:ind w:right="162"/>
              <w:jc w:val="center"/>
              <w:rPr>
                <w:rFonts w:ascii="Times New Roman" w:hAnsi="Times New Roman"/>
              </w:rPr>
            </w:pPr>
            <w:r>
              <w:rPr>
                <w:rFonts w:ascii="Times New Roman" w:hAnsi="Times New Roman"/>
                <w:szCs w:val="20"/>
              </w:rPr>
              <w:t>1026</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9E3668">
              <w:rPr>
                <w:rFonts w:ascii="Times New Roman" w:hAnsi="Times New Roman"/>
                <w:szCs w:val="20"/>
              </w:rPr>
              <w:t> </w:t>
            </w:r>
            <w:r w:rsidR="00E335EE">
              <w:rPr>
                <w:rFonts w:ascii="Times New Roman" w:hAnsi="Times New Roman"/>
                <w:szCs w:val="20"/>
              </w:rPr>
              <w:t>42</w:t>
            </w:r>
          </w:p>
        </w:tc>
        <w:tc>
          <w:tcPr>
            <w:tcW w:w="2246" w:type="dxa"/>
          </w:tcPr>
          <w:p w:rsidR="00017FE0" w:rsidRDefault="00017FE0" w:rsidP="008B6648">
            <w:pPr>
              <w:tabs>
                <w:tab w:val="decimal" w:pos="252"/>
              </w:tabs>
              <w:spacing w:line="240" w:lineRule="exact"/>
              <w:jc w:val="center"/>
              <w:rPr>
                <w:rFonts w:ascii="Times New Roman" w:hAnsi="Times New Roman"/>
              </w:rPr>
            </w:pPr>
            <w:r>
              <w:rPr>
                <w:rFonts w:ascii="Times New Roman" w:hAnsi="Times New Roman"/>
                <w:szCs w:val="20"/>
              </w:rPr>
              <w:t>1051</w:t>
            </w:r>
            <w:r w:rsidR="009E3668">
              <w:rPr>
                <w:rFonts w:ascii="Times New Roman" w:hAnsi="Times New Roman"/>
                <w:szCs w:val="20"/>
              </w:rPr>
              <w:t> </w:t>
            </w:r>
            <w:r w:rsidR="008B6648">
              <w:rPr>
                <w:rFonts w:ascii="Times New Roman" w:hAnsi="Times New Roman"/>
                <w:szCs w:val="20"/>
              </w:rPr>
              <w:t> </w:t>
            </w:r>
            <w:r w:rsidR="008B6648">
              <w:rPr>
                <w:rFonts w:ascii="Times New Roman" w:hAnsi="Times New Roman"/>
                <w:szCs w:val="20"/>
              </w:rPr>
              <w:sym w:font="Symbol" w:char="F0B1"/>
            </w:r>
            <w:r w:rsidR="008B6648">
              <w:rPr>
                <w:rFonts w:ascii="Times New Roman" w:hAnsi="Times New Roman"/>
                <w:szCs w:val="20"/>
              </w:rPr>
              <w:t> </w:t>
            </w:r>
            <w:r w:rsidR="009E3668">
              <w:t> </w:t>
            </w:r>
            <w:r w:rsidR="00E335EE">
              <w:rPr>
                <w:rFonts w:ascii="Times New Roman" w:hAnsi="Times New Roman"/>
                <w:szCs w:val="20"/>
              </w:rPr>
              <w:t>43</w:t>
            </w:r>
          </w:p>
        </w:tc>
      </w:tr>
    </w:tbl>
    <w:p w:rsidR="00017FE0" w:rsidRPr="00E35C5D" w:rsidRDefault="00017FE0" w:rsidP="00B405A0">
      <w:pPr>
        <w:spacing w:line="240" w:lineRule="exact"/>
        <w:jc w:val="both"/>
        <w:rPr>
          <w:rFonts w:ascii="Times New Roman" w:hAnsi="Times New Roman"/>
        </w:rPr>
      </w:pPr>
    </w:p>
    <w:p w:rsidR="00AF01B1" w:rsidRDefault="00AF01B1" w:rsidP="00B405A0">
      <w:pPr>
        <w:widowControl/>
        <w:tabs>
          <w:tab w:val="left" w:pos="1350"/>
          <w:tab w:val="decimal" w:pos="4320"/>
          <w:tab w:val="left" w:pos="4860"/>
          <w:tab w:val="decimal" w:pos="5310"/>
          <w:tab w:val="decimal" w:pos="7470"/>
          <w:tab w:val="left" w:pos="7920"/>
          <w:tab w:val="decimal" w:pos="8370"/>
        </w:tabs>
        <w:jc w:val="both"/>
        <w:rPr>
          <w:rFonts w:ascii="Times New Roman" w:hAnsi="Times New Roman"/>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2"/>
        <w:gridCol w:w="2524"/>
        <w:gridCol w:w="2374"/>
      </w:tblGrid>
      <w:tr w:rsidR="008B6648" w:rsidTr="001D6131">
        <w:trPr>
          <w:jc w:val="center"/>
        </w:trPr>
        <w:tc>
          <w:tcPr>
            <w:tcW w:w="7260" w:type="dxa"/>
            <w:gridSpan w:val="3"/>
          </w:tcPr>
          <w:p w:rsidR="008B6648" w:rsidRPr="008B6648" w:rsidRDefault="008B6648" w:rsidP="00EA4464">
            <w:pPr>
              <w:spacing w:line="480" w:lineRule="auto"/>
              <w:jc w:val="center"/>
              <w:rPr>
                <w:rFonts w:ascii="Times New Roman" w:hAnsi="Times New Roman"/>
                <w:szCs w:val="20"/>
                <w:vertAlign w:val="superscript"/>
              </w:rPr>
            </w:pPr>
            <w:r w:rsidRPr="00FC25B4">
              <w:rPr>
                <w:rFonts w:ascii="Times New Roman" w:hAnsi="Times New Roman"/>
                <w:szCs w:val="20"/>
              </w:rPr>
              <w:t>Table</w:t>
            </w:r>
            <w:r>
              <w:rPr>
                <w:rFonts w:ascii="Times New Roman" w:hAnsi="Times New Roman"/>
                <w:szCs w:val="20"/>
              </w:rPr>
              <w:t> </w:t>
            </w:r>
            <w:r w:rsidRPr="00FC25B4">
              <w:rPr>
                <w:rFonts w:ascii="Times New Roman" w:hAnsi="Times New Roman"/>
                <w:szCs w:val="20"/>
              </w:rPr>
              <w:t xml:space="preserve">2.  Reference </w:t>
            </w:r>
            <w:r>
              <w:rPr>
                <w:rFonts w:ascii="Times New Roman" w:hAnsi="Times New Roman"/>
                <w:szCs w:val="20"/>
              </w:rPr>
              <w:t>Values</w:t>
            </w:r>
            <w:r w:rsidRPr="00FC25B4">
              <w:rPr>
                <w:rFonts w:ascii="Times New Roman" w:hAnsi="Times New Roman"/>
                <w:szCs w:val="20"/>
              </w:rPr>
              <w:t xml:space="preserve"> for THC</w:t>
            </w:r>
            <w:r w:rsidR="001D6131">
              <w:rPr>
                <w:rFonts w:ascii="Times New Roman" w:hAnsi="Times New Roman"/>
                <w:szCs w:val="20"/>
              </w:rPr>
              <w:noBreakHyphen/>
            </w:r>
            <w:r>
              <w:rPr>
                <w:rFonts w:ascii="Times New Roman" w:hAnsi="Times New Roman"/>
                <w:szCs w:val="20"/>
              </w:rPr>
              <w:t>9</w:t>
            </w:r>
            <w:r w:rsidR="001D6131">
              <w:rPr>
                <w:rFonts w:ascii="Times New Roman" w:hAnsi="Times New Roman"/>
                <w:szCs w:val="20"/>
              </w:rPr>
              <w:noBreakHyphen/>
            </w:r>
            <w:r w:rsidRPr="00FC25B4">
              <w:rPr>
                <w:rFonts w:ascii="Times New Roman" w:hAnsi="Times New Roman"/>
                <w:szCs w:val="20"/>
              </w:rPr>
              <w:t>COOH in SRM</w:t>
            </w:r>
            <w:r w:rsidR="001D6131">
              <w:rPr>
                <w:rFonts w:ascii="Times New Roman" w:hAnsi="Times New Roman"/>
                <w:szCs w:val="20"/>
              </w:rPr>
              <w:t> </w:t>
            </w:r>
            <w:r w:rsidRPr="00FC25B4">
              <w:rPr>
                <w:rFonts w:ascii="Times New Roman" w:hAnsi="Times New Roman"/>
                <w:szCs w:val="20"/>
              </w:rPr>
              <w:t>1959</w:t>
            </w:r>
          </w:p>
        </w:tc>
      </w:tr>
      <w:tr w:rsidR="008B6648" w:rsidTr="006177BB">
        <w:trPr>
          <w:trHeight w:val="634"/>
          <w:jc w:val="center"/>
        </w:trPr>
        <w:tc>
          <w:tcPr>
            <w:tcW w:w="2362" w:type="dxa"/>
          </w:tcPr>
          <w:p w:rsidR="008B6648" w:rsidRPr="008B6648" w:rsidRDefault="008B6648" w:rsidP="008B6648">
            <w:pPr>
              <w:spacing w:after="120" w:line="240" w:lineRule="exact"/>
              <w:jc w:val="both"/>
              <w:rPr>
                <w:rFonts w:ascii="Times New Roman" w:hAnsi="Times New Roman"/>
              </w:rPr>
            </w:pPr>
          </w:p>
        </w:tc>
        <w:tc>
          <w:tcPr>
            <w:tcW w:w="2524" w:type="dxa"/>
          </w:tcPr>
          <w:p w:rsidR="008B6648" w:rsidRDefault="008B6648" w:rsidP="006177BB">
            <w:pPr>
              <w:jc w:val="center"/>
              <w:rPr>
                <w:rFonts w:ascii="Times New Roman" w:hAnsi="Times New Roman"/>
                <w:szCs w:val="20"/>
              </w:rPr>
            </w:pPr>
            <w:r w:rsidRPr="008B6648">
              <w:rPr>
                <w:rFonts w:ascii="Times New Roman" w:hAnsi="Times New Roman"/>
                <w:szCs w:val="20"/>
              </w:rPr>
              <w:t>Mass Fraction</w:t>
            </w:r>
          </w:p>
          <w:p w:rsidR="008B6648" w:rsidRPr="008B6648" w:rsidRDefault="008B6648" w:rsidP="006177BB">
            <w:pPr>
              <w:jc w:val="center"/>
              <w:rPr>
                <w:rFonts w:ascii="Times New Roman" w:hAnsi="Times New Roman"/>
              </w:rPr>
            </w:pPr>
            <w:r w:rsidRPr="008B6648">
              <w:rPr>
                <w:rFonts w:ascii="Times New Roman" w:hAnsi="Times New Roman"/>
                <w:szCs w:val="20"/>
              </w:rPr>
              <w:t>(ng/g)</w:t>
            </w:r>
          </w:p>
        </w:tc>
        <w:tc>
          <w:tcPr>
            <w:tcW w:w="2374" w:type="dxa"/>
          </w:tcPr>
          <w:p w:rsidR="008B6648" w:rsidRDefault="0079037C" w:rsidP="006177BB">
            <w:pPr>
              <w:spacing w:line="240" w:lineRule="exact"/>
              <w:jc w:val="center"/>
              <w:rPr>
                <w:rFonts w:ascii="Times New Roman" w:hAnsi="Times New Roman"/>
                <w:szCs w:val="20"/>
              </w:rPr>
            </w:pPr>
            <w:r>
              <w:rPr>
                <w:rFonts w:ascii="Times New Roman" w:hAnsi="Times New Roman"/>
                <w:iCs/>
                <w:szCs w:val="20"/>
              </w:rPr>
              <w:t xml:space="preserve">Mass </w:t>
            </w:r>
            <w:r w:rsidR="008B6648" w:rsidRPr="008B6648">
              <w:rPr>
                <w:rFonts w:ascii="Times New Roman" w:hAnsi="Times New Roman"/>
                <w:iCs/>
                <w:szCs w:val="20"/>
              </w:rPr>
              <w:t>Concentration</w:t>
            </w:r>
          </w:p>
          <w:p w:rsidR="008B6648" w:rsidRPr="008B6648" w:rsidRDefault="008B6648" w:rsidP="00EA4464">
            <w:pPr>
              <w:spacing w:line="240" w:lineRule="exact"/>
              <w:jc w:val="center"/>
              <w:rPr>
                <w:rFonts w:ascii="Times New Roman" w:hAnsi="Times New Roman"/>
              </w:rPr>
            </w:pPr>
            <w:r w:rsidRPr="008B6648">
              <w:rPr>
                <w:rFonts w:ascii="Times New Roman" w:hAnsi="Times New Roman"/>
                <w:szCs w:val="20"/>
              </w:rPr>
              <w:t>(ng/mL)</w:t>
            </w:r>
          </w:p>
        </w:tc>
      </w:tr>
      <w:tr w:rsidR="008B6648" w:rsidTr="001D6131">
        <w:trPr>
          <w:jc w:val="center"/>
        </w:trPr>
        <w:tc>
          <w:tcPr>
            <w:tcW w:w="2362" w:type="dxa"/>
          </w:tcPr>
          <w:p w:rsidR="008B6648" w:rsidRDefault="001D6131" w:rsidP="008B6648">
            <w:pPr>
              <w:spacing w:line="240" w:lineRule="exact"/>
              <w:jc w:val="both"/>
              <w:rPr>
                <w:rFonts w:ascii="Times New Roman" w:hAnsi="Times New Roman"/>
              </w:rPr>
            </w:pPr>
            <w:r>
              <w:rPr>
                <w:rFonts w:ascii="Times New Roman" w:hAnsi="Times New Roman"/>
                <w:szCs w:val="20"/>
              </w:rPr>
              <w:t>THC-9-COOH</w:t>
            </w:r>
          </w:p>
        </w:tc>
        <w:tc>
          <w:tcPr>
            <w:tcW w:w="2524" w:type="dxa"/>
          </w:tcPr>
          <w:p w:rsidR="008B6648" w:rsidRDefault="001D6131" w:rsidP="008B6648">
            <w:pPr>
              <w:tabs>
                <w:tab w:val="decimal" w:pos="432"/>
              </w:tabs>
              <w:spacing w:line="240" w:lineRule="exact"/>
              <w:ind w:right="162"/>
              <w:jc w:val="center"/>
              <w:rPr>
                <w:rFonts w:ascii="Times New Roman" w:hAnsi="Times New Roman"/>
              </w:rPr>
            </w:pPr>
            <w:r>
              <w:rPr>
                <w:rFonts w:ascii="Times New Roman" w:hAnsi="Times New Roman"/>
                <w:szCs w:val="20"/>
              </w:rPr>
              <w:t>983 </w:t>
            </w:r>
            <w:r>
              <w:rPr>
                <w:rFonts w:ascii="Times New Roman" w:hAnsi="Times New Roman"/>
                <w:szCs w:val="20"/>
              </w:rPr>
              <w:sym w:font="Symbol" w:char="F0B1"/>
            </w:r>
            <w:r>
              <w:rPr>
                <w:rFonts w:ascii="Times New Roman" w:hAnsi="Times New Roman"/>
                <w:szCs w:val="20"/>
              </w:rPr>
              <w:t> </w:t>
            </w:r>
            <w:r w:rsidR="00E335EE">
              <w:rPr>
                <w:rFonts w:ascii="Times New Roman" w:hAnsi="Times New Roman"/>
                <w:szCs w:val="20"/>
              </w:rPr>
              <w:t>100</w:t>
            </w:r>
          </w:p>
        </w:tc>
        <w:tc>
          <w:tcPr>
            <w:tcW w:w="2374" w:type="dxa"/>
          </w:tcPr>
          <w:p w:rsidR="008B6648" w:rsidRDefault="001D6131" w:rsidP="008B6648">
            <w:pPr>
              <w:tabs>
                <w:tab w:val="decimal" w:pos="252"/>
              </w:tabs>
              <w:spacing w:line="240" w:lineRule="exact"/>
              <w:jc w:val="center"/>
              <w:rPr>
                <w:rFonts w:ascii="Times New Roman" w:hAnsi="Times New Roman"/>
              </w:rPr>
            </w:pPr>
            <w:r>
              <w:rPr>
                <w:rFonts w:ascii="Times New Roman" w:hAnsi="Times New Roman"/>
                <w:szCs w:val="20"/>
              </w:rPr>
              <w:t>100</w:t>
            </w:r>
            <w:r w:rsidR="00E335EE">
              <w:rPr>
                <w:rFonts w:ascii="Times New Roman" w:hAnsi="Times New Roman"/>
                <w:szCs w:val="20"/>
              </w:rPr>
              <w:t>8</w:t>
            </w:r>
            <w:r>
              <w:rPr>
                <w:rFonts w:ascii="Times New Roman" w:hAnsi="Times New Roman"/>
                <w:szCs w:val="20"/>
              </w:rPr>
              <w:t> </w:t>
            </w:r>
            <w:r>
              <w:rPr>
                <w:rFonts w:ascii="Times New Roman" w:hAnsi="Times New Roman"/>
                <w:szCs w:val="20"/>
              </w:rPr>
              <w:sym w:font="Symbol" w:char="F0B1"/>
            </w:r>
            <w:r>
              <w:rPr>
                <w:rFonts w:ascii="Times New Roman" w:hAnsi="Times New Roman"/>
                <w:szCs w:val="20"/>
              </w:rPr>
              <w:t> </w:t>
            </w:r>
            <w:r w:rsidR="00E335EE">
              <w:rPr>
                <w:rFonts w:ascii="Times New Roman" w:hAnsi="Times New Roman"/>
                <w:szCs w:val="20"/>
              </w:rPr>
              <w:t>103</w:t>
            </w:r>
          </w:p>
        </w:tc>
      </w:tr>
    </w:tbl>
    <w:p w:rsidR="00D77664" w:rsidRPr="00E90844" w:rsidRDefault="00D77664" w:rsidP="00881E74">
      <w:pPr>
        <w:widowControl/>
        <w:tabs>
          <w:tab w:val="left" w:pos="1350"/>
          <w:tab w:val="decimal" w:pos="4320"/>
          <w:tab w:val="left" w:pos="4860"/>
          <w:tab w:val="decimal" w:pos="5310"/>
          <w:tab w:val="decimal" w:pos="7470"/>
          <w:tab w:val="left" w:pos="7920"/>
          <w:tab w:val="decimal" w:pos="8370"/>
        </w:tabs>
        <w:rPr>
          <w:rFonts w:ascii="Times New Roman" w:hAnsi="Times New Roman"/>
          <w:color w:val="000000" w:themeColor="text1"/>
          <w:szCs w:val="20"/>
        </w:rPr>
      </w:pPr>
    </w:p>
    <w:p w:rsidR="000E0B76" w:rsidRPr="00881E74" w:rsidRDefault="000E0B76" w:rsidP="00B405A0">
      <w:pPr>
        <w:widowControl/>
        <w:tabs>
          <w:tab w:val="left" w:pos="1080"/>
          <w:tab w:val="decimal" w:pos="3150"/>
          <w:tab w:val="left" w:pos="3960"/>
          <w:tab w:val="decimal" w:pos="5400"/>
          <w:tab w:val="left" w:pos="6210"/>
          <w:tab w:val="decimal" w:pos="7650"/>
          <w:tab w:val="left" w:pos="8370"/>
        </w:tabs>
        <w:ind w:firstLine="1080"/>
        <w:rPr>
          <w:rFonts w:ascii="Times New Roman" w:hAnsi="Times New Roman"/>
          <w:color w:val="000000"/>
        </w:rPr>
      </w:pPr>
    </w:p>
    <w:p w:rsidR="00907299" w:rsidRDefault="00907299">
      <w:pPr>
        <w:widowControl/>
        <w:autoSpaceDE/>
        <w:autoSpaceDN/>
        <w:adjustRightInd/>
        <w:rPr>
          <w:rFonts w:ascii="Times New Roman" w:hAnsi="Times New Roman"/>
        </w:rPr>
      </w:pPr>
      <w:r>
        <w:rPr>
          <w:rFonts w:ascii="Times New Roman" w:hAnsi="Times New Roman"/>
        </w:rPr>
        <w:br w:type="page"/>
      </w:r>
    </w:p>
    <w:p w:rsidR="00D431F2" w:rsidRDefault="00E00B06">
      <w:pPr>
        <w:jc w:val="center"/>
        <w:rPr>
          <w:rFonts w:ascii="Times New Roman" w:hAnsi="Times New Roman"/>
        </w:rPr>
      </w:pPr>
      <w:r w:rsidRPr="00E00B06">
        <w:rPr>
          <w:rFonts w:ascii="Times New Roman" w:hAnsi="Times New Roman"/>
        </w:rPr>
        <w:lastRenderedPageBreak/>
        <w:t>REFERENCES</w:t>
      </w:r>
    </w:p>
    <w:p w:rsidR="00D431F2" w:rsidRDefault="00D431F2" w:rsidP="0014298E">
      <w:pPr>
        <w:jc w:val="both"/>
        <w:rPr>
          <w:rFonts w:ascii="Times New Roman" w:hAnsi="Times New Roman"/>
        </w:rPr>
      </w:pPr>
    </w:p>
    <w:p w:rsidR="00F836E9" w:rsidRDefault="00E00B06" w:rsidP="0014298E">
      <w:pPr>
        <w:tabs>
          <w:tab w:val="left" w:pos="450"/>
        </w:tabs>
        <w:ind w:left="450" w:hanging="450"/>
        <w:jc w:val="both"/>
        <w:rPr>
          <w:rFonts w:ascii="Times New Roman" w:hAnsi="Times New Roman"/>
        </w:rPr>
      </w:pPr>
      <w:r w:rsidRPr="00E00B06">
        <w:rPr>
          <w:rFonts w:ascii="Times New Roman" w:hAnsi="Times New Roman"/>
        </w:rPr>
        <w:t>[1]</w:t>
      </w:r>
      <w:r w:rsidRPr="00E00B06">
        <w:rPr>
          <w:rFonts w:ascii="Times New Roman" w:hAnsi="Times New Roman"/>
        </w:rPr>
        <w:tab/>
      </w:r>
      <w:r w:rsidR="00FC25B4" w:rsidRPr="00F836E9">
        <w:rPr>
          <w:rFonts w:ascii="Times New Roman" w:hAnsi="Times New Roman"/>
        </w:rPr>
        <w:t>May,</w:t>
      </w:r>
      <w:r w:rsidR="0014298E">
        <w:rPr>
          <w:rFonts w:ascii="Times New Roman" w:hAnsi="Times New Roman"/>
        </w:rPr>
        <w:t> </w:t>
      </w:r>
      <w:r w:rsidR="00FC25B4" w:rsidRPr="00F836E9">
        <w:rPr>
          <w:rFonts w:ascii="Times New Roman" w:hAnsi="Times New Roman"/>
        </w:rPr>
        <w:t>W.; Parris,</w:t>
      </w:r>
      <w:r w:rsidR="0014298E">
        <w:rPr>
          <w:rFonts w:ascii="Times New Roman" w:hAnsi="Times New Roman"/>
        </w:rPr>
        <w:t> </w:t>
      </w:r>
      <w:r w:rsidR="00FC25B4" w:rsidRPr="00F836E9">
        <w:rPr>
          <w:rFonts w:ascii="Times New Roman" w:hAnsi="Times New Roman"/>
        </w:rPr>
        <w:t>R.; Beck,</w:t>
      </w:r>
      <w:r w:rsidR="0014298E">
        <w:rPr>
          <w:rFonts w:ascii="Times New Roman" w:hAnsi="Times New Roman"/>
        </w:rPr>
        <w:t> </w:t>
      </w:r>
      <w:r w:rsidR="00FC25B4" w:rsidRPr="00F836E9">
        <w:rPr>
          <w:rFonts w:ascii="Times New Roman" w:hAnsi="Times New Roman"/>
        </w:rPr>
        <w:t>C.; Fassett,</w:t>
      </w:r>
      <w:r w:rsidR="0014298E">
        <w:rPr>
          <w:rFonts w:ascii="Times New Roman" w:hAnsi="Times New Roman"/>
        </w:rPr>
        <w:t> </w:t>
      </w:r>
      <w:r w:rsidR="00FC25B4" w:rsidRPr="00F836E9">
        <w:rPr>
          <w:rFonts w:ascii="Times New Roman" w:hAnsi="Times New Roman"/>
        </w:rPr>
        <w:t>J.; Greenberg,</w:t>
      </w:r>
      <w:r w:rsidR="0014298E">
        <w:rPr>
          <w:rFonts w:ascii="Times New Roman" w:hAnsi="Times New Roman"/>
        </w:rPr>
        <w:t> </w:t>
      </w:r>
      <w:r w:rsidR="00FC25B4" w:rsidRPr="00F836E9">
        <w:rPr>
          <w:rFonts w:ascii="Times New Roman" w:hAnsi="Times New Roman"/>
        </w:rPr>
        <w:t>R.; Guenther,</w:t>
      </w:r>
      <w:r w:rsidR="0014298E">
        <w:rPr>
          <w:rFonts w:ascii="Times New Roman" w:hAnsi="Times New Roman"/>
        </w:rPr>
        <w:t> </w:t>
      </w:r>
      <w:r w:rsidR="00FC25B4" w:rsidRPr="00F836E9">
        <w:rPr>
          <w:rFonts w:ascii="Times New Roman" w:hAnsi="Times New Roman"/>
        </w:rPr>
        <w:t>F.; Kramer,</w:t>
      </w:r>
      <w:r w:rsidR="0014298E">
        <w:rPr>
          <w:rFonts w:ascii="Times New Roman" w:hAnsi="Times New Roman"/>
        </w:rPr>
        <w:t> </w:t>
      </w:r>
      <w:r w:rsidR="00FC25B4" w:rsidRPr="00F836E9">
        <w:rPr>
          <w:rFonts w:ascii="Times New Roman" w:hAnsi="Times New Roman"/>
        </w:rPr>
        <w:t>G..; Wise,</w:t>
      </w:r>
      <w:r w:rsidR="0014298E">
        <w:rPr>
          <w:rFonts w:ascii="Times New Roman" w:hAnsi="Times New Roman"/>
        </w:rPr>
        <w:t> S.; Gills, </w:t>
      </w:r>
      <w:r w:rsidR="00FC25B4" w:rsidRPr="00F836E9">
        <w:rPr>
          <w:rFonts w:ascii="Times New Roman" w:hAnsi="Times New Roman"/>
        </w:rPr>
        <w:t>T.; Colbert,</w:t>
      </w:r>
      <w:r w:rsidR="0014298E">
        <w:rPr>
          <w:rFonts w:ascii="Times New Roman" w:hAnsi="Times New Roman"/>
        </w:rPr>
        <w:t> </w:t>
      </w:r>
      <w:r w:rsidR="00FC25B4" w:rsidRPr="00F836E9">
        <w:rPr>
          <w:rFonts w:ascii="Times New Roman" w:hAnsi="Times New Roman"/>
        </w:rPr>
        <w:t>J.; Gettings,</w:t>
      </w:r>
      <w:r w:rsidR="0014298E">
        <w:rPr>
          <w:rFonts w:ascii="Times New Roman" w:hAnsi="Times New Roman"/>
        </w:rPr>
        <w:t> </w:t>
      </w:r>
      <w:r w:rsidR="00FC25B4" w:rsidRPr="00F836E9">
        <w:rPr>
          <w:rFonts w:ascii="Times New Roman" w:hAnsi="Times New Roman"/>
        </w:rPr>
        <w:t>R.; MacDonald,</w:t>
      </w:r>
      <w:r w:rsidR="0014298E">
        <w:rPr>
          <w:rFonts w:ascii="Times New Roman" w:hAnsi="Times New Roman"/>
        </w:rPr>
        <w:t> </w:t>
      </w:r>
      <w:r w:rsidR="00FC25B4" w:rsidRPr="00F836E9">
        <w:rPr>
          <w:rFonts w:ascii="Times New Roman" w:hAnsi="Times New Roman"/>
        </w:rPr>
        <w:t xml:space="preserve">B.; </w:t>
      </w:r>
      <w:r w:rsidR="00FC25B4" w:rsidRPr="00CE50C0">
        <w:rPr>
          <w:rFonts w:ascii="Times New Roman" w:hAnsi="Times New Roman"/>
          <w:i/>
        </w:rPr>
        <w:t>Definitions of Terms and Modes Used at NIST for Value-Assignment of Reference Materials for Chemical Measurements</w:t>
      </w:r>
      <w:r w:rsidR="00FC25B4" w:rsidRPr="00F836E9">
        <w:rPr>
          <w:rFonts w:ascii="Times New Roman" w:hAnsi="Times New Roman"/>
        </w:rPr>
        <w:t>; NIST Special Publication 260</w:t>
      </w:r>
      <w:r w:rsidR="00F97D94">
        <w:rPr>
          <w:rFonts w:ascii="Times New Roman" w:hAnsi="Times New Roman"/>
        </w:rPr>
        <w:noBreakHyphen/>
      </w:r>
      <w:r w:rsidR="00FC25B4" w:rsidRPr="00F836E9">
        <w:rPr>
          <w:rFonts w:ascii="Times New Roman" w:hAnsi="Times New Roman"/>
        </w:rPr>
        <w:t>136</w:t>
      </w:r>
      <w:r w:rsidR="002064E9" w:rsidRPr="00F836E9">
        <w:rPr>
          <w:rFonts w:ascii="Times New Roman" w:hAnsi="Times New Roman"/>
        </w:rPr>
        <w:t xml:space="preserve">; </w:t>
      </w:r>
      <w:r w:rsidR="00FC25B4" w:rsidRPr="00F836E9">
        <w:rPr>
          <w:rFonts w:ascii="Times New Roman" w:hAnsi="Times New Roman"/>
        </w:rPr>
        <w:t xml:space="preserve">U.S. Government </w:t>
      </w:r>
      <w:r w:rsidR="006177BB" w:rsidRPr="00F836E9">
        <w:rPr>
          <w:rFonts w:ascii="Times New Roman" w:hAnsi="Times New Roman"/>
        </w:rPr>
        <w:t>Printing</w:t>
      </w:r>
      <w:r w:rsidR="006177BB">
        <w:rPr>
          <w:rFonts w:ascii="Times New Roman" w:hAnsi="Times New Roman"/>
        </w:rPr>
        <w:t> </w:t>
      </w:r>
      <w:r w:rsidR="00FC25B4" w:rsidRPr="00F836E9">
        <w:rPr>
          <w:rFonts w:ascii="Times New Roman" w:hAnsi="Times New Roman"/>
        </w:rPr>
        <w:t>Office</w:t>
      </w:r>
      <w:r w:rsidR="006177BB" w:rsidRPr="00F836E9">
        <w:rPr>
          <w:rFonts w:ascii="Times New Roman" w:hAnsi="Times New Roman"/>
        </w:rPr>
        <w:t>:</w:t>
      </w:r>
      <w:r w:rsidR="006177BB">
        <w:rPr>
          <w:rFonts w:ascii="Times New Roman" w:hAnsi="Times New Roman"/>
        </w:rPr>
        <w:t> </w:t>
      </w:r>
      <w:r w:rsidR="00FC25B4" w:rsidRPr="00F836E9">
        <w:rPr>
          <w:rFonts w:ascii="Times New Roman" w:hAnsi="Times New Roman"/>
        </w:rPr>
        <w:t>Gaithersburg</w:t>
      </w:r>
      <w:r w:rsidR="006177BB" w:rsidRPr="00F836E9">
        <w:rPr>
          <w:rFonts w:ascii="Times New Roman" w:hAnsi="Times New Roman"/>
        </w:rPr>
        <w:t>,</w:t>
      </w:r>
      <w:r w:rsidR="006177BB">
        <w:rPr>
          <w:rFonts w:ascii="Times New Roman" w:hAnsi="Times New Roman"/>
        </w:rPr>
        <w:t> </w:t>
      </w:r>
      <w:r w:rsidR="006177BB" w:rsidRPr="00F836E9">
        <w:rPr>
          <w:rFonts w:ascii="Times New Roman" w:hAnsi="Times New Roman"/>
        </w:rPr>
        <w:t>MD</w:t>
      </w:r>
      <w:r w:rsidR="006177BB">
        <w:rPr>
          <w:rFonts w:ascii="Times New Roman" w:hAnsi="Times New Roman"/>
        </w:rPr>
        <w:t> </w:t>
      </w:r>
      <w:r w:rsidR="00FC25B4" w:rsidRPr="00F836E9">
        <w:rPr>
          <w:rFonts w:ascii="Times New Roman" w:hAnsi="Times New Roman"/>
        </w:rPr>
        <w:t>(2000</w:t>
      </w:r>
      <w:r w:rsidR="006177BB" w:rsidRPr="00F836E9">
        <w:rPr>
          <w:rFonts w:ascii="Times New Roman" w:hAnsi="Times New Roman"/>
        </w:rPr>
        <w:t>);</w:t>
      </w:r>
      <w:r w:rsidR="006177BB">
        <w:rPr>
          <w:rFonts w:ascii="Times New Roman" w:hAnsi="Times New Roman"/>
        </w:rPr>
        <w:t> </w:t>
      </w:r>
      <w:r w:rsidR="006177BB" w:rsidRPr="00F836E9">
        <w:rPr>
          <w:rFonts w:ascii="Times New Roman" w:hAnsi="Times New Roman"/>
        </w:rPr>
        <w:t>available</w:t>
      </w:r>
      <w:r w:rsidR="006177BB">
        <w:rPr>
          <w:rFonts w:ascii="Times New Roman" w:hAnsi="Times New Roman"/>
        </w:rPr>
        <w:t> </w:t>
      </w:r>
      <w:r w:rsidR="00FC25B4" w:rsidRPr="00F836E9">
        <w:rPr>
          <w:rFonts w:ascii="Times New Roman" w:hAnsi="Times New Roman"/>
        </w:rPr>
        <w:t>at</w:t>
      </w:r>
      <w:r w:rsidR="00F97D94">
        <w:rPr>
          <w:rFonts w:ascii="Times New Roman" w:hAnsi="Times New Roman"/>
        </w:rPr>
        <w:t xml:space="preserve"> </w:t>
      </w:r>
      <w:hyperlink r:id="rId10" w:history="1">
        <w:r w:rsidRPr="00D40560">
          <w:rPr>
            <w:rStyle w:val="Hyperlink"/>
            <w:rFonts w:ascii="Times New Roman" w:hAnsi="Times New Roman"/>
          </w:rPr>
          <w:t>http://www.cstl.nist.gov/nist839/NIST_special_publications.htm</w:t>
        </w:r>
      </w:hyperlink>
      <w:r w:rsidR="00D40560">
        <w:rPr>
          <w:rFonts w:ascii="Times New Roman" w:hAnsi="Times New Roman"/>
        </w:rPr>
        <w:t xml:space="preserve">; (accessed </w:t>
      </w:r>
      <w:r w:rsidR="00907299">
        <w:rPr>
          <w:rFonts w:ascii="Times New Roman" w:hAnsi="Times New Roman"/>
        </w:rPr>
        <w:t>Mar 2011</w:t>
      </w:r>
      <w:r w:rsidR="00D40560">
        <w:rPr>
          <w:rFonts w:ascii="Times New Roman" w:hAnsi="Times New Roman"/>
        </w:rPr>
        <w:t>)</w:t>
      </w:r>
    </w:p>
    <w:p w:rsidR="00D431F2" w:rsidRDefault="00E00B06" w:rsidP="0014298E">
      <w:pPr>
        <w:tabs>
          <w:tab w:val="left" w:pos="450"/>
        </w:tabs>
        <w:ind w:left="450" w:hanging="450"/>
        <w:jc w:val="both"/>
        <w:rPr>
          <w:rFonts w:ascii="Times New Roman" w:hAnsi="Times New Roman"/>
        </w:rPr>
      </w:pPr>
      <w:r w:rsidRPr="00E00B06">
        <w:rPr>
          <w:rFonts w:ascii="Times New Roman" w:hAnsi="Times New Roman"/>
        </w:rPr>
        <w:t>[2]</w:t>
      </w:r>
      <w:r w:rsidRPr="00E00B06">
        <w:rPr>
          <w:rFonts w:ascii="Times New Roman" w:hAnsi="Times New Roman"/>
        </w:rPr>
        <w:tab/>
      </w:r>
      <w:r w:rsidRPr="00F97D94">
        <w:rPr>
          <w:rFonts w:ascii="Times New Roman" w:hAnsi="Times New Roman"/>
          <w:i/>
        </w:rPr>
        <w:t>Biosafety in Microbiological and Biomedical Laboratories</w:t>
      </w:r>
      <w:r w:rsidRPr="00E00B06">
        <w:rPr>
          <w:rFonts w:ascii="Times New Roman" w:hAnsi="Times New Roman"/>
        </w:rPr>
        <w:t>, 5th ed.; HHS publication No.</w:t>
      </w:r>
      <w:r w:rsidR="007E3AA3">
        <w:rPr>
          <w:rFonts w:ascii="Times New Roman" w:hAnsi="Times New Roman"/>
        </w:rPr>
        <w:t> </w:t>
      </w:r>
      <w:r w:rsidRPr="00E00B06">
        <w:rPr>
          <w:rFonts w:ascii="Times New Roman" w:hAnsi="Times New Roman"/>
        </w:rPr>
        <w:t>(CDC)</w:t>
      </w:r>
      <w:r w:rsidR="007E3AA3">
        <w:rPr>
          <w:rFonts w:ascii="Times New Roman" w:hAnsi="Times New Roman"/>
        </w:rPr>
        <w:t> </w:t>
      </w:r>
      <w:r w:rsidRPr="00E00B06">
        <w:rPr>
          <w:rFonts w:ascii="Times New Roman" w:hAnsi="Times New Roman"/>
        </w:rPr>
        <w:t>21</w:t>
      </w:r>
      <w:r w:rsidR="007E3AA3">
        <w:rPr>
          <w:rFonts w:ascii="Times New Roman" w:hAnsi="Times New Roman"/>
        </w:rPr>
        <w:noBreakHyphen/>
      </w:r>
      <w:r w:rsidRPr="00E00B06">
        <w:rPr>
          <w:rFonts w:ascii="Times New Roman" w:hAnsi="Times New Roman"/>
        </w:rPr>
        <w:t>1112; Chosewood,</w:t>
      </w:r>
      <w:r w:rsidR="007E3AA3">
        <w:rPr>
          <w:rFonts w:ascii="Times New Roman" w:hAnsi="Times New Roman"/>
        </w:rPr>
        <w:t> </w:t>
      </w:r>
      <w:r w:rsidRPr="00E00B06">
        <w:rPr>
          <w:rFonts w:ascii="Times New Roman" w:hAnsi="Times New Roman"/>
        </w:rPr>
        <w:t>LC; Wilson,</w:t>
      </w:r>
      <w:r w:rsidR="007E3AA3">
        <w:rPr>
          <w:rFonts w:ascii="Times New Roman" w:hAnsi="Times New Roman"/>
        </w:rPr>
        <w:t> </w:t>
      </w:r>
      <w:r w:rsidRPr="00E00B06">
        <w:rPr>
          <w:rFonts w:ascii="Times New Roman" w:hAnsi="Times New Roman"/>
        </w:rPr>
        <w:t>DE, Eds.; US Government Printing Office: Washington,</w:t>
      </w:r>
      <w:r w:rsidR="007E3AA3">
        <w:rPr>
          <w:rFonts w:ascii="Times New Roman" w:hAnsi="Times New Roman"/>
        </w:rPr>
        <w:t> </w:t>
      </w:r>
      <w:r w:rsidRPr="00E00B06">
        <w:rPr>
          <w:rFonts w:ascii="Times New Roman" w:hAnsi="Times New Roman"/>
        </w:rPr>
        <w:t xml:space="preserve">D.C. (2009); available at </w:t>
      </w:r>
      <w:hyperlink r:id="rId11" w:history="1">
        <w:r w:rsidR="004103E0" w:rsidRPr="0014298E">
          <w:rPr>
            <w:rStyle w:val="Hyperlink"/>
            <w:rFonts w:ascii="Times New Roman" w:hAnsi="Times New Roman"/>
          </w:rPr>
          <w:t>http://www.cdc.gov/OD/OHS/biosfty/bmbl5/BMBL_5th_Edition.pdf</w:t>
        </w:r>
      </w:hyperlink>
      <w:r w:rsidR="00D40560">
        <w:t>;</w:t>
      </w:r>
      <w:r w:rsidR="00312446">
        <w:rPr>
          <w:rFonts w:ascii="Times New Roman" w:hAnsi="Times New Roman"/>
        </w:rPr>
        <w:t xml:space="preserve"> (accessed </w:t>
      </w:r>
      <w:r w:rsidR="00907299">
        <w:rPr>
          <w:rFonts w:ascii="Times New Roman" w:hAnsi="Times New Roman"/>
        </w:rPr>
        <w:t>Mar 2011</w:t>
      </w:r>
      <w:r w:rsidR="00312446">
        <w:rPr>
          <w:rFonts w:ascii="Times New Roman" w:hAnsi="Times New Roman"/>
        </w:rPr>
        <w:t>)</w:t>
      </w:r>
      <w:r w:rsidR="004103E0">
        <w:rPr>
          <w:rFonts w:ascii="Times New Roman" w:hAnsi="Times New Roman"/>
        </w:rPr>
        <w:t>.</w:t>
      </w:r>
    </w:p>
    <w:p w:rsidR="00101253" w:rsidRDefault="00101253" w:rsidP="0014298E">
      <w:pPr>
        <w:tabs>
          <w:tab w:val="left" w:pos="450"/>
        </w:tabs>
        <w:ind w:left="450" w:hanging="450"/>
        <w:jc w:val="both"/>
        <w:rPr>
          <w:rFonts w:ascii="Times New Roman" w:hAnsi="Times New Roman"/>
        </w:rPr>
      </w:pPr>
      <w:r>
        <w:rPr>
          <w:rFonts w:ascii="Times New Roman" w:hAnsi="Times New Roman"/>
        </w:rPr>
        <w:t>[3]</w:t>
      </w:r>
      <w:r>
        <w:rPr>
          <w:rFonts w:ascii="Times New Roman" w:hAnsi="Times New Roman"/>
        </w:rPr>
        <w:tab/>
        <w:t>Searle,</w:t>
      </w:r>
      <w:r w:rsidR="00847FA5">
        <w:rPr>
          <w:rFonts w:ascii="Times New Roman" w:hAnsi="Times New Roman"/>
        </w:rPr>
        <w:t> </w:t>
      </w:r>
      <w:r>
        <w:rPr>
          <w:rFonts w:ascii="Times New Roman" w:hAnsi="Times New Roman"/>
        </w:rPr>
        <w:t>S.R.; Casella</w:t>
      </w:r>
      <w:r w:rsidR="00847FA5">
        <w:rPr>
          <w:rFonts w:ascii="Times New Roman" w:hAnsi="Times New Roman"/>
        </w:rPr>
        <w:t>, </w:t>
      </w:r>
      <w:r>
        <w:rPr>
          <w:rFonts w:ascii="Times New Roman" w:hAnsi="Times New Roman"/>
        </w:rPr>
        <w:t>G.; McCulloch</w:t>
      </w:r>
      <w:r w:rsidR="00847FA5">
        <w:rPr>
          <w:rFonts w:ascii="Times New Roman" w:hAnsi="Times New Roman"/>
        </w:rPr>
        <w:t>, </w:t>
      </w:r>
      <w:r>
        <w:rPr>
          <w:rFonts w:ascii="Times New Roman" w:hAnsi="Times New Roman"/>
        </w:rPr>
        <w:t xml:space="preserve">C.E.; </w:t>
      </w:r>
      <w:r w:rsidR="004669FA" w:rsidRPr="004669FA">
        <w:rPr>
          <w:rFonts w:ascii="Times New Roman" w:hAnsi="Times New Roman"/>
          <w:i/>
        </w:rPr>
        <w:t>Variance Components</w:t>
      </w:r>
      <w:r>
        <w:rPr>
          <w:rFonts w:ascii="Times New Roman" w:hAnsi="Times New Roman"/>
        </w:rPr>
        <w:t>; John Wiley &amp; Sons; Hoboken</w:t>
      </w:r>
      <w:r w:rsidR="00847FA5">
        <w:rPr>
          <w:rFonts w:ascii="Times New Roman" w:hAnsi="Times New Roman"/>
        </w:rPr>
        <w:t>, </w:t>
      </w:r>
      <w:r>
        <w:rPr>
          <w:rFonts w:ascii="Times New Roman" w:hAnsi="Times New Roman"/>
        </w:rPr>
        <w:t>NJ (2006).</w:t>
      </w:r>
    </w:p>
    <w:p w:rsidR="00847FA5" w:rsidRDefault="00E00B06" w:rsidP="00907299">
      <w:pPr>
        <w:keepLines/>
        <w:tabs>
          <w:tab w:val="left" w:pos="450"/>
        </w:tabs>
        <w:ind w:left="446" w:hanging="446"/>
        <w:jc w:val="both"/>
        <w:rPr>
          <w:rFonts w:ascii="Times New Roman" w:hAnsi="Times New Roman"/>
        </w:rPr>
      </w:pPr>
      <w:r w:rsidRPr="00E00B06">
        <w:rPr>
          <w:rFonts w:ascii="Times New Roman" w:hAnsi="Times New Roman"/>
        </w:rPr>
        <w:t>[4]</w:t>
      </w:r>
      <w:r w:rsidRPr="00E00B06">
        <w:rPr>
          <w:rFonts w:ascii="Times New Roman" w:hAnsi="Times New Roman"/>
        </w:rPr>
        <w:tab/>
      </w:r>
      <w:r w:rsidR="00847FA5" w:rsidRPr="00552AB5">
        <w:rPr>
          <w:rFonts w:ascii="TimesNewRomanPSMT" w:eastAsia="Calibri" w:hAnsi="TimesNewRomanPSMT" w:cs="TimesNewRomanPSMT"/>
        </w:rPr>
        <w:t xml:space="preserve">JCGM 100:2008; </w:t>
      </w:r>
      <w:r w:rsidR="00847FA5" w:rsidRPr="00552AB5">
        <w:rPr>
          <w:rFonts w:eastAsia="Calibri"/>
          <w:i/>
          <w:iCs/>
        </w:rPr>
        <w:t xml:space="preserve">Evaluation of Measurement Data — Guide to the Expression of Uncertainty in Measurement </w:t>
      </w:r>
      <w:r w:rsidR="00847FA5">
        <w:rPr>
          <w:rFonts w:ascii="TimesNewRomanPSMT" w:eastAsia="Calibri" w:hAnsi="TimesNewRomanPSMT" w:cs="TimesNewRomanPSMT"/>
        </w:rPr>
        <w:t xml:space="preserve">(ISO </w:t>
      </w:r>
      <w:r w:rsidR="00847FA5" w:rsidRPr="00552AB5">
        <w:rPr>
          <w:rFonts w:ascii="TimesNewRomanPSMT" w:eastAsia="Calibri" w:hAnsi="TimesNewRomanPSMT" w:cs="TimesNewRomanPSMT"/>
        </w:rPr>
        <w:t>GUM 1995 with Minor Corrections); Joint Committee for Guides in Metrology</w:t>
      </w:r>
      <w:r w:rsidR="00847FA5">
        <w:rPr>
          <w:rFonts w:ascii="TimesNewRomanPSMT" w:eastAsia="Calibri" w:hAnsi="TimesNewRomanPSMT" w:cs="TimesNewRomanPSMT"/>
        </w:rPr>
        <w:t> (JCGM)</w:t>
      </w:r>
      <w:r w:rsidR="00847FA5" w:rsidRPr="00552AB5">
        <w:rPr>
          <w:rFonts w:ascii="TimesNewRomanPSMT" w:eastAsia="Calibri" w:hAnsi="TimesNewRomanPSMT" w:cs="TimesNewRomanPSMT"/>
        </w:rPr>
        <w:t xml:space="preserve"> (2008); available at</w:t>
      </w:r>
      <w:r w:rsidR="00847FA5">
        <w:rPr>
          <w:rFonts w:ascii="TimesNewRomanPSMT" w:eastAsia="Calibri" w:hAnsi="TimesNewRomanPSMT" w:cs="TimesNewRomanPSMT"/>
        </w:rPr>
        <w:t xml:space="preserve"> </w:t>
      </w:r>
      <w:hyperlink r:id="rId12" w:history="1">
        <w:r w:rsidR="00847FA5" w:rsidRPr="009F75DF">
          <w:rPr>
            <w:rStyle w:val="Hyperlink"/>
            <w:rFonts w:ascii="TimesNewRomanPSMT" w:eastAsia="Calibri" w:hAnsi="TimesNewRomanPSMT" w:cs="TimesNewRomanPSMT"/>
          </w:rPr>
          <w:t>http://www.bipm.org/utils/common/documents/jcgm/JCGM_100_2008_E.pdf</w:t>
        </w:r>
      </w:hyperlink>
      <w:r w:rsidR="00847FA5" w:rsidRPr="00552AB5">
        <w:rPr>
          <w:rFonts w:ascii="TimesNewRomanPSMT" w:eastAsia="Calibri" w:hAnsi="TimesNewRomanPSMT" w:cs="TimesNewRomanPSMT"/>
        </w:rPr>
        <w:t xml:space="preserve"> (acces</w:t>
      </w:r>
      <w:r w:rsidR="00847FA5">
        <w:rPr>
          <w:rFonts w:ascii="TimesNewRomanPSMT" w:eastAsia="Calibri" w:hAnsi="TimesNewRomanPSMT" w:cs="TimesNewRomanPSMT"/>
        </w:rPr>
        <w:t xml:space="preserve">sed </w:t>
      </w:r>
      <w:r w:rsidR="00907299">
        <w:rPr>
          <w:rFonts w:ascii="TimesNewRomanPSMT" w:eastAsia="Calibri" w:hAnsi="TimesNewRomanPSMT" w:cs="TimesNewRomanPSMT"/>
        </w:rPr>
        <w:t>Mar 2011</w:t>
      </w:r>
      <w:r w:rsidR="00847FA5">
        <w:rPr>
          <w:rFonts w:ascii="TimesNewRomanPSMT" w:eastAsia="Calibri" w:hAnsi="TimesNewRomanPSMT" w:cs="TimesNewRomanPSMT"/>
        </w:rPr>
        <w:t>); see also Taylor, </w:t>
      </w:r>
      <w:r w:rsidR="00847FA5" w:rsidRPr="00552AB5">
        <w:rPr>
          <w:rFonts w:ascii="TimesNewRomanPSMT" w:eastAsia="Calibri" w:hAnsi="TimesNewRomanPSMT" w:cs="TimesNewRomanPSMT"/>
        </w:rPr>
        <w:t>B.N.; Kuyatt,</w:t>
      </w:r>
      <w:r w:rsidR="00847FA5">
        <w:rPr>
          <w:rFonts w:ascii="TimesNewRomanPSMT" w:eastAsia="Calibri" w:hAnsi="TimesNewRomanPSMT" w:cs="TimesNewRomanPSMT"/>
        </w:rPr>
        <w:t> </w:t>
      </w:r>
      <w:r w:rsidR="00847FA5" w:rsidRPr="00552AB5">
        <w:rPr>
          <w:rFonts w:ascii="TimesNewRomanPSMT" w:eastAsia="Calibri" w:hAnsi="TimesNewRomanPSMT" w:cs="TimesNewRomanPSMT"/>
        </w:rPr>
        <w:t xml:space="preserve">C.E.; </w:t>
      </w:r>
      <w:r w:rsidR="00847FA5" w:rsidRPr="00552AB5">
        <w:rPr>
          <w:rFonts w:eastAsia="Calibri"/>
          <w:i/>
          <w:iCs/>
        </w:rPr>
        <w:t>Guidelines for Evaluating and Expressing the Uncertainty of NIST Measurement Results</w:t>
      </w:r>
      <w:r w:rsidR="00847FA5">
        <w:rPr>
          <w:rFonts w:ascii="TimesNewRomanPSMT" w:eastAsia="Calibri" w:hAnsi="TimesNewRomanPSMT" w:cs="TimesNewRomanPSMT"/>
        </w:rPr>
        <w:t xml:space="preserve">; NIST </w:t>
      </w:r>
      <w:r w:rsidR="00847FA5" w:rsidRPr="00552AB5">
        <w:rPr>
          <w:rFonts w:ascii="TimesNewRomanPSMT" w:eastAsia="Calibri" w:hAnsi="TimesNewRomanPSMT" w:cs="TimesNewRomanPSMT"/>
        </w:rPr>
        <w:t>Technical Note 1297; U.S. Government Printing Office: Washington,</w:t>
      </w:r>
      <w:r w:rsidR="00847FA5">
        <w:rPr>
          <w:rFonts w:ascii="TimesNewRomanPSMT" w:eastAsia="Calibri" w:hAnsi="TimesNewRomanPSMT" w:cs="TimesNewRomanPSMT"/>
        </w:rPr>
        <w:t> </w:t>
      </w:r>
      <w:r w:rsidR="00847FA5" w:rsidRPr="00552AB5">
        <w:rPr>
          <w:rFonts w:ascii="TimesNewRomanPSMT" w:eastAsia="Calibri" w:hAnsi="TimesNewRomanPSMT" w:cs="TimesNewRomanPSMT"/>
        </w:rPr>
        <w:t>DC (1994); available at</w:t>
      </w:r>
      <w:r w:rsidR="00847FA5">
        <w:rPr>
          <w:rFonts w:ascii="TimesNewRomanPSMT" w:eastAsia="Calibri" w:hAnsi="TimesNewRomanPSMT" w:cs="TimesNewRomanPSMT"/>
        </w:rPr>
        <w:t xml:space="preserve"> </w:t>
      </w:r>
      <w:hyperlink r:id="rId13" w:history="1">
        <w:r w:rsidR="00847FA5" w:rsidRPr="009F75DF">
          <w:rPr>
            <w:rStyle w:val="Hyperlink"/>
            <w:rFonts w:ascii="TimesNewRomanPSMT" w:eastAsia="Calibri" w:hAnsi="TimesNewRomanPSMT" w:cs="TimesNewRomanPSMT"/>
          </w:rPr>
          <w:t>http://physics.nist.gov/Pubs/</w:t>
        </w:r>
      </w:hyperlink>
      <w:r w:rsidR="00847FA5" w:rsidRPr="00552AB5">
        <w:rPr>
          <w:rFonts w:ascii="TimesNewRomanPSMT" w:eastAsia="Calibri" w:hAnsi="TimesNewRomanPSMT" w:cs="TimesNewRomanPSMT"/>
        </w:rPr>
        <w:t xml:space="preserve"> (accessed </w:t>
      </w:r>
      <w:r w:rsidR="00907299">
        <w:rPr>
          <w:rFonts w:ascii="TimesNewRomanPSMT" w:eastAsia="Calibri" w:hAnsi="TimesNewRomanPSMT" w:cs="TimesNewRomanPSMT"/>
        </w:rPr>
        <w:t>Mar 2011</w:t>
      </w:r>
      <w:r w:rsidR="00847FA5" w:rsidRPr="00552AB5">
        <w:rPr>
          <w:rFonts w:ascii="TimesNewRomanPSMT" w:eastAsia="Calibri" w:hAnsi="TimesNewRomanPSMT" w:cs="TimesNewRomanPSMT"/>
        </w:rPr>
        <w:t>).</w:t>
      </w:r>
    </w:p>
    <w:p w:rsidR="00D93DF4" w:rsidRPr="00312446" w:rsidRDefault="00D93DF4" w:rsidP="0014298E">
      <w:pPr>
        <w:pStyle w:val="BodyText"/>
        <w:rPr>
          <w:rFonts w:ascii="Times New Roman" w:hAnsi="Times New Roman"/>
          <w:b/>
        </w:rPr>
      </w:pPr>
    </w:p>
    <w:p w:rsidR="00D93DF4" w:rsidRPr="00312446" w:rsidRDefault="00D93DF4" w:rsidP="0014298E">
      <w:pPr>
        <w:jc w:val="both"/>
        <w:rPr>
          <w:rFonts w:ascii="JMPIEO+TimesNewRoman,Bold" w:hAnsi="JMPIEO+TimesNewRoman,Bold" w:cs="JMPIEO+TimesNewRoman,Bold"/>
          <w:b/>
          <w:bCs/>
          <w:color w:val="000000"/>
          <w:szCs w:val="20"/>
        </w:rPr>
      </w:pPr>
    </w:p>
    <w:p w:rsidR="00D93DF4" w:rsidRPr="00312446" w:rsidRDefault="00D93DF4" w:rsidP="0014298E">
      <w:pPr>
        <w:jc w:val="both"/>
        <w:rPr>
          <w:rFonts w:ascii="JMPGGG+TimesNewRoman" w:hAnsi="JMPGGG+TimesNewRoman" w:cs="JMPGGG+TimesNewRoman"/>
          <w:color w:val="000000"/>
          <w:szCs w:val="20"/>
        </w:rPr>
      </w:pPr>
    </w:p>
    <w:p w:rsidR="00D93DF4" w:rsidRPr="00312446" w:rsidRDefault="00D93DF4"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Default="00312446" w:rsidP="0014298E">
      <w:pPr>
        <w:jc w:val="both"/>
        <w:rPr>
          <w:rFonts w:ascii="JMPGGG+TimesNewRoman" w:hAnsi="JMPGGG+TimesNewRoman" w:cs="JMPGGG+TimesNewRoman"/>
          <w:color w:val="000000"/>
          <w:szCs w:val="20"/>
        </w:rPr>
      </w:pPr>
    </w:p>
    <w:p w:rsidR="00312446" w:rsidRPr="00312446" w:rsidRDefault="00312446" w:rsidP="0014298E">
      <w:pPr>
        <w:jc w:val="both"/>
        <w:rPr>
          <w:rFonts w:ascii="JMPGGG+TimesNewRoman" w:hAnsi="JMPGGG+TimesNewRoman" w:cs="JMPGGG+TimesNewRoman"/>
          <w:color w:val="000000"/>
          <w:szCs w:val="20"/>
        </w:rPr>
      </w:pPr>
    </w:p>
    <w:p w:rsidR="00D93DF4" w:rsidRPr="00312446" w:rsidRDefault="00D93DF4" w:rsidP="0014298E">
      <w:pPr>
        <w:jc w:val="both"/>
        <w:rPr>
          <w:rFonts w:ascii="JMPGGG+TimesNewRoman" w:hAnsi="JMPGGG+TimesNewRoman" w:cs="JMPGGG+TimesNewRoman"/>
          <w:color w:val="000000"/>
          <w:szCs w:val="20"/>
        </w:rPr>
      </w:pPr>
    </w:p>
    <w:p w:rsidR="00D93DF4" w:rsidRPr="00312446" w:rsidRDefault="00D93DF4" w:rsidP="0014298E">
      <w:pPr>
        <w:jc w:val="both"/>
        <w:rPr>
          <w:rFonts w:ascii="JMPGGG+TimesNewRoman" w:hAnsi="JMPGGG+TimesNewRoman" w:cs="JMPGGG+TimesNewRoman"/>
          <w:color w:val="000000"/>
          <w:szCs w:val="20"/>
        </w:rPr>
      </w:pPr>
    </w:p>
    <w:p w:rsidR="00D93DF4" w:rsidRPr="00312446" w:rsidRDefault="00D93DF4" w:rsidP="0014298E">
      <w:pPr>
        <w:jc w:val="both"/>
        <w:rPr>
          <w:rFonts w:ascii="JMPGGG+TimesNewRoman" w:hAnsi="JMPGGG+TimesNewRoman" w:cs="JMPGGG+TimesNewRoman"/>
          <w:color w:val="000000"/>
          <w:szCs w:val="20"/>
        </w:rPr>
      </w:pPr>
    </w:p>
    <w:p w:rsidR="006F1865" w:rsidRPr="00FC25B4" w:rsidRDefault="00D93DF4" w:rsidP="0014298E">
      <w:pPr>
        <w:tabs>
          <w:tab w:val="left" w:pos="-1080"/>
          <w:tab w:val="left" w:pos="-720"/>
          <w:tab w:val="left" w:pos="0"/>
          <w:tab w:val="left" w:pos="540"/>
        </w:tabs>
        <w:jc w:val="both"/>
        <w:rPr>
          <w:rFonts w:ascii="Times New Roman" w:hAnsi="Times New Roman"/>
          <w:szCs w:val="20"/>
        </w:rPr>
      </w:pPr>
      <w:r w:rsidRPr="00D95F7C">
        <w:rPr>
          <w:rFonts w:ascii="Times New Roman" w:hAnsi="Times New Roman"/>
          <w:i/>
        </w:rPr>
        <w:t xml:space="preserve">Users of this SRM should ensure that the </w:t>
      </w:r>
      <w:r w:rsidR="00312446">
        <w:rPr>
          <w:rFonts w:ascii="Times New Roman" w:hAnsi="Times New Roman"/>
          <w:i/>
        </w:rPr>
        <w:t>C</w:t>
      </w:r>
      <w:r w:rsidRPr="00D95F7C">
        <w:rPr>
          <w:rFonts w:ascii="Times New Roman" w:hAnsi="Times New Roman"/>
          <w:i/>
        </w:rPr>
        <w:t>ertificate</w:t>
      </w:r>
      <w:r w:rsidR="00312446">
        <w:rPr>
          <w:rFonts w:ascii="Times New Roman" w:hAnsi="Times New Roman"/>
          <w:i/>
        </w:rPr>
        <w:t xml:space="preserve"> of Analysis</w:t>
      </w:r>
      <w:r w:rsidRPr="00D95F7C">
        <w:rPr>
          <w:rFonts w:ascii="Times New Roman" w:hAnsi="Times New Roman"/>
          <w:i/>
        </w:rPr>
        <w:t xml:space="preserve"> in their possession is current.  This can be accomplished by contacting the SRM Program:  telephone (301)</w:t>
      </w:r>
      <w:r w:rsidR="00312446">
        <w:rPr>
          <w:rFonts w:ascii="Times New Roman" w:hAnsi="Times New Roman"/>
          <w:i/>
        </w:rPr>
        <w:t> </w:t>
      </w:r>
      <w:r w:rsidRPr="00D95F7C">
        <w:rPr>
          <w:rFonts w:ascii="Times New Roman" w:hAnsi="Times New Roman"/>
          <w:i/>
        </w:rPr>
        <w:t>975</w:t>
      </w:r>
      <w:r w:rsidR="00C00DA4">
        <w:rPr>
          <w:rFonts w:ascii="Times New Roman" w:hAnsi="Times New Roman"/>
          <w:i/>
        </w:rPr>
        <w:noBreakHyphen/>
      </w:r>
      <w:r w:rsidRPr="00D95F7C">
        <w:rPr>
          <w:rFonts w:ascii="Times New Roman" w:hAnsi="Times New Roman"/>
          <w:i/>
        </w:rPr>
        <w:t>2200; fax</w:t>
      </w:r>
      <w:r w:rsidR="00312446">
        <w:rPr>
          <w:rFonts w:ascii="Times New Roman" w:hAnsi="Times New Roman"/>
          <w:i/>
        </w:rPr>
        <w:t xml:space="preserve"> </w:t>
      </w:r>
      <w:r w:rsidRPr="00D95F7C">
        <w:rPr>
          <w:rFonts w:ascii="Times New Roman" w:hAnsi="Times New Roman"/>
          <w:i/>
        </w:rPr>
        <w:t>(301)</w:t>
      </w:r>
      <w:r w:rsidR="00312446">
        <w:rPr>
          <w:rFonts w:ascii="Times New Roman" w:hAnsi="Times New Roman"/>
          <w:i/>
        </w:rPr>
        <w:t> </w:t>
      </w:r>
      <w:r w:rsidRPr="00D95F7C">
        <w:rPr>
          <w:rFonts w:ascii="Times New Roman" w:hAnsi="Times New Roman"/>
          <w:i/>
        </w:rPr>
        <w:t>926</w:t>
      </w:r>
      <w:r w:rsidR="00C00DA4">
        <w:rPr>
          <w:rFonts w:ascii="Times New Roman" w:hAnsi="Times New Roman"/>
          <w:i/>
        </w:rPr>
        <w:noBreakHyphen/>
      </w:r>
      <w:r w:rsidRPr="00D95F7C">
        <w:rPr>
          <w:rFonts w:ascii="Times New Roman" w:hAnsi="Times New Roman"/>
          <w:i/>
        </w:rPr>
        <w:t>4751; e</w:t>
      </w:r>
      <w:r w:rsidR="00312446">
        <w:rPr>
          <w:rFonts w:ascii="Times New Roman" w:hAnsi="Times New Roman"/>
          <w:i/>
        </w:rPr>
        <w:noBreakHyphen/>
      </w:r>
      <w:r w:rsidRPr="00D95F7C">
        <w:rPr>
          <w:rFonts w:ascii="Times New Roman" w:hAnsi="Times New Roman"/>
          <w:i/>
        </w:rPr>
        <w:t>mail</w:t>
      </w:r>
      <w:r w:rsidR="00312446">
        <w:rPr>
          <w:rFonts w:ascii="Times New Roman" w:hAnsi="Times New Roman"/>
          <w:i/>
        </w:rPr>
        <w:t> </w:t>
      </w:r>
      <w:hyperlink r:id="rId14" w:history="1">
        <w:r w:rsidRPr="00D95F7C">
          <w:rPr>
            <w:rStyle w:val="Hyperlink"/>
            <w:rFonts w:ascii="Times New Roman" w:hAnsi="Times New Roman"/>
            <w:i/>
          </w:rPr>
          <w:t>srminfo@nist.gov</w:t>
        </w:r>
      </w:hyperlink>
      <w:r w:rsidRPr="00D95F7C">
        <w:rPr>
          <w:rFonts w:ascii="Times New Roman" w:hAnsi="Times New Roman"/>
          <w:i/>
        </w:rPr>
        <w:t>; or via the Internet a</w:t>
      </w:r>
      <w:r w:rsidRPr="00847FA5">
        <w:rPr>
          <w:rFonts w:ascii="Times New Roman" w:hAnsi="Times New Roman"/>
          <w:i/>
        </w:rPr>
        <w:t>t</w:t>
      </w:r>
      <w:hyperlink r:id="rId15" w:history="1">
        <w:r w:rsidRPr="00847FA5">
          <w:rPr>
            <w:rStyle w:val="Hyperlink"/>
            <w:rFonts w:ascii="Times New Roman" w:hAnsi="Times New Roman"/>
            <w:i/>
          </w:rPr>
          <w:t xml:space="preserve"> </w:t>
        </w:r>
        <w:r w:rsidRPr="00847FA5">
          <w:rPr>
            <w:rStyle w:val="Hyperlink"/>
            <w:i/>
          </w:rPr>
          <w:t>http://www.nist.gov/srm</w:t>
        </w:r>
      </w:hyperlink>
      <w:r w:rsidRPr="00D95F7C">
        <w:rPr>
          <w:rFonts w:ascii="Times New Roman" w:hAnsi="Times New Roman"/>
          <w:i/>
        </w:rPr>
        <w:t>.</w:t>
      </w:r>
    </w:p>
    <w:sectPr w:rsidR="006F1865" w:rsidRPr="00FC25B4" w:rsidSect="00074245">
      <w:footerReference w:type="default" r:id="rId16"/>
      <w:endnotePr>
        <w:numFmt w:val="decimal"/>
      </w:endnotePr>
      <w:type w:val="continuous"/>
      <w:pgSz w:w="12240" w:h="15840"/>
      <w:pgMar w:top="720" w:right="1440" w:bottom="720" w:left="1440" w:header="144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885" w:rsidRDefault="00F97885">
      <w:r>
        <w:separator/>
      </w:r>
    </w:p>
  </w:endnote>
  <w:endnote w:type="continuationSeparator" w:id="0">
    <w:p w:rsidR="00F97885" w:rsidRDefault="00F97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JMPIEO+TimesNewRoman,Bold">
    <w:altName w:val="Times New Roman"/>
    <w:panose1 w:val="00000000000000000000"/>
    <w:charset w:val="00"/>
    <w:family w:val="roman"/>
    <w:notTrueType/>
    <w:pitch w:val="default"/>
    <w:sig w:usb0="00000003" w:usb1="00000000" w:usb2="00000000" w:usb3="00000000" w:csb0="00000001" w:csb1="00000000"/>
  </w:font>
  <w:font w:name="JMPGGG+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19644117"/>
      <w:docPartObj>
        <w:docPartGallery w:val="Page Numbers (Bottom of Page)"/>
        <w:docPartUnique/>
      </w:docPartObj>
    </w:sdtPr>
    <w:sdtContent>
      <w:sdt>
        <w:sdtPr>
          <w:rPr>
            <w:rFonts w:ascii="Times New Roman" w:hAnsi="Times New Roman"/>
          </w:rPr>
          <w:id w:val="565050523"/>
          <w:docPartObj>
            <w:docPartGallery w:val="Page Numbers (Top of Page)"/>
            <w:docPartUnique/>
          </w:docPartObj>
        </w:sdtPr>
        <w:sdtContent>
          <w:p w:rsidR="002C2E2C" w:rsidRPr="00074245" w:rsidRDefault="008C7D9C" w:rsidP="001D6131">
            <w:pPr>
              <w:pStyle w:val="Footer"/>
              <w:tabs>
                <w:tab w:val="clear" w:pos="4680"/>
              </w:tabs>
              <w:rPr>
                <w:rFonts w:ascii="Times New Roman" w:hAnsi="Times New Roman"/>
              </w:rPr>
            </w:pPr>
            <w:r w:rsidRPr="008C7D9C">
              <w:rPr>
                <w:rFonts w:ascii="Times New Roman" w:hAnsi="Times New Roman"/>
              </w:rPr>
              <w:t>SRM 1959</w:t>
            </w:r>
            <w:r w:rsidRPr="008C7D9C">
              <w:rPr>
                <w:rFonts w:ascii="Times New Roman" w:hAnsi="Times New Roman"/>
              </w:rPr>
              <w:tab/>
              <w:t xml:space="preserve">Page </w:t>
            </w:r>
            <w:r w:rsidR="00CB55D4" w:rsidRPr="008C7D9C">
              <w:rPr>
                <w:rFonts w:ascii="Times New Roman" w:hAnsi="Times New Roman"/>
              </w:rPr>
              <w:fldChar w:fldCharType="begin"/>
            </w:r>
            <w:r w:rsidRPr="008C7D9C">
              <w:rPr>
                <w:rFonts w:ascii="Times New Roman" w:hAnsi="Times New Roman"/>
              </w:rPr>
              <w:instrText xml:space="preserve"> PAGE </w:instrText>
            </w:r>
            <w:r w:rsidR="00CB55D4" w:rsidRPr="008C7D9C">
              <w:rPr>
                <w:rFonts w:ascii="Times New Roman" w:hAnsi="Times New Roman"/>
              </w:rPr>
              <w:fldChar w:fldCharType="separate"/>
            </w:r>
            <w:r w:rsidR="004744A7">
              <w:rPr>
                <w:rFonts w:ascii="Times New Roman" w:hAnsi="Times New Roman"/>
                <w:noProof/>
              </w:rPr>
              <w:t>1</w:t>
            </w:r>
            <w:r w:rsidR="00CB55D4" w:rsidRPr="008C7D9C">
              <w:rPr>
                <w:rFonts w:ascii="Times New Roman" w:hAnsi="Times New Roman"/>
              </w:rPr>
              <w:fldChar w:fldCharType="end"/>
            </w:r>
            <w:r w:rsidRPr="008C7D9C">
              <w:rPr>
                <w:rFonts w:ascii="Times New Roman" w:hAnsi="Times New Roman"/>
              </w:rPr>
              <w:t xml:space="preserve"> of </w:t>
            </w:r>
            <w:r w:rsidR="00CB55D4" w:rsidRPr="008C7D9C">
              <w:rPr>
                <w:rFonts w:ascii="Times New Roman" w:hAnsi="Times New Roman"/>
              </w:rPr>
              <w:fldChar w:fldCharType="begin"/>
            </w:r>
            <w:r w:rsidRPr="008C7D9C">
              <w:rPr>
                <w:rFonts w:ascii="Times New Roman" w:hAnsi="Times New Roman"/>
              </w:rPr>
              <w:instrText xml:space="preserve"> NUMPAGES  </w:instrText>
            </w:r>
            <w:r w:rsidR="00CB55D4" w:rsidRPr="008C7D9C">
              <w:rPr>
                <w:rFonts w:ascii="Times New Roman" w:hAnsi="Times New Roman"/>
              </w:rPr>
              <w:fldChar w:fldCharType="separate"/>
            </w:r>
            <w:r w:rsidR="004744A7">
              <w:rPr>
                <w:rFonts w:ascii="Times New Roman" w:hAnsi="Times New Roman"/>
                <w:noProof/>
              </w:rPr>
              <w:t>4</w:t>
            </w:r>
            <w:r w:rsidR="00CB55D4" w:rsidRPr="008C7D9C">
              <w:rPr>
                <w:rFonts w:ascii="Times New Roman" w:hAnsi="Times New Roman"/>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885" w:rsidRDefault="00F97885">
      <w:r>
        <w:separator/>
      </w:r>
    </w:p>
  </w:footnote>
  <w:footnote w:type="continuationSeparator" w:id="0">
    <w:p w:rsidR="00F97885" w:rsidRDefault="00F97885">
      <w:r>
        <w:continuationSeparator/>
      </w:r>
    </w:p>
  </w:footnote>
  <w:footnote w:id="1">
    <w:p w:rsidR="002C2E2C" w:rsidRDefault="002C2E2C" w:rsidP="0014298E">
      <w:pPr>
        <w:pStyle w:val="FootnoteText"/>
        <w:tabs>
          <w:tab w:val="left" w:pos="540"/>
        </w:tabs>
        <w:ind w:firstLine="547"/>
        <w:jc w:val="both"/>
      </w:pPr>
      <w:r w:rsidRPr="00E9449F">
        <w:rPr>
          <w:rFonts w:ascii="Times New Roman" w:hAnsi="Times New Roman"/>
          <w:sz w:val="18"/>
          <w:szCs w:val="18"/>
          <w:vertAlign w:val="superscript"/>
        </w:rPr>
        <w:t>(</w:t>
      </w:r>
      <w:r w:rsidRPr="00E9449F">
        <w:rPr>
          <w:rStyle w:val="FootnoteReference"/>
          <w:rFonts w:ascii="Times New Roman" w:hAnsi="Times New Roman"/>
          <w:sz w:val="18"/>
          <w:szCs w:val="18"/>
          <w:vertAlign w:val="superscript"/>
        </w:rPr>
        <w:footnoteRef/>
      </w:r>
      <w:proofErr w:type="gramStart"/>
      <w:r w:rsidRPr="00E9449F">
        <w:rPr>
          <w:rFonts w:ascii="Times New Roman" w:hAnsi="Times New Roman"/>
          <w:sz w:val="18"/>
          <w:szCs w:val="18"/>
          <w:vertAlign w:val="superscript"/>
        </w:rPr>
        <w:t>)</w:t>
      </w:r>
      <w:r w:rsidRPr="00E9449F">
        <w:rPr>
          <w:rFonts w:ascii="Times New Roman" w:hAnsi="Times New Roman"/>
          <w:sz w:val="18"/>
          <w:szCs w:val="18"/>
        </w:rPr>
        <w:t>Certain</w:t>
      </w:r>
      <w:proofErr w:type="gramEnd"/>
      <w:r w:rsidRPr="00E9449F">
        <w:rPr>
          <w:rFonts w:ascii="Times New Roman" w:hAnsi="Times New Roman"/>
          <w:sz w:val="18"/>
          <w:szCs w:val="18"/>
        </w:rPr>
        <w:t xml:space="preserve"> commercial equipment, instruments, or ma</w:t>
      </w:r>
      <w:r>
        <w:rPr>
          <w:rFonts w:ascii="Times New Roman" w:hAnsi="Times New Roman"/>
          <w:sz w:val="18"/>
          <w:szCs w:val="18"/>
        </w:rPr>
        <w:t>terials are identified in this certificate</w:t>
      </w:r>
      <w:r w:rsidRPr="00E9449F">
        <w:rPr>
          <w:rFonts w:ascii="Times New Roman" w:hAnsi="Times New Roman"/>
          <w:sz w:val="18"/>
          <w:szCs w:val="18"/>
        </w:rPr>
        <w:t xml:space="preserv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4D09"/>
    <w:multiLevelType w:val="hybridMultilevel"/>
    <w:tmpl w:val="909C545E"/>
    <w:lvl w:ilvl="0" w:tplc="6CD0C8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24EF1"/>
    <w:multiLevelType w:val="hybridMultilevel"/>
    <w:tmpl w:val="6EE4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9527E"/>
    <w:multiLevelType w:val="hybridMultilevel"/>
    <w:tmpl w:val="E322239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FA59F2"/>
    <w:multiLevelType w:val="hybridMultilevel"/>
    <w:tmpl w:val="D04A1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A0797"/>
    <w:multiLevelType w:val="hybridMultilevel"/>
    <w:tmpl w:val="C17C33B6"/>
    <w:lvl w:ilvl="0" w:tplc="CBA64A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7C2F65"/>
    <w:multiLevelType w:val="hybridMultilevel"/>
    <w:tmpl w:val="B06EEAF2"/>
    <w:lvl w:ilvl="0" w:tplc="C93CA766">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A4CAD"/>
    <w:multiLevelType w:val="hybridMultilevel"/>
    <w:tmpl w:val="0F801B76"/>
    <w:lvl w:ilvl="0" w:tplc="CBA64A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trackRevisions/>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37889"/>
  </w:hdrShapeDefaults>
  <w:footnotePr>
    <w:footnote w:id="-1"/>
    <w:footnote w:id="0"/>
  </w:footnotePr>
  <w:endnotePr>
    <w:numFmt w:val="decimal"/>
    <w:endnote w:id="-1"/>
    <w:endnote w:id="0"/>
  </w:endnotePr>
  <w:compat/>
  <w:rsids>
    <w:rsidRoot w:val="00543A87"/>
    <w:rsid w:val="000016BD"/>
    <w:rsid w:val="00001E34"/>
    <w:rsid w:val="000122B2"/>
    <w:rsid w:val="000136C8"/>
    <w:rsid w:val="00016ECC"/>
    <w:rsid w:val="00017FE0"/>
    <w:rsid w:val="0002717C"/>
    <w:rsid w:val="000275F3"/>
    <w:rsid w:val="00053E0F"/>
    <w:rsid w:val="00074245"/>
    <w:rsid w:val="000A5CF4"/>
    <w:rsid w:val="000C023B"/>
    <w:rsid w:val="000E0B76"/>
    <w:rsid w:val="00101253"/>
    <w:rsid w:val="00134145"/>
    <w:rsid w:val="0014298E"/>
    <w:rsid w:val="0016510D"/>
    <w:rsid w:val="00185607"/>
    <w:rsid w:val="00193458"/>
    <w:rsid w:val="001D6131"/>
    <w:rsid w:val="001E1C0F"/>
    <w:rsid w:val="001F098E"/>
    <w:rsid w:val="00200C7F"/>
    <w:rsid w:val="002064E9"/>
    <w:rsid w:val="00212008"/>
    <w:rsid w:val="002126F0"/>
    <w:rsid w:val="002161FD"/>
    <w:rsid w:val="00254914"/>
    <w:rsid w:val="0025791F"/>
    <w:rsid w:val="00262DC1"/>
    <w:rsid w:val="002816A6"/>
    <w:rsid w:val="00285105"/>
    <w:rsid w:val="0029321E"/>
    <w:rsid w:val="002A7552"/>
    <w:rsid w:val="002B0826"/>
    <w:rsid w:val="002B0ED8"/>
    <w:rsid w:val="002C2187"/>
    <w:rsid w:val="002C2E2C"/>
    <w:rsid w:val="002C5741"/>
    <w:rsid w:val="00312446"/>
    <w:rsid w:val="00340E84"/>
    <w:rsid w:val="00387E88"/>
    <w:rsid w:val="00391F9E"/>
    <w:rsid w:val="003A26D7"/>
    <w:rsid w:val="003A55FB"/>
    <w:rsid w:val="003E1319"/>
    <w:rsid w:val="004103E0"/>
    <w:rsid w:val="00411097"/>
    <w:rsid w:val="00413DAA"/>
    <w:rsid w:val="004669FA"/>
    <w:rsid w:val="004744A7"/>
    <w:rsid w:val="004750FA"/>
    <w:rsid w:val="0048208D"/>
    <w:rsid w:val="00486D84"/>
    <w:rsid w:val="00495B70"/>
    <w:rsid w:val="004B2CDE"/>
    <w:rsid w:val="004B4B01"/>
    <w:rsid w:val="004C1359"/>
    <w:rsid w:val="004E2EBE"/>
    <w:rsid w:val="004F2A07"/>
    <w:rsid w:val="004F6038"/>
    <w:rsid w:val="00503CE7"/>
    <w:rsid w:val="005079A6"/>
    <w:rsid w:val="00515E5F"/>
    <w:rsid w:val="005236D1"/>
    <w:rsid w:val="00524E13"/>
    <w:rsid w:val="00543A87"/>
    <w:rsid w:val="00545169"/>
    <w:rsid w:val="005537F5"/>
    <w:rsid w:val="005609B0"/>
    <w:rsid w:val="00561AE6"/>
    <w:rsid w:val="005673B2"/>
    <w:rsid w:val="00573F02"/>
    <w:rsid w:val="005B1F66"/>
    <w:rsid w:val="005E507F"/>
    <w:rsid w:val="005E75FB"/>
    <w:rsid w:val="00601C0B"/>
    <w:rsid w:val="006177BB"/>
    <w:rsid w:val="00626308"/>
    <w:rsid w:val="006506F4"/>
    <w:rsid w:val="0066039F"/>
    <w:rsid w:val="00675FC7"/>
    <w:rsid w:val="00685713"/>
    <w:rsid w:val="00697807"/>
    <w:rsid w:val="006D2C74"/>
    <w:rsid w:val="006E7C77"/>
    <w:rsid w:val="006F0BFB"/>
    <w:rsid w:val="006F103D"/>
    <w:rsid w:val="006F1865"/>
    <w:rsid w:val="00712973"/>
    <w:rsid w:val="007148DA"/>
    <w:rsid w:val="00734460"/>
    <w:rsid w:val="00741190"/>
    <w:rsid w:val="00777D80"/>
    <w:rsid w:val="0079037C"/>
    <w:rsid w:val="007E3AA3"/>
    <w:rsid w:val="008036F4"/>
    <w:rsid w:val="0080680B"/>
    <w:rsid w:val="00820EFE"/>
    <w:rsid w:val="00836478"/>
    <w:rsid w:val="00847BF7"/>
    <w:rsid w:val="00847FA5"/>
    <w:rsid w:val="00863970"/>
    <w:rsid w:val="00872C83"/>
    <w:rsid w:val="00881E74"/>
    <w:rsid w:val="008A24BD"/>
    <w:rsid w:val="008A7CE4"/>
    <w:rsid w:val="008B0B57"/>
    <w:rsid w:val="008B6648"/>
    <w:rsid w:val="008B6954"/>
    <w:rsid w:val="008B76F7"/>
    <w:rsid w:val="008C5BF0"/>
    <w:rsid w:val="008C7D9C"/>
    <w:rsid w:val="008D4E6A"/>
    <w:rsid w:val="00907299"/>
    <w:rsid w:val="0096383B"/>
    <w:rsid w:val="0096460A"/>
    <w:rsid w:val="009B46B2"/>
    <w:rsid w:val="009D7D0F"/>
    <w:rsid w:val="009E3668"/>
    <w:rsid w:val="009F3F59"/>
    <w:rsid w:val="009F5173"/>
    <w:rsid w:val="00A2471C"/>
    <w:rsid w:val="00A27C16"/>
    <w:rsid w:val="00A56EE2"/>
    <w:rsid w:val="00A61B6C"/>
    <w:rsid w:val="00A70A01"/>
    <w:rsid w:val="00A824A5"/>
    <w:rsid w:val="00A84005"/>
    <w:rsid w:val="00A97F42"/>
    <w:rsid w:val="00AD6EB9"/>
    <w:rsid w:val="00AE466B"/>
    <w:rsid w:val="00AF01B1"/>
    <w:rsid w:val="00AF51B1"/>
    <w:rsid w:val="00B11ADF"/>
    <w:rsid w:val="00B24B25"/>
    <w:rsid w:val="00B37103"/>
    <w:rsid w:val="00B405A0"/>
    <w:rsid w:val="00B47D11"/>
    <w:rsid w:val="00B5719E"/>
    <w:rsid w:val="00B61881"/>
    <w:rsid w:val="00B91095"/>
    <w:rsid w:val="00BA5880"/>
    <w:rsid w:val="00BB0AAC"/>
    <w:rsid w:val="00BC33FD"/>
    <w:rsid w:val="00BD271E"/>
    <w:rsid w:val="00BE33C5"/>
    <w:rsid w:val="00C00DA4"/>
    <w:rsid w:val="00C01BF7"/>
    <w:rsid w:val="00C109E7"/>
    <w:rsid w:val="00C228B6"/>
    <w:rsid w:val="00C550C6"/>
    <w:rsid w:val="00C61918"/>
    <w:rsid w:val="00C77348"/>
    <w:rsid w:val="00C80822"/>
    <w:rsid w:val="00C9035F"/>
    <w:rsid w:val="00C96571"/>
    <w:rsid w:val="00CA6FE1"/>
    <w:rsid w:val="00CB2ABB"/>
    <w:rsid w:val="00CB55D4"/>
    <w:rsid w:val="00CD016B"/>
    <w:rsid w:val="00CE50C0"/>
    <w:rsid w:val="00D0245C"/>
    <w:rsid w:val="00D40560"/>
    <w:rsid w:val="00D431F2"/>
    <w:rsid w:val="00D50B51"/>
    <w:rsid w:val="00D62D23"/>
    <w:rsid w:val="00D77664"/>
    <w:rsid w:val="00D93DF4"/>
    <w:rsid w:val="00DE7C26"/>
    <w:rsid w:val="00DF5930"/>
    <w:rsid w:val="00E00B06"/>
    <w:rsid w:val="00E0428C"/>
    <w:rsid w:val="00E16C81"/>
    <w:rsid w:val="00E335EE"/>
    <w:rsid w:val="00E35C5D"/>
    <w:rsid w:val="00E45FA8"/>
    <w:rsid w:val="00E754A0"/>
    <w:rsid w:val="00E807E2"/>
    <w:rsid w:val="00E82BD4"/>
    <w:rsid w:val="00E90844"/>
    <w:rsid w:val="00E9449F"/>
    <w:rsid w:val="00EA2F88"/>
    <w:rsid w:val="00EA4464"/>
    <w:rsid w:val="00EB7961"/>
    <w:rsid w:val="00ED058C"/>
    <w:rsid w:val="00ED0F9A"/>
    <w:rsid w:val="00EF195D"/>
    <w:rsid w:val="00EF367C"/>
    <w:rsid w:val="00F6386F"/>
    <w:rsid w:val="00F64B9A"/>
    <w:rsid w:val="00F71C48"/>
    <w:rsid w:val="00F76012"/>
    <w:rsid w:val="00F82702"/>
    <w:rsid w:val="00F836E9"/>
    <w:rsid w:val="00F911E4"/>
    <w:rsid w:val="00F97885"/>
    <w:rsid w:val="00F97D94"/>
    <w:rsid w:val="00F97F07"/>
    <w:rsid w:val="00FC25B4"/>
    <w:rsid w:val="00FC5B4E"/>
    <w:rsid w:val="00FC6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B06"/>
    <w:pPr>
      <w:widowControl w:val="0"/>
      <w:autoSpaceDE w:val="0"/>
      <w:autoSpaceDN w:val="0"/>
      <w:adjustRightInd w:val="0"/>
    </w:pPr>
    <w:rPr>
      <w:rFonts w:ascii="CG Times" w:hAnsi="CG Times"/>
      <w:szCs w:val="24"/>
    </w:rPr>
  </w:style>
  <w:style w:type="paragraph" w:styleId="Heading1">
    <w:name w:val="heading 1"/>
    <w:basedOn w:val="Normal"/>
    <w:next w:val="Normal"/>
    <w:qFormat/>
    <w:rsid w:val="00E00B06"/>
    <w:pPr>
      <w:keepNext/>
      <w:widowControl/>
      <w:tabs>
        <w:tab w:val="center" w:pos="4680"/>
      </w:tabs>
      <w:jc w:val="both"/>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00B06"/>
  </w:style>
  <w:style w:type="paragraph" w:styleId="BodyText">
    <w:name w:val="Body Text"/>
    <w:basedOn w:val="Normal"/>
    <w:semiHidden/>
    <w:rsid w:val="00E00B06"/>
    <w:pPr>
      <w:widowControl/>
      <w:tabs>
        <w:tab w:val="left" w:pos="1350"/>
        <w:tab w:val="decimal" w:pos="4320"/>
        <w:tab w:val="left" w:pos="4860"/>
        <w:tab w:val="decimal" w:pos="5310"/>
        <w:tab w:val="decimal" w:pos="7470"/>
        <w:tab w:val="left" w:pos="7920"/>
        <w:tab w:val="decimal" w:pos="8370"/>
      </w:tabs>
      <w:jc w:val="both"/>
    </w:pPr>
    <w:rPr>
      <w:szCs w:val="20"/>
    </w:rPr>
  </w:style>
  <w:style w:type="paragraph" w:styleId="BodyTextIndent2">
    <w:name w:val="Body Text Indent 2"/>
    <w:basedOn w:val="Normal"/>
    <w:link w:val="BodyTextIndent2Char"/>
    <w:uiPriority w:val="99"/>
    <w:unhideWhenUsed/>
    <w:rsid w:val="00FC25B4"/>
    <w:pPr>
      <w:spacing w:after="120" w:line="480" w:lineRule="auto"/>
      <w:ind w:left="360"/>
    </w:pPr>
  </w:style>
  <w:style w:type="character" w:customStyle="1" w:styleId="BodyTextIndent2Char">
    <w:name w:val="Body Text Indent 2 Char"/>
    <w:basedOn w:val="DefaultParagraphFont"/>
    <w:link w:val="BodyTextIndent2"/>
    <w:uiPriority w:val="99"/>
    <w:rsid w:val="00FC25B4"/>
    <w:rPr>
      <w:rFonts w:ascii="CG Times" w:hAnsi="CG Times"/>
      <w:szCs w:val="24"/>
    </w:rPr>
  </w:style>
  <w:style w:type="paragraph" w:styleId="Title">
    <w:name w:val="Title"/>
    <w:basedOn w:val="Normal"/>
    <w:link w:val="TitleChar"/>
    <w:qFormat/>
    <w:rsid w:val="00EF195D"/>
    <w:pPr>
      <w:tabs>
        <w:tab w:val="left" w:pos="900"/>
        <w:tab w:val="center" w:pos="4680"/>
      </w:tabs>
      <w:autoSpaceDE/>
      <w:autoSpaceDN/>
      <w:adjustRightInd/>
      <w:ind w:left="806" w:hanging="806"/>
      <w:jc w:val="center"/>
    </w:pPr>
    <w:rPr>
      <w:rFonts w:ascii="Lincoln" w:hAnsi="Lincoln"/>
      <w:sz w:val="44"/>
      <w:szCs w:val="20"/>
    </w:rPr>
  </w:style>
  <w:style w:type="character" w:customStyle="1" w:styleId="TitleChar">
    <w:name w:val="Title Char"/>
    <w:basedOn w:val="DefaultParagraphFont"/>
    <w:link w:val="Title"/>
    <w:rsid w:val="00EF195D"/>
    <w:rPr>
      <w:rFonts w:ascii="Lincoln" w:hAnsi="Lincoln"/>
      <w:sz w:val="44"/>
    </w:rPr>
  </w:style>
  <w:style w:type="paragraph" w:styleId="Subtitle">
    <w:name w:val="Subtitle"/>
    <w:basedOn w:val="Normal"/>
    <w:link w:val="SubtitleChar"/>
    <w:qFormat/>
    <w:rsid w:val="00EF195D"/>
    <w:pPr>
      <w:widowControl/>
      <w:autoSpaceDE/>
      <w:autoSpaceDN/>
      <w:adjustRightInd/>
      <w:jc w:val="center"/>
    </w:pPr>
    <w:rPr>
      <w:rFonts w:ascii="Lincoln" w:hAnsi="Lincoln"/>
      <w:snapToGrid w:val="0"/>
      <w:sz w:val="60"/>
      <w:szCs w:val="20"/>
    </w:rPr>
  </w:style>
  <w:style w:type="character" w:customStyle="1" w:styleId="SubtitleChar">
    <w:name w:val="Subtitle Char"/>
    <w:basedOn w:val="DefaultParagraphFont"/>
    <w:link w:val="Subtitle"/>
    <w:rsid w:val="00EF195D"/>
    <w:rPr>
      <w:rFonts w:ascii="Lincoln" w:hAnsi="Lincoln"/>
      <w:snapToGrid w:val="0"/>
      <w:sz w:val="60"/>
    </w:rPr>
  </w:style>
  <w:style w:type="paragraph" w:styleId="Header">
    <w:name w:val="header"/>
    <w:basedOn w:val="Normal"/>
    <w:link w:val="HeaderChar"/>
    <w:uiPriority w:val="99"/>
    <w:semiHidden/>
    <w:unhideWhenUsed/>
    <w:rsid w:val="000C023B"/>
    <w:pPr>
      <w:tabs>
        <w:tab w:val="center" w:pos="4680"/>
        <w:tab w:val="right" w:pos="9360"/>
      </w:tabs>
    </w:pPr>
  </w:style>
  <w:style w:type="character" w:customStyle="1" w:styleId="HeaderChar">
    <w:name w:val="Header Char"/>
    <w:basedOn w:val="DefaultParagraphFont"/>
    <w:link w:val="Header"/>
    <w:uiPriority w:val="99"/>
    <w:semiHidden/>
    <w:rsid w:val="000C023B"/>
    <w:rPr>
      <w:rFonts w:ascii="CG Times" w:hAnsi="CG Times"/>
      <w:szCs w:val="24"/>
    </w:rPr>
  </w:style>
  <w:style w:type="paragraph" w:styleId="Footer">
    <w:name w:val="footer"/>
    <w:basedOn w:val="Normal"/>
    <w:link w:val="FooterChar"/>
    <w:uiPriority w:val="99"/>
    <w:unhideWhenUsed/>
    <w:rsid w:val="000C023B"/>
    <w:pPr>
      <w:tabs>
        <w:tab w:val="center" w:pos="4680"/>
        <w:tab w:val="right" w:pos="9360"/>
      </w:tabs>
    </w:pPr>
  </w:style>
  <w:style w:type="character" w:customStyle="1" w:styleId="FooterChar">
    <w:name w:val="Footer Char"/>
    <w:basedOn w:val="DefaultParagraphFont"/>
    <w:link w:val="Footer"/>
    <w:uiPriority w:val="99"/>
    <w:rsid w:val="000C023B"/>
    <w:rPr>
      <w:rFonts w:ascii="CG Times" w:hAnsi="CG Times"/>
      <w:szCs w:val="24"/>
    </w:rPr>
  </w:style>
  <w:style w:type="paragraph" w:styleId="BalloonText">
    <w:name w:val="Balloon Text"/>
    <w:basedOn w:val="Normal"/>
    <w:link w:val="BalloonTextChar"/>
    <w:uiPriority w:val="99"/>
    <w:semiHidden/>
    <w:unhideWhenUsed/>
    <w:rsid w:val="002816A6"/>
    <w:rPr>
      <w:rFonts w:ascii="Tahoma" w:hAnsi="Tahoma" w:cs="Tahoma"/>
      <w:sz w:val="16"/>
      <w:szCs w:val="16"/>
    </w:rPr>
  </w:style>
  <w:style w:type="character" w:customStyle="1" w:styleId="BalloonTextChar">
    <w:name w:val="Balloon Text Char"/>
    <w:basedOn w:val="DefaultParagraphFont"/>
    <w:link w:val="BalloonText"/>
    <w:uiPriority w:val="99"/>
    <w:semiHidden/>
    <w:rsid w:val="002816A6"/>
    <w:rPr>
      <w:rFonts w:ascii="Tahoma" w:hAnsi="Tahoma" w:cs="Tahoma"/>
      <w:sz w:val="16"/>
      <w:szCs w:val="16"/>
    </w:rPr>
  </w:style>
  <w:style w:type="paragraph" w:styleId="FootnoteText">
    <w:name w:val="footnote text"/>
    <w:basedOn w:val="Normal"/>
    <w:link w:val="FootnoteTextChar"/>
    <w:semiHidden/>
    <w:unhideWhenUsed/>
    <w:rsid w:val="005673B2"/>
    <w:rPr>
      <w:szCs w:val="20"/>
    </w:rPr>
  </w:style>
  <w:style w:type="character" w:customStyle="1" w:styleId="FootnoteTextChar">
    <w:name w:val="Footnote Text Char"/>
    <w:basedOn w:val="DefaultParagraphFont"/>
    <w:link w:val="FootnoteText"/>
    <w:uiPriority w:val="99"/>
    <w:semiHidden/>
    <w:rsid w:val="005673B2"/>
    <w:rPr>
      <w:rFonts w:ascii="CG Times" w:hAnsi="CG Times"/>
    </w:rPr>
  </w:style>
  <w:style w:type="character" w:styleId="Hyperlink">
    <w:name w:val="Hyperlink"/>
    <w:basedOn w:val="DefaultParagraphFont"/>
    <w:uiPriority w:val="99"/>
    <w:rsid w:val="0014298E"/>
    <w:rPr>
      <w:color w:val="auto"/>
      <w:u w:val="none"/>
    </w:rPr>
  </w:style>
  <w:style w:type="character" w:styleId="CommentReference">
    <w:name w:val="annotation reference"/>
    <w:basedOn w:val="DefaultParagraphFont"/>
    <w:uiPriority w:val="99"/>
    <w:semiHidden/>
    <w:unhideWhenUsed/>
    <w:rsid w:val="00D93DF4"/>
    <w:rPr>
      <w:sz w:val="16"/>
      <w:szCs w:val="16"/>
    </w:rPr>
  </w:style>
  <w:style w:type="paragraph" w:styleId="CommentText">
    <w:name w:val="annotation text"/>
    <w:basedOn w:val="Normal"/>
    <w:link w:val="CommentTextChar"/>
    <w:uiPriority w:val="99"/>
    <w:semiHidden/>
    <w:unhideWhenUsed/>
    <w:rsid w:val="00D93DF4"/>
    <w:rPr>
      <w:szCs w:val="20"/>
    </w:rPr>
  </w:style>
  <w:style w:type="character" w:customStyle="1" w:styleId="CommentTextChar">
    <w:name w:val="Comment Text Char"/>
    <w:basedOn w:val="DefaultParagraphFont"/>
    <w:link w:val="CommentText"/>
    <w:uiPriority w:val="99"/>
    <w:semiHidden/>
    <w:rsid w:val="00D93DF4"/>
    <w:rPr>
      <w:rFonts w:ascii="CG Times" w:hAnsi="CG Times"/>
    </w:rPr>
  </w:style>
  <w:style w:type="paragraph" w:styleId="CommentSubject">
    <w:name w:val="annotation subject"/>
    <w:basedOn w:val="CommentText"/>
    <w:next w:val="CommentText"/>
    <w:link w:val="CommentSubjectChar"/>
    <w:uiPriority w:val="99"/>
    <w:semiHidden/>
    <w:unhideWhenUsed/>
    <w:rsid w:val="00D93DF4"/>
    <w:rPr>
      <w:b/>
      <w:bCs/>
    </w:rPr>
  </w:style>
  <w:style w:type="character" w:customStyle="1" w:styleId="CommentSubjectChar">
    <w:name w:val="Comment Subject Char"/>
    <w:basedOn w:val="CommentTextChar"/>
    <w:link w:val="CommentSubject"/>
    <w:uiPriority w:val="99"/>
    <w:semiHidden/>
    <w:rsid w:val="00D93DF4"/>
    <w:rPr>
      <w:b/>
      <w:bCs/>
    </w:rPr>
  </w:style>
  <w:style w:type="paragraph" w:styleId="BodyText2">
    <w:name w:val="Body Text 2"/>
    <w:basedOn w:val="Normal"/>
    <w:link w:val="BodyText2Char"/>
    <w:uiPriority w:val="99"/>
    <w:semiHidden/>
    <w:unhideWhenUsed/>
    <w:rsid w:val="00D93DF4"/>
    <w:pPr>
      <w:spacing w:after="120" w:line="480" w:lineRule="auto"/>
    </w:pPr>
  </w:style>
  <w:style w:type="character" w:customStyle="1" w:styleId="BodyText2Char">
    <w:name w:val="Body Text 2 Char"/>
    <w:basedOn w:val="DefaultParagraphFont"/>
    <w:link w:val="BodyText2"/>
    <w:uiPriority w:val="99"/>
    <w:semiHidden/>
    <w:rsid w:val="00D93DF4"/>
    <w:rPr>
      <w:rFonts w:ascii="CG Times" w:hAnsi="CG Times"/>
      <w:szCs w:val="24"/>
    </w:rPr>
  </w:style>
  <w:style w:type="paragraph" w:styleId="Revision">
    <w:name w:val="Revision"/>
    <w:hidden/>
    <w:uiPriority w:val="99"/>
    <w:semiHidden/>
    <w:rsid w:val="00F911E4"/>
    <w:rPr>
      <w:rFonts w:ascii="CG Times" w:hAnsi="CG Times"/>
      <w:szCs w:val="24"/>
    </w:rPr>
  </w:style>
  <w:style w:type="character" w:styleId="PageNumber">
    <w:name w:val="page number"/>
    <w:basedOn w:val="DefaultParagraphFont"/>
    <w:semiHidden/>
    <w:rsid w:val="004F6038"/>
  </w:style>
  <w:style w:type="table" w:styleId="TableGrid">
    <w:name w:val="Table Grid"/>
    <w:basedOn w:val="TableNormal"/>
    <w:uiPriority w:val="59"/>
    <w:rsid w:val="00017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244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hysics.nist.gov/Pu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OD/OHS/biosfty/bmbl5/BMBL_5th_Edition.pdf"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cstl.nist.gov/nist839/NIST_special_publications.htm"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mailto:srminfo@nsi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C903A-A974-4C7E-902C-004125A3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1826</Words>
  <Characters>11117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12918</CharactersWithSpaces>
  <SharedDoc>false</SharedDoc>
  <HLinks>
    <vt:vector size="30" baseType="variant">
      <vt:variant>
        <vt:i4>3866647</vt:i4>
      </vt:variant>
      <vt:variant>
        <vt:i4>12</vt:i4>
      </vt:variant>
      <vt:variant>
        <vt:i4>0</vt:i4>
      </vt:variant>
      <vt:variant>
        <vt:i4>5</vt:i4>
      </vt:variant>
      <vt:variant>
        <vt:lpwstr>mailto:srminfo@nsit.gov</vt:lpwstr>
      </vt:variant>
      <vt:variant>
        <vt:lpwstr/>
      </vt:variant>
      <vt:variant>
        <vt:i4>6750260</vt:i4>
      </vt:variant>
      <vt:variant>
        <vt:i4>9</vt:i4>
      </vt:variant>
      <vt:variant>
        <vt:i4>0</vt:i4>
      </vt:variant>
      <vt:variant>
        <vt:i4>5</vt:i4>
      </vt:variant>
      <vt:variant>
        <vt:lpwstr>http://www.physics.nist.gov/Pubs/contents.html</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1245252</vt:i4>
      </vt:variant>
      <vt:variant>
        <vt:i4>3</vt:i4>
      </vt:variant>
      <vt:variant>
        <vt:i4>0</vt:i4>
      </vt:variant>
      <vt:variant>
        <vt:i4>5</vt:i4>
      </vt:variant>
      <vt:variant>
        <vt:lpwstr>http://www.cdc.gov/OD/OHS/biosfty/bmbl5/BMBL_5th_Edition.pdf</vt:lpwstr>
      </vt:variant>
      <vt:variant>
        <vt:lpwstr/>
      </vt:variant>
      <vt:variant>
        <vt:i4>7995508</vt:i4>
      </vt:variant>
      <vt:variant>
        <vt:i4>0</vt:i4>
      </vt:variant>
      <vt:variant>
        <vt:i4>0</vt:i4>
      </vt:variant>
      <vt:variant>
        <vt:i4>5</vt:i4>
      </vt:variant>
      <vt:variant>
        <vt:lpwstr>http://www.cstl.nist.gov/nist839/NIST_special_publications.htm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Jennifer Benkstein</cp:lastModifiedBy>
  <cp:revision>3</cp:revision>
  <cp:lastPrinted>2011-03-21T17:38:00Z</cp:lastPrinted>
  <dcterms:created xsi:type="dcterms:W3CDTF">2011-03-21T17:38:00Z</dcterms:created>
  <dcterms:modified xsi:type="dcterms:W3CDTF">2011-03-21T17:39:00Z</dcterms:modified>
</cp:coreProperties>
</file>