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D0A" w:rsidRDefault="00F0369F" w:rsidP="007C4511">
      <w:pPr>
        <w:pStyle w:val="Title"/>
        <w:widowControl/>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49.95pt;margin-top:-17.8pt;width:113.9pt;height:63.4pt;z-index:-251658752" fillcolor="window">
            <v:imagedata r:id="rId8" o:title=""/>
          </v:shape>
          <o:OLEObject Type="Embed" ProgID="Word.Document.8" ShapeID="_x0000_s1034" DrawAspect="Content" ObjectID="_1421663328" r:id="rId9">
            <o:FieldCodes>\s</o:FieldCodes>
          </o:OLEObject>
        </w:pict>
      </w:r>
      <w:r w:rsidR="00E16D0A">
        <w:rPr>
          <w:rFonts w:ascii="Linotext" w:hAnsi="Linotext"/>
        </w:rPr>
        <w:t>National Institute of Standards &amp; Technology</w:t>
      </w:r>
    </w:p>
    <w:p w:rsidR="00E16D0A" w:rsidRPr="00431CD1" w:rsidRDefault="00E16D0A" w:rsidP="007C4511">
      <w:pPr>
        <w:jc w:val="center"/>
        <w:rPr>
          <w:rFonts w:ascii="Linotext" w:hAnsi="Linotext"/>
          <w:sz w:val="20"/>
        </w:rPr>
      </w:pPr>
    </w:p>
    <w:p w:rsidR="00E16D0A" w:rsidRDefault="00E16D0A" w:rsidP="007C4511">
      <w:pPr>
        <w:pStyle w:val="Subtitle"/>
        <w:rPr>
          <w:rFonts w:ascii="Linotext" w:hAnsi="Linotext"/>
        </w:rPr>
      </w:pPr>
      <w:r>
        <w:rPr>
          <w:rFonts w:ascii="Linotext" w:hAnsi="Linotext"/>
        </w:rPr>
        <w:t>Certificate</w:t>
      </w:r>
    </w:p>
    <w:p w:rsidR="00E16D0A" w:rsidRPr="00431CD1" w:rsidRDefault="00E16D0A" w:rsidP="007C4511">
      <w:pPr>
        <w:jc w:val="center"/>
        <w:rPr>
          <w:sz w:val="20"/>
        </w:rPr>
      </w:pPr>
    </w:p>
    <w:p w:rsidR="00E16D0A" w:rsidRDefault="00E16D0A" w:rsidP="007C4511">
      <w:pPr>
        <w:ind w:right="-144"/>
        <w:jc w:val="center"/>
        <w:rPr>
          <w:sz w:val="36"/>
        </w:rPr>
      </w:pPr>
      <w:r>
        <w:rPr>
          <w:sz w:val="36"/>
        </w:rPr>
        <w:t>Standard Reference Material</w:t>
      </w:r>
      <w:r>
        <w:rPr>
          <w:sz w:val="36"/>
          <w:vertAlign w:val="superscript"/>
        </w:rPr>
        <w:sym w:font="Symbol" w:char="F0D2"/>
      </w:r>
      <w:r w:rsidR="007C28BA">
        <w:rPr>
          <w:sz w:val="36"/>
        </w:rPr>
        <w:t> </w:t>
      </w:r>
      <w:r w:rsidR="00756904">
        <w:rPr>
          <w:sz w:val="36"/>
        </w:rPr>
        <w:t>2870</w:t>
      </w:r>
    </w:p>
    <w:p w:rsidR="00AB56A5" w:rsidRPr="00431CD1" w:rsidRDefault="00AB56A5" w:rsidP="007C4511">
      <w:pPr>
        <w:jc w:val="center"/>
        <w:rPr>
          <w:sz w:val="20"/>
        </w:rPr>
      </w:pPr>
    </w:p>
    <w:p w:rsidR="00AB56A5" w:rsidRDefault="00756904" w:rsidP="007C4511">
      <w:pPr>
        <w:tabs>
          <w:tab w:val="center" w:pos="4680"/>
        </w:tabs>
        <w:jc w:val="center"/>
        <w:rPr>
          <w:sz w:val="28"/>
        </w:rPr>
      </w:pPr>
      <w:r>
        <w:rPr>
          <w:sz w:val="28"/>
        </w:rPr>
        <w:t>Relative Permittivity and Loss Tangent</w:t>
      </w:r>
    </w:p>
    <w:p w:rsidR="00756904" w:rsidRDefault="00756904" w:rsidP="007C4511">
      <w:pPr>
        <w:tabs>
          <w:tab w:val="center" w:pos="4680"/>
        </w:tabs>
        <w:jc w:val="center"/>
        <w:rPr>
          <w:sz w:val="28"/>
        </w:rPr>
      </w:pPr>
      <w:r>
        <w:rPr>
          <w:sz w:val="28"/>
        </w:rPr>
        <w:t>1422 Cross-Linked Polystyrene</w:t>
      </w:r>
    </w:p>
    <w:p w:rsidR="00756904" w:rsidRPr="00431CD1" w:rsidRDefault="00756904" w:rsidP="007C4511">
      <w:pPr>
        <w:tabs>
          <w:tab w:val="center" w:pos="4680"/>
        </w:tabs>
        <w:jc w:val="center"/>
        <w:rPr>
          <w:sz w:val="16"/>
          <w:szCs w:val="16"/>
        </w:rPr>
      </w:pPr>
    </w:p>
    <w:p w:rsidR="00756904" w:rsidRPr="00663619" w:rsidRDefault="00756904" w:rsidP="007C4511">
      <w:pPr>
        <w:tabs>
          <w:tab w:val="center" w:pos="4680"/>
        </w:tabs>
        <w:jc w:val="center"/>
        <w:rPr>
          <w:szCs w:val="24"/>
        </w:rPr>
      </w:pPr>
      <w:r w:rsidRPr="00663619">
        <w:rPr>
          <w:szCs w:val="24"/>
        </w:rPr>
        <w:t xml:space="preserve">Specimen No. </w:t>
      </w:r>
      <w:r w:rsidR="00EB6091">
        <w:rPr>
          <w:szCs w:val="24"/>
        </w:rPr>
        <w:t>SAMPLE</w:t>
      </w:r>
    </w:p>
    <w:p w:rsidR="00AB56A5" w:rsidRPr="00663619" w:rsidRDefault="00AB56A5" w:rsidP="007C4511">
      <w:pPr>
        <w:rPr>
          <w:sz w:val="20"/>
        </w:rPr>
      </w:pPr>
    </w:p>
    <w:p w:rsidR="00AB56A5" w:rsidRDefault="00E11308" w:rsidP="007C4511">
      <w:pPr>
        <w:jc w:val="both"/>
        <w:rPr>
          <w:sz w:val="20"/>
        </w:rPr>
      </w:pPr>
      <w:r>
        <w:rPr>
          <w:sz w:val="20"/>
        </w:rPr>
        <w:t xml:space="preserve">This </w:t>
      </w:r>
      <w:r w:rsidR="00AB56A5">
        <w:rPr>
          <w:sz w:val="20"/>
        </w:rPr>
        <w:t>Standar</w:t>
      </w:r>
      <w:r w:rsidR="0071338E">
        <w:rPr>
          <w:sz w:val="20"/>
        </w:rPr>
        <w:t>d Reference Material</w:t>
      </w:r>
      <w:r w:rsidR="007C28BA">
        <w:rPr>
          <w:sz w:val="20"/>
        </w:rPr>
        <w:t> </w:t>
      </w:r>
      <w:r w:rsidR="0071338E">
        <w:rPr>
          <w:sz w:val="20"/>
        </w:rPr>
        <w:t>(SRM)</w:t>
      </w:r>
      <w:r w:rsidR="00AB56A5">
        <w:rPr>
          <w:sz w:val="20"/>
        </w:rPr>
        <w:t xml:space="preserve"> is </w:t>
      </w:r>
      <w:r w:rsidR="00756904">
        <w:rPr>
          <w:sz w:val="20"/>
        </w:rPr>
        <w:t xml:space="preserve">intended for the evaluation of measurement systems used to characterize the </w:t>
      </w:r>
      <w:r w:rsidR="00B45E5C">
        <w:rPr>
          <w:sz w:val="20"/>
        </w:rPr>
        <w:t>relative</w:t>
      </w:r>
      <w:r w:rsidR="00756904">
        <w:rPr>
          <w:sz w:val="20"/>
        </w:rPr>
        <w:t xml:space="preserve"> permittivity and </w:t>
      </w:r>
      <w:r w:rsidR="00B45E5C">
        <w:rPr>
          <w:sz w:val="20"/>
        </w:rPr>
        <w:t>loss</w:t>
      </w:r>
      <w:r w:rsidR="00756904">
        <w:rPr>
          <w:sz w:val="20"/>
        </w:rPr>
        <w:t xml:space="preserve"> tangent of dielectric materials.  </w:t>
      </w:r>
      <w:r>
        <w:rPr>
          <w:sz w:val="20"/>
        </w:rPr>
        <w:t xml:space="preserve">A unit of </w:t>
      </w:r>
      <w:r w:rsidR="00756904">
        <w:rPr>
          <w:sz w:val="20"/>
        </w:rPr>
        <w:t>SRM</w:t>
      </w:r>
      <w:r w:rsidR="007C28BA">
        <w:rPr>
          <w:sz w:val="20"/>
        </w:rPr>
        <w:t> </w:t>
      </w:r>
      <w:r w:rsidR="00756904">
        <w:rPr>
          <w:sz w:val="20"/>
        </w:rPr>
        <w:t>2870 consists</w:t>
      </w:r>
      <w:r w:rsidR="00B45E5C">
        <w:rPr>
          <w:sz w:val="20"/>
        </w:rPr>
        <w:t xml:space="preserve"> of a cross-linked polystyrene c</w:t>
      </w:r>
      <w:r w:rsidR="00756904">
        <w:rPr>
          <w:sz w:val="20"/>
        </w:rPr>
        <w:t>ylindrica</w:t>
      </w:r>
      <w:r w:rsidR="00B45E5C">
        <w:rPr>
          <w:sz w:val="20"/>
        </w:rPr>
        <w:t>l</w:t>
      </w:r>
      <w:r w:rsidR="00756904">
        <w:rPr>
          <w:sz w:val="20"/>
        </w:rPr>
        <w:t xml:space="preserve"> disk, nominally 60</w:t>
      </w:r>
      <w:r w:rsidR="007C28BA">
        <w:rPr>
          <w:sz w:val="20"/>
        </w:rPr>
        <w:t> </w:t>
      </w:r>
      <w:r w:rsidR="00756904">
        <w:rPr>
          <w:sz w:val="20"/>
        </w:rPr>
        <w:t>mm in diameter and 10</w:t>
      </w:r>
      <w:r w:rsidR="007C28BA">
        <w:rPr>
          <w:sz w:val="20"/>
        </w:rPr>
        <w:t> </w:t>
      </w:r>
      <w:r w:rsidR="00756904">
        <w:rPr>
          <w:sz w:val="20"/>
        </w:rPr>
        <w:t>mm thick.  This specimen can be machined to the necessary geometry required by various measurement systems.</w:t>
      </w:r>
    </w:p>
    <w:p w:rsidR="00756904" w:rsidRDefault="00756904" w:rsidP="007C4511">
      <w:pPr>
        <w:jc w:val="both"/>
        <w:rPr>
          <w:sz w:val="20"/>
        </w:rPr>
      </w:pPr>
    </w:p>
    <w:p w:rsidR="00756904" w:rsidRDefault="00756904" w:rsidP="007C4511">
      <w:pPr>
        <w:jc w:val="both"/>
        <w:rPr>
          <w:sz w:val="20"/>
        </w:rPr>
      </w:pPr>
      <w:r>
        <w:rPr>
          <w:sz w:val="20"/>
        </w:rPr>
        <w:t>Measurements for certifying SRM</w:t>
      </w:r>
      <w:r w:rsidR="007C28BA">
        <w:rPr>
          <w:sz w:val="20"/>
        </w:rPr>
        <w:t> </w:t>
      </w:r>
      <w:r>
        <w:rPr>
          <w:sz w:val="20"/>
        </w:rPr>
        <w:t xml:space="preserve">2870 were obtained using the cylindrical cavity method described in </w:t>
      </w:r>
      <w:r w:rsidR="00663619">
        <w:rPr>
          <w:sz w:val="20"/>
        </w:rPr>
        <w:t>reference </w:t>
      </w:r>
      <w:r>
        <w:rPr>
          <w:sz w:val="20"/>
        </w:rPr>
        <w:t>1.  The particular cavity used was a mode-filtered, circular-cylindrical cavity, nominally 60</w:t>
      </w:r>
      <w:r w:rsidR="00663619">
        <w:rPr>
          <w:sz w:val="20"/>
        </w:rPr>
        <w:t> </w:t>
      </w:r>
      <w:r w:rsidR="00395302">
        <w:rPr>
          <w:sz w:val="20"/>
        </w:rPr>
        <w:t>m</w:t>
      </w:r>
      <w:r>
        <w:rPr>
          <w:sz w:val="20"/>
        </w:rPr>
        <w:t>m in diameter and 450</w:t>
      </w:r>
      <w:r w:rsidR="00663619">
        <w:rPr>
          <w:sz w:val="20"/>
        </w:rPr>
        <w:t> </w:t>
      </w:r>
      <w:r w:rsidR="00395302">
        <w:rPr>
          <w:sz w:val="20"/>
        </w:rPr>
        <w:t>m</w:t>
      </w:r>
      <w:r>
        <w:rPr>
          <w:sz w:val="20"/>
        </w:rPr>
        <w:t xml:space="preserve">m in length.  Additional details concerning the resonator theory, measurement procedure, and uncertainty analysis can be found in </w:t>
      </w:r>
      <w:r w:rsidR="00663619">
        <w:rPr>
          <w:sz w:val="20"/>
        </w:rPr>
        <w:t>reference</w:t>
      </w:r>
      <w:r w:rsidR="007C28BA">
        <w:rPr>
          <w:sz w:val="20"/>
        </w:rPr>
        <w:t> </w:t>
      </w:r>
      <w:r>
        <w:rPr>
          <w:sz w:val="20"/>
        </w:rPr>
        <w:t>1.</w:t>
      </w:r>
    </w:p>
    <w:p w:rsidR="00756904" w:rsidRDefault="00756904" w:rsidP="007C4511">
      <w:pPr>
        <w:jc w:val="both"/>
        <w:rPr>
          <w:sz w:val="20"/>
        </w:rPr>
      </w:pPr>
    </w:p>
    <w:p w:rsidR="00AB56A5" w:rsidRPr="00275547" w:rsidRDefault="00AB56A5" w:rsidP="007C4511">
      <w:pPr>
        <w:jc w:val="both"/>
        <w:rPr>
          <w:color w:val="000000"/>
          <w:sz w:val="20"/>
        </w:rPr>
      </w:pPr>
      <w:r>
        <w:rPr>
          <w:b/>
          <w:sz w:val="20"/>
        </w:rPr>
        <w:t>Certified Values:</w:t>
      </w:r>
      <w:r>
        <w:rPr>
          <w:sz w:val="20"/>
        </w:rPr>
        <w:t xml:space="preserve">  </w:t>
      </w:r>
      <w:r w:rsidR="00431CD1" w:rsidRPr="00A163F7">
        <w:rPr>
          <w:color w:val="000000"/>
          <w:sz w:val="20"/>
        </w:rPr>
        <w:t>A NIST certified value is a value for which NIST has the highest confidence in its accuracy in that all known or suspected sources of bias have been investigated or accounted</w:t>
      </w:r>
      <w:r w:rsidR="007C28BA">
        <w:rPr>
          <w:color w:val="000000"/>
          <w:sz w:val="20"/>
        </w:rPr>
        <w:t> </w:t>
      </w:r>
      <w:r w:rsidR="00431CD1" w:rsidRPr="00A163F7">
        <w:rPr>
          <w:color w:val="000000"/>
          <w:sz w:val="20"/>
        </w:rPr>
        <w:fldChar w:fldCharType="begin"/>
      </w:r>
      <w:r w:rsidR="00431CD1" w:rsidRPr="00A163F7">
        <w:rPr>
          <w:color w:val="000000"/>
          <w:sz w:val="20"/>
        </w:rPr>
        <w:instrText xml:space="preserve"> ADDIN REFMGR.CITE &lt;Refman&gt;&lt;Cite&gt;&lt;Author&gt;May&lt;/Author&gt;&lt;Year&gt;2000&lt;/Year&gt;&lt;RecNum&gt;33009&lt;/RecNum&gt;&lt;IDText&gt;Definitions of Terms and Modes used at NIST for Value-Assignment of Reference Materials for Chemical Measurements&lt;/IDText&gt;&lt;MDL Ref_Type="Serial (Book,Monograph)"&gt;&lt;Ref_Type&gt;Serial (Book,Monograph)&lt;/Ref_Type&gt;&lt;Ref_ID&gt;33009&lt;/Ref_ID&gt;&lt;Title_Primary&gt;Definitions of Terms and Modes used at NIST for Value-Assignment of Reference Materials for Chemical Measurements&lt;/Title_Primary&gt;&lt;Authors_Primary&gt;May,W.&lt;/Authors_Primary&gt;&lt;Authors_Primary&gt;Parris,R.&lt;/Authors_Primary&gt;&lt;Authors_Primary&gt;Beck,C.&lt;/Authors_Primary&gt;&lt;Authors_Primary&gt;Fassett,J.&lt;/Authors_Primary&gt;&lt;Authors_Primary&gt;Greenberg,R.&lt;/Authors_Primary&gt;&lt;Authors_Primary&gt;Guenther,F.&lt;/Authors_Primary&gt;&lt;Authors_Primary&gt;Kramer,G.&lt;/Authors_Primary&gt;&lt;Authors_Primary&gt;Wise,S.&lt;/Authors_Primary&gt;&lt;Authors_Primary&gt;Gills,T.&lt;/Authors_Primary&gt;&lt;Authors_Primary&gt;Colbert,J.&lt;/Authors_Primary&gt;&lt;Authors_Primary&gt;Gettings,R.&lt;/Authors_Primary&gt;&lt;Authors_Primary&gt;MacDonald,B.&lt;/Authors_Primary&gt;&lt;Date_Primary&gt;2000&lt;/Date_Primary&gt;&lt;Keywords&gt;standard&lt;/Keywords&gt;&lt;Keywords&gt;Technology&lt;/Keywords&gt;&lt;Keywords&gt;TECHNOLOGIES&lt;/Keywords&gt;&lt;Keywords&gt;assignment&lt;/Keywords&gt;&lt;Keywords&gt;reference material&lt;/Keywords&gt;&lt;Keywords&gt;materials&lt;/Keywords&gt;&lt;Reprint&gt;Not in File&lt;/Reprint&gt;&lt;Volume&gt;NIST Special Publication 260-136&lt;/Volume&gt;&lt;Authors_Secondary&gt;National Institute of Standards and Technology&lt;/Authors_Secondary&gt;&lt;Pub_Place&gt;Gaithersburg, MD&lt;/Pub_Place&gt;&lt;Publisher&gt;U.S. Government Printing Office&lt;/Publisher&gt;&lt;Availability&gt;http://www.cstl.nist.gov/nist839/NIST_special_publications.htm&lt;/Availability&gt;&lt;Web_URL&gt;http://www.cstl.nist.gov/nist839/NIST_special_publications.htm&lt;/Web_URL&gt;&lt;ZZ_WorkformID&gt;25&lt;/ZZ_WorkformID&gt;&lt;/MDL&gt;&lt;/Cite&gt;&lt;/Refman&gt;</w:instrText>
      </w:r>
      <w:r w:rsidR="00431CD1" w:rsidRPr="00A163F7">
        <w:rPr>
          <w:color w:val="000000"/>
          <w:sz w:val="20"/>
        </w:rPr>
        <w:fldChar w:fldCharType="separate"/>
      </w:r>
      <w:r w:rsidR="00431CD1" w:rsidRPr="00A163F7">
        <w:rPr>
          <w:color w:val="000000"/>
          <w:sz w:val="20"/>
        </w:rPr>
        <w:t>[</w:t>
      </w:r>
      <w:r w:rsidR="00092C99">
        <w:rPr>
          <w:color w:val="000000"/>
          <w:sz w:val="20"/>
        </w:rPr>
        <w:t>2</w:t>
      </w:r>
      <w:r w:rsidR="00431CD1" w:rsidRPr="00A163F7">
        <w:rPr>
          <w:color w:val="000000"/>
          <w:sz w:val="20"/>
        </w:rPr>
        <w:t>]</w:t>
      </w:r>
      <w:r w:rsidR="00431CD1" w:rsidRPr="00A163F7">
        <w:rPr>
          <w:color w:val="000000"/>
          <w:sz w:val="20"/>
        </w:rPr>
        <w:fldChar w:fldCharType="end"/>
      </w:r>
      <w:r w:rsidR="00431CD1" w:rsidRPr="00A163F7">
        <w:rPr>
          <w:color w:val="000000"/>
          <w:sz w:val="20"/>
        </w:rPr>
        <w:t xml:space="preserve">.  </w:t>
      </w:r>
      <w:r>
        <w:rPr>
          <w:sz w:val="20"/>
        </w:rPr>
        <w:t xml:space="preserve">Certified </w:t>
      </w:r>
      <w:r w:rsidR="00756904">
        <w:rPr>
          <w:sz w:val="20"/>
        </w:rPr>
        <w:t>relative permittivity and loss tangent values for SRM</w:t>
      </w:r>
      <w:r w:rsidR="007C28BA">
        <w:rPr>
          <w:sz w:val="20"/>
        </w:rPr>
        <w:t> </w:t>
      </w:r>
      <w:r w:rsidR="00756904">
        <w:rPr>
          <w:sz w:val="20"/>
        </w:rPr>
        <w:t>2870, measured at 10</w:t>
      </w:r>
      <w:r w:rsidR="007C28BA">
        <w:rPr>
          <w:sz w:val="20"/>
        </w:rPr>
        <w:t> </w:t>
      </w:r>
      <w:r w:rsidR="00756904">
        <w:rPr>
          <w:sz w:val="20"/>
        </w:rPr>
        <w:t>GHz, are listed in Table</w:t>
      </w:r>
      <w:r w:rsidR="007C28BA">
        <w:rPr>
          <w:sz w:val="20"/>
        </w:rPr>
        <w:t> </w:t>
      </w:r>
      <w:r w:rsidR="00756904">
        <w:rPr>
          <w:sz w:val="20"/>
        </w:rPr>
        <w:t>1.  The measurements were performed at 23</w:t>
      </w:r>
      <w:r w:rsidR="00D73CCA">
        <w:rPr>
          <w:sz w:val="20"/>
        </w:rPr>
        <w:t> </w:t>
      </w:r>
      <w:r w:rsidR="00756904">
        <w:rPr>
          <w:sz w:val="20"/>
        </w:rPr>
        <w:sym w:font="Symbol" w:char="F0B0"/>
      </w:r>
      <w:r w:rsidR="00756904">
        <w:rPr>
          <w:sz w:val="20"/>
        </w:rPr>
        <w:t>C</w:t>
      </w:r>
      <w:r w:rsidR="007C28BA">
        <w:rPr>
          <w:sz w:val="20"/>
        </w:rPr>
        <w:t> </w:t>
      </w:r>
      <w:r w:rsidR="00756904">
        <w:rPr>
          <w:sz w:val="20"/>
        </w:rPr>
        <w:sym w:font="Symbol" w:char="F0B1"/>
      </w:r>
      <w:r w:rsidR="007C28BA">
        <w:rPr>
          <w:sz w:val="20"/>
        </w:rPr>
        <w:t> </w:t>
      </w:r>
      <w:r w:rsidR="00756904">
        <w:rPr>
          <w:sz w:val="20"/>
        </w:rPr>
        <w:t>1</w:t>
      </w:r>
      <w:r w:rsidR="00D73CCA">
        <w:rPr>
          <w:sz w:val="20"/>
        </w:rPr>
        <w:t> </w:t>
      </w:r>
      <w:r w:rsidR="00756904">
        <w:rPr>
          <w:sz w:val="20"/>
        </w:rPr>
        <w:sym w:font="Symbol" w:char="F0B0"/>
      </w:r>
      <w:r w:rsidR="00756904">
        <w:rPr>
          <w:sz w:val="20"/>
        </w:rPr>
        <w:t>C and 40</w:t>
      </w:r>
      <w:r w:rsidR="00D73CCA">
        <w:rPr>
          <w:sz w:val="20"/>
        </w:rPr>
        <w:t> </w:t>
      </w:r>
      <w:r w:rsidR="00756904">
        <w:rPr>
          <w:sz w:val="20"/>
        </w:rPr>
        <w:t>%</w:t>
      </w:r>
      <w:r w:rsidR="007C28BA">
        <w:rPr>
          <w:sz w:val="20"/>
        </w:rPr>
        <w:t> </w:t>
      </w:r>
      <w:r w:rsidR="00756904">
        <w:rPr>
          <w:sz w:val="20"/>
        </w:rPr>
        <w:sym w:font="Symbol" w:char="F0B1"/>
      </w:r>
      <w:r w:rsidR="007C28BA">
        <w:rPr>
          <w:sz w:val="20"/>
        </w:rPr>
        <w:t> </w:t>
      </w:r>
      <w:r w:rsidR="00756904">
        <w:rPr>
          <w:sz w:val="20"/>
        </w:rPr>
        <w:t>5</w:t>
      </w:r>
      <w:r w:rsidR="00D73CCA">
        <w:rPr>
          <w:sz w:val="20"/>
        </w:rPr>
        <w:t> </w:t>
      </w:r>
      <w:r w:rsidR="00756904">
        <w:rPr>
          <w:sz w:val="20"/>
        </w:rPr>
        <w:t xml:space="preserve">% relative humidity.  The </w:t>
      </w:r>
      <w:r w:rsidR="00B45E5C">
        <w:rPr>
          <w:sz w:val="20"/>
        </w:rPr>
        <w:t>certified</w:t>
      </w:r>
      <w:r w:rsidR="00756904">
        <w:rPr>
          <w:sz w:val="20"/>
        </w:rPr>
        <w:t xml:space="preserve"> values are valid under these environmental conditions.  Relative permittivity and loss tangent measurements performed on cross</w:t>
      </w:r>
      <w:r w:rsidR="00D73CCA">
        <w:rPr>
          <w:sz w:val="20"/>
        </w:rPr>
        <w:noBreakHyphen/>
      </w:r>
      <w:r w:rsidR="00756904">
        <w:rPr>
          <w:sz w:val="20"/>
        </w:rPr>
        <w:t xml:space="preserve">linked </w:t>
      </w:r>
      <w:r w:rsidR="00B45E5C">
        <w:rPr>
          <w:sz w:val="20"/>
        </w:rPr>
        <w:t>polystyrene</w:t>
      </w:r>
      <w:r w:rsidR="00756904">
        <w:rPr>
          <w:sz w:val="20"/>
        </w:rPr>
        <w:t xml:space="preserve"> that are outside of this temperature </w:t>
      </w:r>
      <w:r w:rsidR="00B45E5C">
        <w:rPr>
          <w:sz w:val="20"/>
        </w:rPr>
        <w:t>range</w:t>
      </w:r>
      <w:r w:rsidR="00756904">
        <w:rPr>
          <w:sz w:val="20"/>
        </w:rPr>
        <w:t xml:space="preserve"> can be found in </w:t>
      </w:r>
      <w:r w:rsidR="004E20CF">
        <w:rPr>
          <w:sz w:val="20"/>
        </w:rPr>
        <w:t>reference</w:t>
      </w:r>
      <w:r w:rsidR="007C28BA">
        <w:rPr>
          <w:sz w:val="20"/>
        </w:rPr>
        <w:t> </w:t>
      </w:r>
      <w:r w:rsidR="00092C99">
        <w:rPr>
          <w:sz w:val="20"/>
        </w:rPr>
        <w:t>3</w:t>
      </w:r>
      <w:r w:rsidR="00756904">
        <w:rPr>
          <w:sz w:val="20"/>
        </w:rPr>
        <w:t>.</w:t>
      </w:r>
    </w:p>
    <w:p w:rsidR="00756904" w:rsidRDefault="00756904" w:rsidP="007C4511">
      <w:pPr>
        <w:jc w:val="both"/>
        <w:rPr>
          <w:sz w:val="20"/>
        </w:rPr>
      </w:pPr>
    </w:p>
    <w:p w:rsidR="004339E3" w:rsidRDefault="00813802" w:rsidP="007C4511">
      <w:pPr>
        <w:jc w:val="both"/>
        <w:rPr>
          <w:sz w:val="20"/>
        </w:rPr>
      </w:pPr>
      <w:r>
        <w:rPr>
          <w:b/>
          <w:sz w:val="20"/>
        </w:rPr>
        <w:t>Information</w:t>
      </w:r>
      <w:r>
        <w:rPr>
          <w:b/>
          <w:sz w:val="20"/>
        </w:rPr>
        <w:t xml:space="preserve"> </w:t>
      </w:r>
      <w:r w:rsidR="004339E3">
        <w:rPr>
          <w:b/>
          <w:sz w:val="20"/>
        </w:rPr>
        <w:t>Values:</w:t>
      </w:r>
      <w:r w:rsidR="004339E3">
        <w:rPr>
          <w:sz w:val="20"/>
        </w:rPr>
        <w:t xml:space="preserve">  Supplemental values of relative permittivity and loss tangent are given in Table</w:t>
      </w:r>
      <w:r w:rsidR="004E20CF">
        <w:rPr>
          <w:sz w:val="20"/>
        </w:rPr>
        <w:t> </w:t>
      </w:r>
      <w:r w:rsidR="004339E3">
        <w:rPr>
          <w:sz w:val="20"/>
        </w:rPr>
        <w:t>2.  Although these value</w:t>
      </w:r>
      <w:r w:rsidR="004E20CF">
        <w:rPr>
          <w:sz w:val="20"/>
        </w:rPr>
        <w:t>s</w:t>
      </w:r>
      <w:r w:rsidR="004339E3">
        <w:rPr>
          <w:sz w:val="20"/>
        </w:rPr>
        <w:t xml:space="preserve"> are not certified, they provide additional information about the behavior of the relative permittivity and loss tangent of SRM</w:t>
      </w:r>
      <w:r w:rsidR="007C28BA">
        <w:rPr>
          <w:sz w:val="20"/>
        </w:rPr>
        <w:t> </w:t>
      </w:r>
      <w:r w:rsidR="004339E3">
        <w:rPr>
          <w:sz w:val="20"/>
        </w:rPr>
        <w:t xml:space="preserve">2870 over a </w:t>
      </w:r>
      <w:r w:rsidR="00EE6E47">
        <w:rPr>
          <w:sz w:val="20"/>
        </w:rPr>
        <w:t>frequency</w:t>
      </w:r>
      <w:r w:rsidR="004339E3">
        <w:rPr>
          <w:sz w:val="20"/>
        </w:rPr>
        <w:t xml:space="preserve"> range of 2</w:t>
      </w:r>
      <w:r w:rsidR="004E20CF">
        <w:rPr>
          <w:sz w:val="20"/>
        </w:rPr>
        <w:t> </w:t>
      </w:r>
      <w:r w:rsidR="004339E3">
        <w:rPr>
          <w:sz w:val="20"/>
        </w:rPr>
        <w:t>GHz to 25</w:t>
      </w:r>
      <w:r w:rsidR="004E20CF">
        <w:rPr>
          <w:sz w:val="20"/>
        </w:rPr>
        <w:t> </w:t>
      </w:r>
      <w:r w:rsidR="004339E3">
        <w:rPr>
          <w:sz w:val="20"/>
        </w:rPr>
        <w:t>GHz.  All supplemental measurements were performed at 23</w:t>
      </w:r>
      <w:r w:rsidR="00D73CCA">
        <w:rPr>
          <w:sz w:val="20"/>
        </w:rPr>
        <w:t> </w:t>
      </w:r>
      <w:r w:rsidR="004339E3">
        <w:rPr>
          <w:sz w:val="20"/>
        </w:rPr>
        <w:sym w:font="Symbol" w:char="F0B0"/>
      </w:r>
      <w:r w:rsidR="004339E3">
        <w:rPr>
          <w:sz w:val="20"/>
        </w:rPr>
        <w:t>C</w:t>
      </w:r>
      <w:r w:rsidR="007C28BA">
        <w:rPr>
          <w:sz w:val="20"/>
        </w:rPr>
        <w:t> </w:t>
      </w:r>
      <w:r w:rsidR="004339E3">
        <w:rPr>
          <w:sz w:val="20"/>
        </w:rPr>
        <w:sym w:font="Symbol" w:char="F0B1"/>
      </w:r>
      <w:r w:rsidR="007C28BA">
        <w:rPr>
          <w:sz w:val="20"/>
        </w:rPr>
        <w:t> </w:t>
      </w:r>
      <w:r w:rsidR="004339E3">
        <w:rPr>
          <w:sz w:val="20"/>
        </w:rPr>
        <w:t>2</w:t>
      </w:r>
      <w:r w:rsidR="00D73CCA">
        <w:rPr>
          <w:sz w:val="20"/>
        </w:rPr>
        <w:t> </w:t>
      </w:r>
      <w:r w:rsidR="004339E3">
        <w:rPr>
          <w:sz w:val="20"/>
        </w:rPr>
        <w:sym w:font="Symbol" w:char="F0B0"/>
      </w:r>
      <w:r w:rsidR="004339E3">
        <w:rPr>
          <w:sz w:val="20"/>
        </w:rPr>
        <w:t>C and 40</w:t>
      </w:r>
      <w:r w:rsidR="00D73CCA">
        <w:rPr>
          <w:sz w:val="20"/>
        </w:rPr>
        <w:t> </w:t>
      </w:r>
      <w:r w:rsidR="004339E3">
        <w:rPr>
          <w:sz w:val="20"/>
        </w:rPr>
        <w:t>%</w:t>
      </w:r>
      <w:r w:rsidR="007C28BA">
        <w:rPr>
          <w:sz w:val="20"/>
        </w:rPr>
        <w:t> </w:t>
      </w:r>
      <w:r w:rsidR="004339E3">
        <w:rPr>
          <w:sz w:val="20"/>
        </w:rPr>
        <w:sym w:font="Symbol" w:char="F0B1"/>
      </w:r>
      <w:r w:rsidR="007C28BA">
        <w:rPr>
          <w:sz w:val="20"/>
        </w:rPr>
        <w:t> </w:t>
      </w:r>
      <w:r w:rsidR="004339E3">
        <w:rPr>
          <w:sz w:val="20"/>
        </w:rPr>
        <w:t>5</w:t>
      </w:r>
      <w:r w:rsidR="00D73CCA">
        <w:rPr>
          <w:sz w:val="20"/>
        </w:rPr>
        <w:t> </w:t>
      </w:r>
      <w:r w:rsidR="004339E3">
        <w:rPr>
          <w:sz w:val="20"/>
        </w:rPr>
        <w:t>% relative humidity.</w:t>
      </w:r>
    </w:p>
    <w:p w:rsidR="004339E3" w:rsidRDefault="004339E3" w:rsidP="007C4511">
      <w:pPr>
        <w:jc w:val="both"/>
        <w:rPr>
          <w:b/>
          <w:sz w:val="20"/>
        </w:rPr>
      </w:pPr>
    </w:p>
    <w:p w:rsidR="00AB56A5" w:rsidRDefault="00AB56A5" w:rsidP="007C4511">
      <w:pPr>
        <w:jc w:val="both"/>
        <w:rPr>
          <w:sz w:val="20"/>
        </w:rPr>
      </w:pPr>
      <w:r>
        <w:rPr>
          <w:b/>
          <w:sz w:val="20"/>
        </w:rPr>
        <w:t>Expiration of Certification:</w:t>
      </w:r>
      <w:r>
        <w:rPr>
          <w:sz w:val="20"/>
        </w:rPr>
        <w:t xml:space="preserve"> </w:t>
      </w:r>
      <w:r w:rsidR="00BB2BAF">
        <w:rPr>
          <w:sz w:val="20"/>
        </w:rPr>
        <w:t xml:space="preserve"> </w:t>
      </w:r>
      <w:r>
        <w:rPr>
          <w:sz w:val="20"/>
        </w:rPr>
        <w:t>The certification of</w:t>
      </w:r>
      <w:r w:rsidR="004D53D2">
        <w:rPr>
          <w:sz w:val="20"/>
        </w:rPr>
        <w:t xml:space="preserve"> </w:t>
      </w:r>
      <w:r w:rsidR="004D53D2" w:rsidRPr="00282F75">
        <w:rPr>
          <w:b/>
          <w:sz w:val="20"/>
        </w:rPr>
        <w:t>SRM</w:t>
      </w:r>
      <w:r w:rsidR="007C28BA" w:rsidRPr="00282F75">
        <w:rPr>
          <w:b/>
          <w:sz w:val="20"/>
        </w:rPr>
        <w:t> </w:t>
      </w:r>
      <w:r w:rsidR="000725E8" w:rsidRPr="00282F75">
        <w:rPr>
          <w:b/>
          <w:sz w:val="20"/>
        </w:rPr>
        <w:t>2870</w:t>
      </w:r>
      <w:r w:rsidR="004D53D2">
        <w:rPr>
          <w:sz w:val="20"/>
        </w:rPr>
        <w:t xml:space="preserve"> is valid</w:t>
      </w:r>
      <w:r w:rsidR="0083730A">
        <w:rPr>
          <w:sz w:val="20"/>
        </w:rPr>
        <w:t>,</w:t>
      </w:r>
      <w:r w:rsidR="004D53D2">
        <w:rPr>
          <w:sz w:val="20"/>
        </w:rPr>
        <w:t xml:space="preserve"> </w:t>
      </w:r>
      <w:r w:rsidR="0083730A">
        <w:rPr>
          <w:sz w:val="20"/>
        </w:rPr>
        <w:t>within the measurement uncertaint</w:t>
      </w:r>
      <w:r w:rsidR="00AA6A4E">
        <w:rPr>
          <w:sz w:val="20"/>
        </w:rPr>
        <w:t>y</w:t>
      </w:r>
      <w:r w:rsidR="0083730A">
        <w:rPr>
          <w:sz w:val="20"/>
        </w:rPr>
        <w:t xml:space="preserve"> specified, </w:t>
      </w:r>
      <w:r w:rsidR="004D53D2">
        <w:rPr>
          <w:sz w:val="20"/>
        </w:rPr>
        <w:t xml:space="preserve">until </w:t>
      </w:r>
      <w:r w:rsidR="000725E8" w:rsidRPr="000725E8">
        <w:rPr>
          <w:b/>
          <w:sz w:val="20"/>
        </w:rPr>
        <w:t>0</w:t>
      </w:r>
      <w:r w:rsidR="004D53D2" w:rsidRPr="0083730A">
        <w:rPr>
          <w:b/>
          <w:sz w:val="20"/>
        </w:rPr>
        <w:t>1</w:t>
      </w:r>
      <w:r w:rsidR="007C28BA">
        <w:rPr>
          <w:b/>
          <w:sz w:val="20"/>
        </w:rPr>
        <w:t> </w:t>
      </w:r>
      <w:r w:rsidR="000725E8">
        <w:rPr>
          <w:b/>
          <w:sz w:val="20"/>
        </w:rPr>
        <w:t>January</w:t>
      </w:r>
      <w:r w:rsidR="007C28BA">
        <w:rPr>
          <w:b/>
          <w:sz w:val="20"/>
        </w:rPr>
        <w:t> </w:t>
      </w:r>
      <w:r w:rsidRPr="0083730A">
        <w:rPr>
          <w:b/>
          <w:sz w:val="20"/>
        </w:rPr>
        <w:t>20</w:t>
      </w:r>
      <w:r w:rsidR="0068225E">
        <w:rPr>
          <w:b/>
          <w:sz w:val="20"/>
        </w:rPr>
        <w:t>2</w:t>
      </w:r>
      <w:r w:rsidR="000725E8">
        <w:rPr>
          <w:b/>
          <w:sz w:val="20"/>
        </w:rPr>
        <w:t>4</w:t>
      </w:r>
      <w:r>
        <w:rPr>
          <w:sz w:val="20"/>
        </w:rPr>
        <w:t>, provided the SRM is handled and stored in accordance with the instructions given in this certificate</w:t>
      </w:r>
      <w:r w:rsidR="0083730A">
        <w:rPr>
          <w:sz w:val="20"/>
        </w:rPr>
        <w:t xml:space="preserve"> (see “</w:t>
      </w:r>
      <w:r w:rsidR="000725E8">
        <w:rPr>
          <w:sz w:val="20"/>
        </w:rPr>
        <w:t xml:space="preserve">Instructions for </w:t>
      </w:r>
      <w:r w:rsidR="006D53F9">
        <w:rPr>
          <w:sz w:val="20"/>
        </w:rPr>
        <w:t xml:space="preserve">Storage </w:t>
      </w:r>
      <w:r w:rsidR="000725E8">
        <w:rPr>
          <w:sz w:val="20"/>
        </w:rPr>
        <w:t xml:space="preserve">and </w:t>
      </w:r>
      <w:r w:rsidR="006D53F9">
        <w:rPr>
          <w:sz w:val="20"/>
        </w:rPr>
        <w:t>Use</w:t>
      </w:r>
      <w:r w:rsidR="0083730A">
        <w:rPr>
          <w:sz w:val="20"/>
        </w:rPr>
        <w:t>”)</w:t>
      </w:r>
      <w:r>
        <w:rPr>
          <w:sz w:val="20"/>
        </w:rPr>
        <w:t xml:space="preserve">.  However, the certification is invalid if the SRM is damaged, contaminated, or </w:t>
      </w:r>
      <w:r w:rsidR="00C5056C">
        <w:rPr>
          <w:sz w:val="20"/>
        </w:rPr>
        <w:t xml:space="preserve">otherwise </w:t>
      </w:r>
      <w:r>
        <w:rPr>
          <w:sz w:val="20"/>
        </w:rPr>
        <w:t>modified.</w:t>
      </w:r>
    </w:p>
    <w:p w:rsidR="00AB56A5" w:rsidRDefault="00AB56A5" w:rsidP="007C4511">
      <w:pPr>
        <w:tabs>
          <w:tab w:val="left" w:pos="-1181"/>
          <w:tab w:val="left" w:pos="-720"/>
        </w:tabs>
        <w:jc w:val="both"/>
        <w:rPr>
          <w:sz w:val="20"/>
        </w:rPr>
      </w:pPr>
    </w:p>
    <w:p w:rsidR="00E16D0A" w:rsidRDefault="00E16D0A" w:rsidP="007C4511">
      <w:pPr>
        <w:tabs>
          <w:tab w:val="left" w:pos="-1123"/>
          <w:tab w:val="left" w:pos="-720"/>
        </w:tabs>
        <w:jc w:val="both"/>
        <w:rPr>
          <w:sz w:val="20"/>
        </w:rPr>
      </w:pPr>
      <w:r>
        <w:rPr>
          <w:b/>
          <w:sz w:val="20"/>
        </w:rPr>
        <w:t>Maintenance of SRM Certification:</w:t>
      </w:r>
      <w:r>
        <w:rPr>
          <w:sz w:val="20"/>
        </w:rPr>
        <w:t xml:space="preserve"> </w:t>
      </w:r>
      <w:r w:rsidR="00BB2BAF">
        <w:rPr>
          <w:sz w:val="20"/>
        </w:rPr>
        <w:t xml:space="preserve"> </w:t>
      </w:r>
      <w:r>
        <w:rPr>
          <w:sz w:val="20"/>
        </w:rPr>
        <w:t xml:space="preserve">NIST will monitor this SRM over the period of its certification.  If substantive </w:t>
      </w:r>
      <w:r w:rsidR="0068225E">
        <w:rPr>
          <w:sz w:val="20"/>
        </w:rPr>
        <w:t xml:space="preserve">technical </w:t>
      </w:r>
      <w:r>
        <w:rPr>
          <w:sz w:val="20"/>
        </w:rPr>
        <w:t xml:space="preserve">changes occur that affect the certification before the expiration of this certificate, NIST will notify the purchaser.  Registration </w:t>
      </w:r>
      <w:r w:rsidR="0083730A">
        <w:rPr>
          <w:sz w:val="20"/>
        </w:rPr>
        <w:t xml:space="preserve">(see attached sheet) </w:t>
      </w:r>
      <w:r>
        <w:rPr>
          <w:sz w:val="20"/>
        </w:rPr>
        <w:t>will facilitate notification.</w:t>
      </w:r>
    </w:p>
    <w:p w:rsidR="00E16D0A" w:rsidRDefault="00E16D0A" w:rsidP="007C4511">
      <w:pPr>
        <w:tabs>
          <w:tab w:val="left" w:pos="-1181"/>
          <w:tab w:val="left" w:pos="-720"/>
        </w:tabs>
        <w:jc w:val="both"/>
        <w:rPr>
          <w:sz w:val="20"/>
        </w:rPr>
      </w:pPr>
    </w:p>
    <w:p w:rsidR="00E16D0A" w:rsidRDefault="00E16D0A" w:rsidP="007C4511">
      <w:pPr>
        <w:tabs>
          <w:tab w:val="left" w:pos="-1123"/>
          <w:tab w:val="left" w:pos="-720"/>
        </w:tabs>
        <w:jc w:val="both"/>
        <w:rPr>
          <w:sz w:val="20"/>
        </w:rPr>
      </w:pPr>
      <w:r>
        <w:rPr>
          <w:sz w:val="20"/>
        </w:rPr>
        <w:t>The coordination of the technical measurements leading to the certification of SRM</w:t>
      </w:r>
      <w:r w:rsidR="007C28BA">
        <w:rPr>
          <w:sz w:val="20"/>
        </w:rPr>
        <w:t> </w:t>
      </w:r>
      <w:r w:rsidR="000725E8">
        <w:rPr>
          <w:sz w:val="20"/>
        </w:rPr>
        <w:t>2870</w:t>
      </w:r>
      <w:r>
        <w:rPr>
          <w:sz w:val="20"/>
        </w:rPr>
        <w:t xml:space="preserve"> was under the leadership of M.</w:t>
      </w:r>
      <w:r w:rsidR="000725E8">
        <w:rPr>
          <w:sz w:val="20"/>
        </w:rPr>
        <w:t>D</w:t>
      </w:r>
      <w:r>
        <w:rPr>
          <w:sz w:val="20"/>
        </w:rPr>
        <w:t>.</w:t>
      </w:r>
      <w:r w:rsidR="00D73CCA">
        <w:rPr>
          <w:sz w:val="20"/>
        </w:rPr>
        <w:t> </w:t>
      </w:r>
      <w:r w:rsidR="000725E8">
        <w:rPr>
          <w:sz w:val="20"/>
        </w:rPr>
        <w:t>Janezic</w:t>
      </w:r>
      <w:r>
        <w:rPr>
          <w:sz w:val="20"/>
        </w:rPr>
        <w:t xml:space="preserve"> of the NIST </w:t>
      </w:r>
      <w:r w:rsidR="000725E8">
        <w:rPr>
          <w:sz w:val="20"/>
        </w:rPr>
        <w:t xml:space="preserve">Electromagnetics </w:t>
      </w:r>
      <w:r>
        <w:rPr>
          <w:sz w:val="20"/>
        </w:rPr>
        <w:t>Division.</w:t>
      </w:r>
    </w:p>
    <w:p w:rsidR="00431CD1" w:rsidRDefault="00431CD1" w:rsidP="007C4511">
      <w:pPr>
        <w:tabs>
          <w:tab w:val="left" w:pos="-1123"/>
          <w:tab w:val="left" w:pos="-720"/>
        </w:tabs>
        <w:jc w:val="both"/>
        <w:rPr>
          <w:sz w:val="20"/>
        </w:rPr>
      </w:pPr>
    </w:p>
    <w:p w:rsidR="00431CD1" w:rsidRDefault="00431CD1" w:rsidP="007C4511">
      <w:pPr>
        <w:tabs>
          <w:tab w:val="left" w:pos="-1123"/>
          <w:tab w:val="left" w:pos="-720"/>
        </w:tabs>
        <w:jc w:val="both"/>
        <w:rPr>
          <w:sz w:val="20"/>
        </w:rPr>
      </w:pPr>
      <w:r>
        <w:rPr>
          <w:sz w:val="20"/>
        </w:rPr>
        <w:t>Statistical consultation was provided by J.D.</w:t>
      </w:r>
      <w:r w:rsidR="0068225E">
        <w:rPr>
          <w:sz w:val="20"/>
        </w:rPr>
        <w:t> </w:t>
      </w:r>
      <w:proofErr w:type="spellStart"/>
      <w:r>
        <w:rPr>
          <w:sz w:val="20"/>
        </w:rPr>
        <w:t>Splett</w:t>
      </w:r>
      <w:proofErr w:type="spellEnd"/>
      <w:r>
        <w:rPr>
          <w:sz w:val="20"/>
        </w:rPr>
        <w:t xml:space="preserve"> and K.J.</w:t>
      </w:r>
      <w:r w:rsidR="006D53F9">
        <w:rPr>
          <w:sz w:val="20"/>
        </w:rPr>
        <w:t> </w:t>
      </w:r>
      <w:proofErr w:type="spellStart"/>
      <w:r>
        <w:rPr>
          <w:sz w:val="20"/>
        </w:rPr>
        <w:t>Coakley</w:t>
      </w:r>
      <w:proofErr w:type="spellEnd"/>
      <w:r>
        <w:rPr>
          <w:sz w:val="20"/>
        </w:rPr>
        <w:t xml:space="preserve"> of the NIST Statistical Engineering Division.</w:t>
      </w:r>
    </w:p>
    <w:p w:rsidR="00431CD1" w:rsidRDefault="00431CD1" w:rsidP="007C4511">
      <w:pPr>
        <w:tabs>
          <w:tab w:val="left" w:pos="-1123"/>
          <w:tab w:val="left" w:pos="-720"/>
        </w:tabs>
        <w:jc w:val="both"/>
        <w:rPr>
          <w:sz w:val="20"/>
        </w:rPr>
      </w:pPr>
    </w:p>
    <w:p w:rsidR="00431CD1" w:rsidRDefault="00AA6A4E" w:rsidP="007C4511">
      <w:pPr>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Pr>
          <w:sz w:val="20"/>
        </w:rPr>
        <w:t>S</w:t>
      </w:r>
      <w:r w:rsidR="00431CD1">
        <w:rPr>
          <w:sz w:val="20"/>
        </w:rPr>
        <w:t xml:space="preserve">upport aspects involved in the issuance of this SRM were coordinated through the </w:t>
      </w:r>
      <w:r>
        <w:rPr>
          <w:sz w:val="20"/>
        </w:rPr>
        <w:t xml:space="preserve">Office of </w:t>
      </w:r>
      <w:r w:rsidR="00282F75">
        <w:rPr>
          <w:sz w:val="20"/>
        </w:rPr>
        <w:t>Reference Materials</w:t>
      </w:r>
      <w:r w:rsidR="00431CD1">
        <w:rPr>
          <w:sz w:val="20"/>
        </w:rPr>
        <w:t>.</w:t>
      </w:r>
    </w:p>
    <w:p w:rsidR="00431CD1" w:rsidRDefault="00431CD1" w:rsidP="007C4511">
      <w:pPr>
        <w:tabs>
          <w:tab w:val="left" w:pos="-1123"/>
          <w:tab w:val="left" w:pos="-720"/>
        </w:tabs>
        <w:jc w:val="both"/>
        <w:rPr>
          <w:sz w:val="20"/>
        </w:rPr>
      </w:pPr>
    </w:p>
    <w:p w:rsidR="007C4511" w:rsidRDefault="007C4511" w:rsidP="007C4511">
      <w:pPr>
        <w:tabs>
          <w:tab w:val="left" w:pos="-1123"/>
          <w:tab w:val="left" w:pos="-720"/>
        </w:tabs>
        <w:jc w:val="both"/>
        <w:rPr>
          <w:sz w:val="20"/>
        </w:rPr>
      </w:pPr>
    </w:p>
    <w:p w:rsidR="007C4511" w:rsidRDefault="007C4511" w:rsidP="007C4511">
      <w:pPr>
        <w:tabs>
          <w:tab w:val="left" w:pos="-1123"/>
          <w:tab w:val="left" w:pos="-720"/>
        </w:tabs>
        <w:jc w:val="both"/>
        <w:rPr>
          <w:sz w:val="20"/>
        </w:rPr>
      </w:pPr>
    </w:p>
    <w:p w:rsidR="00AB56A5" w:rsidRDefault="00431CD1" w:rsidP="007C4511">
      <w:pPr>
        <w:tabs>
          <w:tab w:val="left" w:pos="-1181"/>
          <w:tab w:val="left" w:pos="-720"/>
          <w:tab w:val="left" w:pos="0"/>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Pr>
          <w:sz w:val="20"/>
        </w:rPr>
        <w:tab/>
      </w:r>
      <w:r w:rsidR="00AA6A4E">
        <w:rPr>
          <w:sz w:val="20"/>
        </w:rPr>
        <w:t>Perry F. Wilson</w:t>
      </w:r>
      <w:r w:rsidR="00AB56A5">
        <w:rPr>
          <w:sz w:val="20"/>
        </w:rPr>
        <w:t xml:space="preserve">, </w:t>
      </w:r>
      <w:r w:rsidR="00AA6A4E">
        <w:rPr>
          <w:sz w:val="20"/>
        </w:rPr>
        <w:t xml:space="preserve">Acting </w:t>
      </w:r>
      <w:r w:rsidR="00AB56A5">
        <w:rPr>
          <w:sz w:val="20"/>
        </w:rPr>
        <w:t>Chief</w:t>
      </w:r>
    </w:p>
    <w:p w:rsidR="00AB56A5" w:rsidRDefault="00431CD1" w:rsidP="007C4511">
      <w:pPr>
        <w:tabs>
          <w:tab w:val="left" w:pos="-1181"/>
          <w:tab w:val="left" w:pos="-720"/>
          <w:tab w:val="left" w:pos="0"/>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Pr>
          <w:sz w:val="20"/>
        </w:rPr>
        <w:tab/>
        <w:t>Electromagnetics</w:t>
      </w:r>
      <w:r w:rsidR="00AB56A5">
        <w:rPr>
          <w:sz w:val="20"/>
        </w:rPr>
        <w:t xml:space="preserve"> Division</w:t>
      </w:r>
    </w:p>
    <w:p w:rsidR="00AB56A5" w:rsidRDefault="00AB56A5" w:rsidP="007C4511">
      <w:pPr>
        <w:tabs>
          <w:tab w:val="left" w:pos="-1181"/>
          <w:tab w:val="left" w:pos="-720"/>
          <w:tab w:val="left" w:pos="0"/>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rsidR="00AB56A5" w:rsidRDefault="00AB56A5" w:rsidP="007C4511">
      <w:pPr>
        <w:tabs>
          <w:tab w:val="left" w:pos="-1123"/>
          <w:tab w:val="left" w:pos="-720"/>
          <w:tab w:val="left" w:pos="0"/>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Pr>
          <w:sz w:val="20"/>
        </w:rPr>
        <w:t>Gaithersburg,</w:t>
      </w:r>
      <w:r w:rsidR="007C28BA">
        <w:rPr>
          <w:sz w:val="20"/>
        </w:rPr>
        <w:t> </w:t>
      </w:r>
      <w:r>
        <w:rPr>
          <w:sz w:val="20"/>
        </w:rPr>
        <w:t>MD</w:t>
      </w:r>
      <w:r w:rsidR="007C28BA">
        <w:rPr>
          <w:sz w:val="20"/>
        </w:rPr>
        <w:t> </w:t>
      </w:r>
      <w:r>
        <w:rPr>
          <w:sz w:val="20"/>
        </w:rPr>
        <w:t>20899</w:t>
      </w:r>
      <w:r>
        <w:rPr>
          <w:sz w:val="20"/>
        </w:rPr>
        <w:tab/>
      </w:r>
      <w:r w:rsidR="00EE072A">
        <w:rPr>
          <w:sz w:val="20"/>
        </w:rPr>
        <w:t>Robert</w:t>
      </w:r>
      <w:r w:rsidR="007C28BA">
        <w:rPr>
          <w:sz w:val="20"/>
        </w:rPr>
        <w:t> </w:t>
      </w:r>
      <w:r w:rsidR="000A442B">
        <w:rPr>
          <w:sz w:val="20"/>
        </w:rPr>
        <w:t>L.</w:t>
      </w:r>
      <w:r w:rsidR="007C28BA">
        <w:rPr>
          <w:sz w:val="20"/>
        </w:rPr>
        <w:t> </w:t>
      </w:r>
      <w:r w:rsidR="00EE072A">
        <w:rPr>
          <w:sz w:val="20"/>
        </w:rPr>
        <w:t>Watters</w:t>
      </w:r>
      <w:r w:rsidR="007C28BA">
        <w:rPr>
          <w:sz w:val="20"/>
        </w:rPr>
        <w:t> </w:t>
      </w:r>
      <w:r w:rsidR="00EE072A">
        <w:rPr>
          <w:sz w:val="20"/>
        </w:rPr>
        <w:t xml:space="preserve">Jr., </w:t>
      </w:r>
      <w:r w:rsidR="007C28BA">
        <w:rPr>
          <w:sz w:val="20"/>
        </w:rPr>
        <w:t>Director</w:t>
      </w:r>
    </w:p>
    <w:p w:rsidR="00EB4369" w:rsidRDefault="00BE453A" w:rsidP="007C4511">
      <w:pPr>
        <w:tabs>
          <w:tab w:val="left" w:pos="-1123"/>
          <w:tab w:val="left" w:pos="-720"/>
          <w:tab w:val="left" w:pos="0"/>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Pr>
          <w:sz w:val="20"/>
        </w:rPr>
        <w:t>Certificate Issue Date:</w:t>
      </w:r>
      <w:r w:rsidR="007C28BA">
        <w:rPr>
          <w:sz w:val="20"/>
        </w:rPr>
        <w:t>  0</w:t>
      </w:r>
      <w:r w:rsidR="00282F75">
        <w:rPr>
          <w:sz w:val="20"/>
        </w:rPr>
        <w:t>6</w:t>
      </w:r>
      <w:r w:rsidR="007C28BA">
        <w:rPr>
          <w:sz w:val="20"/>
        </w:rPr>
        <w:t> February </w:t>
      </w:r>
      <w:r w:rsidR="006036A9">
        <w:rPr>
          <w:sz w:val="20"/>
        </w:rPr>
        <w:t>20</w:t>
      </w:r>
      <w:r w:rsidR="007C28BA">
        <w:rPr>
          <w:sz w:val="20"/>
        </w:rPr>
        <w:t>13</w:t>
      </w:r>
      <w:r w:rsidR="0071338E">
        <w:rPr>
          <w:sz w:val="20"/>
        </w:rPr>
        <w:tab/>
      </w:r>
      <w:r w:rsidR="007C28BA">
        <w:rPr>
          <w:sz w:val="20"/>
        </w:rPr>
        <w:t>Office of Reference Materials</w:t>
      </w:r>
    </w:p>
    <w:p w:rsidR="005A5ECF" w:rsidRDefault="006D53F9" w:rsidP="007C4511">
      <w:pPr>
        <w:tabs>
          <w:tab w:val="left" w:pos="-1123"/>
          <w:tab w:val="left" w:pos="-720"/>
          <w:tab w:val="left" w:pos="0"/>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Pr>
          <w:i/>
          <w:sz w:val="16"/>
          <w:szCs w:val="16"/>
        </w:rPr>
        <w:t xml:space="preserve">Certificate </w:t>
      </w:r>
      <w:r w:rsidR="005A5ECF">
        <w:rPr>
          <w:i/>
          <w:sz w:val="16"/>
          <w:szCs w:val="16"/>
        </w:rPr>
        <w:t>Revision History on Last Page</w:t>
      </w:r>
    </w:p>
    <w:p w:rsidR="00EB4369" w:rsidRDefault="00EB4369" w:rsidP="007C4511">
      <w:pPr>
        <w:tabs>
          <w:tab w:val="left" w:pos="-1123"/>
          <w:tab w:val="left" w:pos="-720"/>
          <w:tab w:val="left" w:pos="0"/>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sectPr w:rsidR="00EB4369" w:rsidSect="007C4511">
          <w:footerReference w:type="even" r:id="rId10"/>
          <w:footerReference w:type="default" r:id="rId11"/>
          <w:footnotePr>
            <w:numFmt w:val="chicago"/>
          </w:footnotePr>
          <w:endnotePr>
            <w:numFmt w:val="decimal"/>
          </w:endnotePr>
          <w:type w:val="continuous"/>
          <w:pgSz w:w="12240" w:h="15840" w:code="1"/>
          <w:pgMar w:top="720" w:right="1440" w:bottom="720" w:left="1440" w:header="720" w:footer="432" w:gutter="0"/>
          <w:cols w:space="720"/>
          <w:docGrid w:linePitch="326"/>
        </w:sectPr>
      </w:pPr>
    </w:p>
    <w:p w:rsidR="00AB56A5" w:rsidRDefault="0017621F" w:rsidP="007C4511">
      <w:pPr>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jc w:val="both"/>
        <w:rPr>
          <w:sz w:val="20"/>
        </w:rPr>
      </w:pPr>
      <w:r>
        <w:rPr>
          <w:b/>
          <w:sz w:val="20"/>
        </w:rPr>
        <w:lastRenderedPageBreak/>
        <w:t xml:space="preserve">INSTRUCTION FOR </w:t>
      </w:r>
      <w:r w:rsidR="00663619">
        <w:rPr>
          <w:b/>
          <w:sz w:val="20"/>
        </w:rPr>
        <w:t xml:space="preserve">STORAGE AND </w:t>
      </w:r>
      <w:r>
        <w:rPr>
          <w:b/>
          <w:sz w:val="20"/>
        </w:rPr>
        <w:t>USE</w:t>
      </w:r>
    </w:p>
    <w:p w:rsidR="00AB56A5" w:rsidRDefault="00AB56A5" w:rsidP="007C4511">
      <w:pPr>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Pr>
          <w:b/>
          <w:sz w:val="20"/>
        </w:rPr>
        <w:t>Storage:</w:t>
      </w:r>
      <w:r w:rsidR="0017621F">
        <w:rPr>
          <w:sz w:val="20"/>
        </w:rPr>
        <w:t xml:space="preserve">  When not in use, S</w:t>
      </w:r>
      <w:r>
        <w:rPr>
          <w:sz w:val="20"/>
        </w:rPr>
        <w:t>RM</w:t>
      </w:r>
      <w:r w:rsidR="007C28BA">
        <w:rPr>
          <w:sz w:val="20"/>
        </w:rPr>
        <w:t> </w:t>
      </w:r>
      <w:r w:rsidR="0068225E">
        <w:rPr>
          <w:sz w:val="20"/>
        </w:rPr>
        <w:t>2</w:t>
      </w:r>
      <w:r w:rsidR="0017621F">
        <w:rPr>
          <w:sz w:val="20"/>
        </w:rPr>
        <w:t>870</w:t>
      </w:r>
      <w:r>
        <w:rPr>
          <w:sz w:val="20"/>
        </w:rPr>
        <w:t xml:space="preserve"> </w:t>
      </w:r>
      <w:r w:rsidR="0017621F">
        <w:rPr>
          <w:sz w:val="20"/>
        </w:rPr>
        <w:t>should be stored at room temperature, below 50</w:t>
      </w:r>
      <w:r w:rsidR="004E20CF">
        <w:rPr>
          <w:sz w:val="20"/>
        </w:rPr>
        <w:t> </w:t>
      </w:r>
      <w:r w:rsidR="0017621F">
        <w:rPr>
          <w:sz w:val="20"/>
        </w:rPr>
        <w:t>% relative humidity, in the provided container</w:t>
      </w:r>
      <w:r>
        <w:rPr>
          <w:sz w:val="20"/>
        </w:rPr>
        <w:t>.</w:t>
      </w:r>
    </w:p>
    <w:p w:rsidR="00AB56A5" w:rsidRDefault="00AB56A5" w:rsidP="007C4511">
      <w:pPr>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rsidR="00AB56A5" w:rsidRDefault="0017621F" w:rsidP="007C4511">
      <w:pPr>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Pr>
          <w:b/>
          <w:sz w:val="20"/>
        </w:rPr>
        <w:t xml:space="preserve">Instruction for </w:t>
      </w:r>
      <w:r w:rsidR="00B6215C">
        <w:rPr>
          <w:b/>
          <w:sz w:val="20"/>
        </w:rPr>
        <w:t>U</w:t>
      </w:r>
      <w:r>
        <w:rPr>
          <w:b/>
          <w:sz w:val="20"/>
        </w:rPr>
        <w:t xml:space="preserve">se and </w:t>
      </w:r>
      <w:r w:rsidR="00B6215C">
        <w:rPr>
          <w:b/>
          <w:sz w:val="20"/>
        </w:rPr>
        <w:t>H</w:t>
      </w:r>
      <w:r w:rsidR="00AB56A5">
        <w:rPr>
          <w:b/>
          <w:sz w:val="20"/>
        </w:rPr>
        <w:t>andling:</w:t>
      </w:r>
      <w:r w:rsidR="00AB56A5">
        <w:rPr>
          <w:sz w:val="20"/>
        </w:rPr>
        <w:t xml:space="preserve"> </w:t>
      </w:r>
      <w:r w:rsidR="00BB2BAF">
        <w:rPr>
          <w:sz w:val="20"/>
        </w:rPr>
        <w:t xml:space="preserve"> </w:t>
      </w:r>
      <w:r>
        <w:rPr>
          <w:sz w:val="20"/>
        </w:rPr>
        <w:t xml:space="preserve">Contaminants on the surfaces of the specimen can be </w:t>
      </w:r>
      <w:r w:rsidR="008C54E2">
        <w:rPr>
          <w:sz w:val="20"/>
        </w:rPr>
        <w:t xml:space="preserve">a </w:t>
      </w:r>
      <w:r>
        <w:rPr>
          <w:sz w:val="20"/>
        </w:rPr>
        <w:t>source of measurement error; therefore, prior to measurement, contaminants on the surfaces should be removed.  To remove the contaminants, clean each sample with 99</w:t>
      </w:r>
      <w:r w:rsidR="004E20CF">
        <w:rPr>
          <w:sz w:val="20"/>
        </w:rPr>
        <w:t> </w:t>
      </w:r>
      <w:r>
        <w:rPr>
          <w:sz w:val="20"/>
        </w:rPr>
        <w:t>% pure isopropyl alcohol and a lint-free cloth, making sure that the alcohol has completely evaporated.  In addition, use lint-free gloves to avoid contact with the specimen.</w:t>
      </w:r>
    </w:p>
    <w:p w:rsidR="0017621F" w:rsidRDefault="0017621F" w:rsidP="007C4511">
      <w:pPr>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rsidR="00AB56A5" w:rsidRDefault="00AB56A5" w:rsidP="007C4511">
      <w:pPr>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jc w:val="both"/>
        <w:rPr>
          <w:sz w:val="20"/>
        </w:rPr>
      </w:pPr>
      <w:r>
        <w:rPr>
          <w:b/>
          <w:sz w:val="20"/>
        </w:rPr>
        <w:t>PREPARATION AND ANALYSIS</w:t>
      </w:r>
      <w:r w:rsidR="0068225E" w:rsidRPr="00282F75">
        <w:rPr>
          <w:b/>
          <w:sz w:val="20"/>
          <w:vertAlign w:val="superscript"/>
        </w:rPr>
        <w:t>(</w:t>
      </w:r>
      <w:r w:rsidR="00550647">
        <w:rPr>
          <w:rStyle w:val="FootnoteReference"/>
          <w:b/>
          <w:sz w:val="20"/>
        </w:rPr>
        <w:footnoteReference w:id="1"/>
      </w:r>
      <w:r w:rsidR="0068225E" w:rsidRPr="00282F75">
        <w:rPr>
          <w:b/>
          <w:sz w:val="20"/>
          <w:vertAlign w:val="superscript"/>
        </w:rPr>
        <w:t>)</w:t>
      </w:r>
    </w:p>
    <w:p w:rsidR="00AB56A5" w:rsidRDefault="00AB56A5" w:rsidP="007C4511">
      <w:pPr>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Pr>
          <w:b/>
          <w:sz w:val="20"/>
        </w:rPr>
        <w:t>S</w:t>
      </w:r>
      <w:r w:rsidR="0017621F">
        <w:rPr>
          <w:b/>
          <w:sz w:val="20"/>
        </w:rPr>
        <w:t>ource and Fabrication of Material</w:t>
      </w:r>
      <w:r>
        <w:rPr>
          <w:b/>
          <w:sz w:val="20"/>
        </w:rPr>
        <w:t>:</w:t>
      </w:r>
      <w:r>
        <w:rPr>
          <w:sz w:val="20"/>
        </w:rPr>
        <w:t xml:space="preserve"> </w:t>
      </w:r>
      <w:r w:rsidR="00550647">
        <w:rPr>
          <w:sz w:val="20"/>
        </w:rPr>
        <w:t xml:space="preserve"> </w:t>
      </w:r>
      <w:r w:rsidR="0017621F">
        <w:rPr>
          <w:sz w:val="20"/>
        </w:rPr>
        <w:t>The cross-linked polystyrene (Rexolite</w:t>
      </w:r>
      <w:r w:rsidR="007C28BA">
        <w:rPr>
          <w:sz w:val="20"/>
        </w:rPr>
        <w:t> </w:t>
      </w:r>
      <w:r w:rsidR="0017621F">
        <w:rPr>
          <w:sz w:val="20"/>
        </w:rPr>
        <w:t>1422) sheet was manufactured by C</w:t>
      </w:r>
      <w:r w:rsidR="00BB50F5">
        <w:rPr>
          <w:sz w:val="20"/>
        </w:rPr>
        <w:noBreakHyphen/>
      </w:r>
      <w:r w:rsidR="0017621F">
        <w:rPr>
          <w:sz w:val="20"/>
        </w:rPr>
        <w:t>Lee Plastics (Philadelphia,</w:t>
      </w:r>
      <w:r w:rsidR="007C28BA">
        <w:rPr>
          <w:sz w:val="20"/>
        </w:rPr>
        <w:t> </w:t>
      </w:r>
      <w:r w:rsidR="0017621F">
        <w:rPr>
          <w:sz w:val="20"/>
        </w:rPr>
        <w:t>PA) and fabricated into individual samples by Colorado Precision Optics (Longmount,</w:t>
      </w:r>
      <w:r w:rsidR="00BB50F5">
        <w:rPr>
          <w:sz w:val="20"/>
        </w:rPr>
        <w:t> </w:t>
      </w:r>
      <w:r w:rsidR="0017621F">
        <w:rPr>
          <w:sz w:val="20"/>
        </w:rPr>
        <w:t>CO).</w:t>
      </w:r>
    </w:p>
    <w:p w:rsidR="003F7DDD" w:rsidRDefault="003F7DDD" w:rsidP="007C4511">
      <w:pPr>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jc w:val="both"/>
        <w:rPr>
          <w:sz w:val="20"/>
        </w:rPr>
      </w:pPr>
    </w:p>
    <w:p w:rsidR="004339E3" w:rsidRDefault="004339E3" w:rsidP="007C4511">
      <w:pPr>
        <w:jc w:val="center"/>
        <w:rPr>
          <w:sz w:val="20"/>
        </w:rPr>
      </w:pPr>
      <w:r>
        <w:rPr>
          <w:sz w:val="20"/>
        </w:rPr>
        <w:t>Table</w:t>
      </w:r>
      <w:r w:rsidR="007C28BA">
        <w:rPr>
          <w:sz w:val="20"/>
        </w:rPr>
        <w:t> </w:t>
      </w:r>
      <w:r>
        <w:rPr>
          <w:sz w:val="20"/>
        </w:rPr>
        <w:t>1.  Certified Values for SRM</w:t>
      </w:r>
      <w:r w:rsidR="000F003E">
        <w:rPr>
          <w:sz w:val="20"/>
        </w:rPr>
        <w:t> </w:t>
      </w:r>
      <w:r>
        <w:rPr>
          <w:sz w:val="20"/>
        </w:rPr>
        <w:t>2870</w:t>
      </w:r>
      <w:r w:rsidRPr="004339E3">
        <w:rPr>
          <w:sz w:val="20"/>
          <w:vertAlign w:val="superscript"/>
        </w:rPr>
        <w:t>(a)</w:t>
      </w:r>
    </w:p>
    <w:p w:rsidR="004339E3" w:rsidRDefault="004339E3" w:rsidP="007C4511">
      <w:pPr>
        <w:jc w:val="center"/>
        <w:rPr>
          <w:sz w:val="20"/>
        </w:rPr>
      </w:pPr>
    </w:p>
    <w:p w:rsidR="004339E3" w:rsidRDefault="004339E3" w:rsidP="007C4511">
      <w:pPr>
        <w:tabs>
          <w:tab w:val="left" w:pos="1440"/>
          <w:tab w:val="left" w:pos="3840"/>
          <w:tab w:val="left" w:pos="6720"/>
        </w:tabs>
        <w:rPr>
          <w:sz w:val="20"/>
        </w:rPr>
      </w:pPr>
      <w:r>
        <w:rPr>
          <w:sz w:val="20"/>
        </w:rPr>
        <w:tab/>
        <w:t>Frequency</w:t>
      </w:r>
      <w:r>
        <w:rPr>
          <w:sz w:val="20"/>
        </w:rPr>
        <w:tab/>
        <w:t>Relative Permittivity</w:t>
      </w:r>
      <w:r>
        <w:rPr>
          <w:sz w:val="20"/>
        </w:rPr>
        <w:tab/>
        <w:t>Loss Tangent</w:t>
      </w:r>
    </w:p>
    <w:p w:rsidR="004339E3" w:rsidRDefault="004339E3" w:rsidP="007C4511">
      <w:pPr>
        <w:tabs>
          <w:tab w:val="left" w:pos="1560"/>
          <w:tab w:val="left" w:pos="4200"/>
          <w:tab w:val="left" w:pos="7320"/>
        </w:tabs>
        <w:spacing w:after="120"/>
        <w:rPr>
          <w:sz w:val="20"/>
        </w:rPr>
      </w:pPr>
      <w:r>
        <w:rPr>
          <w:sz w:val="20"/>
        </w:rPr>
        <w:tab/>
        <w:t>(GHz)</w:t>
      </w:r>
    </w:p>
    <w:p w:rsidR="004339E3" w:rsidRDefault="004339E3" w:rsidP="007C4511">
      <w:pPr>
        <w:tabs>
          <w:tab w:val="left" w:pos="1680"/>
          <w:tab w:val="left" w:pos="3924"/>
          <w:tab w:val="left" w:pos="6480"/>
        </w:tabs>
        <w:rPr>
          <w:sz w:val="20"/>
        </w:rPr>
      </w:pPr>
      <w:r>
        <w:rPr>
          <w:sz w:val="20"/>
        </w:rPr>
        <w:tab/>
        <w:t>10</w:t>
      </w:r>
      <w:r>
        <w:rPr>
          <w:sz w:val="20"/>
        </w:rPr>
        <w:tab/>
      </w:r>
      <w:r w:rsidR="00EB6091">
        <w:rPr>
          <w:sz w:val="20"/>
        </w:rPr>
        <w:t>SAMPLE</w:t>
      </w:r>
      <w:r w:rsidR="007C28BA">
        <w:rPr>
          <w:sz w:val="20"/>
        </w:rPr>
        <w:t>  </w:t>
      </w:r>
      <w:r>
        <w:rPr>
          <w:sz w:val="20"/>
        </w:rPr>
        <w:sym w:font="Symbol" w:char="F0B1"/>
      </w:r>
      <w:r w:rsidR="007C28BA">
        <w:rPr>
          <w:sz w:val="20"/>
        </w:rPr>
        <w:t>  </w:t>
      </w:r>
      <w:r>
        <w:rPr>
          <w:sz w:val="20"/>
        </w:rPr>
        <w:t>0.004</w:t>
      </w:r>
      <w:r>
        <w:rPr>
          <w:sz w:val="20"/>
        </w:rPr>
        <w:tab/>
      </w:r>
      <w:r w:rsidR="00EB6091">
        <w:rPr>
          <w:sz w:val="20"/>
        </w:rPr>
        <w:t>SAMPLE</w:t>
      </w:r>
      <w:r w:rsidR="0068225E">
        <w:rPr>
          <w:sz w:val="20"/>
        </w:rPr>
        <w:t>  </w:t>
      </w:r>
      <w:r>
        <w:rPr>
          <w:sz w:val="20"/>
        </w:rPr>
        <w:sym w:font="Symbol" w:char="F0B1"/>
      </w:r>
      <w:r w:rsidR="0068225E">
        <w:rPr>
          <w:sz w:val="20"/>
        </w:rPr>
        <w:t>  </w:t>
      </w:r>
      <w:r>
        <w:rPr>
          <w:sz w:val="20"/>
        </w:rPr>
        <w:t>0.0000</w:t>
      </w:r>
      <w:r w:rsidR="00653F99">
        <w:rPr>
          <w:sz w:val="20"/>
        </w:rPr>
        <w:t>2</w:t>
      </w:r>
    </w:p>
    <w:p w:rsidR="004339E3" w:rsidRDefault="004339E3" w:rsidP="007C4511">
      <w:pPr>
        <w:jc w:val="both"/>
        <w:rPr>
          <w:sz w:val="20"/>
        </w:rPr>
      </w:pPr>
    </w:p>
    <w:p w:rsidR="004339E3" w:rsidRPr="00092C99" w:rsidRDefault="004339E3" w:rsidP="007C4511">
      <w:pPr>
        <w:tabs>
          <w:tab w:val="left" w:pos="240"/>
        </w:tabs>
        <w:ind w:left="240" w:hanging="240"/>
        <w:jc w:val="both"/>
        <w:rPr>
          <w:sz w:val="18"/>
          <w:szCs w:val="18"/>
        </w:rPr>
      </w:pPr>
      <w:r w:rsidRPr="00092C99">
        <w:rPr>
          <w:sz w:val="18"/>
          <w:szCs w:val="18"/>
          <w:vertAlign w:val="superscript"/>
        </w:rPr>
        <w:t>(a)</w:t>
      </w:r>
      <w:r w:rsidR="00395302">
        <w:rPr>
          <w:sz w:val="18"/>
          <w:szCs w:val="18"/>
          <w:vertAlign w:val="superscript"/>
        </w:rPr>
        <w:tab/>
      </w:r>
      <w:r w:rsidRPr="00092C99">
        <w:rPr>
          <w:sz w:val="18"/>
          <w:szCs w:val="18"/>
        </w:rPr>
        <w:t xml:space="preserve">Certified values of relative permittivity and loss tangent are based on equally weighted means of three repeat measurements completed on different days.  The uncertainty in each certified value is an expanded uncertainty, </w:t>
      </w:r>
      <w:r w:rsidRPr="00092C99">
        <w:rPr>
          <w:i/>
          <w:sz w:val="18"/>
          <w:szCs w:val="18"/>
        </w:rPr>
        <w:t>U </w:t>
      </w:r>
      <w:r w:rsidRPr="00092C99">
        <w:rPr>
          <w:sz w:val="18"/>
          <w:szCs w:val="18"/>
        </w:rPr>
        <w:t>= </w:t>
      </w:r>
      <w:r w:rsidRPr="00092C99">
        <w:rPr>
          <w:i/>
          <w:sz w:val="18"/>
          <w:szCs w:val="18"/>
        </w:rPr>
        <w:t>ku</w:t>
      </w:r>
      <w:r w:rsidRPr="00092C99">
        <w:rPr>
          <w:sz w:val="18"/>
          <w:szCs w:val="18"/>
          <w:vertAlign w:val="subscript"/>
        </w:rPr>
        <w:t>c</w:t>
      </w:r>
      <w:r w:rsidRPr="00092C99">
        <w:rPr>
          <w:sz w:val="18"/>
          <w:szCs w:val="18"/>
        </w:rPr>
        <w:t xml:space="preserve">, calculated in accordance with the </w:t>
      </w:r>
      <w:r w:rsidR="00813802">
        <w:rPr>
          <w:sz w:val="18"/>
          <w:szCs w:val="18"/>
        </w:rPr>
        <w:t>GUM</w:t>
      </w:r>
      <w:r w:rsidRPr="00092C99">
        <w:rPr>
          <w:sz w:val="18"/>
          <w:szCs w:val="18"/>
        </w:rPr>
        <w:t xml:space="preserve"> </w:t>
      </w:r>
      <w:r w:rsidR="00EE6E47">
        <w:rPr>
          <w:sz w:val="18"/>
          <w:szCs w:val="18"/>
        </w:rPr>
        <w:t xml:space="preserve">and NIST </w:t>
      </w:r>
      <w:r w:rsidRPr="00092C99">
        <w:rPr>
          <w:sz w:val="18"/>
          <w:szCs w:val="18"/>
        </w:rPr>
        <w:t>Guide</w:t>
      </w:r>
      <w:r w:rsidR="00EE6E47">
        <w:rPr>
          <w:sz w:val="18"/>
          <w:szCs w:val="18"/>
        </w:rPr>
        <w:t>s</w:t>
      </w:r>
      <w:r w:rsidR="007C28BA">
        <w:rPr>
          <w:sz w:val="18"/>
          <w:szCs w:val="18"/>
        </w:rPr>
        <w:t> </w:t>
      </w:r>
      <w:r w:rsidRPr="00092C99">
        <w:rPr>
          <w:sz w:val="18"/>
          <w:szCs w:val="18"/>
        </w:rPr>
        <w:t>[</w:t>
      </w:r>
      <w:r w:rsidR="00092C99">
        <w:rPr>
          <w:sz w:val="18"/>
          <w:szCs w:val="18"/>
        </w:rPr>
        <w:t>4</w:t>
      </w:r>
      <w:r w:rsidRPr="00092C99">
        <w:rPr>
          <w:sz w:val="18"/>
          <w:szCs w:val="18"/>
        </w:rPr>
        <w:t xml:space="preserve">].  The quantity </w:t>
      </w:r>
      <w:r w:rsidRPr="00092C99">
        <w:rPr>
          <w:i/>
          <w:sz w:val="18"/>
          <w:szCs w:val="18"/>
        </w:rPr>
        <w:t>u</w:t>
      </w:r>
      <w:r w:rsidRPr="00092C99">
        <w:rPr>
          <w:sz w:val="18"/>
          <w:szCs w:val="18"/>
          <w:vertAlign w:val="subscript"/>
        </w:rPr>
        <w:t>c</w:t>
      </w:r>
      <w:r w:rsidRPr="00092C99">
        <w:rPr>
          <w:sz w:val="18"/>
          <w:szCs w:val="18"/>
        </w:rPr>
        <w:t>, represents the combined standard uncertainty [</w:t>
      </w:r>
      <w:r w:rsidR="00EE6E47">
        <w:rPr>
          <w:sz w:val="18"/>
          <w:szCs w:val="18"/>
        </w:rPr>
        <w:t>4</w:t>
      </w:r>
      <w:r w:rsidRPr="00092C99">
        <w:rPr>
          <w:sz w:val="18"/>
          <w:szCs w:val="18"/>
        </w:rPr>
        <w:t xml:space="preserve">] and </w:t>
      </w:r>
      <w:r w:rsidRPr="00092C99">
        <w:rPr>
          <w:i/>
          <w:sz w:val="18"/>
          <w:szCs w:val="18"/>
        </w:rPr>
        <w:t>k</w:t>
      </w:r>
      <w:r w:rsidRPr="00092C99">
        <w:rPr>
          <w:sz w:val="18"/>
          <w:szCs w:val="18"/>
        </w:rPr>
        <w:t xml:space="preserve"> is the coverage factor used to obtain an expanded uncertainty with an approximate confidence level of 95 %.  The coverage factors for permittivity (</w:t>
      </w:r>
      <w:r w:rsidRPr="00092C99">
        <w:rPr>
          <w:i/>
          <w:sz w:val="18"/>
          <w:szCs w:val="18"/>
        </w:rPr>
        <w:t>k</w:t>
      </w:r>
      <w:r w:rsidR="007C28BA">
        <w:rPr>
          <w:i/>
          <w:sz w:val="18"/>
          <w:szCs w:val="18"/>
        </w:rPr>
        <w:t> </w:t>
      </w:r>
      <w:r w:rsidRPr="00092C99">
        <w:rPr>
          <w:sz w:val="18"/>
          <w:szCs w:val="18"/>
        </w:rPr>
        <w:t>=</w:t>
      </w:r>
      <w:r w:rsidR="007C28BA">
        <w:rPr>
          <w:sz w:val="18"/>
          <w:szCs w:val="18"/>
        </w:rPr>
        <w:t> </w:t>
      </w:r>
      <w:r w:rsidRPr="00092C99">
        <w:rPr>
          <w:sz w:val="18"/>
          <w:szCs w:val="18"/>
        </w:rPr>
        <w:t>2) and loss tangent (</w:t>
      </w:r>
      <w:r w:rsidRPr="00092C99">
        <w:rPr>
          <w:i/>
          <w:sz w:val="18"/>
          <w:szCs w:val="18"/>
        </w:rPr>
        <w:t>k</w:t>
      </w:r>
      <w:r w:rsidR="007C28BA">
        <w:rPr>
          <w:i/>
          <w:sz w:val="18"/>
          <w:szCs w:val="18"/>
        </w:rPr>
        <w:t> </w:t>
      </w:r>
      <w:r w:rsidRPr="00092C99">
        <w:rPr>
          <w:sz w:val="18"/>
          <w:szCs w:val="18"/>
        </w:rPr>
        <w:t>=</w:t>
      </w:r>
      <w:r w:rsidR="007C28BA">
        <w:rPr>
          <w:sz w:val="18"/>
          <w:szCs w:val="18"/>
        </w:rPr>
        <w:t> </w:t>
      </w:r>
      <w:r w:rsidRPr="00092C99">
        <w:rPr>
          <w:sz w:val="18"/>
          <w:szCs w:val="18"/>
        </w:rPr>
        <w:t xml:space="preserve">2.093) are derived from the Student’s </w:t>
      </w:r>
      <w:r w:rsidRPr="00092C99">
        <w:rPr>
          <w:i/>
          <w:sz w:val="18"/>
          <w:szCs w:val="18"/>
        </w:rPr>
        <w:t>t</w:t>
      </w:r>
      <w:r w:rsidRPr="00092C99">
        <w:rPr>
          <w:sz w:val="18"/>
          <w:szCs w:val="18"/>
        </w:rPr>
        <w:noBreakHyphen/>
        <w:t>distribution with &gt;</w:t>
      </w:r>
      <w:r w:rsidR="00B6215C">
        <w:rPr>
          <w:sz w:val="18"/>
          <w:szCs w:val="18"/>
        </w:rPr>
        <w:t> </w:t>
      </w:r>
      <w:r w:rsidRPr="00092C99">
        <w:rPr>
          <w:sz w:val="18"/>
          <w:szCs w:val="18"/>
        </w:rPr>
        <w:t>30</w:t>
      </w:r>
      <w:r w:rsidR="00EE6E47">
        <w:rPr>
          <w:sz w:val="18"/>
          <w:szCs w:val="18"/>
        </w:rPr>
        <w:t xml:space="preserve"> degrees </w:t>
      </w:r>
      <w:r w:rsidRPr="00092C99">
        <w:rPr>
          <w:sz w:val="18"/>
          <w:szCs w:val="18"/>
        </w:rPr>
        <w:t>and 19</w:t>
      </w:r>
      <w:r w:rsidR="00EE6E47">
        <w:rPr>
          <w:sz w:val="18"/>
          <w:szCs w:val="18"/>
        </w:rPr>
        <w:t> </w:t>
      </w:r>
      <w:r w:rsidRPr="00092C99">
        <w:rPr>
          <w:sz w:val="18"/>
          <w:szCs w:val="18"/>
        </w:rPr>
        <w:t>degrees of freedom, respectively.</w:t>
      </w:r>
    </w:p>
    <w:p w:rsidR="004339E3" w:rsidRDefault="004339E3" w:rsidP="007C4511">
      <w:pPr>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rsidR="004339E3" w:rsidRDefault="004339E3" w:rsidP="007C4511">
      <w:pPr>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jc w:val="both"/>
        <w:rPr>
          <w:sz w:val="20"/>
        </w:rPr>
      </w:pPr>
    </w:p>
    <w:p w:rsidR="00AA6895" w:rsidRDefault="00AA6895" w:rsidP="007C4511">
      <w:pPr>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0"/>
        </w:rPr>
      </w:pPr>
      <w:r>
        <w:rPr>
          <w:sz w:val="20"/>
        </w:rPr>
        <w:t>Table</w:t>
      </w:r>
      <w:r w:rsidR="007C28BA">
        <w:rPr>
          <w:sz w:val="20"/>
        </w:rPr>
        <w:t> </w:t>
      </w:r>
      <w:r>
        <w:rPr>
          <w:sz w:val="20"/>
        </w:rPr>
        <w:t xml:space="preserve">2.  Supplemental Values for </w:t>
      </w:r>
      <w:r w:rsidR="00905671" w:rsidRPr="00905671">
        <w:rPr>
          <w:sz w:val="20"/>
        </w:rPr>
        <w:t>SRM 2870</w:t>
      </w:r>
    </w:p>
    <w:p w:rsidR="00AA6895" w:rsidRDefault="00AA6895" w:rsidP="007C4511">
      <w:pPr>
        <w:tabs>
          <w:tab w:val="left" w:pos="-1123"/>
          <w:tab w:val="left" w:pos="-720"/>
          <w:tab w:val="left" w:pos="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0"/>
        </w:rPr>
      </w:pPr>
    </w:p>
    <w:p w:rsidR="00AA6895" w:rsidRDefault="00AA6895" w:rsidP="007C4511">
      <w:pPr>
        <w:tabs>
          <w:tab w:val="left" w:pos="-1123"/>
          <w:tab w:val="left" w:pos="-720"/>
          <w:tab w:val="left" w:pos="0"/>
          <w:tab w:val="left" w:pos="1200"/>
          <w:tab w:val="left" w:pos="3720"/>
          <w:tab w:val="left" w:pos="5520"/>
          <w:tab w:val="left" w:pos="780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0"/>
        </w:rPr>
      </w:pPr>
      <w:r>
        <w:rPr>
          <w:sz w:val="20"/>
        </w:rPr>
        <w:tab/>
        <w:t>Method</w:t>
      </w:r>
      <w:r>
        <w:rPr>
          <w:sz w:val="20"/>
        </w:rPr>
        <w:tab/>
        <w:t>Frequency</w:t>
      </w:r>
      <w:r>
        <w:rPr>
          <w:sz w:val="20"/>
        </w:rPr>
        <w:tab/>
        <w:t>Relative Permittivity</w:t>
      </w:r>
      <w:r>
        <w:rPr>
          <w:sz w:val="20"/>
        </w:rPr>
        <w:tab/>
        <w:t>Loss Tangent</w:t>
      </w:r>
    </w:p>
    <w:p w:rsidR="000A59E9" w:rsidRDefault="000A59E9" w:rsidP="007C4511">
      <w:pPr>
        <w:tabs>
          <w:tab w:val="left" w:pos="-1123"/>
          <w:tab w:val="left" w:pos="-720"/>
          <w:tab w:val="left" w:pos="0"/>
          <w:tab w:val="left" w:pos="1200"/>
          <w:tab w:val="left" w:pos="3840"/>
          <w:tab w:val="left" w:pos="5520"/>
          <w:tab w:val="left" w:pos="780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rPr>
          <w:sz w:val="20"/>
        </w:rPr>
      </w:pPr>
      <w:r>
        <w:rPr>
          <w:sz w:val="20"/>
        </w:rPr>
        <w:tab/>
      </w:r>
      <w:r>
        <w:rPr>
          <w:sz w:val="20"/>
        </w:rPr>
        <w:tab/>
        <w:t>(GHz)</w:t>
      </w:r>
    </w:p>
    <w:p w:rsidR="00AA6895" w:rsidRDefault="00AA6895" w:rsidP="007C4511">
      <w:pPr>
        <w:tabs>
          <w:tab w:val="left" w:pos="-1123"/>
          <w:tab w:val="left" w:pos="-720"/>
          <w:tab w:val="left" w:pos="480"/>
          <w:tab w:val="decimal" w:pos="4080"/>
          <w:tab w:val="decimal" w:pos="6120"/>
          <w:tab w:val="decimal" w:pos="80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80"/>
        <w:rPr>
          <w:sz w:val="20"/>
        </w:rPr>
      </w:pPr>
      <w:r>
        <w:rPr>
          <w:sz w:val="20"/>
        </w:rPr>
        <w:t>Split-Post Resonator</w:t>
      </w:r>
      <w:r w:rsidR="000F003E">
        <w:rPr>
          <w:sz w:val="20"/>
        </w:rPr>
        <w:t> </w:t>
      </w:r>
      <w:r>
        <w:rPr>
          <w:sz w:val="20"/>
        </w:rPr>
        <w:t>[</w:t>
      </w:r>
      <w:r w:rsidR="00092C99">
        <w:rPr>
          <w:sz w:val="20"/>
        </w:rPr>
        <w:t>5</w:t>
      </w:r>
      <w:r>
        <w:rPr>
          <w:sz w:val="20"/>
        </w:rPr>
        <w:t>]</w:t>
      </w:r>
      <w:r>
        <w:rPr>
          <w:sz w:val="20"/>
        </w:rPr>
        <w:tab/>
        <w:t>1.44</w:t>
      </w:r>
      <w:r>
        <w:rPr>
          <w:sz w:val="20"/>
        </w:rPr>
        <w:tab/>
        <w:t>2.55</w:t>
      </w:r>
      <w:r>
        <w:rPr>
          <w:sz w:val="20"/>
        </w:rPr>
        <w:tab/>
        <w:t>0.00036</w:t>
      </w:r>
    </w:p>
    <w:p w:rsidR="00AA6895" w:rsidRDefault="00AA6895" w:rsidP="007C4511">
      <w:pPr>
        <w:tabs>
          <w:tab w:val="left" w:pos="-1123"/>
          <w:tab w:val="left" w:pos="-720"/>
          <w:tab w:val="left" w:pos="480"/>
          <w:tab w:val="decimal" w:pos="4080"/>
          <w:tab w:val="decimal" w:pos="6120"/>
          <w:tab w:val="decimal" w:pos="80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80"/>
        <w:rPr>
          <w:sz w:val="20"/>
        </w:rPr>
      </w:pPr>
      <w:r>
        <w:rPr>
          <w:sz w:val="20"/>
        </w:rPr>
        <w:t>Split-Post Resonator</w:t>
      </w:r>
      <w:r>
        <w:rPr>
          <w:sz w:val="20"/>
        </w:rPr>
        <w:tab/>
        <w:t>2.06</w:t>
      </w:r>
      <w:r>
        <w:rPr>
          <w:sz w:val="20"/>
        </w:rPr>
        <w:tab/>
        <w:t>2.55</w:t>
      </w:r>
      <w:r>
        <w:rPr>
          <w:sz w:val="20"/>
        </w:rPr>
        <w:tab/>
        <w:t>0.00037</w:t>
      </w:r>
    </w:p>
    <w:p w:rsidR="00AA6895" w:rsidRDefault="00AA6895" w:rsidP="007C4511">
      <w:pPr>
        <w:tabs>
          <w:tab w:val="left" w:pos="-1123"/>
          <w:tab w:val="left" w:pos="-720"/>
          <w:tab w:val="left" w:pos="480"/>
          <w:tab w:val="decimal" w:pos="4080"/>
          <w:tab w:val="decimal" w:pos="6120"/>
          <w:tab w:val="decimal" w:pos="80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80"/>
        <w:rPr>
          <w:sz w:val="20"/>
        </w:rPr>
      </w:pPr>
      <w:r>
        <w:rPr>
          <w:sz w:val="20"/>
        </w:rPr>
        <w:t>Split-Post Resonator</w:t>
      </w:r>
      <w:r>
        <w:rPr>
          <w:sz w:val="20"/>
        </w:rPr>
        <w:tab/>
        <w:t>5.53</w:t>
      </w:r>
      <w:r>
        <w:rPr>
          <w:sz w:val="20"/>
        </w:rPr>
        <w:tab/>
        <w:t>2.54</w:t>
      </w:r>
      <w:r>
        <w:rPr>
          <w:sz w:val="20"/>
        </w:rPr>
        <w:tab/>
        <w:t>0.00044</w:t>
      </w:r>
    </w:p>
    <w:p w:rsidR="00AA6895" w:rsidRDefault="00AA6895" w:rsidP="007C4511">
      <w:pPr>
        <w:tabs>
          <w:tab w:val="left" w:pos="-1123"/>
          <w:tab w:val="left" w:pos="-720"/>
          <w:tab w:val="left" w:pos="480"/>
          <w:tab w:val="decimal" w:pos="4080"/>
          <w:tab w:val="decimal" w:pos="6120"/>
          <w:tab w:val="decimal" w:pos="80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80"/>
        <w:rPr>
          <w:sz w:val="20"/>
        </w:rPr>
      </w:pPr>
      <w:r>
        <w:rPr>
          <w:sz w:val="20"/>
        </w:rPr>
        <w:t>Split-Cylinder Resonator</w:t>
      </w:r>
      <w:r w:rsidR="000F003E">
        <w:rPr>
          <w:sz w:val="20"/>
        </w:rPr>
        <w:t> </w:t>
      </w:r>
      <w:r>
        <w:rPr>
          <w:sz w:val="20"/>
        </w:rPr>
        <w:t>[</w:t>
      </w:r>
      <w:r w:rsidR="00092C99">
        <w:rPr>
          <w:sz w:val="20"/>
        </w:rPr>
        <w:t>6</w:t>
      </w:r>
      <w:r>
        <w:rPr>
          <w:sz w:val="20"/>
        </w:rPr>
        <w:t>]</w:t>
      </w:r>
      <w:r>
        <w:rPr>
          <w:sz w:val="20"/>
        </w:rPr>
        <w:tab/>
        <w:t>8.53</w:t>
      </w:r>
      <w:r>
        <w:rPr>
          <w:sz w:val="20"/>
        </w:rPr>
        <w:tab/>
        <w:t>2.55</w:t>
      </w:r>
      <w:r>
        <w:rPr>
          <w:sz w:val="20"/>
        </w:rPr>
        <w:tab/>
        <w:t>0.00046</w:t>
      </w:r>
    </w:p>
    <w:p w:rsidR="00AA6895" w:rsidRDefault="00AA6895" w:rsidP="007C4511">
      <w:pPr>
        <w:tabs>
          <w:tab w:val="left" w:pos="-1123"/>
          <w:tab w:val="left" w:pos="-720"/>
          <w:tab w:val="left" w:pos="480"/>
          <w:tab w:val="decimal" w:pos="4080"/>
          <w:tab w:val="decimal" w:pos="6120"/>
          <w:tab w:val="decimal" w:pos="80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80"/>
        <w:rPr>
          <w:sz w:val="20"/>
        </w:rPr>
      </w:pPr>
      <w:r>
        <w:rPr>
          <w:sz w:val="20"/>
        </w:rPr>
        <w:t>Split-Post Resonator</w:t>
      </w:r>
      <w:r>
        <w:rPr>
          <w:sz w:val="20"/>
        </w:rPr>
        <w:tab/>
        <w:t>9.92</w:t>
      </w:r>
      <w:r>
        <w:rPr>
          <w:sz w:val="20"/>
        </w:rPr>
        <w:tab/>
        <w:t>2.53</w:t>
      </w:r>
      <w:r>
        <w:rPr>
          <w:sz w:val="20"/>
        </w:rPr>
        <w:tab/>
        <w:t>0.00048</w:t>
      </w:r>
    </w:p>
    <w:p w:rsidR="00AA6895" w:rsidRDefault="00BB50F5" w:rsidP="007C4511">
      <w:pPr>
        <w:tabs>
          <w:tab w:val="left" w:pos="-1123"/>
          <w:tab w:val="left" w:pos="-720"/>
          <w:tab w:val="left" w:pos="480"/>
          <w:tab w:val="decimal" w:pos="4080"/>
          <w:tab w:val="decimal" w:pos="6120"/>
          <w:tab w:val="decimal" w:pos="80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80"/>
        <w:rPr>
          <w:sz w:val="20"/>
        </w:rPr>
      </w:pPr>
      <w:r>
        <w:rPr>
          <w:sz w:val="20"/>
        </w:rPr>
        <w:t>Dielectric-Post Resonator</w:t>
      </w:r>
      <w:r w:rsidR="000F003E">
        <w:rPr>
          <w:sz w:val="20"/>
        </w:rPr>
        <w:t> </w:t>
      </w:r>
      <w:r>
        <w:rPr>
          <w:sz w:val="20"/>
        </w:rPr>
        <w:t>[</w:t>
      </w:r>
      <w:r w:rsidR="00092C99">
        <w:rPr>
          <w:sz w:val="20"/>
        </w:rPr>
        <w:t>7</w:t>
      </w:r>
      <w:r>
        <w:rPr>
          <w:sz w:val="20"/>
        </w:rPr>
        <w:t>]</w:t>
      </w:r>
      <w:r>
        <w:rPr>
          <w:sz w:val="20"/>
        </w:rPr>
        <w:tab/>
        <w:t>10.02</w:t>
      </w:r>
      <w:r>
        <w:rPr>
          <w:sz w:val="20"/>
        </w:rPr>
        <w:tab/>
        <w:t>2.54</w:t>
      </w:r>
      <w:r>
        <w:rPr>
          <w:sz w:val="20"/>
        </w:rPr>
        <w:tab/>
        <w:t>0.00047</w:t>
      </w:r>
    </w:p>
    <w:p w:rsidR="00BB50F5" w:rsidRDefault="00BB50F5" w:rsidP="007C4511">
      <w:pPr>
        <w:tabs>
          <w:tab w:val="left" w:pos="-1123"/>
          <w:tab w:val="left" w:pos="-720"/>
          <w:tab w:val="left" w:pos="480"/>
          <w:tab w:val="decimal" w:pos="4080"/>
          <w:tab w:val="decimal" w:pos="6120"/>
          <w:tab w:val="decimal" w:pos="80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80"/>
        <w:rPr>
          <w:sz w:val="20"/>
        </w:rPr>
      </w:pPr>
      <w:r>
        <w:rPr>
          <w:sz w:val="20"/>
        </w:rPr>
        <w:t>Split-Cylinder Resonator</w:t>
      </w:r>
      <w:r>
        <w:rPr>
          <w:sz w:val="20"/>
        </w:rPr>
        <w:tab/>
        <w:t>12.67</w:t>
      </w:r>
      <w:r>
        <w:rPr>
          <w:sz w:val="20"/>
        </w:rPr>
        <w:tab/>
        <w:t>2.54</w:t>
      </w:r>
      <w:r>
        <w:rPr>
          <w:sz w:val="20"/>
        </w:rPr>
        <w:tab/>
        <w:t>0.00052</w:t>
      </w:r>
    </w:p>
    <w:p w:rsidR="00BB50F5" w:rsidRDefault="00BB50F5" w:rsidP="007C4511">
      <w:pPr>
        <w:tabs>
          <w:tab w:val="left" w:pos="-1123"/>
          <w:tab w:val="left" w:pos="-720"/>
          <w:tab w:val="left" w:pos="480"/>
          <w:tab w:val="decimal" w:pos="4080"/>
          <w:tab w:val="decimal" w:pos="6120"/>
          <w:tab w:val="decimal" w:pos="80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80"/>
        <w:rPr>
          <w:sz w:val="20"/>
        </w:rPr>
      </w:pPr>
      <w:r>
        <w:rPr>
          <w:sz w:val="20"/>
        </w:rPr>
        <w:t>Split-Cylinder Resonator</w:t>
      </w:r>
      <w:r>
        <w:rPr>
          <w:sz w:val="20"/>
        </w:rPr>
        <w:tab/>
        <w:t>17.17</w:t>
      </w:r>
      <w:r>
        <w:rPr>
          <w:sz w:val="20"/>
        </w:rPr>
        <w:tab/>
        <w:t>2.55</w:t>
      </w:r>
      <w:r>
        <w:rPr>
          <w:sz w:val="20"/>
        </w:rPr>
        <w:tab/>
        <w:t>0.00059</w:t>
      </w:r>
    </w:p>
    <w:p w:rsidR="00BB50F5" w:rsidRDefault="00BB50F5" w:rsidP="007C4511">
      <w:pPr>
        <w:tabs>
          <w:tab w:val="left" w:pos="-1123"/>
          <w:tab w:val="left" w:pos="-720"/>
          <w:tab w:val="left" w:pos="480"/>
          <w:tab w:val="decimal" w:pos="4080"/>
          <w:tab w:val="decimal" w:pos="6120"/>
          <w:tab w:val="decimal" w:pos="80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80"/>
        <w:rPr>
          <w:sz w:val="20"/>
        </w:rPr>
      </w:pPr>
      <w:r>
        <w:rPr>
          <w:sz w:val="20"/>
        </w:rPr>
        <w:t>Split-Cylinder Resonator</w:t>
      </w:r>
      <w:r>
        <w:rPr>
          <w:sz w:val="20"/>
        </w:rPr>
        <w:tab/>
        <w:t>19.19</w:t>
      </w:r>
      <w:r>
        <w:rPr>
          <w:sz w:val="20"/>
        </w:rPr>
        <w:tab/>
        <w:t>2.53</w:t>
      </w:r>
      <w:r>
        <w:rPr>
          <w:sz w:val="20"/>
        </w:rPr>
        <w:tab/>
        <w:t>0.00060</w:t>
      </w:r>
    </w:p>
    <w:p w:rsidR="00BB50F5" w:rsidRDefault="00BB50F5" w:rsidP="007C4511">
      <w:pPr>
        <w:tabs>
          <w:tab w:val="left" w:pos="-1123"/>
          <w:tab w:val="left" w:pos="-720"/>
          <w:tab w:val="left" w:pos="480"/>
          <w:tab w:val="decimal" w:pos="4080"/>
          <w:tab w:val="decimal" w:pos="6120"/>
          <w:tab w:val="decimal" w:pos="80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80"/>
        <w:rPr>
          <w:sz w:val="20"/>
        </w:rPr>
      </w:pPr>
      <w:r>
        <w:rPr>
          <w:sz w:val="20"/>
        </w:rPr>
        <w:t>Split-Cylinder Resonator</w:t>
      </w:r>
      <w:r>
        <w:rPr>
          <w:sz w:val="20"/>
        </w:rPr>
        <w:tab/>
        <w:t>22.03</w:t>
      </w:r>
      <w:r>
        <w:rPr>
          <w:sz w:val="20"/>
        </w:rPr>
        <w:tab/>
        <w:t>2.55</w:t>
      </w:r>
      <w:r>
        <w:rPr>
          <w:sz w:val="20"/>
        </w:rPr>
        <w:tab/>
        <w:t>0.00062</w:t>
      </w:r>
    </w:p>
    <w:p w:rsidR="00AB56A5" w:rsidRPr="0039267B" w:rsidRDefault="00AB56A5" w:rsidP="007C4511">
      <w:pPr>
        <w:tabs>
          <w:tab w:val="left" w:pos="-1022"/>
          <w:tab w:val="left" w:pos="-302"/>
          <w:tab w:val="left" w:pos="180"/>
          <w:tab w:val="left" w:pos="479"/>
        </w:tabs>
        <w:jc w:val="both"/>
        <w:rPr>
          <w:sz w:val="18"/>
          <w:szCs w:val="18"/>
        </w:rPr>
      </w:pPr>
    </w:p>
    <w:p w:rsidR="00EE6E47" w:rsidRDefault="00EE6E47" w:rsidP="007C4511">
      <w:pPr>
        <w:tabs>
          <w:tab w:val="left" w:pos="-720"/>
          <w:tab w:val="left" w:pos="1440"/>
          <w:tab w:val="decimal" w:pos="7200"/>
        </w:tabs>
        <w:jc w:val="both"/>
        <w:rPr>
          <w:sz w:val="20"/>
        </w:rPr>
        <w:sectPr w:rsidR="00EE6E47" w:rsidSect="00EE3D74">
          <w:footerReference w:type="even" r:id="rId12"/>
          <w:endnotePr>
            <w:numFmt w:val="decimal"/>
          </w:endnotePr>
          <w:pgSz w:w="12240" w:h="15840"/>
          <w:pgMar w:top="720" w:right="1440" w:bottom="1110" w:left="1440" w:header="720" w:footer="630" w:gutter="0"/>
          <w:cols w:space="720"/>
        </w:sectPr>
      </w:pPr>
    </w:p>
    <w:p w:rsidR="00AB56A5" w:rsidRDefault="00AB56A5" w:rsidP="007C4511">
      <w:pPr>
        <w:tabs>
          <w:tab w:val="left" w:pos="-720"/>
          <w:tab w:val="left" w:pos="1440"/>
          <w:tab w:val="decimal" w:pos="7200"/>
        </w:tabs>
        <w:jc w:val="both"/>
        <w:rPr>
          <w:sz w:val="20"/>
        </w:rPr>
      </w:pPr>
    </w:p>
    <w:p w:rsidR="00835F61" w:rsidRDefault="00A163F7" w:rsidP="007C4511">
      <w:pPr>
        <w:tabs>
          <w:tab w:val="left" w:pos="-720"/>
          <w:tab w:val="left" w:pos="1440"/>
          <w:tab w:val="decimal" w:pos="7200"/>
        </w:tabs>
        <w:jc w:val="center"/>
        <w:rPr>
          <w:sz w:val="20"/>
        </w:rPr>
      </w:pPr>
      <w:r>
        <w:rPr>
          <w:sz w:val="20"/>
        </w:rPr>
        <w:t>REFERENCES</w:t>
      </w:r>
    </w:p>
    <w:p w:rsidR="00A163F7" w:rsidRDefault="00A163F7" w:rsidP="007C4511">
      <w:pPr>
        <w:tabs>
          <w:tab w:val="left" w:pos="324"/>
        </w:tabs>
        <w:spacing w:after="80"/>
        <w:ind w:left="324" w:hanging="324"/>
        <w:jc w:val="both"/>
        <w:rPr>
          <w:sz w:val="20"/>
        </w:rPr>
      </w:pPr>
    </w:p>
    <w:p w:rsidR="00A163F7" w:rsidRPr="00092C99" w:rsidRDefault="00A163F7" w:rsidP="007C4511">
      <w:pPr>
        <w:tabs>
          <w:tab w:val="left" w:pos="324"/>
        </w:tabs>
        <w:ind w:left="324" w:hanging="324"/>
        <w:jc w:val="both"/>
        <w:rPr>
          <w:sz w:val="20"/>
        </w:rPr>
      </w:pPr>
      <w:r>
        <w:rPr>
          <w:sz w:val="20"/>
        </w:rPr>
        <w:t>[1]</w:t>
      </w:r>
      <w:r>
        <w:rPr>
          <w:sz w:val="20"/>
        </w:rPr>
        <w:tab/>
        <w:t>Janezic,</w:t>
      </w:r>
      <w:r w:rsidR="0068225E">
        <w:rPr>
          <w:sz w:val="20"/>
        </w:rPr>
        <w:t> </w:t>
      </w:r>
      <w:r>
        <w:rPr>
          <w:sz w:val="20"/>
        </w:rPr>
        <w:t>M.D.; Splett,</w:t>
      </w:r>
      <w:r w:rsidR="0068225E">
        <w:rPr>
          <w:sz w:val="20"/>
        </w:rPr>
        <w:t> </w:t>
      </w:r>
      <w:r>
        <w:rPr>
          <w:sz w:val="20"/>
        </w:rPr>
        <w:t>J.D.; Coakley,</w:t>
      </w:r>
      <w:r w:rsidR="0068225E">
        <w:rPr>
          <w:sz w:val="20"/>
        </w:rPr>
        <w:t> </w:t>
      </w:r>
      <w:r>
        <w:rPr>
          <w:sz w:val="20"/>
        </w:rPr>
        <w:t>K.J.; Kaiser,</w:t>
      </w:r>
      <w:r w:rsidR="0068225E">
        <w:rPr>
          <w:sz w:val="20"/>
        </w:rPr>
        <w:t> </w:t>
      </w:r>
      <w:r>
        <w:rPr>
          <w:sz w:val="20"/>
        </w:rPr>
        <w:t>R.F.; Grosvenor,</w:t>
      </w:r>
      <w:r w:rsidR="0068225E">
        <w:rPr>
          <w:sz w:val="20"/>
        </w:rPr>
        <w:t> </w:t>
      </w:r>
      <w:r>
        <w:rPr>
          <w:sz w:val="20"/>
        </w:rPr>
        <w:t xml:space="preserve">J.H.; </w:t>
      </w:r>
      <w:r>
        <w:rPr>
          <w:i/>
          <w:sz w:val="20"/>
        </w:rPr>
        <w:t>Relative Permittivity an Loss Tangent Measurement with the NIST 60</w:t>
      </w:r>
      <w:r w:rsidR="0068225E">
        <w:rPr>
          <w:i/>
          <w:sz w:val="20"/>
        </w:rPr>
        <w:t> </w:t>
      </w:r>
      <w:r>
        <w:rPr>
          <w:i/>
          <w:sz w:val="20"/>
        </w:rPr>
        <w:t>mm Cylindrical Cavity</w:t>
      </w:r>
      <w:r>
        <w:rPr>
          <w:sz w:val="20"/>
        </w:rPr>
        <w:t xml:space="preserve">; NIST Special Publication 260-159, </w:t>
      </w:r>
      <w:r w:rsidR="00092C99" w:rsidRPr="00092C99">
        <w:rPr>
          <w:sz w:val="20"/>
        </w:rPr>
        <w:t>U.S. Government Printing Office: Washington, DC (</w:t>
      </w:r>
      <w:r w:rsidR="00092C99">
        <w:rPr>
          <w:sz w:val="20"/>
        </w:rPr>
        <w:t>2004)</w:t>
      </w:r>
      <w:r w:rsidR="00282F75" w:rsidRPr="005A5ECF">
        <w:rPr>
          <w:sz w:val="20"/>
        </w:rPr>
        <w:t xml:space="preserve">. </w:t>
      </w:r>
    </w:p>
    <w:p w:rsidR="00282F75" w:rsidRPr="00282F75" w:rsidRDefault="00A163F7" w:rsidP="00CB4F98">
      <w:pPr>
        <w:tabs>
          <w:tab w:val="left" w:pos="360"/>
        </w:tabs>
        <w:ind w:left="360" w:hanging="360"/>
        <w:jc w:val="both"/>
        <w:rPr>
          <w:sz w:val="20"/>
        </w:rPr>
      </w:pPr>
      <w:r w:rsidRPr="00D2772A">
        <w:rPr>
          <w:sz w:val="20"/>
        </w:rPr>
        <w:t>[</w:t>
      </w:r>
      <w:r>
        <w:rPr>
          <w:sz w:val="20"/>
        </w:rPr>
        <w:t>2</w:t>
      </w:r>
      <w:r w:rsidRPr="00D2772A">
        <w:rPr>
          <w:sz w:val="20"/>
        </w:rPr>
        <w:t>]</w:t>
      </w:r>
      <w:r w:rsidRPr="00D2772A">
        <w:rPr>
          <w:sz w:val="20"/>
        </w:rPr>
        <w:tab/>
      </w:r>
      <w:r w:rsidR="00282F75" w:rsidRPr="00282F75">
        <w:rPr>
          <w:sz w:val="20"/>
        </w:rPr>
        <w:t xml:space="preserve">May, W.; Parris, R.; Beck II, C.; Fassett, J.; Greenberg, R.; Guenther, F.; Kramer, G.; Wise, S.; Gills, T.; Colbert, J.; Gettings, R.; MacDonald, B.; </w:t>
      </w:r>
      <w:r w:rsidR="00282F75" w:rsidRPr="00282F75">
        <w:rPr>
          <w:i/>
          <w:sz w:val="20"/>
        </w:rPr>
        <w:t>Definition of Terms and Modes Used at NIST for Value-Assignment of Reference Materials for Chemical Measurements</w:t>
      </w:r>
      <w:r w:rsidR="00282F75" w:rsidRPr="00282F75">
        <w:rPr>
          <w:sz w:val="20"/>
        </w:rPr>
        <w:t>; NIST Special Publication 260</w:t>
      </w:r>
      <w:r w:rsidR="00282F75" w:rsidRPr="00282F75">
        <w:rPr>
          <w:sz w:val="20"/>
        </w:rPr>
        <w:noBreakHyphen/>
        <w:t xml:space="preserve">136 (2000); available at </w:t>
      </w:r>
      <w:hyperlink r:id="rId13" w:history="1">
        <w:r w:rsidR="00282F75" w:rsidRPr="00282F75">
          <w:rPr>
            <w:rStyle w:val="Hyperlink"/>
            <w:color w:val="auto"/>
            <w:sz w:val="20"/>
            <w:u w:val="none"/>
          </w:rPr>
          <w:t>http://www.nist.gov/srm/publications.cfm</w:t>
        </w:r>
      </w:hyperlink>
      <w:r w:rsidR="00282F75">
        <w:rPr>
          <w:sz w:val="20"/>
        </w:rPr>
        <w:t xml:space="preserve"> </w:t>
      </w:r>
      <w:r w:rsidR="00282F75" w:rsidRPr="00282F75">
        <w:rPr>
          <w:sz w:val="20"/>
        </w:rPr>
        <w:t>(</w:t>
      </w:r>
      <w:r w:rsidR="0079263F">
        <w:rPr>
          <w:sz w:val="20"/>
        </w:rPr>
        <w:t>a</w:t>
      </w:r>
      <w:r w:rsidR="00282F75" w:rsidRPr="00282F75">
        <w:rPr>
          <w:sz w:val="20"/>
        </w:rPr>
        <w:t xml:space="preserve">ccessed </w:t>
      </w:r>
      <w:r w:rsidR="00282F75">
        <w:rPr>
          <w:sz w:val="20"/>
        </w:rPr>
        <w:t>Feb</w:t>
      </w:r>
      <w:r w:rsidR="00282F75" w:rsidRPr="00282F75">
        <w:rPr>
          <w:sz w:val="20"/>
        </w:rPr>
        <w:t> 201</w:t>
      </w:r>
      <w:r w:rsidR="00282F75">
        <w:rPr>
          <w:sz w:val="20"/>
        </w:rPr>
        <w:t>3</w:t>
      </w:r>
      <w:r w:rsidR="00282F75" w:rsidRPr="00282F75">
        <w:rPr>
          <w:sz w:val="20"/>
        </w:rPr>
        <w:t>).</w:t>
      </w:r>
    </w:p>
    <w:p w:rsidR="00092C99" w:rsidRDefault="00092C99" w:rsidP="007C4511">
      <w:pPr>
        <w:tabs>
          <w:tab w:val="left" w:pos="324"/>
        </w:tabs>
        <w:ind w:left="324" w:hanging="324"/>
        <w:jc w:val="both"/>
        <w:rPr>
          <w:sz w:val="20"/>
        </w:rPr>
      </w:pPr>
      <w:proofErr w:type="gramStart"/>
      <w:r>
        <w:rPr>
          <w:sz w:val="20"/>
        </w:rPr>
        <w:t>[3]</w:t>
      </w:r>
      <w:r>
        <w:rPr>
          <w:sz w:val="20"/>
        </w:rPr>
        <w:tab/>
        <w:t>Riddle,</w:t>
      </w:r>
      <w:r w:rsidR="00D542A2">
        <w:rPr>
          <w:sz w:val="20"/>
        </w:rPr>
        <w:t> </w:t>
      </w:r>
      <w:r>
        <w:rPr>
          <w:sz w:val="20"/>
        </w:rPr>
        <w:t>B.; Baker-Jarvis,</w:t>
      </w:r>
      <w:r w:rsidR="00D542A2">
        <w:rPr>
          <w:sz w:val="20"/>
        </w:rPr>
        <w:t> </w:t>
      </w:r>
      <w:r>
        <w:rPr>
          <w:sz w:val="20"/>
        </w:rPr>
        <w:t xml:space="preserve">J.; </w:t>
      </w:r>
      <w:r>
        <w:rPr>
          <w:i/>
          <w:sz w:val="20"/>
        </w:rPr>
        <w:t>Complex Permittivity Measurements of Common Plastics Over Variable Temperatures</w:t>
      </w:r>
      <w:r>
        <w:rPr>
          <w:sz w:val="20"/>
        </w:rPr>
        <w:t xml:space="preserve">; </w:t>
      </w:r>
      <w:r w:rsidR="00AB438A" w:rsidRPr="00AB438A">
        <w:rPr>
          <w:sz w:val="20"/>
        </w:rPr>
        <w:t>IEEE Trans. Microwave Theory Tech.</w:t>
      </w:r>
      <w:proofErr w:type="gramEnd"/>
      <w:r>
        <w:rPr>
          <w:sz w:val="20"/>
        </w:rPr>
        <w:t>, Vol.</w:t>
      </w:r>
      <w:r w:rsidR="0068225E">
        <w:rPr>
          <w:sz w:val="20"/>
        </w:rPr>
        <w:t> </w:t>
      </w:r>
      <w:r>
        <w:rPr>
          <w:sz w:val="20"/>
        </w:rPr>
        <w:t>51, No.</w:t>
      </w:r>
      <w:r w:rsidR="00282F75">
        <w:rPr>
          <w:sz w:val="20"/>
        </w:rPr>
        <w:t> </w:t>
      </w:r>
      <w:r>
        <w:rPr>
          <w:sz w:val="20"/>
        </w:rPr>
        <w:t>3 (2003).</w:t>
      </w:r>
    </w:p>
    <w:p w:rsidR="00092C99" w:rsidRDefault="00092C99" w:rsidP="007C4511">
      <w:pPr>
        <w:tabs>
          <w:tab w:val="left" w:pos="324"/>
        </w:tabs>
        <w:ind w:left="324" w:hanging="324"/>
        <w:jc w:val="both"/>
        <w:rPr>
          <w:sz w:val="20"/>
        </w:rPr>
      </w:pPr>
      <w:r>
        <w:rPr>
          <w:sz w:val="20"/>
        </w:rPr>
        <w:t>[4]</w:t>
      </w:r>
      <w:r>
        <w:rPr>
          <w:sz w:val="20"/>
        </w:rPr>
        <w:tab/>
      </w:r>
      <w:r w:rsidR="005A5ECF" w:rsidRPr="005A5ECF">
        <w:rPr>
          <w:sz w:val="20"/>
        </w:rPr>
        <w:t xml:space="preserve">JCGM 100:2008; </w:t>
      </w:r>
      <w:r w:rsidR="005A5ECF" w:rsidRPr="005A5ECF">
        <w:rPr>
          <w:i/>
          <w:iCs/>
          <w:sz w:val="20"/>
        </w:rPr>
        <w:t xml:space="preserve">Evaluation of Measurement Data — Guide to the Expression of Uncertainty in Measurement </w:t>
      </w:r>
      <w:r w:rsidR="005A5ECF" w:rsidRPr="005A5ECF">
        <w:rPr>
          <w:sz w:val="20"/>
        </w:rPr>
        <w:t xml:space="preserve">(GUM 1995 with Minor Corrections); Joint Committee for Guides in Metrology (2008); available at </w:t>
      </w:r>
      <w:hyperlink r:id="rId14" w:history="1">
        <w:r w:rsidR="00282F75" w:rsidRPr="00282F75">
          <w:rPr>
            <w:rStyle w:val="Hyperlink"/>
            <w:color w:val="auto"/>
            <w:sz w:val="20"/>
            <w:u w:val="none"/>
          </w:rPr>
          <w:t>http://www.bipm.org/utils/common/documents/jcgm/JCGM_100_2008_E.pdf</w:t>
        </w:r>
      </w:hyperlink>
      <w:r w:rsidR="00282F75">
        <w:rPr>
          <w:sz w:val="20"/>
        </w:rPr>
        <w:t xml:space="preserve"> </w:t>
      </w:r>
      <w:r w:rsidR="005A5ECF" w:rsidRPr="005A5ECF">
        <w:rPr>
          <w:sz w:val="20"/>
        </w:rPr>
        <w:t>(accessed Feb 2013); see also Taylor,</w:t>
      </w:r>
      <w:r w:rsidR="006D53F9">
        <w:rPr>
          <w:sz w:val="20"/>
        </w:rPr>
        <w:t> </w:t>
      </w:r>
      <w:r w:rsidR="005A5ECF" w:rsidRPr="005A5ECF">
        <w:rPr>
          <w:sz w:val="20"/>
        </w:rPr>
        <w:t>B.N.; Kuyatt,</w:t>
      </w:r>
      <w:r w:rsidR="006D53F9">
        <w:rPr>
          <w:sz w:val="20"/>
        </w:rPr>
        <w:t> </w:t>
      </w:r>
      <w:r w:rsidR="005A5ECF" w:rsidRPr="005A5ECF">
        <w:rPr>
          <w:sz w:val="20"/>
        </w:rPr>
        <w:t xml:space="preserve">C.E.; </w:t>
      </w:r>
      <w:r w:rsidR="005A5ECF" w:rsidRPr="005A5ECF">
        <w:rPr>
          <w:i/>
          <w:iCs/>
          <w:sz w:val="20"/>
        </w:rPr>
        <w:t>Guidelines for Evaluating and Expressing the Uncertainty of NIST Measurement Results</w:t>
      </w:r>
      <w:r w:rsidR="005A5ECF" w:rsidRPr="005A5ECF">
        <w:rPr>
          <w:sz w:val="20"/>
        </w:rPr>
        <w:t xml:space="preserve">; NIST Technical Note 1297; U.S. Government Printing Office: Washington, DC (1994); available at </w:t>
      </w:r>
      <w:hyperlink r:id="rId15" w:history="1">
        <w:r w:rsidR="005A5ECF" w:rsidRPr="005A5ECF">
          <w:rPr>
            <w:sz w:val="20"/>
          </w:rPr>
          <w:t>http://www.nist.gov/pml/pubs/index.cfm</w:t>
        </w:r>
      </w:hyperlink>
      <w:r w:rsidR="005A5ECF" w:rsidRPr="005A5ECF">
        <w:rPr>
          <w:sz w:val="20"/>
        </w:rPr>
        <w:t xml:space="preserve"> (accessed Feb 2013). </w:t>
      </w:r>
    </w:p>
    <w:p w:rsidR="00092C99" w:rsidRDefault="00092C99" w:rsidP="007C4511">
      <w:pPr>
        <w:tabs>
          <w:tab w:val="left" w:pos="324"/>
        </w:tabs>
        <w:ind w:left="324" w:hanging="324"/>
        <w:jc w:val="both"/>
        <w:rPr>
          <w:sz w:val="20"/>
        </w:rPr>
      </w:pPr>
      <w:r>
        <w:rPr>
          <w:sz w:val="20"/>
        </w:rPr>
        <w:t>[5]</w:t>
      </w:r>
      <w:r>
        <w:rPr>
          <w:sz w:val="20"/>
        </w:rPr>
        <w:tab/>
        <w:t>Krupka,</w:t>
      </w:r>
      <w:r w:rsidR="00D542A2">
        <w:rPr>
          <w:sz w:val="20"/>
        </w:rPr>
        <w:t> </w:t>
      </w:r>
      <w:r>
        <w:rPr>
          <w:sz w:val="20"/>
        </w:rPr>
        <w:t>J.; Geyer,</w:t>
      </w:r>
      <w:r w:rsidR="00D542A2">
        <w:rPr>
          <w:sz w:val="20"/>
        </w:rPr>
        <w:t> </w:t>
      </w:r>
      <w:r>
        <w:rPr>
          <w:sz w:val="20"/>
        </w:rPr>
        <w:t>R.G.; Baker-Jarvis,</w:t>
      </w:r>
      <w:r w:rsidR="00D542A2">
        <w:rPr>
          <w:sz w:val="20"/>
        </w:rPr>
        <w:t> </w:t>
      </w:r>
      <w:r>
        <w:rPr>
          <w:sz w:val="20"/>
        </w:rPr>
        <w:t>J.; Ceremuga,</w:t>
      </w:r>
      <w:r w:rsidR="00D542A2">
        <w:rPr>
          <w:sz w:val="20"/>
        </w:rPr>
        <w:t> </w:t>
      </w:r>
      <w:r>
        <w:rPr>
          <w:sz w:val="20"/>
        </w:rPr>
        <w:t xml:space="preserve">J.; </w:t>
      </w:r>
      <w:r>
        <w:rPr>
          <w:i/>
          <w:sz w:val="20"/>
        </w:rPr>
        <w:t xml:space="preserve">Measurements of the Complex Permittivity of Microwave Circuit Board Substrates Using Split Dielectric Resonator and Reentrant Cavity </w:t>
      </w:r>
      <w:r w:rsidR="00EE6E47">
        <w:rPr>
          <w:i/>
          <w:sz w:val="20"/>
        </w:rPr>
        <w:t>Techniques</w:t>
      </w:r>
      <w:r>
        <w:rPr>
          <w:sz w:val="20"/>
        </w:rPr>
        <w:t xml:space="preserve">; DMMA Conference, Bath, United </w:t>
      </w:r>
      <w:r w:rsidR="00EE6E47">
        <w:rPr>
          <w:sz w:val="20"/>
        </w:rPr>
        <w:t>Kingdom</w:t>
      </w:r>
      <w:r>
        <w:rPr>
          <w:sz w:val="20"/>
        </w:rPr>
        <w:t>, pp</w:t>
      </w:r>
      <w:r w:rsidR="00B6215C">
        <w:rPr>
          <w:sz w:val="20"/>
        </w:rPr>
        <w:t>.</w:t>
      </w:r>
      <w:r w:rsidR="000F003E">
        <w:rPr>
          <w:sz w:val="20"/>
        </w:rPr>
        <w:t> </w:t>
      </w:r>
      <w:r>
        <w:rPr>
          <w:sz w:val="20"/>
        </w:rPr>
        <w:t>21–24 (1996).</w:t>
      </w:r>
    </w:p>
    <w:p w:rsidR="00092C99" w:rsidRDefault="00092C99" w:rsidP="007C4511">
      <w:pPr>
        <w:tabs>
          <w:tab w:val="left" w:pos="324"/>
        </w:tabs>
        <w:ind w:left="324" w:hanging="324"/>
        <w:jc w:val="both"/>
        <w:rPr>
          <w:sz w:val="20"/>
        </w:rPr>
      </w:pPr>
      <w:r>
        <w:rPr>
          <w:sz w:val="20"/>
        </w:rPr>
        <w:t>[6]</w:t>
      </w:r>
      <w:r>
        <w:rPr>
          <w:sz w:val="20"/>
        </w:rPr>
        <w:tab/>
        <w:t>Janezic,</w:t>
      </w:r>
      <w:r w:rsidR="00D542A2">
        <w:rPr>
          <w:sz w:val="20"/>
        </w:rPr>
        <w:t> </w:t>
      </w:r>
      <w:r>
        <w:rPr>
          <w:sz w:val="20"/>
        </w:rPr>
        <w:t xml:space="preserve">M.D.; </w:t>
      </w:r>
      <w:r w:rsidR="00395302">
        <w:rPr>
          <w:sz w:val="20"/>
        </w:rPr>
        <w:t>Kuester</w:t>
      </w:r>
      <w:r w:rsidR="00D542A2">
        <w:rPr>
          <w:sz w:val="20"/>
        </w:rPr>
        <w:t> </w:t>
      </w:r>
      <w:r w:rsidR="00395302">
        <w:rPr>
          <w:sz w:val="20"/>
        </w:rPr>
        <w:t xml:space="preserve">E.F.; </w:t>
      </w:r>
      <w:r>
        <w:rPr>
          <w:sz w:val="20"/>
        </w:rPr>
        <w:t>Baker-Jarvis,</w:t>
      </w:r>
      <w:r w:rsidR="00D542A2">
        <w:rPr>
          <w:sz w:val="20"/>
        </w:rPr>
        <w:t> </w:t>
      </w:r>
      <w:r>
        <w:rPr>
          <w:sz w:val="20"/>
        </w:rPr>
        <w:t xml:space="preserve">J.; </w:t>
      </w:r>
      <w:r w:rsidR="00395302">
        <w:rPr>
          <w:i/>
          <w:sz w:val="20"/>
        </w:rPr>
        <w:t>Broadband Complex Permittivity Measurements of Dielectric Substrates Using a Split-Cylinder Resonator</w:t>
      </w:r>
      <w:r>
        <w:rPr>
          <w:sz w:val="20"/>
        </w:rPr>
        <w:t xml:space="preserve">; </w:t>
      </w:r>
      <w:r w:rsidR="00395302">
        <w:rPr>
          <w:sz w:val="20"/>
        </w:rPr>
        <w:t xml:space="preserve">2004 </w:t>
      </w:r>
      <w:r w:rsidR="00EE6E47">
        <w:rPr>
          <w:sz w:val="20"/>
        </w:rPr>
        <w:t xml:space="preserve">IEEE </w:t>
      </w:r>
      <w:r w:rsidR="00395302">
        <w:rPr>
          <w:sz w:val="20"/>
        </w:rPr>
        <w:t>MTT-S Digest</w:t>
      </w:r>
      <w:r w:rsidR="00EE6E47">
        <w:rPr>
          <w:sz w:val="20"/>
        </w:rPr>
        <w:t>, pp</w:t>
      </w:r>
      <w:r w:rsidR="00B6215C">
        <w:rPr>
          <w:sz w:val="20"/>
        </w:rPr>
        <w:t>.</w:t>
      </w:r>
      <w:r w:rsidR="00EE6E47">
        <w:rPr>
          <w:sz w:val="20"/>
        </w:rPr>
        <w:t> </w:t>
      </w:r>
      <w:r w:rsidR="00395302">
        <w:rPr>
          <w:sz w:val="20"/>
        </w:rPr>
        <w:t>1817</w:t>
      </w:r>
      <w:r w:rsidR="00EE6E47">
        <w:rPr>
          <w:sz w:val="20"/>
        </w:rPr>
        <w:t>–</w:t>
      </w:r>
      <w:r w:rsidR="00395302">
        <w:rPr>
          <w:sz w:val="20"/>
        </w:rPr>
        <w:t>1820</w:t>
      </w:r>
      <w:r w:rsidR="00EE6E47">
        <w:rPr>
          <w:sz w:val="20"/>
        </w:rPr>
        <w:t xml:space="preserve"> (</w:t>
      </w:r>
      <w:r w:rsidR="00395302">
        <w:rPr>
          <w:sz w:val="20"/>
        </w:rPr>
        <w:t>2004</w:t>
      </w:r>
      <w:r w:rsidR="00EE6E47">
        <w:rPr>
          <w:sz w:val="20"/>
        </w:rPr>
        <w:t>).</w:t>
      </w:r>
    </w:p>
    <w:p w:rsidR="00EE6E47" w:rsidRDefault="00EE6E47" w:rsidP="007C4511">
      <w:pPr>
        <w:tabs>
          <w:tab w:val="left" w:pos="324"/>
        </w:tabs>
        <w:ind w:left="324" w:hanging="324"/>
        <w:jc w:val="both"/>
        <w:rPr>
          <w:sz w:val="20"/>
        </w:rPr>
      </w:pPr>
      <w:r>
        <w:rPr>
          <w:sz w:val="20"/>
        </w:rPr>
        <w:t>[7]</w:t>
      </w:r>
      <w:r>
        <w:rPr>
          <w:sz w:val="20"/>
        </w:rPr>
        <w:tab/>
        <w:t>Kobayashi,</w:t>
      </w:r>
      <w:r w:rsidR="000F003E">
        <w:rPr>
          <w:sz w:val="20"/>
        </w:rPr>
        <w:t> </w:t>
      </w:r>
      <w:r>
        <w:rPr>
          <w:sz w:val="20"/>
        </w:rPr>
        <w:t>Y.; Katoh,</w:t>
      </w:r>
      <w:r w:rsidR="000F003E">
        <w:rPr>
          <w:sz w:val="20"/>
        </w:rPr>
        <w:t> </w:t>
      </w:r>
      <w:r>
        <w:rPr>
          <w:sz w:val="20"/>
        </w:rPr>
        <w:t xml:space="preserve">M.; </w:t>
      </w:r>
      <w:r>
        <w:rPr>
          <w:i/>
          <w:sz w:val="20"/>
        </w:rPr>
        <w:t>Microwave Measurement of Dielectric Properties of Low-Loss Materials by the Dielectric Rod Resonator Method</w:t>
      </w:r>
      <w:r>
        <w:rPr>
          <w:sz w:val="20"/>
        </w:rPr>
        <w:t xml:space="preserve">; </w:t>
      </w:r>
      <w:r w:rsidR="006D53F9" w:rsidRPr="006D53F9">
        <w:rPr>
          <w:sz w:val="20"/>
        </w:rPr>
        <w:t>IEEE Trans. Microwave Theory Tech.</w:t>
      </w:r>
      <w:r>
        <w:rPr>
          <w:sz w:val="20"/>
        </w:rPr>
        <w:t>, Vol.</w:t>
      </w:r>
      <w:r w:rsidR="004E20CF">
        <w:rPr>
          <w:sz w:val="20"/>
        </w:rPr>
        <w:t> </w:t>
      </w:r>
      <w:r>
        <w:rPr>
          <w:sz w:val="20"/>
        </w:rPr>
        <w:t>33, pp</w:t>
      </w:r>
      <w:r w:rsidR="00B6215C">
        <w:rPr>
          <w:sz w:val="20"/>
        </w:rPr>
        <w:t>.</w:t>
      </w:r>
      <w:r>
        <w:rPr>
          <w:sz w:val="20"/>
        </w:rPr>
        <w:t> 586–592 (1985).</w:t>
      </w:r>
    </w:p>
    <w:p w:rsidR="00EE6E47" w:rsidRPr="00EE6E47" w:rsidRDefault="00EE6E47" w:rsidP="007C4511">
      <w:pPr>
        <w:tabs>
          <w:tab w:val="left" w:pos="324"/>
        </w:tabs>
        <w:ind w:left="324" w:hanging="324"/>
        <w:jc w:val="both"/>
        <w:rPr>
          <w:sz w:val="20"/>
        </w:rPr>
      </w:pPr>
    </w:p>
    <w:p w:rsidR="00092C99" w:rsidRDefault="00092C99" w:rsidP="007C4511">
      <w:pPr>
        <w:tabs>
          <w:tab w:val="left" w:pos="324"/>
        </w:tabs>
        <w:ind w:left="324" w:hanging="324"/>
        <w:jc w:val="both"/>
        <w:rPr>
          <w:sz w:val="20"/>
        </w:rPr>
      </w:pPr>
    </w:p>
    <w:p w:rsidR="00EE6E47" w:rsidRDefault="00EE6E47" w:rsidP="007C4511">
      <w:pPr>
        <w:tabs>
          <w:tab w:val="left" w:pos="324"/>
        </w:tabs>
        <w:ind w:left="324" w:hanging="324"/>
        <w:jc w:val="both"/>
        <w:rPr>
          <w:sz w:val="20"/>
        </w:rPr>
      </w:pPr>
    </w:p>
    <w:p w:rsidR="00EE6E47" w:rsidRDefault="00EE6E47" w:rsidP="007C4511">
      <w:pPr>
        <w:tabs>
          <w:tab w:val="left" w:pos="324"/>
        </w:tabs>
        <w:ind w:left="324" w:hanging="324"/>
        <w:jc w:val="both"/>
        <w:rPr>
          <w:sz w:val="20"/>
        </w:rPr>
      </w:pPr>
    </w:p>
    <w:p w:rsidR="00EE6E47" w:rsidRDefault="00EE6E47" w:rsidP="007C4511">
      <w:pPr>
        <w:tabs>
          <w:tab w:val="left" w:pos="324"/>
        </w:tabs>
        <w:ind w:left="324" w:hanging="324"/>
        <w:jc w:val="both"/>
        <w:rPr>
          <w:sz w:val="20"/>
        </w:rPr>
      </w:pPr>
    </w:p>
    <w:p w:rsidR="00EE6E47" w:rsidRDefault="00EE6E47" w:rsidP="007C4511">
      <w:pPr>
        <w:tabs>
          <w:tab w:val="left" w:pos="324"/>
        </w:tabs>
        <w:ind w:left="324" w:hanging="324"/>
        <w:jc w:val="both"/>
        <w:rPr>
          <w:sz w:val="20"/>
        </w:rPr>
      </w:pPr>
    </w:p>
    <w:p w:rsidR="00EE6E47" w:rsidRDefault="00EE6E47" w:rsidP="007C4511">
      <w:pPr>
        <w:tabs>
          <w:tab w:val="left" w:pos="324"/>
        </w:tabs>
        <w:ind w:left="324" w:hanging="324"/>
        <w:jc w:val="both"/>
        <w:rPr>
          <w:sz w:val="20"/>
        </w:rPr>
      </w:pPr>
    </w:p>
    <w:p w:rsidR="00EE6E47" w:rsidRDefault="00EE6E47" w:rsidP="007C4511">
      <w:pPr>
        <w:tabs>
          <w:tab w:val="left" w:pos="324"/>
        </w:tabs>
        <w:ind w:left="324" w:hanging="324"/>
        <w:jc w:val="both"/>
        <w:rPr>
          <w:sz w:val="20"/>
        </w:rPr>
      </w:pPr>
    </w:p>
    <w:p w:rsidR="00EE6E47" w:rsidRDefault="00EE6E47" w:rsidP="007C4511">
      <w:pPr>
        <w:tabs>
          <w:tab w:val="left" w:pos="324"/>
        </w:tabs>
        <w:ind w:left="324" w:hanging="324"/>
        <w:jc w:val="both"/>
        <w:rPr>
          <w:sz w:val="20"/>
        </w:rPr>
      </w:pPr>
    </w:p>
    <w:p w:rsidR="00EE6E47" w:rsidRDefault="00EE6E47" w:rsidP="007C4511">
      <w:pPr>
        <w:tabs>
          <w:tab w:val="left" w:pos="324"/>
        </w:tabs>
        <w:ind w:left="324" w:hanging="324"/>
        <w:jc w:val="both"/>
        <w:rPr>
          <w:sz w:val="20"/>
        </w:rPr>
      </w:pPr>
    </w:p>
    <w:p w:rsidR="00EE6E47" w:rsidRDefault="00EE6E47" w:rsidP="007C4511">
      <w:pPr>
        <w:tabs>
          <w:tab w:val="left" w:pos="324"/>
        </w:tabs>
        <w:ind w:left="324" w:hanging="324"/>
        <w:jc w:val="both"/>
        <w:rPr>
          <w:sz w:val="20"/>
        </w:rPr>
      </w:pPr>
    </w:p>
    <w:p w:rsidR="00EE6E47" w:rsidRDefault="00EE6E47" w:rsidP="007C4511">
      <w:pPr>
        <w:tabs>
          <w:tab w:val="left" w:pos="324"/>
        </w:tabs>
        <w:ind w:left="324" w:hanging="324"/>
        <w:jc w:val="both"/>
        <w:rPr>
          <w:sz w:val="20"/>
        </w:rPr>
      </w:pPr>
    </w:p>
    <w:p w:rsidR="00EE6E47" w:rsidRPr="00092C99" w:rsidRDefault="00EE6E47" w:rsidP="007C4511">
      <w:pPr>
        <w:tabs>
          <w:tab w:val="left" w:pos="324"/>
        </w:tabs>
        <w:ind w:left="324" w:hanging="324"/>
        <w:jc w:val="both"/>
        <w:rPr>
          <w:sz w:val="20"/>
        </w:rPr>
      </w:pPr>
    </w:p>
    <w:p w:rsidR="005A5ECF" w:rsidRPr="005A5ECF" w:rsidRDefault="005A5ECF" w:rsidP="007C4511">
      <w:pPr>
        <w:jc w:val="both"/>
        <w:rPr>
          <w:sz w:val="20"/>
        </w:rPr>
      </w:pPr>
    </w:p>
    <w:p w:rsidR="005A5ECF" w:rsidRPr="005A5ECF" w:rsidRDefault="005A5ECF" w:rsidP="007C4511">
      <w:pPr>
        <w:jc w:val="both"/>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5A5ECF" w:rsidRPr="005A5ECF" w:rsidTr="007D131C">
        <w:tc>
          <w:tcPr>
            <w:tcW w:w="9576" w:type="dxa"/>
            <w:shd w:val="clear" w:color="auto" w:fill="auto"/>
            <w:vAlign w:val="center"/>
          </w:tcPr>
          <w:p w:rsidR="005A5ECF" w:rsidRPr="005A5ECF" w:rsidRDefault="006D53F9" w:rsidP="007C4511">
            <w:pPr>
              <w:spacing w:before="100" w:beforeAutospacing="1" w:after="100" w:afterAutospacing="1"/>
              <w:rPr>
                <w:sz w:val="16"/>
                <w:szCs w:val="16"/>
              </w:rPr>
            </w:pPr>
            <w:r>
              <w:rPr>
                <w:b/>
                <w:sz w:val="16"/>
                <w:szCs w:val="16"/>
              </w:rPr>
              <w:t>Certificate</w:t>
            </w:r>
            <w:r w:rsidRPr="005A5ECF">
              <w:rPr>
                <w:b/>
                <w:sz w:val="16"/>
                <w:szCs w:val="16"/>
              </w:rPr>
              <w:t xml:space="preserve"> </w:t>
            </w:r>
            <w:r w:rsidR="005A5ECF" w:rsidRPr="005A5ECF">
              <w:rPr>
                <w:b/>
                <w:sz w:val="16"/>
                <w:szCs w:val="16"/>
              </w:rPr>
              <w:t>Revision History:</w:t>
            </w:r>
            <w:r w:rsidR="005A5ECF" w:rsidRPr="005A5ECF">
              <w:rPr>
                <w:sz w:val="16"/>
                <w:szCs w:val="16"/>
              </w:rPr>
              <w:t xml:space="preserve">  </w:t>
            </w:r>
            <w:r w:rsidR="005A5ECF" w:rsidRPr="005A5ECF">
              <w:rPr>
                <w:b/>
                <w:sz w:val="16"/>
                <w:szCs w:val="16"/>
              </w:rPr>
              <w:t>06 February 2013</w:t>
            </w:r>
            <w:r w:rsidR="005A5ECF" w:rsidRPr="005A5ECF">
              <w:rPr>
                <w:sz w:val="16"/>
                <w:szCs w:val="16"/>
              </w:rPr>
              <w:t xml:space="preserve"> (Extension of certification period, editorial changes); </w:t>
            </w:r>
            <w:r w:rsidR="00282F75">
              <w:rPr>
                <w:b/>
                <w:sz w:val="16"/>
                <w:szCs w:val="16"/>
              </w:rPr>
              <w:t>25</w:t>
            </w:r>
            <w:r w:rsidR="005A5ECF" w:rsidRPr="005A5ECF">
              <w:rPr>
                <w:b/>
                <w:sz w:val="16"/>
                <w:szCs w:val="16"/>
              </w:rPr>
              <w:t> </w:t>
            </w:r>
            <w:r w:rsidR="00282F75">
              <w:rPr>
                <w:b/>
                <w:sz w:val="16"/>
                <w:szCs w:val="16"/>
              </w:rPr>
              <w:t>October</w:t>
            </w:r>
            <w:r w:rsidR="005A5ECF" w:rsidRPr="005A5ECF">
              <w:rPr>
                <w:b/>
                <w:sz w:val="16"/>
                <w:szCs w:val="16"/>
              </w:rPr>
              <w:t> 200</w:t>
            </w:r>
            <w:r w:rsidR="00282F75">
              <w:rPr>
                <w:b/>
                <w:sz w:val="16"/>
                <w:szCs w:val="16"/>
              </w:rPr>
              <w:t>6</w:t>
            </w:r>
            <w:r w:rsidR="005A5ECF" w:rsidRPr="005A5ECF">
              <w:rPr>
                <w:sz w:val="16"/>
                <w:szCs w:val="16"/>
              </w:rPr>
              <w:t xml:space="preserve"> (Original </w:t>
            </w:r>
            <w:r w:rsidR="00282F75">
              <w:rPr>
                <w:sz w:val="16"/>
                <w:szCs w:val="16"/>
              </w:rPr>
              <w:t>certificate</w:t>
            </w:r>
            <w:r w:rsidR="00282F75" w:rsidRPr="005A5ECF">
              <w:rPr>
                <w:sz w:val="16"/>
                <w:szCs w:val="16"/>
              </w:rPr>
              <w:t xml:space="preserve"> </w:t>
            </w:r>
            <w:r w:rsidR="005A5ECF" w:rsidRPr="005A5ECF">
              <w:rPr>
                <w:sz w:val="16"/>
                <w:szCs w:val="16"/>
              </w:rPr>
              <w:t xml:space="preserve">date). </w:t>
            </w:r>
          </w:p>
        </w:tc>
      </w:tr>
    </w:tbl>
    <w:p w:rsidR="005A5ECF" w:rsidRPr="005A5ECF" w:rsidRDefault="005A5ECF" w:rsidP="007C4511">
      <w:pPr>
        <w:jc w:val="both"/>
        <w:rPr>
          <w:sz w:val="20"/>
        </w:rPr>
      </w:pPr>
    </w:p>
    <w:p w:rsidR="005A5ECF" w:rsidRPr="005A5ECF" w:rsidRDefault="005A5ECF" w:rsidP="007C4511">
      <w:pPr>
        <w:jc w:val="both"/>
        <w:rPr>
          <w:sz w:val="20"/>
        </w:rPr>
      </w:pPr>
    </w:p>
    <w:p w:rsidR="005A5ECF" w:rsidRPr="005A5ECF" w:rsidRDefault="005A5ECF" w:rsidP="007C4511">
      <w:pPr>
        <w:jc w:val="both"/>
        <w:rPr>
          <w:sz w:val="20"/>
        </w:rPr>
      </w:pPr>
    </w:p>
    <w:p w:rsidR="005A5ECF" w:rsidRPr="005A5ECF" w:rsidRDefault="005A5ECF" w:rsidP="007C4511">
      <w:pPr>
        <w:jc w:val="both"/>
        <w:rPr>
          <w:sz w:val="20"/>
        </w:rPr>
      </w:pPr>
    </w:p>
    <w:p w:rsidR="00EE6E47" w:rsidRDefault="00EE6E47" w:rsidP="007C4511">
      <w:pPr>
        <w:tabs>
          <w:tab w:val="left" w:pos="-720"/>
          <w:tab w:val="left" w:pos="1440"/>
          <w:tab w:val="decimal" w:pos="7200"/>
        </w:tabs>
        <w:jc w:val="both"/>
      </w:pPr>
    </w:p>
    <w:p w:rsidR="00EE6E47" w:rsidRDefault="00EE6E47" w:rsidP="007C4511">
      <w:pPr>
        <w:tabs>
          <w:tab w:val="left" w:pos="-720"/>
          <w:tab w:val="left" w:pos="1440"/>
          <w:tab w:val="decimal" w:pos="7200"/>
        </w:tabs>
        <w:jc w:val="both"/>
      </w:pPr>
    </w:p>
    <w:p w:rsidR="00EE6E47" w:rsidRDefault="00EE6E47" w:rsidP="007C4511">
      <w:pPr>
        <w:tabs>
          <w:tab w:val="left" w:pos="-720"/>
          <w:tab w:val="left" w:pos="1440"/>
          <w:tab w:val="decimal" w:pos="7200"/>
        </w:tabs>
        <w:jc w:val="both"/>
      </w:pPr>
    </w:p>
    <w:p w:rsidR="00663619" w:rsidRDefault="00663619" w:rsidP="007C4511">
      <w:pPr>
        <w:tabs>
          <w:tab w:val="left" w:pos="-720"/>
          <w:tab w:val="left" w:pos="1440"/>
          <w:tab w:val="decimal" w:pos="7200"/>
        </w:tabs>
        <w:jc w:val="both"/>
      </w:pPr>
    </w:p>
    <w:p w:rsidR="00EE6E47" w:rsidRDefault="00EE6E47" w:rsidP="007C4511">
      <w:pPr>
        <w:tabs>
          <w:tab w:val="left" w:pos="-720"/>
          <w:tab w:val="left" w:pos="1440"/>
          <w:tab w:val="decimal" w:pos="7200"/>
        </w:tabs>
        <w:jc w:val="both"/>
      </w:pPr>
      <w:bookmarkStart w:id="0" w:name="_GoBack"/>
      <w:bookmarkEnd w:id="0"/>
    </w:p>
    <w:p w:rsidR="00EE6E47" w:rsidRDefault="00EE6E47" w:rsidP="007C4511">
      <w:pPr>
        <w:tabs>
          <w:tab w:val="left" w:pos="-720"/>
          <w:tab w:val="left" w:pos="1440"/>
          <w:tab w:val="decimal" w:pos="7200"/>
        </w:tabs>
        <w:jc w:val="both"/>
      </w:pPr>
    </w:p>
    <w:p w:rsidR="00EE6E47" w:rsidRDefault="00EE6E47" w:rsidP="007C4511">
      <w:pPr>
        <w:tabs>
          <w:tab w:val="left" w:pos="-720"/>
          <w:tab w:val="left" w:pos="1440"/>
          <w:tab w:val="decimal" w:pos="7200"/>
        </w:tabs>
        <w:jc w:val="both"/>
      </w:pPr>
    </w:p>
    <w:p w:rsidR="00FE281B" w:rsidRDefault="00FE281B" w:rsidP="007C4511">
      <w:pPr>
        <w:tabs>
          <w:tab w:val="left" w:pos="-720"/>
          <w:tab w:val="left" w:pos="1440"/>
          <w:tab w:val="decimal" w:pos="7200"/>
        </w:tabs>
        <w:jc w:val="both"/>
      </w:pPr>
    </w:p>
    <w:p w:rsidR="00FE281B" w:rsidRPr="00C5056C" w:rsidRDefault="00FE281B" w:rsidP="007C4511">
      <w:pPr>
        <w:tabs>
          <w:tab w:val="left" w:pos="-720"/>
          <w:tab w:val="left" w:pos="1620"/>
          <w:tab w:val="left" w:pos="2340"/>
          <w:tab w:val="left" w:pos="2790"/>
          <w:tab w:val="decimal" w:pos="4770"/>
          <w:tab w:val="left" w:pos="5310"/>
          <w:tab w:val="decimal" w:pos="5850"/>
          <w:tab w:val="left" w:pos="7830"/>
        </w:tabs>
        <w:jc w:val="both"/>
        <w:rPr>
          <w:sz w:val="20"/>
        </w:rPr>
      </w:pPr>
      <w:r w:rsidRPr="00C5056C">
        <w:rPr>
          <w:i/>
          <w:sz w:val="20"/>
        </w:rPr>
        <w:t xml:space="preserve">Users of this SRM should ensure that the </w:t>
      </w:r>
      <w:r w:rsidR="000F003E" w:rsidRPr="00C5056C">
        <w:rPr>
          <w:i/>
          <w:sz w:val="20"/>
        </w:rPr>
        <w:t>C</w:t>
      </w:r>
      <w:r w:rsidRPr="00C5056C">
        <w:rPr>
          <w:i/>
          <w:sz w:val="20"/>
        </w:rPr>
        <w:t>ertificate in their possession is current.  This can be accomplished by contacting the SRM Progra</w:t>
      </w:r>
      <w:r w:rsidR="000F003E" w:rsidRPr="00C5056C">
        <w:rPr>
          <w:i/>
          <w:sz w:val="20"/>
        </w:rPr>
        <w:t>m</w:t>
      </w:r>
      <w:r w:rsidRPr="00C5056C">
        <w:rPr>
          <w:i/>
          <w:sz w:val="20"/>
        </w:rPr>
        <w:t>:  telephone (301)</w:t>
      </w:r>
      <w:r w:rsidR="000F003E" w:rsidRPr="00C5056C">
        <w:rPr>
          <w:i/>
          <w:sz w:val="20"/>
        </w:rPr>
        <w:t> </w:t>
      </w:r>
      <w:r w:rsidR="006D53F9" w:rsidRPr="00C5056C">
        <w:rPr>
          <w:i/>
          <w:sz w:val="20"/>
        </w:rPr>
        <w:t>975</w:t>
      </w:r>
      <w:r w:rsidRPr="00C5056C">
        <w:rPr>
          <w:i/>
          <w:sz w:val="20"/>
        </w:rPr>
        <w:t>-</w:t>
      </w:r>
      <w:r w:rsidR="006D53F9" w:rsidRPr="00C5056C">
        <w:rPr>
          <w:i/>
          <w:sz w:val="20"/>
        </w:rPr>
        <w:t>2200</w:t>
      </w:r>
      <w:r w:rsidRPr="00C5056C">
        <w:rPr>
          <w:i/>
          <w:sz w:val="20"/>
        </w:rPr>
        <w:t>; fax (301)</w:t>
      </w:r>
      <w:r w:rsidR="000F003E" w:rsidRPr="00C5056C">
        <w:rPr>
          <w:i/>
          <w:sz w:val="20"/>
        </w:rPr>
        <w:t> </w:t>
      </w:r>
      <w:r w:rsidRPr="00C5056C">
        <w:rPr>
          <w:i/>
          <w:sz w:val="20"/>
        </w:rPr>
        <w:t>9</w:t>
      </w:r>
      <w:r w:rsidR="000F003E" w:rsidRPr="00C5056C">
        <w:rPr>
          <w:i/>
          <w:sz w:val="20"/>
        </w:rPr>
        <w:t>48</w:t>
      </w:r>
      <w:r w:rsidRPr="00C5056C">
        <w:rPr>
          <w:i/>
          <w:sz w:val="20"/>
        </w:rPr>
        <w:t>-</w:t>
      </w:r>
      <w:r w:rsidR="000F003E" w:rsidRPr="00C5056C">
        <w:rPr>
          <w:i/>
          <w:sz w:val="20"/>
        </w:rPr>
        <w:t>3730</w:t>
      </w:r>
      <w:r w:rsidRPr="00C5056C">
        <w:rPr>
          <w:i/>
          <w:sz w:val="20"/>
        </w:rPr>
        <w:t xml:space="preserve">; e-mail </w:t>
      </w:r>
      <w:hyperlink r:id="rId16" w:history="1">
        <w:r w:rsidRPr="00813802">
          <w:rPr>
            <w:rStyle w:val="Hyperlink"/>
            <w:i/>
            <w:color w:val="auto"/>
            <w:sz w:val="20"/>
            <w:u w:val="none"/>
          </w:rPr>
          <w:t>srminfo@nist.gov</w:t>
        </w:r>
      </w:hyperlink>
      <w:r w:rsidRPr="00C5056C">
        <w:rPr>
          <w:i/>
          <w:sz w:val="20"/>
        </w:rPr>
        <w:t xml:space="preserve">; or via the Internet at </w:t>
      </w:r>
      <w:hyperlink r:id="rId17" w:history="1">
        <w:r w:rsidRPr="00813802">
          <w:rPr>
            <w:rStyle w:val="Hyperlink"/>
            <w:i/>
            <w:color w:val="auto"/>
            <w:sz w:val="20"/>
            <w:u w:val="none"/>
          </w:rPr>
          <w:t>http://www.nist.gov/srm</w:t>
        </w:r>
      </w:hyperlink>
      <w:r w:rsidRPr="00C5056C">
        <w:rPr>
          <w:i/>
          <w:sz w:val="20"/>
        </w:rPr>
        <w:t>.</w:t>
      </w:r>
    </w:p>
    <w:sectPr w:rsidR="00FE281B" w:rsidRPr="00C5056C" w:rsidSect="00813802">
      <w:endnotePr>
        <w:numFmt w:val="decimal"/>
      </w:endnotePr>
      <w:pgSz w:w="12240" w:h="15840" w:code="1"/>
      <w:pgMar w:top="720" w:right="1440" w:bottom="720" w:left="1440" w:header="720"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140" w:rsidRDefault="00123140">
      <w:r>
        <w:separator/>
      </w:r>
    </w:p>
  </w:endnote>
  <w:endnote w:type="continuationSeparator" w:id="0">
    <w:p w:rsidR="00123140" w:rsidRDefault="00123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MathA">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G Times">
    <w:panose1 w:val="02020603050405020304"/>
    <w:charset w:val="00"/>
    <w:family w:val="roman"/>
    <w:pitch w:val="variable"/>
    <w:sig w:usb0="00000007" w:usb1="00000000" w:usb2="00000000" w:usb3="00000000" w:csb0="00000093" w:csb1="00000000"/>
  </w:font>
  <w:font w:name="Lincoln">
    <w:altName w:val="Courier10 BT"/>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Linotext">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CED" w:rsidRDefault="00C91CED">
    <w:pPr>
      <w:framePr w:w="9360" w:h="232" w:hRule="exact" w:wrap="notBeside" w:vAnchor="page" w:hAnchor="text" w:y="15210"/>
      <w:tabs>
        <w:tab w:val="left" w:pos="-1176"/>
        <w:tab w:val="left" w:pos="-720"/>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center"/>
      <w:rPr>
        <w:vanish/>
      </w:rPr>
    </w:pPr>
    <w:r>
      <w:rPr>
        <w:sz w:val="20"/>
      </w:rPr>
      <w:t xml:space="preserve">Page </w:t>
    </w:r>
    <w:r>
      <w:rPr>
        <w:sz w:val="20"/>
      </w:rPr>
      <w:pgNum/>
    </w:r>
    <w:r>
      <w:rPr>
        <w:sz w:val="20"/>
      </w:rPr>
      <w:t xml:space="preserve"> </w:t>
    </w:r>
    <w:proofErr w:type="gramStart"/>
    <w:r>
      <w:rPr>
        <w:sz w:val="20"/>
      </w:rPr>
      <w:t xml:space="preserve">of  </w:t>
    </w:r>
    <w:proofErr w:type="gramEnd"/>
    <w:r>
      <w:rPr>
        <w:sz w:val="20"/>
      </w:rPr>
      <w:fldChar w:fldCharType="begin"/>
    </w:r>
    <w:r>
      <w:rPr>
        <w:sz w:val="20"/>
      </w:rPr>
      <w:instrText xml:space="preserve"> NUMPAGES \* arabic \* MERGEFORMAT </w:instrText>
    </w:r>
    <w:r>
      <w:rPr>
        <w:sz w:val="20"/>
      </w:rPr>
      <w:fldChar w:fldCharType="separate"/>
    </w:r>
    <w:r w:rsidR="00676EC6">
      <w:rPr>
        <w:noProof/>
        <w:sz w:val="20"/>
      </w:rPr>
      <w:t>3</w:t>
    </w:r>
    <w:r>
      <w:rPr>
        <w:sz w:val="20"/>
      </w:rPr>
      <w:fldChar w:fldCharType="end"/>
    </w:r>
  </w:p>
  <w:p w:rsidR="00C91CED" w:rsidRDefault="00C91CED">
    <w:pPr>
      <w:tabs>
        <w:tab w:val="left" w:pos="-1176"/>
        <w:tab w:val="left" w:pos="-720"/>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CED" w:rsidRPr="0083730A" w:rsidRDefault="00C91CED" w:rsidP="0083730A">
    <w:pPr>
      <w:pStyle w:val="Footer"/>
      <w:tabs>
        <w:tab w:val="clear" w:pos="4320"/>
        <w:tab w:val="clear" w:pos="8640"/>
        <w:tab w:val="right" w:pos="9360"/>
      </w:tabs>
      <w:jc w:val="both"/>
      <w:rPr>
        <w:sz w:val="20"/>
      </w:rPr>
    </w:pPr>
    <w:r>
      <w:rPr>
        <w:sz w:val="20"/>
      </w:rPr>
      <w:t xml:space="preserve">SRM </w:t>
    </w:r>
    <w:r w:rsidR="00A163F7">
      <w:rPr>
        <w:sz w:val="20"/>
      </w:rPr>
      <w:t>2870</w:t>
    </w:r>
    <w:r>
      <w:rPr>
        <w:sz w:val="20"/>
      </w:rPr>
      <w:tab/>
    </w:r>
    <w:r w:rsidRPr="0083730A">
      <w:rPr>
        <w:sz w:val="20"/>
      </w:rPr>
      <w:t xml:space="preserve">Page </w:t>
    </w:r>
    <w:r w:rsidRPr="0083730A">
      <w:rPr>
        <w:sz w:val="20"/>
      </w:rPr>
      <w:fldChar w:fldCharType="begin"/>
    </w:r>
    <w:r w:rsidRPr="0083730A">
      <w:rPr>
        <w:sz w:val="20"/>
      </w:rPr>
      <w:instrText xml:space="preserve"> PAGE </w:instrText>
    </w:r>
    <w:r w:rsidRPr="0083730A">
      <w:rPr>
        <w:sz w:val="20"/>
      </w:rPr>
      <w:fldChar w:fldCharType="separate"/>
    </w:r>
    <w:r w:rsidR="00813802">
      <w:rPr>
        <w:noProof/>
        <w:sz w:val="20"/>
      </w:rPr>
      <w:t>1</w:t>
    </w:r>
    <w:r w:rsidRPr="0083730A">
      <w:rPr>
        <w:sz w:val="20"/>
      </w:rPr>
      <w:fldChar w:fldCharType="end"/>
    </w:r>
    <w:r w:rsidRPr="0083730A">
      <w:rPr>
        <w:sz w:val="20"/>
      </w:rPr>
      <w:t xml:space="preserve"> of</w:t>
    </w:r>
    <w:r w:rsidR="00EE6E47">
      <w:rPr>
        <w:sz w:val="20"/>
      </w:rPr>
      <w:t xml:space="preserve"> 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CED" w:rsidRDefault="00C91CED">
    <w:pPr>
      <w:framePr w:w="9360" w:h="232" w:hRule="exact" w:wrap="notBeside" w:vAnchor="page" w:hAnchor="text" w:y="15210"/>
      <w:tabs>
        <w:tab w:val="left" w:pos="-1176"/>
        <w:tab w:val="left" w:pos="-720"/>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center"/>
      <w:rPr>
        <w:vanish/>
      </w:rPr>
    </w:pPr>
    <w:r>
      <w:rPr>
        <w:sz w:val="20"/>
      </w:rPr>
      <w:t xml:space="preserve">Page </w:t>
    </w:r>
    <w:r>
      <w:rPr>
        <w:sz w:val="20"/>
      </w:rPr>
      <w:pgNum/>
    </w:r>
    <w:r>
      <w:rPr>
        <w:sz w:val="20"/>
      </w:rPr>
      <w:t xml:space="preserve"> </w:t>
    </w:r>
    <w:proofErr w:type="gramStart"/>
    <w:r>
      <w:rPr>
        <w:sz w:val="20"/>
      </w:rPr>
      <w:t xml:space="preserve">of  </w:t>
    </w:r>
    <w:proofErr w:type="gramEnd"/>
    <w:r>
      <w:rPr>
        <w:sz w:val="20"/>
      </w:rPr>
      <w:fldChar w:fldCharType="begin"/>
    </w:r>
    <w:r>
      <w:rPr>
        <w:sz w:val="20"/>
      </w:rPr>
      <w:instrText xml:space="preserve"> NUMPAGES \* arabic \* MERGEFORMAT </w:instrText>
    </w:r>
    <w:r>
      <w:rPr>
        <w:sz w:val="20"/>
      </w:rPr>
      <w:fldChar w:fldCharType="separate"/>
    </w:r>
    <w:r w:rsidR="00676EC6">
      <w:rPr>
        <w:noProof/>
        <w:sz w:val="20"/>
      </w:rPr>
      <w:t>3</w:t>
    </w:r>
    <w:r>
      <w:rPr>
        <w:sz w:val="20"/>
      </w:rPr>
      <w:fldChar w:fldCharType="end"/>
    </w:r>
  </w:p>
  <w:p w:rsidR="00C91CED" w:rsidRDefault="00C91CED">
    <w:pPr>
      <w:tabs>
        <w:tab w:val="left" w:pos="-1176"/>
        <w:tab w:val="left" w:pos="-720"/>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140" w:rsidRDefault="00123140">
      <w:r>
        <w:separator/>
      </w:r>
    </w:p>
  </w:footnote>
  <w:footnote w:type="continuationSeparator" w:id="0">
    <w:p w:rsidR="00123140" w:rsidRDefault="00123140">
      <w:r>
        <w:continuationSeparator/>
      </w:r>
    </w:p>
  </w:footnote>
  <w:footnote w:id="1">
    <w:p w:rsidR="00C91CED" w:rsidRDefault="0068225E" w:rsidP="00550647">
      <w:pPr>
        <w:pStyle w:val="FootnoteText"/>
        <w:ind w:firstLine="720"/>
        <w:jc w:val="both"/>
      </w:pPr>
      <w:r w:rsidRPr="00282F75">
        <w:rPr>
          <w:vertAlign w:val="superscript"/>
        </w:rPr>
        <w:t>(</w:t>
      </w:r>
      <w:r w:rsidR="00C91CED">
        <w:rPr>
          <w:rStyle w:val="FootnoteReference"/>
        </w:rPr>
        <w:footnoteRef/>
      </w:r>
      <w:r w:rsidRPr="00282F75">
        <w:rPr>
          <w:vertAlign w:val="superscript"/>
        </w:rPr>
        <w:t>)</w:t>
      </w:r>
      <w:r w:rsidR="00C91CED">
        <w:t xml:space="preserve"> </w:t>
      </w:r>
      <w:r w:rsidR="00C91CED">
        <w:rPr>
          <w:sz w:val="18"/>
        </w:rPr>
        <w:t xml:space="preserve">Certain commercial equipment, instrumentation, or materials are identified in this </w:t>
      </w:r>
      <w:r w:rsidR="007C316B">
        <w:rPr>
          <w:sz w:val="18"/>
        </w:rPr>
        <w:t>certificate</w:t>
      </w:r>
      <w:r w:rsidR="00C91CED">
        <w:rPr>
          <w:sz w:val="18"/>
        </w:rPr>
        <w:t xml:space="preserv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none"/>
      <w:suff w:val="nothing"/>
      <w:lvlText w:val="C"/>
      <w:lvlJc w:val="left"/>
      <w:rPr>
        <w:rFonts w:ascii="WP MathA" w:hAnsi="WP MathA"/>
      </w:rPr>
    </w:lvl>
  </w:abstractNum>
  <w:abstractNum w:abstractNumId="1">
    <w:nsid w:val="057C067C"/>
    <w:multiLevelType w:val="hybridMultilevel"/>
    <w:tmpl w:val="D166F2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chicago"/>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InstantFormat&gt;&lt;Enabled&gt;1&lt;/Enabled&gt;&lt;ScanUnformatted&gt;1&lt;/ScanUnformatted&gt;&lt;ScanChanges&gt;1&lt;/ScanChanges&gt;&lt;/InstantFormat&gt;"/>
    <w:docVar w:name="REFMGR.Layout" w:val="&lt;Layout&gt;&lt;StartingRefnum&gt;SRM Certificate 2004 SAW&lt;/StartingRefnum&gt;&lt;FontName&gt;Times New Roman&lt;/FontName&gt;&lt;FontSize&gt;11&lt;/FontSize&gt;&lt;ReflistTitle&gt;REFERENCES&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group&lt;/item&gt;&lt;/Libraries&gt;&lt;/Databases&gt;"/>
  </w:docVars>
  <w:rsids>
    <w:rsidRoot w:val="001824CA"/>
    <w:rsid w:val="00003506"/>
    <w:rsid w:val="00006A70"/>
    <w:rsid w:val="00020817"/>
    <w:rsid w:val="00027329"/>
    <w:rsid w:val="00031A3F"/>
    <w:rsid w:val="00036F1D"/>
    <w:rsid w:val="00050E7E"/>
    <w:rsid w:val="00053270"/>
    <w:rsid w:val="00070BFE"/>
    <w:rsid w:val="000725E8"/>
    <w:rsid w:val="000914E6"/>
    <w:rsid w:val="00092C99"/>
    <w:rsid w:val="000A442B"/>
    <w:rsid w:val="000A59E9"/>
    <w:rsid w:val="000B30E3"/>
    <w:rsid w:val="000B4C4D"/>
    <w:rsid w:val="000C3315"/>
    <w:rsid w:val="000E7EA7"/>
    <w:rsid w:val="000F003E"/>
    <w:rsid w:val="0011260B"/>
    <w:rsid w:val="00123140"/>
    <w:rsid w:val="0012359D"/>
    <w:rsid w:val="001260CF"/>
    <w:rsid w:val="00133242"/>
    <w:rsid w:val="00137BA5"/>
    <w:rsid w:val="0014057F"/>
    <w:rsid w:val="0014429C"/>
    <w:rsid w:val="00165625"/>
    <w:rsid w:val="0017241C"/>
    <w:rsid w:val="0017304F"/>
    <w:rsid w:val="00174966"/>
    <w:rsid w:val="0017621F"/>
    <w:rsid w:val="001824CA"/>
    <w:rsid w:val="00186DDD"/>
    <w:rsid w:val="001A7984"/>
    <w:rsid w:val="001B02F8"/>
    <w:rsid w:val="001B5DEF"/>
    <w:rsid w:val="001F4412"/>
    <w:rsid w:val="001F5B30"/>
    <w:rsid w:val="00206099"/>
    <w:rsid w:val="0022246A"/>
    <w:rsid w:val="00224F24"/>
    <w:rsid w:val="002310AE"/>
    <w:rsid w:val="00241AA6"/>
    <w:rsid w:val="00243AD7"/>
    <w:rsid w:val="00245DD5"/>
    <w:rsid w:val="00271AEA"/>
    <w:rsid w:val="00275547"/>
    <w:rsid w:val="00282F75"/>
    <w:rsid w:val="00283A7E"/>
    <w:rsid w:val="002856C6"/>
    <w:rsid w:val="002A33AE"/>
    <w:rsid w:val="002B3AA9"/>
    <w:rsid w:val="002D48CC"/>
    <w:rsid w:val="002E1958"/>
    <w:rsid w:val="002E6849"/>
    <w:rsid w:val="00314DC9"/>
    <w:rsid w:val="00367515"/>
    <w:rsid w:val="00384C4F"/>
    <w:rsid w:val="0039267B"/>
    <w:rsid w:val="00395302"/>
    <w:rsid w:val="00397F30"/>
    <w:rsid w:val="003B2988"/>
    <w:rsid w:val="003B2A23"/>
    <w:rsid w:val="003B59D4"/>
    <w:rsid w:val="003C0F03"/>
    <w:rsid w:val="003D75C4"/>
    <w:rsid w:val="003F6A3C"/>
    <w:rsid w:val="003F7D08"/>
    <w:rsid w:val="003F7DDD"/>
    <w:rsid w:val="00414004"/>
    <w:rsid w:val="00414104"/>
    <w:rsid w:val="00421B17"/>
    <w:rsid w:val="004310B8"/>
    <w:rsid w:val="00431CD1"/>
    <w:rsid w:val="004326DC"/>
    <w:rsid w:val="00432FA0"/>
    <w:rsid w:val="004339E3"/>
    <w:rsid w:val="00453DAD"/>
    <w:rsid w:val="00460C72"/>
    <w:rsid w:val="004656B3"/>
    <w:rsid w:val="00473209"/>
    <w:rsid w:val="004749B5"/>
    <w:rsid w:val="004824E5"/>
    <w:rsid w:val="004852D9"/>
    <w:rsid w:val="00485709"/>
    <w:rsid w:val="00485966"/>
    <w:rsid w:val="004917D9"/>
    <w:rsid w:val="00491CA4"/>
    <w:rsid w:val="00493A0A"/>
    <w:rsid w:val="004A3C4A"/>
    <w:rsid w:val="004A495C"/>
    <w:rsid w:val="004A5DE8"/>
    <w:rsid w:val="004B7534"/>
    <w:rsid w:val="004C24AF"/>
    <w:rsid w:val="004C650B"/>
    <w:rsid w:val="004C74FD"/>
    <w:rsid w:val="004D53D2"/>
    <w:rsid w:val="004D7FC4"/>
    <w:rsid w:val="004E20CF"/>
    <w:rsid w:val="004E3DD4"/>
    <w:rsid w:val="005175E0"/>
    <w:rsid w:val="005210E5"/>
    <w:rsid w:val="00523823"/>
    <w:rsid w:val="00523FB3"/>
    <w:rsid w:val="005249E1"/>
    <w:rsid w:val="00547A9B"/>
    <w:rsid w:val="00550647"/>
    <w:rsid w:val="005614EC"/>
    <w:rsid w:val="00585ADF"/>
    <w:rsid w:val="00590560"/>
    <w:rsid w:val="00593AC2"/>
    <w:rsid w:val="0059617F"/>
    <w:rsid w:val="005A5ECF"/>
    <w:rsid w:val="005B134B"/>
    <w:rsid w:val="005B7707"/>
    <w:rsid w:val="005C0770"/>
    <w:rsid w:val="005D0435"/>
    <w:rsid w:val="005D1328"/>
    <w:rsid w:val="005E5A71"/>
    <w:rsid w:val="005F6867"/>
    <w:rsid w:val="005F6ABD"/>
    <w:rsid w:val="005F7A2C"/>
    <w:rsid w:val="006036A9"/>
    <w:rsid w:val="0061265F"/>
    <w:rsid w:val="00624AA8"/>
    <w:rsid w:val="00643C54"/>
    <w:rsid w:val="00653F99"/>
    <w:rsid w:val="006542DA"/>
    <w:rsid w:val="00663619"/>
    <w:rsid w:val="00676EC6"/>
    <w:rsid w:val="0068132E"/>
    <w:rsid w:val="0068225E"/>
    <w:rsid w:val="0069007D"/>
    <w:rsid w:val="006C02B4"/>
    <w:rsid w:val="006C3F09"/>
    <w:rsid w:val="006C7E96"/>
    <w:rsid w:val="006D0197"/>
    <w:rsid w:val="006D4CF1"/>
    <w:rsid w:val="006D53F9"/>
    <w:rsid w:val="006F1E05"/>
    <w:rsid w:val="006F44D8"/>
    <w:rsid w:val="0071338E"/>
    <w:rsid w:val="007244B3"/>
    <w:rsid w:val="00744B70"/>
    <w:rsid w:val="00745AC9"/>
    <w:rsid w:val="00752D12"/>
    <w:rsid w:val="00755430"/>
    <w:rsid w:val="00755AE6"/>
    <w:rsid w:val="00756904"/>
    <w:rsid w:val="00761739"/>
    <w:rsid w:val="00761AA9"/>
    <w:rsid w:val="007802AA"/>
    <w:rsid w:val="0078159F"/>
    <w:rsid w:val="00791865"/>
    <w:rsid w:val="0079263F"/>
    <w:rsid w:val="00792A1D"/>
    <w:rsid w:val="007A6064"/>
    <w:rsid w:val="007C05BC"/>
    <w:rsid w:val="007C28BA"/>
    <w:rsid w:val="007C316B"/>
    <w:rsid w:val="007C4511"/>
    <w:rsid w:val="007E454E"/>
    <w:rsid w:val="007E74F6"/>
    <w:rsid w:val="007F15C7"/>
    <w:rsid w:val="00806D89"/>
    <w:rsid w:val="00812391"/>
    <w:rsid w:val="00813802"/>
    <w:rsid w:val="00816948"/>
    <w:rsid w:val="00821B1F"/>
    <w:rsid w:val="00826573"/>
    <w:rsid w:val="00832482"/>
    <w:rsid w:val="00832A8D"/>
    <w:rsid w:val="0083599F"/>
    <w:rsid w:val="00835F61"/>
    <w:rsid w:val="0083730A"/>
    <w:rsid w:val="00852FBA"/>
    <w:rsid w:val="00856D33"/>
    <w:rsid w:val="00862D8B"/>
    <w:rsid w:val="00870896"/>
    <w:rsid w:val="008728BB"/>
    <w:rsid w:val="00885913"/>
    <w:rsid w:val="008919E0"/>
    <w:rsid w:val="008A1B12"/>
    <w:rsid w:val="008B1340"/>
    <w:rsid w:val="008C54E2"/>
    <w:rsid w:val="008D22DE"/>
    <w:rsid w:val="008E1957"/>
    <w:rsid w:val="008E5F5C"/>
    <w:rsid w:val="008F013F"/>
    <w:rsid w:val="00905671"/>
    <w:rsid w:val="00910915"/>
    <w:rsid w:val="00926E6E"/>
    <w:rsid w:val="0093090C"/>
    <w:rsid w:val="00930CD9"/>
    <w:rsid w:val="009372B8"/>
    <w:rsid w:val="00940B59"/>
    <w:rsid w:val="009516DC"/>
    <w:rsid w:val="009543B2"/>
    <w:rsid w:val="00957769"/>
    <w:rsid w:val="00962146"/>
    <w:rsid w:val="00964566"/>
    <w:rsid w:val="009673A2"/>
    <w:rsid w:val="009757A5"/>
    <w:rsid w:val="009760AA"/>
    <w:rsid w:val="00976EF8"/>
    <w:rsid w:val="009833B2"/>
    <w:rsid w:val="00984DC0"/>
    <w:rsid w:val="00996A91"/>
    <w:rsid w:val="009B2667"/>
    <w:rsid w:val="009B7D36"/>
    <w:rsid w:val="009C285B"/>
    <w:rsid w:val="009D0816"/>
    <w:rsid w:val="009D4404"/>
    <w:rsid w:val="009D7854"/>
    <w:rsid w:val="009E13AC"/>
    <w:rsid w:val="009E38DB"/>
    <w:rsid w:val="009E3C02"/>
    <w:rsid w:val="009E4906"/>
    <w:rsid w:val="00A04391"/>
    <w:rsid w:val="00A163F7"/>
    <w:rsid w:val="00A50863"/>
    <w:rsid w:val="00A537E2"/>
    <w:rsid w:val="00A553B5"/>
    <w:rsid w:val="00A816F9"/>
    <w:rsid w:val="00AA2ADE"/>
    <w:rsid w:val="00AA6762"/>
    <w:rsid w:val="00AA6895"/>
    <w:rsid w:val="00AA6A4E"/>
    <w:rsid w:val="00AB438A"/>
    <w:rsid w:val="00AB56A5"/>
    <w:rsid w:val="00AC1FDB"/>
    <w:rsid w:val="00AC384A"/>
    <w:rsid w:val="00AC52EB"/>
    <w:rsid w:val="00AC6B03"/>
    <w:rsid w:val="00AD1C60"/>
    <w:rsid w:val="00AD58DC"/>
    <w:rsid w:val="00AE1F7A"/>
    <w:rsid w:val="00AF679C"/>
    <w:rsid w:val="00B06E14"/>
    <w:rsid w:val="00B07F75"/>
    <w:rsid w:val="00B15F87"/>
    <w:rsid w:val="00B24650"/>
    <w:rsid w:val="00B26A7E"/>
    <w:rsid w:val="00B32C6D"/>
    <w:rsid w:val="00B33686"/>
    <w:rsid w:val="00B3377A"/>
    <w:rsid w:val="00B3669A"/>
    <w:rsid w:val="00B45E5C"/>
    <w:rsid w:val="00B6215C"/>
    <w:rsid w:val="00B900BA"/>
    <w:rsid w:val="00B932C9"/>
    <w:rsid w:val="00B95D74"/>
    <w:rsid w:val="00BA78F5"/>
    <w:rsid w:val="00BB02F5"/>
    <w:rsid w:val="00BB2BAF"/>
    <w:rsid w:val="00BB50F5"/>
    <w:rsid w:val="00BB6582"/>
    <w:rsid w:val="00BB7B64"/>
    <w:rsid w:val="00BC368D"/>
    <w:rsid w:val="00BE4050"/>
    <w:rsid w:val="00BE453A"/>
    <w:rsid w:val="00BE4FC0"/>
    <w:rsid w:val="00BE6684"/>
    <w:rsid w:val="00BF66D3"/>
    <w:rsid w:val="00C05273"/>
    <w:rsid w:val="00C137D2"/>
    <w:rsid w:val="00C41875"/>
    <w:rsid w:val="00C5056C"/>
    <w:rsid w:val="00C763CA"/>
    <w:rsid w:val="00C7647C"/>
    <w:rsid w:val="00C82B2F"/>
    <w:rsid w:val="00C91CED"/>
    <w:rsid w:val="00C91D70"/>
    <w:rsid w:val="00C926A3"/>
    <w:rsid w:val="00C97D77"/>
    <w:rsid w:val="00CA0748"/>
    <w:rsid w:val="00CA0F61"/>
    <w:rsid w:val="00CA0FE3"/>
    <w:rsid w:val="00CB1B86"/>
    <w:rsid w:val="00CB4F98"/>
    <w:rsid w:val="00CB7F84"/>
    <w:rsid w:val="00CE30FD"/>
    <w:rsid w:val="00CF17D5"/>
    <w:rsid w:val="00D02725"/>
    <w:rsid w:val="00D028E8"/>
    <w:rsid w:val="00D03544"/>
    <w:rsid w:val="00D07131"/>
    <w:rsid w:val="00D2772A"/>
    <w:rsid w:val="00D50283"/>
    <w:rsid w:val="00D542A2"/>
    <w:rsid w:val="00D71CDA"/>
    <w:rsid w:val="00D73CCA"/>
    <w:rsid w:val="00D77948"/>
    <w:rsid w:val="00D80321"/>
    <w:rsid w:val="00D82372"/>
    <w:rsid w:val="00D833CE"/>
    <w:rsid w:val="00D92DB8"/>
    <w:rsid w:val="00D96CAF"/>
    <w:rsid w:val="00D97648"/>
    <w:rsid w:val="00DA7D1E"/>
    <w:rsid w:val="00DB4E32"/>
    <w:rsid w:val="00DB7959"/>
    <w:rsid w:val="00DE6DD3"/>
    <w:rsid w:val="00DF12E7"/>
    <w:rsid w:val="00E02152"/>
    <w:rsid w:val="00E10C89"/>
    <w:rsid w:val="00E11308"/>
    <w:rsid w:val="00E1257D"/>
    <w:rsid w:val="00E16D0A"/>
    <w:rsid w:val="00E218C1"/>
    <w:rsid w:val="00E265D0"/>
    <w:rsid w:val="00E26B60"/>
    <w:rsid w:val="00E31E3C"/>
    <w:rsid w:val="00E342DD"/>
    <w:rsid w:val="00E36CA5"/>
    <w:rsid w:val="00E40146"/>
    <w:rsid w:val="00E40F1A"/>
    <w:rsid w:val="00E63736"/>
    <w:rsid w:val="00E72E1C"/>
    <w:rsid w:val="00E74F81"/>
    <w:rsid w:val="00E776B4"/>
    <w:rsid w:val="00E8230C"/>
    <w:rsid w:val="00E82FBB"/>
    <w:rsid w:val="00E87B7B"/>
    <w:rsid w:val="00E92EEA"/>
    <w:rsid w:val="00E94600"/>
    <w:rsid w:val="00EA05E9"/>
    <w:rsid w:val="00EA1F22"/>
    <w:rsid w:val="00EA4301"/>
    <w:rsid w:val="00EB10FE"/>
    <w:rsid w:val="00EB4369"/>
    <w:rsid w:val="00EB6091"/>
    <w:rsid w:val="00EC5420"/>
    <w:rsid w:val="00ED26CF"/>
    <w:rsid w:val="00EE072A"/>
    <w:rsid w:val="00EE3D74"/>
    <w:rsid w:val="00EE6E47"/>
    <w:rsid w:val="00F021C3"/>
    <w:rsid w:val="00F02936"/>
    <w:rsid w:val="00F0369F"/>
    <w:rsid w:val="00F41917"/>
    <w:rsid w:val="00F41FC5"/>
    <w:rsid w:val="00F4790E"/>
    <w:rsid w:val="00F55393"/>
    <w:rsid w:val="00F63477"/>
    <w:rsid w:val="00F63D44"/>
    <w:rsid w:val="00F67031"/>
    <w:rsid w:val="00F70559"/>
    <w:rsid w:val="00F80975"/>
    <w:rsid w:val="00F84BE1"/>
    <w:rsid w:val="00F90122"/>
    <w:rsid w:val="00F913F0"/>
    <w:rsid w:val="00FE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rsid w:val="001824CA"/>
    <w:pPr>
      <w:keepNext/>
      <w:tabs>
        <w:tab w:val="center" w:pos="4680"/>
      </w:tabs>
      <w:jc w:val="both"/>
      <w:outlineLvl w:val="0"/>
    </w:pPr>
    <w:rPr>
      <w:rFonts w:ascii="Arial Narrow" w:hAnsi="Arial Narrow"/>
      <w:snapToGrid w:val="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175E0"/>
    <w:rPr>
      <w:color w:val="0000FF"/>
      <w:u w:val="single"/>
    </w:rPr>
  </w:style>
  <w:style w:type="paragraph" w:customStyle="1" w:styleId="Document1">
    <w:name w:val="Document[1]"/>
    <w:basedOn w:val="Normal"/>
    <w:pPr>
      <w:widowControl w:val="0"/>
    </w:pPr>
    <w:rPr>
      <w:b/>
      <w:sz w:val="36"/>
    </w:rPr>
  </w:style>
  <w:style w:type="paragraph" w:customStyle="1" w:styleId="Document2">
    <w:name w:val="Document[2]"/>
    <w:basedOn w:val="Normal"/>
    <w:pPr>
      <w:widowControl w:val="0"/>
    </w:pPr>
    <w:rPr>
      <w:b/>
      <w:u w:val="single"/>
    </w:rPr>
  </w:style>
  <w:style w:type="paragraph" w:customStyle="1" w:styleId="Document3">
    <w:name w:val="Document[3]"/>
    <w:basedOn w:val="Normal"/>
    <w:pPr>
      <w:widowControl w:val="0"/>
    </w:pPr>
    <w:rPr>
      <w:b/>
    </w:rPr>
  </w:style>
  <w:style w:type="paragraph" w:customStyle="1" w:styleId="Document4">
    <w:name w:val="Document[4]"/>
    <w:basedOn w:val="Normal"/>
    <w:pPr>
      <w:widowControl w:val="0"/>
    </w:pPr>
    <w:rPr>
      <w:b/>
      <w:i/>
    </w:rPr>
  </w:style>
  <w:style w:type="paragraph" w:customStyle="1" w:styleId="Document5">
    <w:name w:val="Document[5]"/>
    <w:basedOn w:val="Normal"/>
    <w:pPr>
      <w:widowControl w:val="0"/>
    </w:pPr>
  </w:style>
  <w:style w:type="paragraph" w:customStyle="1" w:styleId="Document6">
    <w:name w:val="Document[6]"/>
    <w:basedOn w:val="Normal"/>
    <w:pPr>
      <w:widowControl w:val="0"/>
    </w:pPr>
  </w:style>
  <w:style w:type="paragraph" w:customStyle="1" w:styleId="Document7">
    <w:name w:val="Document[7]"/>
    <w:basedOn w:val="Normal"/>
    <w:pPr>
      <w:widowControl w:val="0"/>
    </w:pPr>
  </w:style>
  <w:style w:type="paragraph" w:customStyle="1" w:styleId="Document8">
    <w:name w:val="Document[8]"/>
    <w:basedOn w:val="Normal"/>
    <w:pPr>
      <w:widowControl w:val="0"/>
    </w:pPr>
  </w:style>
  <w:style w:type="paragraph" w:customStyle="1" w:styleId="Level9">
    <w:name w:val="Level 9"/>
    <w:basedOn w:val="Normal"/>
    <w:pPr>
      <w:widowControl w:val="0"/>
    </w:pPr>
  </w:style>
  <w:style w:type="paragraph" w:customStyle="1" w:styleId="Technical1">
    <w:name w:val="Technical[1]"/>
    <w:basedOn w:val="Normal"/>
    <w:pPr>
      <w:widowControl w:val="0"/>
    </w:pPr>
    <w:rPr>
      <w:b/>
      <w:sz w:val="36"/>
    </w:rPr>
  </w:style>
  <w:style w:type="paragraph" w:customStyle="1" w:styleId="Technical2">
    <w:name w:val="Technical[2]"/>
    <w:basedOn w:val="Normal"/>
    <w:pPr>
      <w:widowControl w:val="0"/>
    </w:pPr>
    <w:rPr>
      <w:b/>
      <w:u w:val="single"/>
    </w:rPr>
  </w:style>
  <w:style w:type="paragraph" w:customStyle="1" w:styleId="Technical3">
    <w:name w:val="Technical[3]"/>
    <w:basedOn w:val="Normal"/>
    <w:pPr>
      <w:widowControl w:val="0"/>
    </w:pPr>
    <w:rPr>
      <w:b/>
    </w:rPr>
  </w:style>
  <w:style w:type="paragraph" w:customStyle="1" w:styleId="Technical4">
    <w:name w:val="Technical[4]"/>
    <w:basedOn w:val="Normal"/>
    <w:pPr>
      <w:widowControl w:val="0"/>
    </w:pPr>
    <w:rPr>
      <w:b/>
    </w:rPr>
  </w:style>
  <w:style w:type="paragraph" w:customStyle="1" w:styleId="Technical5">
    <w:name w:val="Technical[5]"/>
    <w:basedOn w:val="Normal"/>
    <w:pPr>
      <w:widowControl w:val="0"/>
    </w:pPr>
    <w:rPr>
      <w:b/>
    </w:rPr>
  </w:style>
  <w:style w:type="paragraph" w:customStyle="1" w:styleId="Technical6">
    <w:name w:val="Technical[6]"/>
    <w:basedOn w:val="Normal"/>
    <w:pPr>
      <w:widowControl w:val="0"/>
    </w:pPr>
    <w:rPr>
      <w:b/>
    </w:rPr>
  </w:style>
  <w:style w:type="paragraph" w:customStyle="1" w:styleId="Technical7">
    <w:name w:val="Technical[7]"/>
    <w:basedOn w:val="Normal"/>
    <w:pPr>
      <w:widowControl w:val="0"/>
    </w:pPr>
    <w:rPr>
      <w:b/>
    </w:rPr>
  </w:style>
  <w:style w:type="paragraph" w:customStyle="1" w:styleId="Technical8">
    <w:name w:val="Technical[8]"/>
    <w:basedOn w:val="Normal"/>
    <w:pPr>
      <w:widowControl w:val="0"/>
    </w:pPr>
    <w:rPr>
      <w:b/>
    </w:rPr>
  </w:style>
  <w:style w:type="paragraph" w:customStyle="1" w:styleId="RightPar1">
    <w:name w:val="Right Par[1]"/>
    <w:basedOn w:val="Normal"/>
    <w:pPr>
      <w:widowControl w:val="0"/>
    </w:pPr>
  </w:style>
  <w:style w:type="paragraph" w:customStyle="1" w:styleId="RightPar2">
    <w:name w:val="Right Par[2]"/>
    <w:basedOn w:val="Normal"/>
    <w:pPr>
      <w:widowControl w:val="0"/>
    </w:pPr>
  </w:style>
  <w:style w:type="paragraph" w:customStyle="1" w:styleId="RightPar3">
    <w:name w:val="Right Par[3]"/>
    <w:basedOn w:val="Normal"/>
    <w:pPr>
      <w:widowControl w:val="0"/>
    </w:pPr>
  </w:style>
  <w:style w:type="paragraph" w:customStyle="1" w:styleId="RightPar4">
    <w:name w:val="Right Par[4]"/>
    <w:basedOn w:val="Normal"/>
    <w:pPr>
      <w:widowControl w:val="0"/>
    </w:pPr>
  </w:style>
  <w:style w:type="paragraph" w:customStyle="1" w:styleId="RightPar5">
    <w:name w:val="Right Par[5]"/>
    <w:basedOn w:val="Normal"/>
    <w:pPr>
      <w:widowControl w:val="0"/>
    </w:pPr>
  </w:style>
  <w:style w:type="paragraph" w:customStyle="1" w:styleId="RightPar6">
    <w:name w:val="Right Par[6]"/>
    <w:basedOn w:val="Normal"/>
    <w:pPr>
      <w:widowControl w:val="0"/>
    </w:pPr>
  </w:style>
  <w:style w:type="paragraph" w:customStyle="1" w:styleId="RightPar7">
    <w:name w:val="Right Par[7]"/>
    <w:basedOn w:val="Normal"/>
    <w:pPr>
      <w:widowControl w:val="0"/>
    </w:pPr>
  </w:style>
  <w:style w:type="paragraph" w:customStyle="1" w:styleId="RightPar8">
    <w:name w:val="Right Par[8]"/>
    <w:basedOn w:val="Normal"/>
    <w:pPr>
      <w:widowControl w:val="0"/>
    </w:pPr>
  </w:style>
  <w:style w:type="paragraph" w:customStyle="1" w:styleId="Level1">
    <w:name w:val="Level 1"/>
    <w:basedOn w:val="Normal"/>
    <w:pPr>
      <w:widowControl w:val="0"/>
    </w:pPr>
  </w:style>
  <w:style w:type="character" w:customStyle="1" w:styleId="Bibliogrphy">
    <w:name w:val="Bibliogrphy"/>
  </w:style>
  <w:style w:type="character" w:customStyle="1" w:styleId="DocInit">
    <w:name w:val="Doc Init"/>
  </w:style>
  <w:style w:type="character" w:customStyle="1" w:styleId="TechInit">
    <w:name w:val="Tech Init"/>
  </w:style>
  <w:style w:type="character" w:customStyle="1" w:styleId="Pleading">
    <w:name w:val="Pleading"/>
  </w:style>
  <w:style w:type="character" w:customStyle="1" w:styleId="Normal1">
    <w:name w:val="Normal1"/>
  </w:style>
  <w:style w:type="character" w:customStyle="1" w:styleId="Heading">
    <w:name w:val="Heading"/>
    <w:rPr>
      <w:b/>
      <w:sz w:val="29"/>
    </w:rPr>
  </w:style>
  <w:style w:type="character" w:customStyle="1" w:styleId="RightPar">
    <w:name w:val="Right Par"/>
  </w:style>
  <w:style w:type="character" w:customStyle="1" w:styleId="Subheading">
    <w:name w:val="Subheading"/>
    <w:rPr>
      <w:b/>
    </w:rPr>
  </w:style>
  <w:style w:type="character" w:customStyle="1" w:styleId="Input">
    <w:name w:val="Input"/>
    <w:rPr>
      <w:rFonts w:ascii="CG Times" w:hAnsi="CG Times"/>
      <w:sz w:val="24"/>
    </w:rPr>
  </w:style>
  <w:style w:type="character" w:customStyle="1" w:styleId="MainHeading">
    <w:name w:val="Main Heading"/>
    <w:rPr>
      <w:b/>
      <w:sz w:val="40"/>
    </w:rPr>
  </w:style>
  <w:style w:type="character" w:customStyle="1" w:styleId="SideTitles">
    <w:name w:val="Side Titles"/>
    <w:rPr>
      <w:b/>
      <w:sz w:val="30"/>
    </w:rPr>
  </w:style>
  <w:style w:type="paragraph" w:customStyle="1" w:styleId="Quick1">
    <w:name w:val="Quick 1."/>
    <w:basedOn w:val="Normal"/>
    <w:pPr>
      <w:widowControl w:val="0"/>
      <w:spacing w:line="-240" w:lineRule="auto"/>
    </w:pPr>
  </w:style>
  <w:style w:type="paragraph" w:styleId="Header">
    <w:name w:val="header"/>
    <w:basedOn w:val="Normal"/>
    <w:rsid w:val="00493A0A"/>
    <w:pPr>
      <w:tabs>
        <w:tab w:val="center" w:pos="4320"/>
        <w:tab w:val="right" w:pos="8640"/>
      </w:tabs>
    </w:pPr>
  </w:style>
  <w:style w:type="paragraph" w:styleId="Footer">
    <w:name w:val="footer"/>
    <w:basedOn w:val="Normal"/>
    <w:rsid w:val="00493A0A"/>
    <w:pPr>
      <w:tabs>
        <w:tab w:val="center" w:pos="4320"/>
        <w:tab w:val="right" w:pos="8640"/>
      </w:tabs>
    </w:pPr>
  </w:style>
  <w:style w:type="paragraph" w:styleId="FootnoteText">
    <w:name w:val="footnote text"/>
    <w:basedOn w:val="Normal"/>
    <w:semiHidden/>
    <w:rsid w:val="001F4412"/>
    <w:rPr>
      <w:sz w:val="20"/>
    </w:rPr>
  </w:style>
  <w:style w:type="character" w:styleId="FootnoteReference">
    <w:name w:val="footnote reference"/>
    <w:basedOn w:val="DefaultParagraphFont"/>
    <w:semiHidden/>
    <w:rsid w:val="001F4412"/>
    <w:rPr>
      <w:vertAlign w:val="superscript"/>
    </w:rPr>
  </w:style>
  <w:style w:type="paragraph" w:styleId="Title">
    <w:name w:val="Title"/>
    <w:basedOn w:val="Normal"/>
    <w:qFormat/>
    <w:rsid w:val="00E16D0A"/>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E16D0A"/>
    <w:pPr>
      <w:jc w:val="center"/>
    </w:pPr>
    <w:rPr>
      <w:rFonts w:ascii="Lincoln" w:hAnsi="Lincoln"/>
      <w:sz w:val="60"/>
    </w:rPr>
  </w:style>
  <w:style w:type="paragraph" w:styleId="BalloonText">
    <w:name w:val="Balloon Text"/>
    <w:basedOn w:val="Normal"/>
    <w:semiHidden/>
    <w:rsid w:val="00585ADF"/>
    <w:rPr>
      <w:rFonts w:ascii="Tahoma" w:hAnsi="Tahoma" w:cs="Tahoma"/>
      <w:sz w:val="16"/>
      <w:szCs w:val="16"/>
    </w:rPr>
  </w:style>
  <w:style w:type="character" w:styleId="CommentReference">
    <w:name w:val="annotation reference"/>
    <w:basedOn w:val="DefaultParagraphFont"/>
    <w:rsid w:val="006D53F9"/>
    <w:rPr>
      <w:sz w:val="16"/>
      <w:szCs w:val="16"/>
    </w:rPr>
  </w:style>
  <w:style w:type="paragraph" w:styleId="CommentText">
    <w:name w:val="annotation text"/>
    <w:basedOn w:val="Normal"/>
    <w:link w:val="CommentTextChar"/>
    <w:rsid w:val="006D53F9"/>
    <w:rPr>
      <w:sz w:val="20"/>
    </w:rPr>
  </w:style>
  <w:style w:type="character" w:customStyle="1" w:styleId="CommentTextChar">
    <w:name w:val="Comment Text Char"/>
    <w:basedOn w:val="DefaultParagraphFont"/>
    <w:link w:val="CommentText"/>
    <w:rsid w:val="006D53F9"/>
  </w:style>
  <w:style w:type="paragraph" w:styleId="CommentSubject">
    <w:name w:val="annotation subject"/>
    <w:basedOn w:val="CommentText"/>
    <w:next w:val="CommentText"/>
    <w:link w:val="CommentSubjectChar"/>
    <w:rsid w:val="006D53F9"/>
    <w:rPr>
      <w:b/>
      <w:bCs/>
    </w:rPr>
  </w:style>
  <w:style w:type="character" w:customStyle="1" w:styleId="CommentSubjectChar">
    <w:name w:val="Comment Subject Char"/>
    <w:basedOn w:val="CommentTextChar"/>
    <w:link w:val="CommentSubject"/>
    <w:rsid w:val="006D53F9"/>
    <w:rPr>
      <w:b/>
      <w:bCs/>
    </w:rPr>
  </w:style>
  <w:style w:type="character" w:styleId="FollowedHyperlink">
    <w:name w:val="FollowedHyperlink"/>
    <w:basedOn w:val="DefaultParagraphFont"/>
    <w:rsid w:val="006D53F9"/>
    <w:rPr>
      <w:color w:val="800080" w:themeColor="followedHyperlink"/>
      <w:u w:val="single"/>
    </w:rPr>
  </w:style>
  <w:style w:type="paragraph" w:styleId="Revision">
    <w:name w:val="Revision"/>
    <w:hidden/>
    <w:uiPriority w:val="99"/>
    <w:semiHidden/>
    <w:rsid w:val="00C5056C"/>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rsid w:val="001824CA"/>
    <w:pPr>
      <w:keepNext/>
      <w:tabs>
        <w:tab w:val="center" w:pos="4680"/>
      </w:tabs>
      <w:jc w:val="both"/>
      <w:outlineLvl w:val="0"/>
    </w:pPr>
    <w:rPr>
      <w:rFonts w:ascii="Arial Narrow" w:hAnsi="Arial Narrow"/>
      <w:snapToGrid w:val="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175E0"/>
    <w:rPr>
      <w:color w:val="0000FF"/>
      <w:u w:val="single"/>
    </w:rPr>
  </w:style>
  <w:style w:type="paragraph" w:customStyle="1" w:styleId="Document1">
    <w:name w:val="Document[1]"/>
    <w:basedOn w:val="Normal"/>
    <w:pPr>
      <w:widowControl w:val="0"/>
    </w:pPr>
    <w:rPr>
      <w:b/>
      <w:sz w:val="36"/>
    </w:rPr>
  </w:style>
  <w:style w:type="paragraph" w:customStyle="1" w:styleId="Document2">
    <w:name w:val="Document[2]"/>
    <w:basedOn w:val="Normal"/>
    <w:pPr>
      <w:widowControl w:val="0"/>
    </w:pPr>
    <w:rPr>
      <w:b/>
      <w:u w:val="single"/>
    </w:rPr>
  </w:style>
  <w:style w:type="paragraph" w:customStyle="1" w:styleId="Document3">
    <w:name w:val="Document[3]"/>
    <w:basedOn w:val="Normal"/>
    <w:pPr>
      <w:widowControl w:val="0"/>
    </w:pPr>
    <w:rPr>
      <w:b/>
    </w:rPr>
  </w:style>
  <w:style w:type="paragraph" w:customStyle="1" w:styleId="Document4">
    <w:name w:val="Document[4]"/>
    <w:basedOn w:val="Normal"/>
    <w:pPr>
      <w:widowControl w:val="0"/>
    </w:pPr>
    <w:rPr>
      <w:b/>
      <w:i/>
    </w:rPr>
  </w:style>
  <w:style w:type="paragraph" w:customStyle="1" w:styleId="Document5">
    <w:name w:val="Document[5]"/>
    <w:basedOn w:val="Normal"/>
    <w:pPr>
      <w:widowControl w:val="0"/>
    </w:pPr>
  </w:style>
  <w:style w:type="paragraph" w:customStyle="1" w:styleId="Document6">
    <w:name w:val="Document[6]"/>
    <w:basedOn w:val="Normal"/>
    <w:pPr>
      <w:widowControl w:val="0"/>
    </w:pPr>
  </w:style>
  <w:style w:type="paragraph" w:customStyle="1" w:styleId="Document7">
    <w:name w:val="Document[7]"/>
    <w:basedOn w:val="Normal"/>
    <w:pPr>
      <w:widowControl w:val="0"/>
    </w:pPr>
  </w:style>
  <w:style w:type="paragraph" w:customStyle="1" w:styleId="Document8">
    <w:name w:val="Document[8]"/>
    <w:basedOn w:val="Normal"/>
    <w:pPr>
      <w:widowControl w:val="0"/>
    </w:pPr>
  </w:style>
  <w:style w:type="paragraph" w:customStyle="1" w:styleId="Level9">
    <w:name w:val="Level 9"/>
    <w:basedOn w:val="Normal"/>
    <w:pPr>
      <w:widowControl w:val="0"/>
    </w:pPr>
  </w:style>
  <w:style w:type="paragraph" w:customStyle="1" w:styleId="Technical1">
    <w:name w:val="Technical[1]"/>
    <w:basedOn w:val="Normal"/>
    <w:pPr>
      <w:widowControl w:val="0"/>
    </w:pPr>
    <w:rPr>
      <w:b/>
      <w:sz w:val="36"/>
    </w:rPr>
  </w:style>
  <w:style w:type="paragraph" w:customStyle="1" w:styleId="Technical2">
    <w:name w:val="Technical[2]"/>
    <w:basedOn w:val="Normal"/>
    <w:pPr>
      <w:widowControl w:val="0"/>
    </w:pPr>
    <w:rPr>
      <w:b/>
      <w:u w:val="single"/>
    </w:rPr>
  </w:style>
  <w:style w:type="paragraph" w:customStyle="1" w:styleId="Technical3">
    <w:name w:val="Technical[3]"/>
    <w:basedOn w:val="Normal"/>
    <w:pPr>
      <w:widowControl w:val="0"/>
    </w:pPr>
    <w:rPr>
      <w:b/>
    </w:rPr>
  </w:style>
  <w:style w:type="paragraph" w:customStyle="1" w:styleId="Technical4">
    <w:name w:val="Technical[4]"/>
    <w:basedOn w:val="Normal"/>
    <w:pPr>
      <w:widowControl w:val="0"/>
    </w:pPr>
    <w:rPr>
      <w:b/>
    </w:rPr>
  </w:style>
  <w:style w:type="paragraph" w:customStyle="1" w:styleId="Technical5">
    <w:name w:val="Technical[5]"/>
    <w:basedOn w:val="Normal"/>
    <w:pPr>
      <w:widowControl w:val="0"/>
    </w:pPr>
    <w:rPr>
      <w:b/>
    </w:rPr>
  </w:style>
  <w:style w:type="paragraph" w:customStyle="1" w:styleId="Technical6">
    <w:name w:val="Technical[6]"/>
    <w:basedOn w:val="Normal"/>
    <w:pPr>
      <w:widowControl w:val="0"/>
    </w:pPr>
    <w:rPr>
      <w:b/>
    </w:rPr>
  </w:style>
  <w:style w:type="paragraph" w:customStyle="1" w:styleId="Technical7">
    <w:name w:val="Technical[7]"/>
    <w:basedOn w:val="Normal"/>
    <w:pPr>
      <w:widowControl w:val="0"/>
    </w:pPr>
    <w:rPr>
      <w:b/>
    </w:rPr>
  </w:style>
  <w:style w:type="paragraph" w:customStyle="1" w:styleId="Technical8">
    <w:name w:val="Technical[8]"/>
    <w:basedOn w:val="Normal"/>
    <w:pPr>
      <w:widowControl w:val="0"/>
    </w:pPr>
    <w:rPr>
      <w:b/>
    </w:rPr>
  </w:style>
  <w:style w:type="paragraph" w:customStyle="1" w:styleId="RightPar1">
    <w:name w:val="Right Par[1]"/>
    <w:basedOn w:val="Normal"/>
    <w:pPr>
      <w:widowControl w:val="0"/>
    </w:pPr>
  </w:style>
  <w:style w:type="paragraph" w:customStyle="1" w:styleId="RightPar2">
    <w:name w:val="Right Par[2]"/>
    <w:basedOn w:val="Normal"/>
    <w:pPr>
      <w:widowControl w:val="0"/>
    </w:pPr>
  </w:style>
  <w:style w:type="paragraph" w:customStyle="1" w:styleId="RightPar3">
    <w:name w:val="Right Par[3]"/>
    <w:basedOn w:val="Normal"/>
    <w:pPr>
      <w:widowControl w:val="0"/>
    </w:pPr>
  </w:style>
  <w:style w:type="paragraph" w:customStyle="1" w:styleId="RightPar4">
    <w:name w:val="Right Par[4]"/>
    <w:basedOn w:val="Normal"/>
    <w:pPr>
      <w:widowControl w:val="0"/>
    </w:pPr>
  </w:style>
  <w:style w:type="paragraph" w:customStyle="1" w:styleId="RightPar5">
    <w:name w:val="Right Par[5]"/>
    <w:basedOn w:val="Normal"/>
    <w:pPr>
      <w:widowControl w:val="0"/>
    </w:pPr>
  </w:style>
  <w:style w:type="paragraph" w:customStyle="1" w:styleId="RightPar6">
    <w:name w:val="Right Par[6]"/>
    <w:basedOn w:val="Normal"/>
    <w:pPr>
      <w:widowControl w:val="0"/>
    </w:pPr>
  </w:style>
  <w:style w:type="paragraph" w:customStyle="1" w:styleId="RightPar7">
    <w:name w:val="Right Par[7]"/>
    <w:basedOn w:val="Normal"/>
    <w:pPr>
      <w:widowControl w:val="0"/>
    </w:pPr>
  </w:style>
  <w:style w:type="paragraph" w:customStyle="1" w:styleId="RightPar8">
    <w:name w:val="Right Par[8]"/>
    <w:basedOn w:val="Normal"/>
    <w:pPr>
      <w:widowControl w:val="0"/>
    </w:pPr>
  </w:style>
  <w:style w:type="paragraph" w:customStyle="1" w:styleId="Level1">
    <w:name w:val="Level 1"/>
    <w:basedOn w:val="Normal"/>
    <w:pPr>
      <w:widowControl w:val="0"/>
    </w:pPr>
  </w:style>
  <w:style w:type="character" w:customStyle="1" w:styleId="Bibliogrphy">
    <w:name w:val="Bibliogrphy"/>
  </w:style>
  <w:style w:type="character" w:customStyle="1" w:styleId="DocInit">
    <w:name w:val="Doc Init"/>
  </w:style>
  <w:style w:type="character" w:customStyle="1" w:styleId="TechInit">
    <w:name w:val="Tech Init"/>
  </w:style>
  <w:style w:type="character" w:customStyle="1" w:styleId="Pleading">
    <w:name w:val="Pleading"/>
  </w:style>
  <w:style w:type="character" w:customStyle="1" w:styleId="Normal1">
    <w:name w:val="Normal1"/>
  </w:style>
  <w:style w:type="character" w:customStyle="1" w:styleId="Heading">
    <w:name w:val="Heading"/>
    <w:rPr>
      <w:b/>
      <w:sz w:val="29"/>
    </w:rPr>
  </w:style>
  <w:style w:type="character" w:customStyle="1" w:styleId="RightPar">
    <w:name w:val="Right Par"/>
  </w:style>
  <w:style w:type="character" w:customStyle="1" w:styleId="Subheading">
    <w:name w:val="Subheading"/>
    <w:rPr>
      <w:b/>
    </w:rPr>
  </w:style>
  <w:style w:type="character" w:customStyle="1" w:styleId="Input">
    <w:name w:val="Input"/>
    <w:rPr>
      <w:rFonts w:ascii="CG Times" w:hAnsi="CG Times"/>
      <w:sz w:val="24"/>
    </w:rPr>
  </w:style>
  <w:style w:type="character" w:customStyle="1" w:styleId="MainHeading">
    <w:name w:val="Main Heading"/>
    <w:rPr>
      <w:b/>
      <w:sz w:val="40"/>
    </w:rPr>
  </w:style>
  <w:style w:type="character" w:customStyle="1" w:styleId="SideTitles">
    <w:name w:val="Side Titles"/>
    <w:rPr>
      <w:b/>
      <w:sz w:val="30"/>
    </w:rPr>
  </w:style>
  <w:style w:type="paragraph" w:customStyle="1" w:styleId="Quick1">
    <w:name w:val="Quick 1."/>
    <w:basedOn w:val="Normal"/>
    <w:pPr>
      <w:widowControl w:val="0"/>
      <w:spacing w:line="-240" w:lineRule="auto"/>
    </w:pPr>
  </w:style>
  <w:style w:type="paragraph" w:styleId="Header">
    <w:name w:val="header"/>
    <w:basedOn w:val="Normal"/>
    <w:rsid w:val="00493A0A"/>
    <w:pPr>
      <w:tabs>
        <w:tab w:val="center" w:pos="4320"/>
        <w:tab w:val="right" w:pos="8640"/>
      </w:tabs>
    </w:pPr>
  </w:style>
  <w:style w:type="paragraph" w:styleId="Footer">
    <w:name w:val="footer"/>
    <w:basedOn w:val="Normal"/>
    <w:rsid w:val="00493A0A"/>
    <w:pPr>
      <w:tabs>
        <w:tab w:val="center" w:pos="4320"/>
        <w:tab w:val="right" w:pos="8640"/>
      </w:tabs>
    </w:pPr>
  </w:style>
  <w:style w:type="paragraph" w:styleId="FootnoteText">
    <w:name w:val="footnote text"/>
    <w:basedOn w:val="Normal"/>
    <w:semiHidden/>
    <w:rsid w:val="001F4412"/>
    <w:rPr>
      <w:sz w:val="20"/>
    </w:rPr>
  </w:style>
  <w:style w:type="character" w:styleId="FootnoteReference">
    <w:name w:val="footnote reference"/>
    <w:basedOn w:val="DefaultParagraphFont"/>
    <w:semiHidden/>
    <w:rsid w:val="001F4412"/>
    <w:rPr>
      <w:vertAlign w:val="superscript"/>
    </w:rPr>
  </w:style>
  <w:style w:type="paragraph" w:styleId="Title">
    <w:name w:val="Title"/>
    <w:basedOn w:val="Normal"/>
    <w:qFormat/>
    <w:rsid w:val="00E16D0A"/>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E16D0A"/>
    <w:pPr>
      <w:jc w:val="center"/>
    </w:pPr>
    <w:rPr>
      <w:rFonts w:ascii="Lincoln" w:hAnsi="Lincoln"/>
      <w:sz w:val="60"/>
    </w:rPr>
  </w:style>
  <w:style w:type="paragraph" w:styleId="BalloonText">
    <w:name w:val="Balloon Text"/>
    <w:basedOn w:val="Normal"/>
    <w:semiHidden/>
    <w:rsid w:val="00585ADF"/>
    <w:rPr>
      <w:rFonts w:ascii="Tahoma" w:hAnsi="Tahoma" w:cs="Tahoma"/>
      <w:sz w:val="16"/>
      <w:szCs w:val="16"/>
    </w:rPr>
  </w:style>
  <w:style w:type="character" w:styleId="CommentReference">
    <w:name w:val="annotation reference"/>
    <w:basedOn w:val="DefaultParagraphFont"/>
    <w:rsid w:val="006D53F9"/>
    <w:rPr>
      <w:sz w:val="16"/>
      <w:szCs w:val="16"/>
    </w:rPr>
  </w:style>
  <w:style w:type="paragraph" w:styleId="CommentText">
    <w:name w:val="annotation text"/>
    <w:basedOn w:val="Normal"/>
    <w:link w:val="CommentTextChar"/>
    <w:rsid w:val="006D53F9"/>
    <w:rPr>
      <w:sz w:val="20"/>
    </w:rPr>
  </w:style>
  <w:style w:type="character" w:customStyle="1" w:styleId="CommentTextChar">
    <w:name w:val="Comment Text Char"/>
    <w:basedOn w:val="DefaultParagraphFont"/>
    <w:link w:val="CommentText"/>
    <w:rsid w:val="006D53F9"/>
  </w:style>
  <w:style w:type="paragraph" w:styleId="CommentSubject">
    <w:name w:val="annotation subject"/>
    <w:basedOn w:val="CommentText"/>
    <w:next w:val="CommentText"/>
    <w:link w:val="CommentSubjectChar"/>
    <w:rsid w:val="006D53F9"/>
    <w:rPr>
      <w:b/>
      <w:bCs/>
    </w:rPr>
  </w:style>
  <w:style w:type="character" w:customStyle="1" w:styleId="CommentSubjectChar">
    <w:name w:val="Comment Subject Char"/>
    <w:basedOn w:val="CommentTextChar"/>
    <w:link w:val="CommentSubject"/>
    <w:rsid w:val="006D53F9"/>
    <w:rPr>
      <w:b/>
      <w:bCs/>
    </w:rPr>
  </w:style>
  <w:style w:type="character" w:styleId="FollowedHyperlink">
    <w:name w:val="FollowedHyperlink"/>
    <w:basedOn w:val="DefaultParagraphFont"/>
    <w:rsid w:val="006D53F9"/>
    <w:rPr>
      <w:color w:val="800080" w:themeColor="followedHyperlink"/>
      <w:u w:val="single"/>
    </w:rPr>
  </w:style>
  <w:style w:type="paragraph" w:styleId="Revision">
    <w:name w:val="Revision"/>
    <w:hidden/>
    <w:uiPriority w:val="99"/>
    <w:semiHidden/>
    <w:rsid w:val="00C5056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nist.gov/srm/publications.cf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nist.gov/srm" TargetMode="External"/><Relationship Id="rId2" Type="http://schemas.openxmlformats.org/officeDocument/2006/relationships/styles" Target="styles.xml"/><Relationship Id="rId16" Type="http://schemas.openxmlformats.org/officeDocument/2006/relationships/hyperlink" Target="mailto:srminfo@nist.gov"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ist.gov/pml/pubs/index.cf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Word_97_-_2003_Document1.doc"/><Relationship Id="rId14" Type="http://schemas.openxmlformats.org/officeDocument/2006/relationships/hyperlink" Target="http://www.bipm.org/utils/common/documents/jcgm/JCGM_100_2008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8867</Characters>
  <Application>Microsoft Office Word</Application>
  <DocSecurity>0</DocSecurity>
  <Lines>73</Lines>
  <Paragraphs>19</Paragraphs>
  <ScaleCrop>false</ScaleCrop>
  <HeadingPairs>
    <vt:vector size="2" baseType="variant">
      <vt:variant>
        <vt:lpstr>Title</vt:lpstr>
      </vt:variant>
      <vt:variant>
        <vt:i4>1</vt:i4>
      </vt:variant>
    </vt:vector>
  </HeadingPairs>
  <TitlesOfParts>
    <vt:vector size="1" baseType="lpstr">
      <vt:lpstr> </vt:lpstr>
    </vt:vector>
  </TitlesOfParts>
  <Company>NIST</Company>
  <LinksUpToDate>false</LinksUpToDate>
  <CharactersWithSpaces>9983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Wise</dc:creator>
  <cp:lastModifiedBy>Ilse Bercik</cp:lastModifiedBy>
  <cp:revision>2</cp:revision>
  <cp:lastPrinted>2013-02-06T13:10:00Z</cp:lastPrinted>
  <dcterms:created xsi:type="dcterms:W3CDTF">2013-02-06T18:42:00Z</dcterms:created>
  <dcterms:modified xsi:type="dcterms:W3CDTF">2013-02-06T18:42:00Z</dcterms:modified>
</cp:coreProperties>
</file>