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EDA13" w14:textId="77777777" w:rsidR="006C26E2" w:rsidRDefault="002E09F7" w:rsidP="00F2738D">
      <w:pPr>
        <w:pStyle w:val="Title"/>
        <w:widowControl/>
        <w:tabs>
          <w:tab w:val="clear" w:pos="900"/>
          <w:tab w:val="left" w:pos="0"/>
        </w:tabs>
        <w:ind w:left="0" w:firstLine="0"/>
        <w:rPr>
          <w:rFonts w:ascii="Linotext" w:hAnsi="Linotext"/>
        </w:rPr>
      </w:pPr>
      <w:r>
        <w:rPr>
          <w:rFonts w:ascii="Linotext" w:hAnsi="Linotext"/>
          <w:noProof/>
        </w:rPr>
        <w:object w:dxaOrig="1440" w:dyaOrig="1440" w14:anchorId="0657F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36pt;margin-top:-16.15pt;width:96pt;height:63.75pt;z-index:-251658240" fillcolor="window">
            <v:imagedata r:id="rId8" o:title=""/>
          </v:shape>
          <o:OLEObject Type="Embed" ProgID="Word.Document.8" ShapeID="_x0000_s1034" DrawAspect="Content" ObjectID="_1514265433" r:id="rId9">
            <o:FieldCodes>\s</o:FieldCodes>
          </o:OLEObject>
        </w:object>
      </w:r>
      <w:r w:rsidR="006C26E2">
        <w:rPr>
          <w:rFonts w:ascii="Linotext" w:hAnsi="Linotext"/>
        </w:rPr>
        <w:t xml:space="preserve"> National Institute of Standards &amp; Technology</w:t>
      </w:r>
    </w:p>
    <w:p w14:paraId="0B80E053" w14:textId="77777777" w:rsidR="006C26E2" w:rsidRPr="002C0D96" w:rsidRDefault="006C26E2" w:rsidP="00F2738D">
      <w:pPr>
        <w:pStyle w:val="Subtitle"/>
        <w:tabs>
          <w:tab w:val="left" w:pos="0"/>
        </w:tabs>
        <w:rPr>
          <w:rFonts w:ascii="Times New Roman" w:hAnsi="Times New Roman"/>
          <w:sz w:val="20"/>
        </w:rPr>
      </w:pPr>
    </w:p>
    <w:p w14:paraId="6A2A8653" w14:textId="77777777" w:rsidR="006C26E2" w:rsidRDefault="006C26E2" w:rsidP="00F2738D">
      <w:pPr>
        <w:pStyle w:val="Subtitle"/>
        <w:tabs>
          <w:tab w:val="left" w:pos="0"/>
        </w:tabs>
        <w:rPr>
          <w:rFonts w:ascii="Linotext" w:hAnsi="Linotext"/>
        </w:rPr>
      </w:pPr>
      <w:r>
        <w:rPr>
          <w:rFonts w:ascii="Linotext" w:hAnsi="Linotext"/>
        </w:rPr>
        <w:t>Certificate of Analysis</w:t>
      </w:r>
    </w:p>
    <w:p w14:paraId="7C700480" w14:textId="77777777" w:rsidR="00D34DB5" w:rsidRPr="002C0D96" w:rsidRDefault="00D34DB5" w:rsidP="00F2738D">
      <w:pPr>
        <w:tabs>
          <w:tab w:val="left" w:pos="0"/>
        </w:tabs>
        <w:jc w:val="center"/>
        <w:rPr>
          <w:sz w:val="20"/>
          <w:szCs w:val="20"/>
        </w:rPr>
      </w:pPr>
    </w:p>
    <w:p w14:paraId="7069A758" w14:textId="77777777" w:rsidR="00D34DB5" w:rsidRDefault="00D34DB5" w:rsidP="00F2738D">
      <w:pPr>
        <w:tabs>
          <w:tab w:val="left" w:pos="0"/>
        </w:tabs>
        <w:jc w:val="center"/>
        <w:rPr>
          <w:sz w:val="36"/>
          <w:szCs w:val="36"/>
        </w:rPr>
      </w:pPr>
      <w:r w:rsidRPr="00D34DB5">
        <w:rPr>
          <w:sz w:val="36"/>
          <w:szCs w:val="36"/>
        </w:rPr>
        <w:t>Standard Reference Material</w:t>
      </w:r>
      <w:r w:rsidRPr="00D34DB5">
        <w:rPr>
          <w:sz w:val="36"/>
          <w:szCs w:val="36"/>
          <w:vertAlign w:val="superscript"/>
        </w:rPr>
        <w:t>®</w:t>
      </w:r>
      <w:r w:rsidR="00602774">
        <w:rPr>
          <w:sz w:val="36"/>
          <w:szCs w:val="36"/>
        </w:rPr>
        <w:t> </w:t>
      </w:r>
      <w:r w:rsidR="00EC389E">
        <w:rPr>
          <w:sz w:val="36"/>
          <w:szCs w:val="36"/>
        </w:rPr>
        <w:t>3257</w:t>
      </w:r>
    </w:p>
    <w:p w14:paraId="2045DD1F" w14:textId="77777777" w:rsidR="00D34DB5" w:rsidRPr="002C0D96" w:rsidRDefault="00D34DB5" w:rsidP="00F2738D">
      <w:pPr>
        <w:tabs>
          <w:tab w:val="left" w:pos="0"/>
        </w:tabs>
        <w:jc w:val="center"/>
        <w:rPr>
          <w:sz w:val="20"/>
          <w:szCs w:val="20"/>
        </w:rPr>
      </w:pPr>
    </w:p>
    <w:p w14:paraId="3340B55F" w14:textId="77777777" w:rsidR="00D34DB5" w:rsidRPr="00840204" w:rsidRDefault="00EC389E" w:rsidP="00F2738D">
      <w:pPr>
        <w:tabs>
          <w:tab w:val="left" w:pos="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Catechin</w:t>
      </w:r>
      <w:r w:rsidR="00B000D5" w:rsidRPr="00B000D5">
        <w:rPr>
          <w:sz w:val="28"/>
          <w:szCs w:val="28"/>
        </w:rPr>
        <w:t xml:space="preserve"> Calibration Solutions</w:t>
      </w:r>
    </w:p>
    <w:p w14:paraId="547ABF73" w14:textId="77777777" w:rsidR="00D34DB5" w:rsidRPr="00A94717" w:rsidRDefault="00D34DB5" w:rsidP="00F2738D">
      <w:pPr>
        <w:tabs>
          <w:tab w:val="left" w:pos="0"/>
        </w:tabs>
        <w:rPr>
          <w:sz w:val="20"/>
          <w:szCs w:val="20"/>
        </w:rPr>
      </w:pPr>
    </w:p>
    <w:p w14:paraId="040F72A0" w14:textId="77777777" w:rsidR="00D34DB5" w:rsidRDefault="00D34DB5" w:rsidP="00F2738D">
      <w:pPr>
        <w:tabs>
          <w:tab w:val="left" w:pos="0"/>
        </w:tabs>
        <w:jc w:val="both"/>
        <w:rPr>
          <w:sz w:val="20"/>
          <w:szCs w:val="20"/>
        </w:rPr>
      </w:pPr>
      <w:r w:rsidRPr="00A94717">
        <w:rPr>
          <w:sz w:val="20"/>
          <w:szCs w:val="20"/>
        </w:rPr>
        <w:t>This Standard Reference Material</w:t>
      </w:r>
      <w:r w:rsidR="002C0D96">
        <w:rPr>
          <w:sz w:val="20"/>
          <w:szCs w:val="20"/>
        </w:rPr>
        <w:t> </w:t>
      </w:r>
      <w:r w:rsidRPr="00A94717">
        <w:rPr>
          <w:sz w:val="20"/>
          <w:szCs w:val="20"/>
        </w:rPr>
        <w:t xml:space="preserve">(SRM) </w:t>
      </w:r>
      <w:r w:rsidR="00920E40" w:rsidRPr="00A94717">
        <w:rPr>
          <w:sz w:val="20"/>
          <w:szCs w:val="20"/>
        </w:rPr>
        <w:t>con</w:t>
      </w:r>
      <w:r w:rsidR="00920E40">
        <w:rPr>
          <w:sz w:val="20"/>
          <w:szCs w:val="20"/>
        </w:rPr>
        <w:t>sists of</w:t>
      </w:r>
      <w:r w:rsidR="00920E40" w:rsidRPr="00A94717">
        <w:rPr>
          <w:sz w:val="20"/>
          <w:szCs w:val="20"/>
        </w:rPr>
        <w:t xml:space="preserve"> </w:t>
      </w:r>
      <w:r w:rsidR="00EC389E">
        <w:rPr>
          <w:sz w:val="20"/>
          <w:szCs w:val="20"/>
        </w:rPr>
        <w:t>three</w:t>
      </w:r>
      <w:r w:rsidRPr="00A94717">
        <w:rPr>
          <w:sz w:val="20"/>
          <w:szCs w:val="20"/>
        </w:rPr>
        <w:t xml:space="preserve"> </w:t>
      </w:r>
      <w:r w:rsidR="00920E40">
        <w:rPr>
          <w:sz w:val="20"/>
          <w:szCs w:val="20"/>
        </w:rPr>
        <w:t>separate</w:t>
      </w:r>
      <w:r w:rsidR="00920E40" w:rsidRPr="00A94717">
        <w:rPr>
          <w:sz w:val="20"/>
          <w:szCs w:val="20"/>
        </w:rPr>
        <w:t xml:space="preserve"> </w:t>
      </w:r>
      <w:r w:rsidRPr="00A94717">
        <w:rPr>
          <w:sz w:val="20"/>
          <w:szCs w:val="20"/>
        </w:rPr>
        <w:t>solutions</w:t>
      </w:r>
      <w:r w:rsidR="00291DBD">
        <w:rPr>
          <w:sz w:val="20"/>
          <w:szCs w:val="20"/>
        </w:rPr>
        <w:t xml:space="preserve"> containing </w:t>
      </w:r>
      <w:r w:rsidR="00EC389E">
        <w:rPr>
          <w:sz w:val="20"/>
          <w:szCs w:val="20"/>
        </w:rPr>
        <w:t>catechins</w:t>
      </w:r>
      <w:r w:rsidR="0036017E">
        <w:rPr>
          <w:sz w:val="20"/>
          <w:szCs w:val="20"/>
        </w:rPr>
        <w:t xml:space="preserve">.  </w:t>
      </w:r>
      <w:r w:rsidR="00C03DAB">
        <w:rPr>
          <w:sz w:val="20"/>
          <w:szCs w:val="20"/>
        </w:rPr>
        <w:br/>
      </w:r>
      <w:r w:rsidR="0036017E">
        <w:rPr>
          <w:sz w:val="20"/>
          <w:szCs w:val="20"/>
        </w:rPr>
        <w:t>Solution</w:t>
      </w:r>
      <w:r w:rsidR="0063714E">
        <w:rPr>
          <w:sz w:val="20"/>
          <w:szCs w:val="20"/>
        </w:rPr>
        <w:t> </w:t>
      </w:r>
      <w:r w:rsidR="00021714">
        <w:rPr>
          <w:sz w:val="20"/>
          <w:szCs w:val="20"/>
        </w:rPr>
        <w:t>1</w:t>
      </w:r>
      <w:r w:rsidR="0036017E">
        <w:rPr>
          <w:sz w:val="20"/>
          <w:szCs w:val="20"/>
        </w:rPr>
        <w:t xml:space="preserve"> contains </w:t>
      </w:r>
      <w:r w:rsidR="00331EB0">
        <w:rPr>
          <w:sz w:val="20"/>
          <w:szCs w:val="20"/>
        </w:rPr>
        <w:t>(</w:t>
      </w:r>
      <w:r w:rsidR="004B2A93">
        <w:rPr>
          <w:sz w:val="20"/>
          <w:szCs w:val="20"/>
        </w:rPr>
        <w:t>+</w:t>
      </w:r>
      <w:r w:rsidR="00331EB0">
        <w:rPr>
          <w:sz w:val="20"/>
          <w:szCs w:val="20"/>
        </w:rPr>
        <w:t>)</w:t>
      </w:r>
      <w:r w:rsidR="002C0D96">
        <w:rPr>
          <w:sz w:val="20"/>
          <w:szCs w:val="20"/>
        </w:rPr>
        <w:noBreakHyphen/>
      </w:r>
      <w:r w:rsidR="0069674F">
        <w:rPr>
          <w:sz w:val="20"/>
          <w:szCs w:val="20"/>
        </w:rPr>
        <w:t>catechin</w:t>
      </w:r>
      <w:r w:rsidR="00331EB0" w:rsidRPr="00331EB0">
        <w:rPr>
          <w:sz w:val="20"/>
          <w:szCs w:val="20"/>
        </w:rPr>
        <w:t xml:space="preserve">, </w:t>
      </w:r>
      <w:r w:rsidR="00331EB0">
        <w:rPr>
          <w:sz w:val="20"/>
          <w:szCs w:val="20"/>
        </w:rPr>
        <w:t>(</w:t>
      </w:r>
      <w:r w:rsidR="00C21FF9">
        <w:rPr>
          <w:sz w:val="20"/>
          <w:szCs w:val="20"/>
        </w:rPr>
        <w:t>–</w:t>
      </w:r>
      <w:r w:rsidR="00331EB0">
        <w:rPr>
          <w:sz w:val="20"/>
          <w:szCs w:val="20"/>
        </w:rPr>
        <w:t>)</w:t>
      </w:r>
      <w:r w:rsidR="002C0D96">
        <w:rPr>
          <w:sz w:val="20"/>
          <w:szCs w:val="20"/>
        </w:rPr>
        <w:noBreakHyphen/>
      </w:r>
      <w:r w:rsidR="0069674F">
        <w:rPr>
          <w:sz w:val="20"/>
          <w:szCs w:val="20"/>
        </w:rPr>
        <w:t>gallocatechin</w:t>
      </w:r>
      <w:r w:rsidR="00331EB0" w:rsidRPr="00331EB0">
        <w:rPr>
          <w:sz w:val="20"/>
          <w:szCs w:val="20"/>
        </w:rPr>
        <w:t xml:space="preserve">, </w:t>
      </w:r>
      <w:r w:rsidR="0036017E">
        <w:rPr>
          <w:sz w:val="20"/>
          <w:szCs w:val="20"/>
        </w:rPr>
        <w:t>and (</w:t>
      </w:r>
      <w:r w:rsidR="00C21FF9">
        <w:rPr>
          <w:sz w:val="20"/>
          <w:szCs w:val="20"/>
        </w:rPr>
        <w:t>–</w:t>
      </w:r>
      <w:r w:rsidR="0036017E">
        <w:rPr>
          <w:sz w:val="20"/>
          <w:szCs w:val="20"/>
        </w:rPr>
        <w:t>)</w:t>
      </w:r>
      <w:r w:rsidR="002C0D96">
        <w:rPr>
          <w:sz w:val="20"/>
          <w:szCs w:val="20"/>
        </w:rPr>
        <w:noBreakHyphen/>
      </w:r>
      <w:r w:rsidR="000C2154">
        <w:rPr>
          <w:sz w:val="20"/>
          <w:szCs w:val="20"/>
        </w:rPr>
        <w:t>gallocatechin </w:t>
      </w:r>
      <w:r w:rsidR="0036017E">
        <w:rPr>
          <w:sz w:val="20"/>
          <w:szCs w:val="20"/>
        </w:rPr>
        <w:t>3</w:t>
      </w:r>
      <w:r w:rsidR="002C0D96">
        <w:rPr>
          <w:sz w:val="20"/>
          <w:szCs w:val="20"/>
        </w:rPr>
        <w:noBreakHyphen/>
      </w:r>
      <w:r w:rsidR="0036017E">
        <w:rPr>
          <w:sz w:val="20"/>
          <w:szCs w:val="20"/>
        </w:rPr>
        <w:t xml:space="preserve">gallate; </w:t>
      </w:r>
      <w:r w:rsidR="00C03DAB">
        <w:rPr>
          <w:sz w:val="20"/>
          <w:szCs w:val="20"/>
        </w:rPr>
        <w:t>Solution </w:t>
      </w:r>
      <w:r w:rsidR="00021714">
        <w:rPr>
          <w:sz w:val="20"/>
          <w:szCs w:val="20"/>
        </w:rPr>
        <w:t>2</w:t>
      </w:r>
      <w:r w:rsidR="0036017E">
        <w:rPr>
          <w:sz w:val="20"/>
          <w:szCs w:val="20"/>
        </w:rPr>
        <w:t xml:space="preserve"> contains </w:t>
      </w:r>
      <w:r w:rsidR="002C0D96">
        <w:rPr>
          <w:sz w:val="20"/>
          <w:szCs w:val="20"/>
        </w:rPr>
        <w:br/>
      </w:r>
      <w:r w:rsidR="0036017E">
        <w:rPr>
          <w:sz w:val="20"/>
          <w:szCs w:val="20"/>
        </w:rPr>
        <w:t>(</w:t>
      </w:r>
      <w:r w:rsidR="00C21FF9">
        <w:rPr>
          <w:sz w:val="20"/>
          <w:szCs w:val="20"/>
        </w:rPr>
        <w:t>–</w:t>
      </w:r>
      <w:r w:rsidR="0036017E">
        <w:rPr>
          <w:sz w:val="20"/>
          <w:szCs w:val="20"/>
        </w:rPr>
        <w:t>)</w:t>
      </w:r>
      <w:r w:rsidR="002C0D96">
        <w:rPr>
          <w:sz w:val="20"/>
          <w:szCs w:val="20"/>
        </w:rPr>
        <w:noBreakHyphen/>
      </w:r>
      <w:r w:rsidR="0036017E">
        <w:rPr>
          <w:sz w:val="20"/>
          <w:szCs w:val="20"/>
        </w:rPr>
        <w:t>epicatechin, (</w:t>
      </w:r>
      <w:r w:rsidR="00C21FF9">
        <w:rPr>
          <w:sz w:val="20"/>
          <w:szCs w:val="20"/>
        </w:rPr>
        <w:t>–</w:t>
      </w:r>
      <w:r w:rsidR="0036017E">
        <w:rPr>
          <w:sz w:val="20"/>
          <w:szCs w:val="20"/>
        </w:rPr>
        <w:t>)</w:t>
      </w:r>
      <w:r w:rsidR="002C0D96">
        <w:rPr>
          <w:sz w:val="20"/>
          <w:szCs w:val="20"/>
        </w:rPr>
        <w:noBreakHyphen/>
      </w:r>
      <w:r w:rsidR="0036017E">
        <w:rPr>
          <w:sz w:val="20"/>
          <w:szCs w:val="20"/>
        </w:rPr>
        <w:t>epigallocatechin,</w:t>
      </w:r>
      <w:r w:rsidR="00331EB0" w:rsidRPr="00331EB0">
        <w:rPr>
          <w:sz w:val="20"/>
          <w:szCs w:val="20"/>
        </w:rPr>
        <w:t xml:space="preserve"> </w:t>
      </w:r>
      <w:r w:rsidR="0036017E">
        <w:rPr>
          <w:sz w:val="20"/>
          <w:szCs w:val="20"/>
        </w:rPr>
        <w:t>and (</w:t>
      </w:r>
      <w:r w:rsidR="00C21FF9">
        <w:rPr>
          <w:sz w:val="20"/>
          <w:szCs w:val="20"/>
        </w:rPr>
        <w:t>–</w:t>
      </w:r>
      <w:r w:rsidR="0036017E">
        <w:rPr>
          <w:sz w:val="20"/>
          <w:szCs w:val="20"/>
        </w:rPr>
        <w:t>)</w:t>
      </w:r>
      <w:r w:rsidR="002C0D96">
        <w:rPr>
          <w:sz w:val="20"/>
          <w:szCs w:val="20"/>
        </w:rPr>
        <w:noBreakHyphen/>
      </w:r>
      <w:r w:rsidR="00C03DAB" w:rsidRPr="00331EB0">
        <w:rPr>
          <w:sz w:val="20"/>
          <w:szCs w:val="20"/>
        </w:rPr>
        <w:t>epi</w:t>
      </w:r>
      <w:r w:rsidR="00C03DAB">
        <w:rPr>
          <w:sz w:val="20"/>
          <w:szCs w:val="20"/>
        </w:rPr>
        <w:t>catechin </w:t>
      </w:r>
      <w:r w:rsidR="0036017E">
        <w:rPr>
          <w:sz w:val="20"/>
          <w:szCs w:val="20"/>
        </w:rPr>
        <w:t>3-gallate; Solution</w:t>
      </w:r>
      <w:r w:rsidR="0063714E">
        <w:rPr>
          <w:sz w:val="20"/>
          <w:szCs w:val="20"/>
        </w:rPr>
        <w:t> </w:t>
      </w:r>
      <w:r w:rsidR="00021714">
        <w:rPr>
          <w:sz w:val="20"/>
          <w:szCs w:val="20"/>
        </w:rPr>
        <w:t>3</w:t>
      </w:r>
      <w:r w:rsidR="0036017E">
        <w:rPr>
          <w:sz w:val="20"/>
          <w:szCs w:val="20"/>
        </w:rPr>
        <w:t xml:space="preserve"> contains </w:t>
      </w:r>
      <w:r w:rsidR="0069674F">
        <w:rPr>
          <w:sz w:val="20"/>
          <w:szCs w:val="20"/>
        </w:rPr>
        <w:t>(</w:t>
      </w:r>
      <w:r w:rsidR="00C21FF9">
        <w:rPr>
          <w:sz w:val="20"/>
          <w:szCs w:val="20"/>
        </w:rPr>
        <w:t>–</w:t>
      </w:r>
      <w:r w:rsidR="0069674F">
        <w:rPr>
          <w:sz w:val="20"/>
          <w:szCs w:val="20"/>
        </w:rPr>
        <w:t>)</w:t>
      </w:r>
      <w:r w:rsidR="002C0D96">
        <w:rPr>
          <w:sz w:val="20"/>
          <w:szCs w:val="20"/>
        </w:rPr>
        <w:noBreakHyphen/>
      </w:r>
      <w:r w:rsidR="0036017E">
        <w:rPr>
          <w:sz w:val="20"/>
          <w:szCs w:val="20"/>
        </w:rPr>
        <w:t>epigallocatechin</w:t>
      </w:r>
      <w:r w:rsidR="006075BD">
        <w:rPr>
          <w:sz w:val="20"/>
          <w:szCs w:val="20"/>
        </w:rPr>
        <w:t xml:space="preserve"> 3</w:t>
      </w:r>
      <w:r w:rsidR="002C0D96">
        <w:rPr>
          <w:sz w:val="20"/>
          <w:szCs w:val="20"/>
        </w:rPr>
        <w:noBreakHyphen/>
      </w:r>
      <w:r w:rsidR="006075BD">
        <w:rPr>
          <w:sz w:val="20"/>
          <w:szCs w:val="20"/>
        </w:rPr>
        <w:t>gallate.</w:t>
      </w:r>
      <w:r w:rsidR="0036017E">
        <w:rPr>
          <w:sz w:val="20"/>
          <w:szCs w:val="20"/>
        </w:rPr>
        <w:t xml:space="preserve">  </w:t>
      </w:r>
      <w:r w:rsidR="00291DBD">
        <w:rPr>
          <w:sz w:val="20"/>
          <w:szCs w:val="20"/>
        </w:rPr>
        <w:t xml:space="preserve">The </w:t>
      </w:r>
      <w:r w:rsidR="006075BD">
        <w:rPr>
          <w:sz w:val="20"/>
          <w:szCs w:val="20"/>
        </w:rPr>
        <w:t xml:space="preserve">solutions </w:t>
      </w:r>
      <w:r w:rsidR="00291DBD">
        <w:rPr>
          <w:sz w:val="20"/>
          <w:szCs w:val="20"/>
        </w:rPr>
        <w:t xml:space="preserve">were </w:t>
      </w:r>
      <w:r w:rsidR="006075BD">
        <w:rPr>
          <w:sz w:val="20"/>
          <w:szCs w:val="20"/>
        </w:rPr>
        <w:t xml:space="preserve">prepared </w:t>
      </w:r>
      <w:r w:rsidR="00291DBD">
        <w:rPr>
          <w:sz w:val="20"/>
          <w:szCs w:val="20"/>
        </w:rPr>
        <w:t xml:space="preserve">in </w:t>
      </w:r>
      <w:r w:rsidR="006075BD">
        <w:rPr>
          <w:sz w:val="20"/>
          <w:szCs w:val="20"/>
        </w:rPr>
        <w:t xml:space="preserve">a </w:t>
      </w:r>
      <w:r w:rsidR="00291DBD">
        <w:rPr>
          <w:sz w:val="20"/>
          <w:szCs w:val="20"/>
        </w:rPr>
        <w:t xml:space="preserve">mixture of </w:t>
      </w:r>
      <w:r w:rsidR="00EC389E">
        <w:rPr>
          <w:sz w:val="20"/>
          <w:szCs w:val="20"/>
        </w:rPr>
        <w:t>30</w:t>
      </w:r>
      <w:r w:rsidR="002C0D96">
        <w:rPr>
          <w:sz w:val="20"/>
          <w:szCs w:val="20"/>
        </w:rPr>
        <w:t> </w:t>
      </w:r>
      <w:r w:rsidR="00EC389E">
        <w:rPr>
          <w:sz w:val="20"/>
          <w:szCs w:val="20"/>
        </w:rPr>
        <w:t>% methanol</w:t>
      </w:r>
      <w:r w:rsidR="00E84E1C">
        <w:rPr>
          <w:sz w:val="20"/>
          <w:szCs w:val="20"/>
        </w:rPr>
        <w:t>,</w:t>
      </w:r>
      <w:r w:rsidR="00291DBD">
        <w:rPr>
          <w:sz w:val="20"/>
          <w:szCs w:val="20"/>
        </w:rPr>
        <w:t xml:space="preserve"> </w:t>
      </w:r>
      <w:r w:rsidR="00EC389E">
        <w:rPr>
          <w:sz w:val="20"/>
          <w:szCs w:val="20"/>
        </w:rPr>
        <w:t>70</w:t>
      </w:r>
      <w:r w:rsidR="002C0D96">
        <w:rPr>
          <w:sz w:val="20"/>
          <w:szCs w:val="20"/>
        </w:rPr>
        <w:t> </w:t>
      </w:r>
      <w:r w:rsidR="00EC389E">
        <w:rPr>
          <w:sz w:val="20"/>
          <w:szCs w:val="20"/>
        </w:rPr>
        <w:t xml:space="preserve">% water, </w:t>
      </w:r>
      <w:r w:rsidR="00E84E1C">
        <w:rPr>
          <w:sz w:val="20"/>
          <w:szCs w:val="20"/>
        </w:rPr>
        <w:t>and</w:t>
      </w:r>
      <w:r w:rsidR="00291DBD">
        <w:rPr>
          <w:sz w:val="20"/>
          <w:szCs w:val="20"/>
        </w:rPr>
        <w:t xml:space="preserve"> </w:t>
      </w:r>
      <w:r w:rsidR="00EC389E">
        <w:rPr>
          <w:sz w:val="20"/>
          <w:szCs w:val="20"/>
        </w:rPr>
        <w:t>0.05</w:t>
      </w:r>
      <w:r w:rsidR="002C0D96">
        <w:rPr>
          <w:sz w:val="20"/>
          <w:szCs w:val="20"/>
        </w:rPr>
        <w:t> </w:t>
      </w:r>
      <w:r w:rsidR="00EC389E">
        <w:rPr>
          <w:sz w:val="20"/>
          <w:szCs w:val="20"/>
        </w:rPr>
        <w:t>% formic acid (volume fractions)</w:t>
      </w:r>
      <w:r w:rsidR="00935B89">
        <w:rPr>
          <w:sz w:val="20"/>
          <w:szCs w:val="20"/>
        </w:rPr>
        <w:t>.  Formic acid was added</w:t>
      </w:r>
      <w:r w:rsidR="00291DBD">
        <w:rPr>
          <w:sz w:val="20"/>
          <w:szCs w:val="20"/>
        </w:rPr>
        <w:t xml:space="preserve"> </w:t>
      </w:r>
      <w:r w:rsidR="00EC389E">
        <w:rPr>
          <w:sz w:val="20"/>
          <w:szCs w:val="20"/>
        </w:rPr>
        <w:t>to stabilize the catechins.  SRM</w:t>
      </w:r>
      <w:r w:rsidR="002C0D96">
        <w:rPr>
          <w:sz w:val="20"/>
          <w:szCs w:val="20"/>
        </w:rPr>
        <w:t> </w:t>
      </w:r>
      <w:r w:rsidR="00EC389E">
        <w:rPr>
          <w:sz w:val="20"/>
          <w:szCs w:val="20"/>
        </w:rPr>
        <w:t>3257</w:t>
      </w:r>
      <w:r w:rsidR="00963961" w:rsidRPr="00A94717">
        <w:rPr>
          <w:sz w:val="20"/>
          <w:szCs w:val="20"/>
        </w:rPr>
        <w:t xml:space="preserve"> is intended primarily for use in calibration of instruments and techniques used for the determination of these </w:t>
      </w:r>
      <w:r w:rsidR="0069674F">
        <w:rPr>
          <w:sz w:val="20"/>
          <w:szCs w:val="20"/>
        </w:rPr>
        <w:t>analytes</w:t>
      </w:r>
      <w:r w:rsidR="00EC389E">
        <w:rPr>
          <w:sz w:val="20"/>
          <w:szCs w:val="20"/>
        </w:rPr>
        <w:t xml:space="preserve">.  </w:t>
      </w:r>
      <w:r w:rsidR="0063714E">
        <w:rPr>
          <w:sz w:val="20"/>
          <w:szCs w:val="20"/>
        </w:rPr>
        <w:t>A</w:t>
      </w:r>
      <w:r w:rsidR="00EC389E">
        <w:rPr>
          <w:sz w:val="20"/>
          <w:szCs w:val="20"/>
        </w:rPr>
        <w:t xml:space="preserve"> unit </w:t>
      </w:r>
      <w:r w:rsidR="0063714E">
        <w:rPr>
          <w:sz w:val="20"/>
          <w:szCs w:val="20"/>
        </w:rPr>
        <w:t xml:space="preserve">of SRM 3257 </w:t>
      </w:r>
      <w:r w:rsidR="00EC389E">
        <w:rPr>
          <w:sz w:val="20"/>
          <w:szCs w:val="20"/>
        </w:rPr>
        <w:t>consists of twelve 2</w:t>
      </w:r>
      <w:r w:rsidR="002C0D96">
        <w:rPr>
          <w:sz w:val="20"/>
          <w:szCs w:val="20"/>
        </w:rPr>
        <w:t> </w:t>
      </w:r>
      <w:r w:rsidR="00EC389E">
        <w:rPr>
          <w:sz w:val="20"/>
          <w:szCs w:val="20"/>
        </w:rPr>
        <w:t>mL ampoules, four</w:t>
      </w:r>
      <w:r w:rsidR="00963961" w:rsidRPr="00A94717">
        <w:rPr>
          <w:sz w:val="20"/>
          <w:szCs w:val="20"/>
        </w:rPr>
        <w:t xml:space="preserve"> </w:t>
      </w:r>
      <w:r w:rsidR="002C0D96">
        <w:rPr>
          <w:sz w:val="20"/>
          <w:szCs w:val="20"/>
        </w:rPr>
        <w:t xml:space="preserve">vials each of </w:t>
      </w:r>
      <w:r w:rsidR="00602774">
        <w:rPr>
          <w:sz w:val="20"/>
          <w:szCs w:val="20"/>
        </w:rPr>
        <w:t>S</w:t>
      </w:r>
      <w:r w:rsidR="00963961" w:rsidRPr="00A94717">
        <w:rPr>
          <w:sz w:val="20"/>
          <w:szCs w:val="20"/>
        </w:rPr>
        <w:t>olution</w:t>
      </w:r>
      <w:r w:rsidR="002C0D96">
        <w:rPr>
          <w:sz w:val="20"/>
          <w:szCs w:val="20"/>
        </w:rPr>
        <w:t> </w:t>
      </w:r>
      <w:r w:rsidR="000F11EB">
        <w:rPr>
          <w:sz w:val="20"/>
          <w:szCs w:val="20"/>
        </w:rPr>
        <w:t>1</w:t>
      </w:r>
      <w:r w:rsidR="002C0D96">
        <w:rPr>
          <w:sz w:val="20"/>
          <w:szCs w:val="20"/>
        </w:rPr>
        <w:t xml:space="preserve">, </w:t>
      </w:r>
      <w:r w:rsidR="00602774">
        <w:rPr>
          <w:sz w:val="20"/>
          <w:szCs w:val="20"/>
        </w:rPr>
        <w:t>S</w:t>
      </w:r>
      <w:r w:rsidR="0036017E">
        <w:rPr>
          <w:sz w:val="20"/>
          <w:szCs w:val="20"/>
        </w:rPr>
        <w:t>olution</w:t>
      </w:r>
      <w:r w:rsidR="002C0D96">
        <w:rPr>
          <w:sz w:val="20"/>
          <w:szCs w:val="20"/>
        </w:rPr>
        <w:t> </w:t>
      </w:r>
      <w:r w:rsidR="000F11EB">
        <w:rPr>
          <w:sz w:val="20"/>
          <w:szCs w:val="20"/>
        </w:rPr>
        <w:t>2</w:t>
      </w:r>
      <w:r w:rsidR="0036017E">
        <w:rPr>
          <w:sz w:val="20"/>
          <w:szCs w:val="20"/>
        </w:rPr>
        <w:t xml:space="preserve">, and </w:t>
      </w:r>
      <w:r w:rsidR="00602774">
        <w:rPr>
          <w:sz w:val="20"/>
          <w:szCs w:val="20"/>
        </w:rPr>
        <w:t>S</w:t>
      </w:r>
      <w:r w:rsidR="002C0D96">
        <w:rPr>
          <w:sz w:val="20"/>
          <w:szCs w:val="20"/>
        </w:rPr>
        <w:t>olution 3.  E</w:t>
      </w:r>
      <w:r w:rsidR="00C21FF9">
        <w:rPr>
          <w:sz w:val="20"/>
          <w:szCs w:val="20"/>
        </w:rPr>
        <w:t xml:space="preserve">ach </w:t>
      </w:r>
      <w:r w:rsidR="00B31629">
        <w:rPr>
          <w:sz w:val="20"/>
          <w:szCs w:val="20"/>
        </w:rPr>
        <w:t xml:space="preserve">ampoule </w:t>
      </w:r>
      <w:r w:rsidR="0036017E">
        <w:rPr>
          <w:sz w:val="20"/>
          <w:szCs w:val="20"/>
        </w:rPr>
        <w:t>contain</w:t>
      </w:r>
      <w:r w:rsidR="00602774">
        <w:rPr>
          <w:sz w:val="20"/>
          <w:szCs w:val="20"/>
        </w:rPr>
        <w:t>s</w:t>
      </w:r>
      <w:r w:rsidR="0036017E">
        <w:rPr>
          <w:sz w:val="20"/>
          <w:szCs w:val="20"/>
        </w:rPr>
        <w:t xml:space="preserve"> approximately 1.2</w:t>
      </w:r>
      <w:r w:rsidR="002C0D96">
        <w:rPr>
          <w:sz w:val="20"/>
          <w:szCs w:val="20"/>
        </w:rPr>
        <w:t> </w:t>
      </w:r>
      <w:r w:rsidR="0036017E">
        <w:rPr>
          <w:sz w:val="20"/>
          <w:szCs w:val="20"/>
        </w:rPr>
        <w:t>mL of solution.</w:t>
      </w:r>
    </w:p>
    <w:p w14:paraId="5FAD216A" w14:textId="77777777" w:rsidR="00920E40" w:rsidRDefault="00920E40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0FE7CFAE" w14:textId="77777777" w:rsidR="00920E40" w:rsidRDefault="0069674F" w:rsidP="00F2738D">
      <w:pPr>
        <w:pStyle w:val="BodyText"/>
        <w:widowControl/>
        <w:tabs>
          <w:tab w:val="clear" w:pos="-1440"/>
          <w:tab w:val="clear" w:pos="-720"/>
          <w:tab w:val="left" w:pos="0"/>
        </w:tabs>
        <w:suppressAutoHyphens w:val="0"/>
        <w:rPr>
          <w:rFonts w:ascii="Times New Roman" w:hAnsi="Times New Roman"/>
          <w:spacing w:val="0"/>
          <w:kern w:val="2"/>
          <w:lang w:val="en-US"/>
        </w:rPr>
      </w:pPr>
      <w:r>
        <w:rPr>
          <w:rFonts w:ascii="Times New Roman" w:hAnsi="Times New Roman"/>
          <w:spacing w:val="0"/>
          <w:lang w:val="en-US"/>
        </w:rPr>
        <w:t>The development of SRM</w:t>
      </w:r>
      <w:r w:rsidR="00B31629">
        <w:rPr>
          <w:rFonts w:ascii="Times New Roman" w:hAnsi="Times New Roman"/>
          <w:spacing w:val="0"/>
          <w:lang w:val="en-US"/>
        </w:rPr>
        <w:t> </w:t>
      </w:r>
      <w:r>
        <w:rPr>
          <w:rFonts w:ascii="Times New Roman" w:hAnsi="Times New Roman"/>
          <w:spacing w:val="0"/>
          <w:lang w:val="en-US"/>
        </w:rPr>
        <w:t>3257</w:t>
      </w:r>
      <w:r w:rsidR="00920E40">
        <w:rPr>
          <w:rFonts w:ascii="Times New Roman" w:hAnsi="Times New Roman"/>
          <w:spacing w:val="0"/>
          <w:lang w:val="en-US"/>
        </w:rPr>
        <w:t xml:space="preserve"> was a collaboration between the National Institute of Standards and Technology</w:t>
      </w:r>
      <w:r w:rsidR="00B31629">
        <w:rPr>
          <w:rFonts w:ascii="Times New Roman" w:hAnsi="Times New Roman"/>
          <w:spacing w:val="0"/>
          <w:lang w:val="en-US"/>
        </w:rPr>
        <w:t> </w:t>
      </w:r>
      <w:r w:rsidR="00920E40">
        <w:rPr>
          <w:rFonts w:ascii="Times New Roman" w:hAnsi="Times New Roman"/>
          <w:spacing w:val="0"/>
          <w:lang w:val="en-US"/>
        </w:rPr>
        <w:t>(NIST) and the National Institutes of Health</w:t>
      </w:r>
      <w:r w:rsidR="00B31629">
        <w:rPr>
          <w:rFonts w:ascii="Times New Roman" w:hAnsi="Times New Roman"/>
          <w:spacing w:val="0"/>
          <w:lang w:val="en-US"/>
        </w:rPr>
        <w:t> </w:t>
      </w:r>
      <w:r w:rsidR="00920E40">
        <w:rPr>
          <w:rFonts w:ascii="Times New Roman" w:hAnsi="Times New Roman"/>
          <w:spacing w:val="0"/>
          <w:lang w:val="en-US"/>
        </w:rPr>
        <w:t>(NIH), Office of Dietary Supplements</w:t>
      </w:r>
      <w:r w:rsidR="00B31629">
        <w:rPr>
          <w:rFonts w:ascii="Times New Roman" w:hAnsi="Times New Roman"/>
          <w:spacing w:val="0"/>
          <w:lang w:val="en-US"/>
        </w:rPr>
        <w:t> </w:t>
      </w:r>
      <w:r w:rsidR="00920E40">
        <w:rPr>
          <w:rFonts w:ascii="Times New Roman" w:hAnsi="Times New Roman"/>
          <w:spacing w:val="0"/>
          <w:lang w:val="en-US"/>
        </w:rPr>
        <w:t>(ODS).</w:t>
      </w:r>
    </w:p>
    <w:p w14:paraId="4B16F677" w14:textId="77777777" w:rsidR="00A94717" w:rsidRPr="00A94717" w:rsidRDefault="00A94717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4AFA0C2C" w14:textId="77777777" w:rsidR="0043553C" w:rsidRPr="0043553C" w:rsidRDefault="00A94717" w:rsidP="0043553C">
      <w:pPr>
        <w:tabs>
          <w:tab w:val="left" w:pos="0"/>
        </w:tabs>
        <w:jc w:val="both"/>
        <w:rPr>
          <w:sz w:val="20"/>
          <w:szCs w:val="20"/>
        </w:rPr>
      </w:pPr>
      <w:r w:rsidRPr="00A94717">
        <w:rPr>
          <w:b/>
          <w:sz w:val="20"/>
          <w:szCs w:val="20"/>
        </w:rPr>
        <w:t>Certified Values:</w:t>
      </w:r>
      <w:r w:rsidR="00F74038" w:rsidRPr="00F74038">
        <w:rPr>
          <w:sz w:val="20"/>
          <w:szCs w:val="20"/>
        </w:rPr>
        <w:t xml:space="preserve"> </w:t>
      </w:r>
      <w:r w:rsidRPr="00A94717">
        <w:rPr>
          <w:sz w:val="20"/>
          <w:szCs w:val="20"/>
        </w:rPr>
        <w:t xml:space="preserve"> The certified values </w:t>
      </w:r>
      <w:r w:rsidR="00C71BDF">
        <w:rPr>
          <w:sz w:val="20"/>
          <w:szCs w:val="20"/>
        </w:rPr>
        <w:t>for</w:t>
      </w:r>
      <w:r w:rsidR="00C71BDF" w:rsidRPr="00A94717">
        <w:rPr>
          <w:sz w:val="20"/>
          <w:szCs w:val="20"/>
        </w:rPr>
        <w:t xml:space="preserve"> </w:t>
      </w:r>
      <w:r w:rsidR="0069674F">
        <w:rPr>
          <w:sz w:val="20"/>
          <w:szCs w:val="20"/>
        </w:rPr>
        <w:t>the catechins</w:t>
      </w:r>
      <w:r w:rsidR="00291DBD">
        <w:rPr>
          <w:sz w:val="20"/>
          <w:szCs w:val="20"/>
        </w:rPr>
        <w:t xml:space="preserve"> in Table</w:t>
      </w:r>
      <w:r w:rsidR="00602774">
        <w:rPr>
          <w:sz w:val="20"/>
          <w:szCs w:val="20"/>
        </w:rPr>
        <w:t> </w:t>
      </w:r>
      <w:r w:rsidR="00291DBD">
        <w:rPr>
          <w:sz w:val="20"/>
          <w:szCs w:val="20"/>
        </w:rPr>
        <w:t>1</w:t>
      </w:r>
      <w:r w:rsidRPr="00A94717">
        <w:rPr>
          <w:sz w:val="20"/>
          <w:szCs w:val="20"/>
        </w:rPr>
        <w:t xml:space="preserve"> are </w:t>
      </w:r>
      <w:r w:rsidR="002A2317">
        <w:rPr>
          <w:sz w:val="20"/>
          <w:szCs w:val="20"/>
        </w:rPr>
        <w:t xml:space="preserve">based on the results from the gravimetric preparation of the solutions and from the analytical results determined using liquid chromatography with </w:t>
      </w:r>
      <w:r w:rsidR="0069674F">
        <w:rPr>
          <w:sz w:val="20"/>
          <w:szCs w:val="20"/>
        </w:rPr>
        <w:t>ultraviolet absorbance detection (LC</w:t>
      </w:r>
      <w:r w:rsidR="00B31629">
        <w:rPr>
          <w:sz w:val="20"/>
          <w:szCs w:val="20"/>
        </w:rPr>
        <w:noBreakHyphen/>
      </w:r>
      <w:r w:rsidR="0069674F">
        <w:rPr>
          <w:sz w:val="20"/>
          <w:szCs w:val="20"/>
        </w:rPr>
        <w:t>UV</w:t>
      </w:r>
      <w:r w:rsidR="002A2317">
        <w:rPr>
          <w:sz w:val="20"/>
          <w:szCs w:val="20"/>
        </w:rPr>
        <w:t>)</w:t>
      </w:r>
      <w:r w:rsidRPr="00A94717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 w:rsidR="002A2317">
        <w:rPr>
          <w:sz w:val="20"/>
          <w:szCs w:val="20"/>
        </w:rPr>
        <w:t xml:space="preserve">A NIST certified value is a value for which NIST has the highest confidence in its accuracy in that all known or suspected sources of bias have been investigated or </w:t>
      </w:r>
      <w:r w:rsidR="00D1462F">
        <w:rPr>
          <w:sz w:val="20"/>
          <w:szCs w:val="20"/>
        </w:rPr>
        <w:t>taken into account</w:t>
      </w:r>
      <w:r w:rsidR="00B31629">
        <w:rPr>
          <w:sz w:val="20"/>
          <w:szCs w:val="20"/>
        </w:rPr>
        <w:t> </w:t>
      </w:r>
      <w:r w:rsidR="00920E40">
        <w:rPr>
          <w:sz w:val="20"/>
          <w:szCs w:val="20"/>
        </w:rPr>
        <w:t>[1]</w:t>
      </w:r>
      <w:r w:rsidR="002A2317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Values are </w:t>
      </w:r>
      <w:r w:rsidR="00626F7E">
        <w:rPr>
          <w:sz w:val="20"/>
          <w:szCs w:val="20"/>
        </w:rPr>
        <w:t xml:space="preserve">provided </w:t>
      </w:r>
      <w:r>
        <w:rPr>
          <w:sz w:val="20"/>
          <w:szCs w:val="20"/>
        </w:rPr>
        <w:t xml:space="preserve">in </w:t>
      </w:r>
      <w:r w:rsidR="00920E40">
        <w:rPr>
          <w:sz w:val="20"/>
          <w:szCs w:val="20"/>
        </w:rPr>
        <w:t xml:space="preserve">mass fraction </w:t>
      </w:r>
      <w:r>
        <w:rPr>
          <w:sz w:val="20"/>
          <w:szCs w:val="20"/>
        </w:rPr>
        <w:t>units and</w:t>
      </w:r>
      <w:r w:rsidR="00D61362">
        <w:rPr>
          <w:sz w:val="20"/>
          <w:szCs w:val="20"/>
        </w:rPr>
        <w:t>,</w:t>
      </w:r>
      <w:r>
        <w:rPr>
          <w:sz w:val="20"/>
          <w:szCs w:val="20"/>
        </w:rPr>
        <w:t xml:space="preserve"> for user convenience</w:t>
      </w:r>
      <w:r w:rsidR="00D61362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B23116">
        <w:rPr>
          <w:sz w:val="20"/>
          <w:szCs w:val="20"/>
        </w:rPr>
        <w:t>mass</w:t>
      </w:r>
      <w:r w:rsidR="00920E40">
        <w:rPr>
          <w:sz w:val="20"/>
          <w:szCs w:val="20"/>
        </w:rPr>
        <w:t xml:space="preserve"> concentration</w:t>
      </w:r>
      <w:r w:rsidR="00707AF9">
        <w:rPr>
          <w:sz w:val="20"/>
          <w:szCs w:val="20"/>
        </w:rPr>
        <w:t>s</w:t>
      </w:r>
      <w:r w:rsidR="00B31629">
        <w:rPr>
          <w:sz w:val="20"/>
          <w:szCs w:val="20"/>
        </w:rPr>
        <w:t> </w:t>
      </w:r>
      <w:r w:rsidR="00920E40">
        <w:rPr>
          <w:sz w:val="20"/>
          <w:szCs w:val="20"/>
        </w:rPr>
        <w:t>[2]</w:t>
      </w:r>
      <w:r>
        <w:rPr>
          <w:sz w:val="20"/>
          <w:szCs w:val="20"/>
        </w:rPr>
        <w:t xml:space="preserve">.  The </w:t>
      </w:r>
      <w:r w:rsidR="00B23116">
        <w:rPr>
          <w:sz w:val="20"/>
          <w:szCs w:val="20"/>
        </w:rPr>
        <w:t>mass concentration</w:t>
      </w:r>
      <w:r>
        <w:rPr>
          <w:sz w:val="20"/>
          <w:szCs w:val="20"/>
        </w:rPr>
        <w:t xml:space="preserve"> w</w:t>
      </w:r>
      <w:r w:rsidR="00B23116">
        <w:rPr>
          <w:sz w:val="20"/>
          <w:szCs w:val="20"/>
        </w:rPr>
        <w:t>as</w:t>
      </w:r>
      <w:r>
        <w:rPr>
          <w:sz w:val="20"/>
          <w:szCs w:val="20"/>
        </w:rPr>
        <w:t xml:space="preserve"> calculated from the mass fraction values using </w:t>
      </w:r>
      <w:r w:rsidR="0036188F">
        <w:rPr>
          <w:sz w:val="20"/>
          <w:szCs w:val="20"/>
        </w:rPr>
        <w:t xml:space="preserve">the density of </w:t>
      </w:r>
      <w:r w:rsidR="0069674F">
        <w:rPr>
          <w:sz w:val="20"/>
          <w:szCs w:val="20"/>
        </w:rPr>
        <w:t>the solvent, which was determined at NIST using th</w:t>
      </w:r>
      <w:r w:rsidR="00861D2A">
        <w:rPr>
          <w:sz w:val="20"/>
          <w:szCs w:val="20"/>
        </w:rPr>
        <w:t>e Lang</w:t>
      </w:r>
      <w:r w:rsidR="00602774">
        <w:rPr>
          <w:sz w:val="20"/>
          <w:szCs w:val="20"/>
        </w:rPr>
        <w:noBreakHyphen/>
      </w:r>
      <w:r w:rsidR="00861D2A">
        <w:rPr>
          <w:sz w:val="20"/>
          <w:szCs w:val="20"/>
        </w:rPr>
        <w:t>Levy pipette method</w:t>
      </w:r>
      <w:r w:rsidR="00B31629">
        <w:rPr>
          <w:sz w:val="20"/>
          <w:szCs w:val="20"/>
        </w:rPr>
        <w:t> </w:t>
      </w:r>
      <w:r w:rsidR="00861D2A">
        <w:rPr>
          <w:sz w:val="20"/>
          <w:szCs w:val="20"/>
        </w:rPr>
        <w:t>[3]</w:t>
      </w:r>
      <w:r w:rsidR="0069674F">
        <w:rPr>
          <w:sz w:val="20"/>
          <w:szCs w:val="20"/>
        </w:rPr>
        <w:t>.</w:t>
      </w:r>
      <w:r w:rsidR="002F264F">
        <w:rPr>
          <w:sz w:val="20"/>
          <w:szCs w:val="20"/>
        </w:rPr>
        <w:t xml:space="preserve">  An allowance </w:t>
      </w:r>
      <w:r w:rsidR="00920E40">
        <w:rPr>
          <w:sz w:val="20"/>
          <w:szCs w:val="20"/>
        </w:rPr>
        <w:t xml:space="preserve">for </w:t>
      </w:r>
      <w:r w:rsidR="002F264F">
        <w:rPr>
          <w:sz w:val="20"/>
          <w:szCs w:val="20"/>
        </w:rPr>
        <w:t xml:space="preserve">the change in density over the range </w:t>
      </w:r>
      <w:r w:rsidR="006E02AE">
        <w:rPr>
          <w:sz w:val="20"/>
          <w:szCs w:val="20"/>
        </w:rPr>
        <w:t>2</w:t>
      </w:r>
      <w:r w:rsidR="00E84E1C">
        <w:rPr>
          <w:sz w:val="20"/>
          <w:szCs w:val="20"/>
        </w:rPr>
        <w:t>0</w:t>
      </w:r>
      <w:r w:rsidR="00B31629">
        <w:rPr>
          <w:sz w:val="20"/>
          <w:szCs w:val="20"/>
        </w:rPr>
        <w:t> </w:t>
      </w:r>
      <w:r w:rsidR="002F264F">
        <w:rPr>
          <w:sz w:val="20"/>
          <w:szCs w:val="20"/>
        </w:rPr>
        <w:t xml:space="preserve">°C </w:t>
      </w:r>
      <w:r w:rsidR="00E84E1C">
        <w:rPr>
          <w:sz w:val="20"/>
          <w:szCs w:val="20"/>
        </w:rPr>
        <w:t>to 25</w:t>
      </w:r>
      <w:r w:rsidR="00B31629">
        <w:rPr>
          <w:sz w:val="20"/>
          <w:szCs w:val="20"/>
        </w:rPr>
        <w:t> </w:t>
      </w:r>
      <w:r w:rsidR="002F264F">
        <w:rPr>
          <w:sz w:val="20"/>
          <w:szCs w:val="20"/>
        </w:rPr>
        <w:t>°C is included in the uncertainty.</w:t>
      </w:r>
      <w:r w:rsidR="0043553C">
        <w:rPr>
          <w:sz w:val="20"/>
          <w:szCs w:val="20"/>
        </w:rPr>
        <w:t xml:space="preserve">  </w:t>
      </w:r>
      <w:r w:rsidR="0043553C" w:rsidRPr="0043553C">
        <w:rPr>
          <w:sz w:val="20"/>
          <w:szCs w:val="20"/>
        </w:rPr>
        <w:t xml:space="preserve">The measurand is </w:t>
      </w:r>
      <w:r w:rsidR="0043553C">
        <w:rPr>
          <w:sz w:val="20"/>
          <w:szCs w:val="20"/>
        </w:rPr>
        <w:t>the value for each c</w:t>
      </w:r>
      <w:r w:rsidR="0043553C" w:rsidRPr="0043553C">
        <w:rPr>
          <w:sz w:val="20"/>
          <w:szCs w:val="20"/>
        </w:rPr>
        <w:t xml:space="preserve">atechin listed in Table 1.  Metrological traceability is to the SI derived units of mass fraction (expressed as </w:t>
      </w:r>
      <w:r w:rsidR="0043553C">
        <w:rPr>
          <w:sz w:val="20"/>
          <w:szCs w:val="20"/>
        </w:rPr>
        <w:t>micrograms per gram</w:t>
      </w:r>
      <w:r w:rsidR="0043553C" w:rsidRPr="0043553C">
        <w:rPr>
          <w:sz w:val="20"/>
          <w:szCs w:val="20"/>
        </w:rPr>
        <w:t>)</w:t>
      </w:r>
      <w:r w:rsidR="00B23116">
        <w:rPr>
          <w:sz w:val="20"/>
          <w:szCs w:val="20"/>
        </w:rPr>
        <w:t xml:space="preserve"> and</w:t>
      </w:r>
      <w:r w:rsidR="0043553C" w:rsidRPr="0043553C">
        <w:rPr>
          <w:sz w:val="20"/>
          <w:szCs w:val="20"/>
        </w:rPr>
        <w:t xml:space="preserve"> mass concentration (expressed as </w:t>
      </w:r>
      <w:r w:rsidR="00B23116">
        <w:rPr>
          <w:sz w:val="20"/>
          <w:szCs w:val="20"/>
        </w:rPr>
        <w:t>micrograms per milliliter)</w:t>
      </w:r>
      <w:r w:rsidR="0043553C" w:rsidRPr="0043553C">
        <w:rPr>
          <w:sz w:val="20"/>
          <w:szCs w:val="20"/>
        </w:rPr>
        <w:t>.</w:t>
      </w:r>
    </w:p>
    <w:p w14:paraId="75B1BEC3" w14:textId="77777777" w:rsidR="008A58A1" w:rsidRDefault="008A58A1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3EF02352" w14:textId="77777777" w:rsidR="00F22C3E" w:rsidRDefault="00595AFD" w:rsidP="00F2738D">
      <w:pPr>
        <w:tabs>
          <w:tab w:val="left" w:pos="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Expiration of Certification:</w:t>
      </w:r>
      <w:r>
        <w:rPr>
          <w:sz w:val="20"/>
          <w:szCs w:val="20"/>
        </w:rPr>
        <w:t xml:space="preserve">  The certification of </w:t>
      </w:r>
      <w:r w:rsidRPr="00A94E36">
        <w:rPr>
          <w:b/>
          <w:sz w:val="20"/>
          <w:szCs w:val="20"/>
        </w:rPr>
        <w:t>SRM</w:t>
      </w:r>
      <w:r w:rsidR="00B31629" w:rsidRPr="00A94E36">
        <w:rPr>
          <w:b/>
          <w:sz w:val="20"/>
          <w:szCs w:val="20"/>
        </w:rPr>
        <w:t> 3257</w:t>
      </w:r>
      <w:r>
        <w:rPr>
          <w:sz w:val="20"/>
          <w:szCs w:val="20"/>
        </w:rPr>
        <w:t xml:space="preserve"> is valid, within the measurement uncertaint</w:t>
      </w:r>
      <w:r w:rsidR="0063714E">
        <w:rPr>
          <w:sz w:val="20"/>
          <w:szCs w:val="20"/>
        </w:rPr>
        <w:t>y</w:t>
      </w:r>
      <w:r>
        <w:rPr>
          <w:sz w:val="20"/>
          <w:szCs w:val="20"/>
        </w:rPr>
        <w:t xml:space="preserve"> specified, until </w:t>
      </w:r>
      <w:r w:rsidR="00210444">
        <w:rPr>
          <w:b/>
          <w:sz w:val="20"/>
          <w:szCs w:val="20"/>
        </w:rPr>
        <w:t>15</w:t>
      </w:r>
      <w:r w:rsidR="00B31629">
        <w:rPr>
          <w:b/>
          <w:sz w:val="20"/>
          <w:szCs w:val="20"/>
        </w:rPr>
        <w:t> </w:t>
      </w:r>
      <w:r w:rsidR="00210444">
        <w:rPr>
          <w:b/>
          <w:sz w:val="20"/>
          <w:szCs w:val="20"/>
        </w:rPr>
        <w:t>Apri</w:t>
      </w:r>
      <w:r w:rsidR="008263F5">
        <w:rPr>
          <w:b/>
          <w:sz w:val="20"/>
          <w:szCs w:val="20"/>
        </w:rPr>
        <w:t>l</w:t>
      </w:r>
      <w:r w:rsidR="00B31629">
        <w:rPr>
          <w:b/>
          <w:sz w:val="20"/>
          <w:szCs w:val="20"/>
        </w:rPr>
        <w:t> </w:t>
      </w:r>
      <w:r w:rsidR="00D33223">
        <w:rPr>
          <w:b/>
          <w:sz w:val="20"/>
          <w:szCs w:val="20"/>
        </w:rPr>
        <w:t>20</w:t>
      </w:r>
      <w:r w:rsidR="0043553C">
        <w:rPr>
          <w:b/>
          <w:sz w:val="20"/>
          <w:szCs w:val="20"/>
        </w:rPr>
        <w:t>21</w:t>
      </w:r>
      <w:r>
        <w:rPr>
          <w:sz w:val="20"/>
          <w:szCs w:val="20"/>
        </w:rPr>
        <w:t>, provided the SRM is handled</w:t>
      </w:r>
      <w:r w:rsidR="00602774">
        <w:rPr>
          <w:sz w:val="20"/>
          <w:szCs w:val="20"/>
        </w:rPr>
        <w:t xml:space="preserve"> and stored</w:t>
      </w:r>
      <w:r>
        <w:rPr>
          <w:sz w:val="20"/>
          <w:szCs w:val="20"/>
        </w:rPr>
        <w:t xml:space="preserve"> in accordance </w:t>
      </w:r>
      <w:r w:rsidR="00F22C3E">
        <w:rPr>
          <w:sz w:val="20"/>
          <w:szCs w:val="20"/>
        </w:rPr>
        <w:t>with the instructions given in this certificate (see “</w:t>
      </w:r>
      <w:r w:rsidR="00B31629">
        <w:rPr>
          <w:sz w:val="20"/>
          <w:szCs w:val="20"/>
        </w:rPr>
        <w:t xml:space="preserve">Handling, </w:t>
      </w:r>
      <w:r w:rsidR="00F22C3E">
        <w:rPr>
          <w:sz w:val="20"/>
          <w:szCs w:val="20"/>
        </w:rPr>
        <w:t>Storage</w:t>
      </w:r>
      <w:r w:rsidR="00B31629">
        <w:rPr>
          <w:sz w:val="20"/>
          <w:szCs w:val="20"/>
        </w:rPr>
        <w:t>,</w:t>
      </w:r>
      <w:r w:rsidR="00F22C3E">
        <w:rPr>
          <w:sz w:val="20"/>
          <w:szCs w:val="20"/>
        </w:rPr>
        <w:t xml:space="preserve"> and Use”).  </w:t>
      </w:r>
      <w:r w:rsidR="00602774">
        <w:rPr>
          <w:sz w:val="20"/>
          <w:szCs w:val="20"/>
        </w:rPr>
        <w:t>T</w:t>
      </w:r>
      <w:r w:rsidR="00F22C3E">
        <w:rPr>
          <w:sz w:val="20"/>
          <w:szCs w:val="20"/>
        </w:rPr>
        <w:t xml:space="preserve">he certification </w:t>
      </w:r>
      <w:r w:rsidR="00602774">
        <w:rPr>
          <w:sz w:val="20"/>
          <w:szCs w:val="20"/>
        </w:rPr>
        <w:t>is</w:t>
      </w:r>
      <w:r w:rsidR="00F22C3E">
        <w:rPr>
          <w:sz w:val="20"/>
          <w:szCs w:val="20"/>
        </w:rPr>
        <w:t xml:space="preserve"> nullified if the SRM is damaged, contaminated, or </w:t>
      </w:r>
      <w:r w:rsidR="00920E40">
        <w:rPr>
          <w:sz w:val="20"/>
          <w:szCs w:val="20"/>
        </w:rPr>
        <w:t xml:space="preserve">otherwise </w:t>
      </w:r>
      <w:r w:rsidR="00F22C3E">
        <w:rPr>
          <w:sz w:val="20"/>
          <w:szCs w:val="20"/>
        </w:rPr>
        <w:t>modified.</w:t>
      </w:r>
    </w:p>
    <w:p w14:paraId="1D87CA99" w14:textId="77777777" w:rsidR="00920E40" w:rsidRDefault="00920E40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7D73FFD5" w14:textId="77777777" w:rsidR="00602774" w:rsidRDefault="00F22C3E" w:rsidP="00F2738D">
      <w:pPr>
        <w:pStyle w:val="BodyTextIndent2"/>
        <w:spacing w:after="0" w:line="240" w:lineRule="auto"/>
        <w:ind w:left="0"/>
        <w:rPr>
          <w:kern w:val="2"/>
        </w:rPr>
      </w:pPr>
      <w:r>
        <w:rPr>
          <w:b/>
        </w:rPr>
        <w:t>Maintenance of SRM Certification:</w:t>
      </w:r>
      <w:r>
        <w:t xml:space="preserve">  N</w:t>
      </w:r>
      <w:r w:rsidR="00602774">
        <w:t>I</w:t>
      </w:r>
      <w:r w:rsidR="00602774" w:rsidRPr="00C620B5">
        <w:rPr>
          <w:kern w:val="2"/>
        </w:rPr>
        <w:t xml:space="preserve">ST will monitor this SRM over the period of its certification.  If substantive </w:t>
      </w:r>
      <w:r w:rsidR="001730E9">
        <w:rPr>
          <w:kern w:val="2"/>
        </w:rPr>
        <w:t xml:space="preserve">technical </w:t>
      </w:r>
      <w:r w:rsidR="00602774" w:rsidRPr="00C620B5">
        <w:rPr>
          <w:kern w:val="2"/>
        </w:rPr>
        <w:t>changes occur that affect the certification before the expiration of this certificate, NIST will notify the purchaser.  Registration (see attached sheet</w:t>
      </w:r>
      <w:r w:rsidR="00F43EF5">
        <w:rPr>
          <w:kern w:val="2"/>
        </w:rPr>
        <w:t xml:space="preserve"> or register online</w:t>
      </w:r>
      <w:r w:rsidR="00602774" w:rsidRPr="00C620B5">
        <w:rPr>
          <w:kern w:val="2"/>
        </w:rPr>
        <w:t>) will facilitate notification.</w:t>
      </w:r>
    </w:p>
    <w:p w14:paraId="662A8DAE" w14:textId="77777777" w:rsidR="00595AFD" w:rsidRDefault="00595AFD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098A3D6E" w14:textId="77777777" w:rsidR="00F22C3E" w:rsidRDefault="00F43EF5" w:rsidP="00F2738D">
      <w:pPr>
        <w:tabs>
          <w:tab w:val="left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F22C3E">
        <w:rPr>
          <w:sz w:val="20"/>
          <w:szCs w:val="20"/>
        </w:rPr>
        <w:t>oordination of the technical measurements leading to certification was under the direction of K.</w:t>
      </w:r>
      <w:r w:rsidR="0069674F">
        <w:rPr>
          <w:sz w:val="20"/>
          <w:szCs w:val="20"/>
        </w:rPr>
        <w:t>E</w:t>
      </w:r>
      <w:r w:rsidR="002A5860">
        <w:rPr>
          <w:sz w:val="20"/>
          <w:szCs w:val="20"/>
        </w:rPr>
        <w:t>. </w:t>
      </w:r>
      <w:r w:rsidR="0069674F">
        <w:rPr>
          <w:sz w:val="20"/>
          <w:szCs w:val="20"/>
        </w:rPr>
        <w:t>Sharpless</w:t>
      </w:r>
      <w:r w:rsidR="00F22C3E">
        <w:rPr>
          <w:sz w:val="20"/>
          <w:szCs w:val="20"/>
        </w:rPr>
        <w:t xml:space="preserve"> and L.C</w:t>
      </w:r>
      <w:r w:rsidR="00C21FF9">
        <w:rPr>
          <w:sz w:val="20"/>
          <w:szCs w:val="20"/>
        </w:rPr>
        <w:t>. </w:t>
      </w:r>
      <w:r w:rsidR="00F22C3E">
        <w:rPr>
          <w:sz w:val="20"/>
          <w:szCs w:val="20"/>
        </w:rPr>
        <w:t xml:space="preserve">Sander of the NIST </w:t>
      </w:r>
      <w:r w:rsidRPr="00F43EF5">
        <w:rPr>
          <w:sz w:val="20"/>
          <w:szCs w:val="20"/>
        </w:rPr>
        <w:t>Chemical Sciences Division</w:t>
      </w:r>
      <w:r w:rsidR="00F22C3E">
        <w:rPr>
          <w:sz w:val="20"/>
          <w:szCs w:val="20"/>
        </w:rPr>
        <w:t>.</w:t>
      </w:r>
    </w:p>
    <w:p w14:paraId="17636A0C" w14:textId="77777777" w:rsidR="00F22C3E" w:rsidRDefault="00F22C3E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5BE813F7" w14:textId="77777777" w:rsidR="00920E40" w:rsidRDefault="00F22C3E" w:rsidP="00F2738D">
      <w:pPr>
        <w:tabs>
          <w:tab w:val="left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Preparation and analytical measurements were performed by M</w:t>
      </w:r>
      <w:r w:rsidR="00C21FF9">
        <w:rPr>
          <w:sz w:val="20"/>
          <w:szCs w:val="20"/>
        </w:rPr>
        <w:t>. </w:t>
      </w:r>
      <w:r>
        <w:rPr>
          <w:sz w:val="20"/>
          <w:szCs w:val="20"/>
        </w:rPr>
        <w:t xml:space="preserve">Bedner of the NIST </w:t>
      </w:r>
      <w:r w:rsidR="00F43EF5" w:rsidRPr="00F43EF5">
        <w:rPr>
          <w:sz w:val="20"/>
          <w:szCs w:val="20"/>
        </w:rPr>
        <w:t>Chemical Sciences Division</w:t>
      </w:r>
      <w:r>
        <w:rPr>
          <w:sz w:val="20"/>
          <w:szCs w:val="20"/>
        </w:rPr>
        <w:t xml:space="preserve">.  </w:t>
      </w:r>
    </w:p>
    <w:p w14:paraId="7152E11D" w14:textId="77777777" w:rsidR="00920E40" w:rsidRDefault="00920E40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13931571" w14:textId="77777777" w:rsidR="00602774" w:rsidRDefault="00F34A78" w:rsidP="00F2738D">
      <w:pPr>
        <w:tabs>
          <w:tab w:val="left" w:pos="0"/>
        </w:tabs>
        <w:jc w:val="both"/>
        <w:rPr>
          <w:sz w:val="20"/>
          <w:szCs w:val="20"/>
        </w:rPr>
      </w:pPr>
      <w:r>
        <w:rPr>
          <w:sz w:val="20"/>
        </w:rPr>
        <w:t>Statistical consultation was provided by</w:t>
      </w:r>
      <w:r w:rsidR="00602774">
        <w:rPr>
          <w:sz w:val="20"/>
          <w:szCs w:val="20"/>
        </w:rPr>
        <w:t xml:space="preserve"> J.H. Yen of the NIST Statistical Engineering Division.</w:t>
      </w:r>
    </w:p>
    <w:p w14:paraId="0CAA45ED" w14:textId="77777777" w:rsidR="00602774" w:rsidRDefault="00602774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7B495F93" w14:textId="77777777" w:rsidR="0047639F" w:rsidRDefault="00F43EF5" w:rsidP="00F2738D">
      <w:pPr>
        <w:tabs>
          <w:tab w:val="left" w:pos="0"/>
        </w:tabs>
        <w:jc w:val="both"/>
        <w:rPr>
          <w:kern w:val="2"/>
          <w:sz w:val="18"/>
        </w:rPr>
      </w:pPr>
      <w:r w:rsidRPr="00F43EF5">
        <w:rPr>
          <w:sz w:val="20"/>
          <w:szCs w:val="20"/>
        </w:rPr>
        <w:t>Support aspects involved in the issuance of this SRM were coordinated through the NIST Office of Reference Materials.</w:t>
      </w:r>
    </w:p>
    <w:p w14:paraId="48E4795F" w14:textId="77777777" w:rsidR="0043553C" w:rsidRDefault="0043553C" w:rsidP="00F2738D">
      <w:pPr>
        <w:tabs>
          <w:tab w:val="left" w:pos="0"/>
        </w:tabs>
        <w:jc w:val="both"/>
        <w:rPr>
          <w:kern w:val="2"/>
          <w:sz w:val="18"/>
        </w:rPr>
      </w:pPr>
    </w:p>
    <w:p w14:paraId="00110BCE" w14:textId="436EDFC6" w:rsidR="0043553C" w:rsidRDefault="0043553C" w:rsidP="00F2738D">
      <w:pPr>
        <w:tabs>
          <w:tab w:val="left" w:pos="0"/>
        </w:tabs>
        <w:jc w:val="both"/>
        <w:rPr>
          <w:kern w:val="2"/>
          <w:sz w:val="18"/>
        </w:rPr>
      </w:pPr>
    </w:p>
    <w:p w14:paraId="0F8B9057" w14:textId="77777777" w:rsidR="005341DD" w:rsidRDefault="005341DD" w:rsidP="00F2738D">
      <w:pPr>
        <w:tabs>
          <w:tab w:val="left" w:pos="0"/>
        </w:tabs>
        <w:jc w:val="both"/>
        <w:rPr>
          <w:kern w:val="2"/>
          <w:sz w:val="18"/>
        </w:rPr>
      </w:pPr>
    </w:p>
    <w:p w14:paraId="28FE8C98" w14:textId="77777777" w:rsidR="0043553C" w:rsidRDefault="0043553C" w:rsidP="00F2738D">
      <w:pPr>
        <w:tabs>
          <w:tab w:val="left" w:pos="0"/>
        </w:tabs>
        <w:jc w:val="both"/>
        <w:rPr>
          <w:kern w:val="2"/>
          <w:sz w:val="18"/>
        </w:rPr>
      </w:pPr>
    </w:p>
    <w:p w14:paraId="486463E2" w14:textId="77777777" w:rsidR="00F43EF5" w:rsidRPr="00F43EF5" w:rsidRDefault="0047639F" w:rsidP="00F43EF5">
      <w:pPr>
        <w:tabs>
          <w:tab w:val="right" w:pos="9360"/>
        </w:tabs>
        <w:jc w:val="both"/>
        <w:rPr>
          <w:sz w:val="20"/>
          <w:szCs w:val="20"/>
        </w:rPr>
      </w:pPr>
      <w:r>
        <w:rPr>
          <w:kern w:val="2"/>
          <w:sz w:val="20"/>
        </w:rPr>
        <w:tab/>
      </w:r>
      <w:r w:rsidR="00F43EF5" w:rsidRPr="00F43EF5">
        <w:rPr>
          <w:sz w:val="20"/>
          <w:szCs w:val="20"/>
        </w:rPr>
        <w:t>Carlos Gonzalez, Chief</w:t>
      </w:r>
    </w:p>
    <w:p w14:paraId="4E58B336" w14:textId="77777777" w:rsidR="00F43EF5" w:rsidRPr="00F43EF5" w:rsidRDefault="00F43EF5" w:rsidP="00F43EF5">
      <w:pPr>
        <w:tabs>
          <w:tab w:val="right" w:pos="9360"/>
        </w:tabs>
        <w:jc w:val="both"/>
        <w:rPr>
          <w:sz w:val="20"/>
          <w:szCs w:val="20"/>
        </w:rPr>
      </w:pPr>
      <w:r w:rsidRPr="00F43EF5">
        <w:rPr>
          <w:sz w:val="20"/>
          <w:szCs w:val="20"/>
        </w:rPr>
        <w:tab/>
        <w:t>Chemical Sciences Division</w:t>
      </w:r>
    </w:p>
    <w:p w14:paraId="3BDFFDDA" w14:textId="77777777" w:rsidR="00F43EF5" w:rsidRPr="00F43EF5" w:rsidRDefault="00F43EF5" w:rsidP="00F43EF5">
      <w:pPr>
        <w:tabs>
          <w:tab w:val="right" w:pos="9360"/>
        </w:tabs>
        <w:jc w:val="both"/>
        <w:rPr>
          <w:sz w:val="20"/>
          <w:szCs w:val="20"/>
        </w:rPr>
      </w:pPr>
    </w:p>
    <w:p w14:paraId="1B1A68DE" w14:textId="77777777" w:rsidR="00F43EF5" w:rsidRPr="00F43EF5" w:rsidRDefault="00F43EF5" w:rsidP="00F43EF5">
      <w:pPr>
        <w:tabs>
          <w:tab w:val="right" w:pos="9360"/>
        </w:tabs>
        <w:jc w:val="both"/>
        <w:rPr>
          <w:sz w:val="20"/>
          <w:szCs w:val="20"/>
        </w:rPr>
      </w:pPr>
      <w:r w:rsidRPr="00F43EF5">
        <w:rPr>
          <w:sz w:val="20"/>
          <w:szCs w:val="20"/>
        </w:rPr>
        <w:t>Gaithersburg, MD 20899</w:t>
      </w:r>
      <w:r w:rsidRPr="00F43EF5">
        <w:rPr>
          <w:sz w:val="20"/>
          <w:szCs w:val="20"/>
        </w:rPr>
        <w:tab/>
        <w:t>Steven J. Choquette, Acting Director</w:t>
      </w:r>
    </w:p>
    <w:p w14:paraId="5F35C9DD" w14:textId="423932D2" w:rsidR="00F43EF5" w:rsidRPr="00F43EF5" w:rsidRDefault="00F43EF5" w:rsidP="00F43EF5">
      <w:pPr>
        <w:tabs>
          <w:tab w:val="right" w:pos="9360"/>
        </w:tabs>
        <w:jc w:val="both"/>
        <w:rPr>
          <w:sz w:val="20"/>
          <w:szCs w:val="20"/>
        </w:rPr>
      </w:pPr>
      <w:r w:rsidRPr="00F43EF5">
        <w:rPr>
          <w:sz w:val="20"/>
          <w:szCs w:val="20"/>
        </w:rPr>
        <w:t xml:space="preserve">Certificate Issue Date:  </w:t>
      </w:r>
      <w:r w:rsidR="005341DD">
        <w:rPr>
          <w:sz w:val="20"/>
          <w:szCs w:val="20"/>
        </w:rPr>
        <w:t>14</w:t>
      </w:r>
      <w:r w:rsidRPr="00F43EF5">
        <w:rPr>
          <w:sz w:val="20"/>
          <w:szCs w:val="20"/>
        </w:rPr>
        <w:t> January 2016</w:t>
      </w:r>
      <w:r w:rsidRPr="00F43EF5">
        <w:rPr>
          <w:sz w:val="20"/>
          <w:szCs w:val="20"/>
        </w:rPr>
        <w:tab/>
        <w:t>Office of Reference Materials</w:t>
      </w:r>
    </w:p>
    <w:p w14:paraId="2D8E0C7C" w14:textId="77777777" w:rsidR="00F43EF5" w:rsidRPr="00F43EF5" w:rsidRDefault="00F43EF5" w:rsidP="00F43EF5">
      <w:pPr>
        <w:tabs>
          <w:tab w:val="right" w:pos="9428"/>
        </w:tabs>
        <w:autoSpaceDE w:val="0"/>
        <w:autoSpaceDN w:val="0"/>
        <w:adjustRightInd w:val="0"/>
        <w:spacing w:line="19" w:lineRule="atLeast"/>
        <w:jc w:val="both"/>
        <w:rPr>
          <w:i/>
          <w:sz w:val="16"/>
          <w:szCs w:val="16"/>
        </w:rPr>
      </w:pPr>
      <w:r w:rsidRPr="00F43EF5">
        <w:rPr>
          <w:i/>
          <w:sz w:val="16"/>
          <w:szCs w:val="16"/>
        </w:rPr>
        <w:t>Certificate Revision History on Last Page</w:t>
      </w:r>
    </w:p>
    <w:p w14:paraId="3D81CBC9" w14:textId="77777777" w:rsidR="00AD2168" w:rsidRDefault="00602774" w:rsidP="00F43EF5">
      <w:pPr>
        <w:tabs>
          <w:tab w:val="left" w:pos="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INTRUCTIONS FOR HANDLING, STORAGE, AND USE</w:t>
      </w:r>
    </w:p>
    <w:p w14:paraId="3773B696" w14:textId="77777777" w:rsidR="00F43EF5" w:rsidRPr="00B23116" w:rsidRDefault="00F43EF5" w:rsidP="00F43EF5">
      <w:pPr>
        <w:tabs>
          <w:tab w:val="left" w:pos="0"/>
        </w:tabs>
        <w:jc w:val="both"/>
        <w:rPr>
          <w:sz w:val="12"/>
          <w:szCs w:val="12"/>
        </w:rPr>
      </w:pPr>
    </w:p>
    <w:p w14:paraId="6D3066CA" w14:textId="77777777" w:rsidR="009F0A04" w:rsidRDefault="00AD2168" w:rsidP="00F43EF5">
      <w:pPr>
        <w:jc w:val="both"/>
        <w:rPr>
          <w:sz w:val="20"/>
        </w:rPr>
      </w:pPr>
      <w:r>
        <w:rPr>
          <w:b/>
          <w:sz w:val="20"/>
          <w:szCs w:val="20"/>
        </w:rPr>
        <w:t>Handling</w:t>
      </w:r>
      <w:r w:rsidRPr="00935B89">
        <w:rPr>
          <w:b/>
          <w:sz w:val="20"/>
          <w:szCs w:val="20"/>
        </w:rPr>
        <w:t>:</w:t>
      </w:r>
      <w:r w:rsidRPr="00935B89">
        <w:rPr>
          <w:sz w:val="20"/>
          <w:szCs w:val="20"/>
        </w:rPr>
        <w:t xml:space="preserve">  These solutions contain</w:t>
      </w:r>
      <w:r w:rsidR="002A35F7" w:rsidRPr="00935B89">
        <w:rPr>
          <w:sz w:val="20"/>
          <w:szCs w:val="20"/>
        </w:rPr>
        <w:t xml:space="preserve"> </w:t>
      </w:r>
      <w:r w:rsidR="007D4F7C" w:rsidRPr="00935B89">
        <w:rPr>
          <w:sz w:val="20"/>
          <w:szCs w:val="20"/>
        </w:rPr>
        <w:t xml:space="preserve">methanol </w:t>
      </w:r>
      <w:r w:rsidR="002A35F7" w:rsidRPr="00935B89">
        <w:rPr>
          <w:sz w:val="20"/>
          <w:szCs w:val="20"/>
        </w:rPr>
        <w:t xml:space="preserve">and a small amount of formic acid, </w:t>
      </w:r>
      <w:r w:rsidR="007D4F7C" w:rsidRPr="00935B89">
        <w:rPr>
          <w:sz w:val="20"/>
          <w:szCs w:val="20"/>
        </w:rPr>
        <w:t>which are hazardous substances</w:t>
      </w:r>
      <w:r w:rsidRPr="00935B89">
        <w:rPr>
          <w:sz w:val="20"/>
          <w:szCs w:val="20"/>
        </w:rPr>
        <w:t>; therefore, care should be exercised during handling and use.  Use proper methods for disposal of waste.</w:t>
      </w:r>
      <w:r w:rsidR="00602774">
        <w:rPr>
          <w:sz w:val="20"/>
          <w:szCs w:val="20"/>
        </w:rPr>
        <w:t xml:space="preserve">  </w:t>
      </w:r>
      <w:r w:rsidR="00602774" w:rsidRPr="00E60B44">
        <w:rPr>
          <w:sz w:val="20"/>
        </w:rPr>
        <w:t>Th</w:t>
      </w:r>
      <w:r w:rsidR="00602774">
        <w:rPr>
          <w:sz w:val="20"/>
        </w:rPr>
        <w:t xml:space="preserve">e </w:t>
      </w:r>
      <w:r w:rsidR="00602774" w:rsidRPr="00E60B44">
        <w:rPr>
          <w:sz w:val="20"/>
        </w:rPr>
        <w:t>solution</w:t>
      </w:r>
      <w:r w:rsidR="00602774">
        <w:rPr>
          <w:sz w:val="20"/>
        </w:rPr>
        <w:t>s are</w:t>
      </w:r>
      <w:r w:rsidR="00602774" w:rsidRPr="00E60B44">
        <w:rPr>
          <w:sz w:val="20"/>
        </w:rPr>
        <w:t xml:space="preserve"> contained in tip</w:t>
      </w:r>
      <w:r w:rsidR="00602774">
        <w:rPr>
          <w:sz w:val="20"/>
        </w:rPr>
        <w:noBreakHyphen/>
      </w:r>
      <w:r w:rsidR="00602774" w:rsidRPr="00E60B44">
        <w:rPr>
          <w:sz w:val="20"/>
        </w:rPr>
        <w:t>sealed borosilicate glass ampoules with prescored stems.  Therefore, all appropriate safety precautions, including use of gloves dur</w:t>
      </w:r>
      <w:r w:rsidR="00583453">
        <w:rPr>
          <w:sz w:val="20"/>
        </w:rPr>
        <w:t>ing handling, should be taken.</w:t>
      </w:r>
    </w:p>
    <w:p w14:paraId="74E44C77" w14:textId="77777777" w:rsidR="00583453" w:rsidRPr="00B23116" w:rsidRDefault="00583453" w:rsidP="00F2738D">
      <w:pPr>
        <w:jc w:val="both"/>
        <w:rPr>
          <w:sz w:val="12"/>
          <w:szCs w:val="12"/>
        </w:rPr>
      </w:pPr>
    </w:p>
    <w:p w14:paraId="75565F72" w14:textId="77777777" w:rsidR="00AD2168" w:rsidRPr="007459B7" w:rsidRDefault="00AD2168" w:rsidP="00F2738D">
      <w:pPr>
        <w:tabs>
          <w:tab w:val="left" w:pos="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Storage:</w:t>
      </w:r>
      <w:r>
        <w:rPr>
          <w:sz w:val="20"/>
          <w:szCs w:val="20"/>
        </w:rPr>
        <w:t xml:space="preserve">  Sealed ampoules, as received, should be stored in the dark at temperatures </w:t>
      </w:r>
      <w:r w:rsidR="00C21FF9">
        <w:rPr>
          <w:sz w:val="20"/>
          <w:szCs w:val="20"/>
        </w:rPr>
        <w:t xml:space="preserve">at or below </w:t>
      </w:r>
      <w:r w:rsidR="00626F7E">
        <w:rPr>
          <w:sz w:val="20"/>
          <w:szCs w:val="20"/>
        </w:rPr>
        <w:t>–</w:t>
      </w:r>
      <w:r>
        <w:rPr>
          <w:sz w:val="20"/>
          <w:szCs w:val="20"/>
        </w:rPr>
        <w:t>20</w:t>
      </w:r>
      <w:r w:rsidR="00602774">
        <w:rPr>
          <w:sz w:val="20"/>
          <w:szCs w:val="20"/>
        </w:rPr>
        <w:t> </w:t>
      </w:r>
      <w:r>
        <w:rPr>
          <w:sz w:val="20"/>
          <w:szCs w:val="20"/>
        </w:rPr>
        <w:t>°C.</w:t>
      </w:r>
      <w:r w:rsidR="007459B7">
        <w:rPr>
          <w:sz w:val="20"/>
          <w:szCs w:val="20"/>
        </w:rPr>
        <w:t xml:space="preserve">  </w:t>
      </w:r>
      <w:r w:rsidR="007459B7" w:rsidRPr="007459B7">
        <w:rPr>
          <w:sz w:val="20"/>
          <w:szCs w:val="20"/>
        </w:rPr>
        <w:t>The</w:t>
      </w:r>
      <w:r w:rsidR="007459B7">
        <w:rPr>
          <w:sz w:val="20"/>
          <w:szCs w:val="20"/>
        </w:rPr>
        <w:t xml:space="preserve"> </w:t>
      </w:r>
      <w:r w:rsidR="00C21FF9">
        <w:rPr>
          <w:sz w:val="20"/>
          <w:szCs w:val="20"/>
        </w:rPr>
        <w:t xml:space="preserve">certified </w:t>
      </w:r>
      <w:r w:rsidR="007459B7">
        <w:rPr>
          <w:sz w:val="20"/>
          <w:szCs w:val="20"/>
        </w:rPr>
        <w:t>values do</w:t>
      </w:r>
      <w:r w:rsidR="007459B7" w:rsidRPr="007459B7">
        <w:rPr>
          <w:sz w:val="20"/>
          <w:szCs w:val="20"/>
        </w:rPr>
        <w:t xml:space="preserve"> not apply to contents of previously opened and stored </w:t>
      </w:r>
      <w:r w:rsidR="001730E9" w:rsidRPr="007459B7">
        <w:rPr>
          <w:sz w:val="20"/>
          <w:szCs w:val="20"/>
        </w:rPr>
        <w:t>ampoules,</w:t>
      </w:r>
      <w:r w:rsidR="007459B7" w:rsidRPr="007459B7">
        <w:rPr>
          <w:sz w:val="20"/>
          <w:szCs w:val="20"/>
        </w:rPr>
        <w:t xml:space="preserve"> as the stability of analytes has not</w:t>
      </w:r>
      <w:r w:rsidR="007459B7">
        <w:rPr>
          <w:sz w:val="20"/>
          <w:szCs w:val="20"/>
        </w:rPr>
        <w:t xml:space="preserve"> </w:t>
      </w:r>
      <w:r w:rsidR="007459B7" w:rsidRPr="007459B7">
        <w:rPr>
          <w:sz w:val="20"/>
          <w:szCs w:val="20"/>
        </w:rPr>
        <w:t>been investigated.</w:t>
      </w:r>
    </w:p>
    <w:p w14:paraId="0D98A01D" w14:textId="77777777" w:rsidR="00CD6632" w:rsidRPr="00B23116" w:rsidRDefault="00CD6632" w:rsidP="00F2738D">
      <w:pPr>
        <w:tabs>
          <w:tab w:val="left" w:pos="0"/>
        </w:tabs>
        <w:jc w:val="both"/>
        <w:rPr>
          <w:sz w:val="12"/>
          <w:szCs w:val="12"/>
        </w:rPr>
      </w:pPr>
    </w:p>
    <w:p w14:paraId="33432A37" w14:textId="77777777" w:rsidR="00CD6632" w:rsidRDefault="00CD6632" w:rsidP="00F2738D">
      <w:pPr>
        <w:tabs>
          <w:tab w:val="left" w:pos="0"/>
        </w:tabs>
        <w:jc w:val="both"/>
        <w:rPr>
          <w:rFonts w:eastAsia="Batang"/>
          <w:sz w:val="20"/>
          <w:szCs w:val="20"/>
          <w:lang w:eastAsia="ko-KR"/>
        </w:rPr>
      </w:pPr>
      <w:r>
        <w:rPr>
          <w:b/>
          <w:sz w:val="20"/>
          <w:szCs w:val="20"/>
        </w:rPr>
        <w:t>Use:</w:t>
      </w:r>
      <w:r>
        <w:rPr>
          <w:sz w:val="20"/>
          <w:szCs w:val="20"/>
        </w:rPr>
        <w:t xml:space="preserve">  </w:t>
      </w:r>
      <w:r w:rsidR="00D556F2">
        <w:rPr>
          <w:sz w:val="20"/>
          <w:szCs w:val="20"/>
        </w:rPr>
        <w:t>The contents of the</w:t>
      </w:r>
      <w:r w:rsidR="002A35F7">
        <w:rPr>
          <w:rFonts w:eastAsia="Batang"/>
          <w:sz w:val="20"/>
          <w:szCs w:val="20"/>
          <w:lang w:eastAsia="ko-KR"/>
        </w:rPr>
        <w:t xml:space="preserve"> ampoule should be mixed thoroughly</w:t>
      </w:r>
      <w:r w:rsidR="00D556F2">
        <w:rPr>
          <w:rFonts w:eastAsia="Batang"/>
          <w:sz w:val="20"/>
          <w:szCs w:val="20"/>
          <w:lang w:eastAsia="ko-KR"/>
        </w:rPr>
        <w:t xml:space="preserve"> prior to opening</w:t>
      </w:r>
      <w:r w:rsidR="002A35F7">
        <w:rPr>
          <w:rFonts w:eastAsia="Batang"/>
          <w:sz w:val="20"/>
          <w:szCs w:val="20"/>
          <w:lang w:eastAsia="ko-KR"/>
        </w:rPr>
        <w:t>.</w:t>
      </w:r>
      <w:r w:rsidR="00C21FF9">
        <w:rPr>
          <w:rFonts w:eastAsia="Batang"/>
          <w:sz w:val="20"/>
          <w:szCs w:val="20"/>
          <w:lang w:eastAsia="ko-KR"/>
        </w:rPr>
        <w:t xml:space="preserve"> </w:t>
      </w:r>
      <w:r w:rsidR="002A35F7">
        <w:rPr>
          <w:sz w:val="20"/>
          <w:szCs w:val="20"/>
        </w:rPr>
        <w:t xml:space="preserve"> </w:t>
      </w:r>
      <w:r w:rsidR="00626F7E">
        <w:rPr>
          <w:sz w:val="20"/>
          <w:szCs w:val="20"/>
        </w:rPr>
        <w:t>Test portions</w:t>
      </w:r>
      <w:r>
        <w:rPr>
          <w:sz w:val="20"/>
          <w:szCs w:val="20"/>
        </w:rPr>
        <w:t xml:space="preserve"> for </w:t>
      </w:r>
      <w:r w:rsidR="00626F7E">
        <w:rPr>
          <w:sz w:val="20"/>
          <w:szCs w:val="20"/>
        </w:rPr>
        <w:t>use</w:t>
      </w:r>
      <w:r>
        <w:rPr>
          <w:sz w:val="20"/>
          <w:szCs w:val="20"/>
        </w:rPr>
        <w:t xml:space="preserve"> should be </w:t>
      </w:r>
      <w:r w:rsidR="00626F7E">
        <w:rPr>
          <w:sz w:val="20"/>
          <w:szCs w:val="20"/>
        </w:rPr>
        <w:t>with</w:t>
      </w:r>
      <w:r>
        <w:rPr>
          <w:sz w:val="20"/>
          <w:szCs w:val="20"/>
        </w:rPr>
        <w:t xml:space="preserve">drawn </w:t>
      </w:r>
      <w:r w:rsidRPr="00C71BDF">
        <w:rPr>
          <w:sz w:val="20"/>
          <w:szCs w:val="20"/>
        </w:rPr>
        <w:t>immediately</w:t>
      </w:r>
      <w:r>
        <w:rPr>
          <w:sz w:val="20"/>
          <w:szCs w:val="20"/>
        </w:rPr>
        <w:t xml:space="preserve"> after opening the ampoules and should be processed</w:t>
      </w:r>
      <w:r w:rsidR="002A35F7">
        <w:rPr>
          <w:sz w:val="20"/>
          <w:szCs w:val="20"/>
        </w:rPr>
        <w:t xml:space="preserve"> </w:t>
      </w:r>
      <w:r>
        <w:rPr>
          <w:sz w:val="20"/>
          <w:szCs w:val="20"/>
        </w:rPr>
        <w:t>without delay for the certified concentration</w:t>
      </w:r>
      <w:r w:rsidR="00C21FF9">
        <w:rPr>
          <w:sz w:val="20"/>
          <w:szCs w:val="20"/>
        </w:rPr>
        <w:t>s</w:t>
      </w:r>
      <w:r>
        <w:rPr>
          <w:sz w:val="20"/>
          <w:szCs w:val="20"/>
        </w:rPr>
        <w:t xml:space="preserve"> to be valid within the stated uncertainty.  </w:t>
      </w:r>
      <w:r w:rsidR="00D556F2">
        <w:rPr>
          <w:sz w:val="20"/>
          <w:szCs w:val="20"/>
        </w:rPr>
        <w:t>Depending on the sensitivity of the analytical method being used, SRM</w:t>
      </w:r>
      <w:r w:rsidR="00602774">
        <w:rPr>
          <w:sz w:val="20"/>
          <w:szCs w:val="20"/>
        </w:rPr>
        <w:t> </w:t>
      </w:r>
      <w:r w:rsidR="00D556F2">
        <w:rPr>
          <w:sz w:val="20"/>
          <w:szCs w:val="20"/>
        </w:rPr>
        <w:t>3257 may be used as</w:t>
      </w:r>
      <w:r w:rsidR="00602774">
        <w:rPr>
          <w:sz w:val="20"/>
          <w:szCs w:val="20"/>
        </w:rPr>
        <w:noBreakHyphen/>
      </w:r>
      <w:r w:rsidR="00D556F2">
        <w:rPr>
          <w:sz w:val="20"/>
          <w:szCs w:val="20"/>
        </w:rPr>
        <w:t>is or diluted.  T</w:t>
      </w:r>
      <w:r>
        <w:rPr>
          <w:sz w:val="20"/>
          <w:szCs w:val="20"/>
        </w:rPr>
        <w:t xml:space="preserve">he certified concentration values listed in </w:t>
      </w:r>
      <w:r w:rsidR="00626F7E">
        <w:rPr>
          <w:sz w:val="20"/>
          <w:szCs w:val="20"/>
        </w:rPr>
        <w:t>Table</w:t>
      </w:r>
      <w:r w:rsidR="00583453">
        <w:rPr>
          <w:sz w:val="20"/>
          <w:szCs w:val="20"/>
        </w:rPr>
        <w:t> </w:t>
      </w:r>
      <w:r>
        <w:rPr>
          <w:sz w:val="20"/>
          <w:szCs w:val="20"/>
        </w:rPr>
        <w:t xml:space="preserve">1 apply only to aliquots removed at </w:t>
      </w:r>
      <w:r w:rsidR="00291DBD">
        <w:rPr>
          <w:sz w:val="20"/>
          <w:szCs w:val="20"/>
        </w:rPr>
        <w:t>20</w:t>
      </w:r>
      <w:r w:rsidR="00602774">
        <w:rPr>
          <w:sz w:val="20"/>
          <w:szCs w:val="20"/>
        </w:rPr>
        <w:t> </w:t>
      </w:r>
      <w:r>
        <w:rPr>
          <w:sz w:val="20"/>
          <w:szCs w:val="20"/>
        </w:rPr>
        <w:t xml:space="preserve">°C to </w:t>
      </w:r>
      <w:r w:rsidR="00291DBD">
        <w:rPr>
          <w:sz w:val="20"/>
          <w:szCs w:val="20"/>
        </w:rPr>
        <w:t>25</w:t>
      </w:r>
      <w:r w:rsidR="00602774">
        <w:rPr>
          <w:sz w:val="20"/>
          <w:szCs w:val="20"/>
        </w:rPr>
        <w:t> </w:t>
      </w:r>
      <w:r>
        <w:rPr>
          <w:sz w:val="20"/>
          <w:szCs w:val="20"/>
        </w:rPr>
        <w:t>°C.</w:t>
      </w:r>
      <w:r w:rsidR="002A35F7" w:rsidRPr="002A35F7">
        <w:rPr>
          <w:rFonts w:eastAsia="Batang"/>
          <w:sz w:val="20"/>
          <w:szCs w:val="20"/>
          <w:lang w:eastAsia="ko-KR"/>
        </w:rPr>
        <w:t xml:space="preserve"> </w:t>
      </w:r>
      <w:r w:rsidR="00C21FF9">
        <w:rPr>
          <w:rFonts w:eastAsia="Batang"/>
          <w:sz w:val="20"/>
          <w:szCs w:val="20"/>
          <w:lang w:eastAsia="ko-KR"/>
        </w:rPr>
        <w:t xml:space="preserve"> </w:t>
      </w:r>
      <w:r w:rsidR="002A35F7">
        <w:rPr>
          <w:rFonts w:eastAsia="Batang"/>
          <w:sz w:val="20"/>
          <w:szCs w:val="20"/>
          <w:lang w:eastAsia="ko-KR"/>
        </w:rPr>
        <w:t>The stability of catechins in opened ampoules has not been investigate</w:t>
      </w:r>
      <w:r w:rsidR="00C85571">
        <w:rPr>
          <w:rFonts w:eastAsia="Batang"/>
          <w:sz w:val="20"/>
          <w:szCs w:val="20"/>
          <w:lang w:eastAsia="ko-KR"/>
        </w:rPr>
        <w:t xml:space="preserve">d, but </w:t>
      </w:r>
      <w:r w:rsidR="00D556F2">
        <w:rPr>
          <w:rFonts w:eastAsia="Batang"/>
          <w:sz w:val="20"/>
          <w:szCs w:val="20"/>
          <w:lang w:eastAsia="ko-KR"/>
        </w:rPr>
        <w:t xml:space="preserve">catechins are </w:t>
      </w:r>
      <w:r w:rsidR="00C85571">
        <w:rPr>
          <w:rFonts w:eastAsia="Batang"/>
          <w:sz w:val="20"/>
          <w:szCs w:val="20"/>
          <w:lang w:eastAsia="ko-KR"/>
        </w:rPr>
        <w:t xml:space="preserve">known to be </w:t>
      </w:r>
      <w:r w:rsidR="00D556F2">
        <w:rPr>
          <w:rFonts w:eastAsia="Batang"/>
          <w:sz w:val="20"/>
          <w:szCs w:val="20"/>
          <w:lang w:eastAsia="ko-KR"/>
        </w:rPr>
        <w:t>less stable at pH values above 4</w:t>
      </w:r>
      <w:r w:rsidR="00602774">
        <w:rPr>
          <w:rFonts w:eastAsia="Batang"/>
          <w:sz w:val="20"/>
          <w:szCs w:val="20"/>
          <w:lang w:eastAsia="ko-KR"/>
        </w:rPr>
        <w:t> [4].</w:t>
      </w:r>
    </w:p>
    <w:p w14:paraId="32B743DE" w14:textId="77777777" w:rsidR="00602774" w:rsidRPr="00B23116" w:rsidRDefault="00602774" w:rsidP="00F2738D">
      <w:pPr>
        <w:jc w:val="both"/>
        <w:rPr>
          <w:sz w:val="12"/>
          <w:szCs w:val="12"/>
        </w:rPr>
      </w:pPr>
    </w:p>
    <w:p w14:paraId="3BB364DB" w14:textId="77777777" w:rsidR="00583453" w:rsidRDefault="00691105" w:rsidP="00F43EF5">
      <w:pPr>
        <w:tabs>
          <w:tab w:val="left" w:pos="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PREPARATION AND ANALYSI</w:t>
      </w:r>
      <w:r w:rsidR="00583453">
        <w:rPr>
          <w:b/>
          <w:sz w:val="20"/>
          <w:szCs w:val="20"/>
        </w:rPr>
        <w:t>S</w:t>
      </w:r>
      <w:r w:rsidR="00583453" w:rsidRPr="00583453">
        <w:rPr>
          <w:sz w:val="20"/>
          <w:szCs w:val="20"/>
          <w:vertAlign w:val="superscript"/>
        </w:rPr>
        <w:t>(</w:t>
      </w:r>
      <w:r w:rsidR="00583453">
        <w:rPr>
          <w:rStyle w:val="FootnoteReference"/>
          <w:sz w:val="20"/>
          <w:szCs w:val="20"/>
        </w:rPr>
        <w:footnoteReference w:id="1"/>
      </w:r>
      <w:r w:rsidR="00583453">
        <w:rPr>
          <w:sz w:val="20"/>
          <w:szCs w:val="20"/>
          <w:vertAlign w:val="superscript"/>
        </w:rPr>
        <w:t>)</w:t>
      </w:r>
    </w:p>
    <w:p w14:paraId="6C30EACA" w14:textId="77777777" w:rsidR="00F43EF5" w:rsidRPr="00B23116" w:rsidRDefault="00F43EF5" w:rsidP="00F43EF5">
      <w:pPr>
        <w:tabs>
          <w:tab w:val="left" w:pos="0"/>
        </w:tabs>
        <w:jc w:val="both"/>
        <w:rPr>
          <w:sz w:val="12"/>
          <w:szCs w:val="12"/>
        </w:rPr>
      </w:pPr>
    </w:p>
    <w:p w14:paraId="2BAC414B" w14:textId="77777777" w:rsidR="009F0A04" w:rsidRDefault="00691105" w:rsidP="00F2738D">
      <w:pPr>
        <w:tabs>
          <w:tab w:val="left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solutions were prepared gravimetrically at NIST from </w:t>
      </w:r>
      <w:r w:rsidR="00020B02">
        <w:rPr>
          <w:sz w:val="20"/>
          <w:szCs w:val="20"/>
        </w:rPr>
        <w:t>a solution of 30</w:t>
      </w:r>
      <w:r w:rsidR="00583453">
        <w:rPr>
          <w:sz w:val="20"/>
          <w:szCs w:val="20"/>
        </w:rPr>
        <w:t> </w:t>
      </w:r>
      <w:r w:rsidR="00020B02">
        <w:rPr>
          <w:sz w:val="20"/>
          <w:szCs w:val="20"/>
        </w:rPr>
        <w:t>% methano</w:t>
      </w:r>
      <w:r w:rsidR="004D2847">
        <w:rPr>
          <w:sz w:val="20"/>
          <w:szCs w:val="20"/>
        </w:rPr>
        <w:t>l</w:t>
      </w:r>
      <w:r w:rsidR="00020B02">
        <w:rPr>
          <w:sz w:val="20"/>
          <w:szCs w:val="20"/>
        </w:rPr>
        <w:t>, 70</w:t>
      </w:r>
      <w:r w:rsidR="00583453">
        <w:rPr>
          <w:sz w:val="20"/>
          <w:szCs w:val="20"/>
        </w:rPr>
        <w:t> </w:t>
      </w:r>
      <w:r w:rsidR="00020B02">
        <w:rPr>
          <w:sz w:val="20"/>
          <w:szCs w:val="20"/>
        </w:rPr>
        <w:t>% water, and 0.05</w:t>
      </w:r>
      <w:r w:rsidR="00583453">
        <w:rPr>
          <w:sz w:val="20"/>
          <w:szCs w:val="20"/>
        </w:rPr>
        <w:t> </w:t>
      </w:r>
      <w:r w:rsidR="00020B02">
        <w:rPr>
          <w:sz w:val="20"/>
          <w:szCs w:val="20"/>
        </w:rPr>
        <w:t>% formic acid (volume fractions)</w:t>
      </w:r>
      <w:r w:rsidR="00CD682F">
        <w:rPr>
          <w:sz w:val="20"/>
          <w:szCs w:val="20"/>
        </w:rPr>
        <w:t xml:space="preserve"> and </w:t>
      </w:r>
      <w:r>
        <w:rPr>
          <w:sz w:val="20"/>
          <w:szCs w:val="20"/>
        </w:rPr>
        <w:t xml:space="preserve">primary standards for </w:t>
      </w:r>
      <w:r w:rsidR="00020B02">
        <w:rPr>
          <w:sz w:val="20"/>
          <w:szCs w:val="20"/>
        </w:rPr>
        <w:t xml:space="preserve">the catechins </w:t>
      </w:r>
      <w:r>
        <w:rPr>
          <w:sz w:val="20"/>
          <w:szCs w:val="20"/>
        </w:rPr>
        <w:t xml:space="preserve">obtained from </w:t>
      </w:r>
      <w:r w:rsidR="00020B02">
        <w:rPr>
          <w:sz w:val="20"/>
          <w:szCs w:val="20"/>
        </w:rPr>
        <w:t>Blaze Science Industries</w:t>
      </w:r>
      <w:r>
        <w:rPr>
          <w:sz w:val="20"/>
          <w:szCs w:val="20"/>
        </w:rPr>
        <w:t xml:space="preserve"> (</w:t>
      </w:r>
      <w:r w:rsidR="00020B02">
        <w:rPr>
          <w:sz w:val="20"/>
          <w:szCs w:val="20"/>
        </w:rPr>
        <w:t>Lawndale,</w:t>
      </w:r>
      <w:r w:rsidR="00583453">
        <w:rPr>
          <w:sz w:val="20"/>
          <w:szCs w:val="20"/>
        </w:rPr>
        <w:t> </w:t>
      </w:r>
      <w:r w:rsidR="00020B02">
        <w:rPr>
          <w:sz w:val="20"/>
          <w:szCs w:val="20"/>
        </w:rPr>
        <w:t>CA</w:t>
      </w:r>
      <w:r>
        <w:rPr>
          <w:sz w:val="20"/>
          <w:szCs w:val="20"/>
        </w:rPr>
        <w:t>).</w:t>
      </w:r>
      <w:r w:rsidR="00CD682F">
        <w:rPr>
          <w:sz w:val="20"/>
          <w:szCs w:val="20"/>
        </w:rPr>
        <w:t xml:space="preserve">  </w:t>
      </w:r>
      <w:r w:rsidR="00020B02">
        <w:rPr>
          <w:sz w:val="20"/>
          <w:szCs w:val="20"/>
        </w:rPr>
        <w:t>After preparation, t</w:t>
      </w:r>
      <w:r w:rsidR="00CD682F">
        <w:rPr>
          <w:sz w:val="20"/>
          <w:szCs w:val="20"/>
        </w:rPr>
        <w:t xml:space="preserve">he solutions were </w:t>
      </w:r>
      <w:r w:rsidR="00020B02">
        <w:rPr>
          <w:sz w:val="20"/>
          <w:szCs w:val="20"/>
        </w:rPr>
        <w:t xml:space="preserve">mixed </w:t>
      </w:r>
      <w:r w:rsidR="007479E8">
        <w:rPr>
          <w:sz w:val="20"/>
          <w:szCs w:val="20"/>
        </w:rPr>
        <w:t>for 60</w:t>
      </w:r>
      <w:r w:rsidR="00583453">
        <w:rPr>
          <w:sz w:val="20"/>
          <w:szCs w:val="20"/>
        </w:rPr>
        <w:t> </w:t>
      </w:r>
      <w:r w:rsidR="00291DBD">
        <w:rPr>
          <w:sz w:val="20"/>
          <w:szCs w:val="20"/>
        </w:rPr>
        <w:t>min</w:t>
      </w:r>
      <w:r w:rsidR="007479E8">
        <w:rPr>
          <w:sz w:val="20"/>
          <w:szCs w:val="20"/>
        </w:rPr>
        <w:t xml:space="preserve"> to 120</w:t>
      </w:r>
      <w:r w:rsidR="00583453">
        <w:rPr>
          <w:sz w:val="20"/>
          <w:szCs w:val="20"/>
        </w:rPr>
        <w:t> </w:t>
      </w:r>
      <w:r w:rsidR="007479E8">
        <w:rPr>
          <w:sz w:val="20"/>
          <w:szCs w:val="20"/>
        </w:rPr>
        <w:t>min</w:t>
      </w:r>
      <w:r w:rsidR="00020B02">
        <w:rPr>
          <w:sz w:val="20"/>
          <w:szCs w:val="20"/>
        </w:rPr>
        <w:t xml:space="preserve"> </w:t>
      </w:r>
      <w:r w:rsidR="004C53A5">
        <w:rPr>
          <w:sz w:val="20"/>
          <w:szCs w:val="20"/>
        </w:rPr>
        <w:t>and then</w:t>
      </w:r>
      <w:r w:rsidR="00020B02">
        <w:rPr>
          <w:sz w:val="20"/>
          <w:szCs w:val="20"/>
        </w:rPr>
        <w:t xml:space="preserve"> stored at </w:t>
      </w:r>
      <w:r w:rsidR="002A5860">
        <w:rPr>
          <w:sz w:val="20"/>
          <w:szCs w:val="20"/>
        </w:rPr>
        <w:t>–</w:t>
      </w:r>
      <w:r w:rsidR="00020B02">
        <w:rPr>
          <w:sz w:val="20"/>
          <w:szCs w:val="20"/>
        </w:rPr>
        <w:t>20</w:t>
      </w:r>
      <w:r w:rsidR="002A5860">
        <w:rPr>
          <w:sz w:val="20"/>
          <w:szCs w:val="20"/>
        </w:rPr>
        <w:t xml:space="preserve"> °C </w:t>
      </w:r>
      <w:r w:rsidR="00CD682F">
        <w:rPr>
          <w:sz w:val="20"/>
          <w:szCs w:val="20"/>
        </w:rPr>
        <w:t>overnight</w:t>
      </w:r>
      <w:r w:rsidR="00020B02">
        <w:rPr>
          <w:sz w:val="20"/>
          <w:szCs w:val="20"/>
        </w:rPr>
        <w:t xml:space="preserve">.  The following morning </w:t>
      </w:r>
      <w:r w:rsidR="007479E8">
        <w:rPr>
          <w:sz w:val="20"/>
          <w:szCs w:val="20"/>
        </w:rPr>
        <w:t>the solutions</w:t>
      </w:r>
      <w:r w:rsidR="00020B02">
        <w:rPr>
          <w:sz w:val="20"/>
          <w:szCs w:val="20"/>
        </w:rPr>
        <w:t xml:space="preserve"> were removed from the freezer, stirred for an additional </w:t>
      </w:r>
      <w:r w:rsidR="007479E8">
        <w:rPr>
          <w:sz w:val="20"/>
          <w:szCs w:val="20"/>
        </w:rPr>
        <w:t>20</w:t>
      </w:r>
      <w:r w:rsidR="00583453">
        <w:rPr>
          <w:sz w:val="20"/>
          <w:szCs w:val="20"/>
        </w:rPr>
        <w:t> </w:t>
      </w:r>
      <w:r w:rsidR="00291DBD">
        <w:rPr>
          <w:sz w:val="20"/>
          <w:szCs w:val="20"/>
        </w:rPr>
        <w:t>min</w:t>
      </w:r>
      <w:r w:rsidR="007479E8">
        <w:rPr>
          <w:sz w:val="20"/>
          <w:szCs w:val="20"/>
        </w:rPr>
        <w:t xml:space="preserve"> to 70</w:t>
      </w:r>
      <w:r w:rsidR="00583453">
        <w:rPr>
          <w:sz w:val="20"/>
          <w:szCs w:val="20"/>
        </w:rPr>
        <w:t> </w:t>
      </w:r>
      <w:r w:rsidR="007479E8">
        <w:rPr>
          <w:sz w:val="20"/>
          <w:szCs w:val="20"/>
        </w:rPr>
        <w:t>min</w:t>
      </w:r>
      <w:r w:rsidR="00020B02">
        <w:rPr>
          <w:sz w:val="20"/>
          <w:szCs w:val="20"/>
        </w:rPr>
        <w:t xml:space="preserve">, chilled </w:t>
      </w:r>
      <w:r w:rsidR="002A5860">
        <w:rPr>
          <w:sz w:val="20"/>
          <w:szCs w:val="20"/>
        </w:rPr>
        <w:t xml:space="preserve">on </w:t>
      </w:r>
      <w:r w:rsidR="00CD682F">
        <w:rPr>
          <w:sz w:val="20"/>
          <w:szCs w:val="20"/>
        </w:rPr>
        <w:t xml:space="preserve">ice, and aliquoted </w:t>
      </w:r>
      <w:r w:rsidR="00626F7E">
        <w:rPr>
          <w:sz w:val="20"/>
          <w:szCs w:val="20"/>
        </w:rPr>
        <w:t xml:space="preserve">into </w:t>
      </w:r>
      <w:r w:rsidR="00CD682F">
        <w:rPr>
          <w:sz w:val="20"/>
          <w:szCs w:val="20"/>
        </w:rPr>
        <w:t>2</w:t>
      </w:r>
      <w:r w:rsidR="00583453">
        <w:rPr>
          <w:sz w:val="20"/>
          <w:szCs w:val="20"/>
        </w:rPr>
        <w:t> </w:t>
      </w:r>
      <w:r w:rsidR="00CD682F">
        <w:rPr>
          <w:sz w:val="20"/>
          <w:szCs w:val="20"/>
        </w:rPr>
        <w:t xml:space="preserve">mL amber glass ampoules that had been purged with argon prior to addition of the solution.  The </w:t>
      </w:r>
      <w:r w:rsidR="00EF34BE">
        <w:rPr>
          <w:sz w:val="20"/>
          <w:szCs w:val="20"/>
        </w:rPr>
        <w:t>ampoules</w:t>
      </w:r>
      <w:r w:rsidR="00CD682F">
        <w:rPr>
          <w:sz w:val="20"/>
          <w:szCs w:val="20"/>
        </w:rPr>
        <w:t xml:space="preserve"> were then flame</w:t>
      </w:r>
      <w:r w:rsidR="00583453">
        <w:rPr>
          <w:sz w:val="20"/>
          <w:szCs w:val="20"/>
        </w:rPr>
        <w:noBreakHyphen/>
      </w:r>
      <w:r w:rsidR="00CD682F">
        <w:rPr>
          <w:sz w:val="20"/>
          <w:szCs w:val="20"/>
        </w:rPr>
        <w:t>sealed.</w:t>
      </w:r>
      <w:r w:rsidR="00EF34BE">
        <w:rPr>
          <w:sz w:val="20"/>
          <w:szCs w:val="20"/>
        </w:rPr>
        <w:t xml:space="preserve">  The masses of the standards and the total mass</w:t>
      </w:r>
      <w:r w:rsidR="00D1462F">
        <w:rPr>
          <w:sz w:val="20"/>
          <w:szCs w:val="20"/>
        </w:rPr>
        <w:t>es</w:t>
      </w:r>
      <w:r w:rsidR="00EF34BE">
        <w:rPr>
          <w:sz w:val="20"/>
          <w:szCs w:val="20"/>
        </w:rPr>
        <w:t xml:space="preserve"> of the solutions were used to calculate the gravimetric concentrations.  The concentrations were adjusted for the purity estimates of the primary standards, which were determined using </w:t>
      </w:r>
      <w:r w:rsidR="00583453">
        <w:rPr>
          <w:sz w:val="20"/>
          <w:szCs w:val="20"/>
        </w:rPr>
        <w:t>LC</w:t>
      </w:r>
      <w:r w:rsidR="00583453">
        <w:rPr>
          <w:sz w:val="20"/>
          <w:szCs w:val="20"/>
        </w:rPr>
        <w:noBreakHyphen/>
        <w:t>UV</w:t>
      </w:r>
      <w:r w:rsidR="00EF34BE">
        <w:rPr>
          <w:sz w:val="20"/>
          <w:szCs w:val="20"/>
        </w:rPr>
        <w:t xml:space="preserve"> and </w:t>
      </w:r>
      <w:r w:rsidR="001A1D1B">
        <w:rPr>
          <w:sz w:val="20"/>
          <w:szCs w:val="20"/>
        </w:rPr>
        <w:t>Karl Fischer titration</w:t>
      </w:r>
      <w:r w:rsidR="00EF34BE">
        <w:rPr>
          <w:sz w:val="20"/>
          <w:szCs w:val="20"/>
        </w:rPr>
        <w:t>.</w:t>
      </w:r>
    </w:p>
    <w:p w14:paraId="0A51A21B" w14:textId="77777777" w:rsidR="00E878EA" w:rsidRPr="00B23116" w:rsidRDefault="00E878EA" w:rsidP="00F2738D">
      <w:pPr>
        <w:tabs>
          <w:tab w:val="left" w:pos="0"/>
        </w:tabs>
        <w:jc w:val="both"/>
        <w:rPr>
          <w:sz w:val="12"/>
          <w:szCs w:val="12"/>
        </w:rPr>
      </w:pPr>
    </w:p>
    <w:p w14:paraId="78C4A0B3" w14:textId="77777777" w:rsidR="00E878EA" w:rsidRDefault="00E878EA" w:rsidP="00F2738D">
      <w:pPr>
        <w:tabs>
          <w:tab w:val="left" w:pos="0"/>
        </w:tabs>
        <w:jc w:val="both"/>
        <w:rPr>
          <w:sz w:val="20"/>
          <w:szCs w:val="20"/>
        </w:rPr>
      </w:pPr>
      <w:r>
        <w:rPr>
          <w:sz w:val="20"/>
          <w:szCs w:val="20"/>
        </w:rPr>
        <w:t>Aliquots from 1</w:t>
      </w:r>
      <w:r w:rsidR="003976C2">
        <w:rPr>
          <w:sz w:val="20"/>
          <w:szCs w:val="20"/>
        </w:rPr>
        <w:t>0</w:t>
      </w:r>
      <w:r w:rsidR="00583453">
        <w:rPr>
          <w:sz w:val="20"/>
          <w:szCs w:val="20"/>
        </w:rPr>
        <w:t> </w:t>
      </w:r>
      <w:r>
        <w:rPr>
          <w:sz w:val="20"/>
          <w:szCs w:val="20"/>
        </w:rPr>
        <w:t xml:space="preserve">ampoules, selected using a </w:t>
      </w:r>
      <w:r w:rsidR="00626F7E">
        <w:rPr>
          <w:sz w:val="20"/>
          <w:szCs w:val="20"/>
        </w:rPr>
        <w:t>stratified random</w:t>
      </w:r>
      <w:r>
        <w:rPr>
          <w:sz w:val="20"/>
          <w:szCs w:val="20"/>
        </w:rPr>
        <w:t xml:space="preserve"> sampling scheme, wer</w:t>
      </w:r>
      <w:r w:rsidR="005642DF">
        <w:rPr>
          <w:sz w:val="20"/>
          <w:szCs w:val="20"/>
        </w:rPr>
        <w:t xml:space="preserve">e analyzed using </w:t>
      </w:r>
      <w:r w:rsidR="00583453">
        <w:rPr>
          <w:sz w:val="20"/>
          <w:szCs w:val="20"/>
        </w:rPr>
        <w:t>LC</w:t>
      </w:r>
      <w:r w:rsidR="00583453">
        <w:rPr>
          <w:sz w:val="20"/>
          <w:szCs w:val="20"/>
        </w:rPr>
        <w:noBreakHyphen/>
        <w:t>UV</w:t>
      </w:r>
      <w:r w:rsidR="003976C2">
        <w:rPr>
          <w:sz w:val="20"/>
          <w:szCs w:val="20"/>
        </w:rPr>
        <w:t xml:space="preserve"> and a </w:t>
      </w:r>
      <w:r w:rsidR="005642DF">
        <w:rPr>
          <w:sz w:val="20"/>
          <w:szCs w:val="20"/>
        </w:rPr>
        <w:t>C</w:t>
      </w:r>
      <w:r w:rsidR="005642DF">
        <w:rPr>
          <w:sz w:val="20"/>
          <w:szCs w:val="20"/>
          <w:vertAlign w:val="subscript"/>
        </w:rPr>
        <w:t>18</w:t>
      </w:r>
      <w:r w:rsidR="003976C2">
        <w:rPr>
          <w:sz w:val="20"/>
          <w:szCs w:val="20"/>
        </w:rPr>
        <w:t xml:space="preserve"> </w:t>
      </w:r>
      <w:r>
        <w:rPr>
          <w:sz w:val="20"/>
          <w:szCs w:val="20"/>
        </w:rPr>
        <w:t>column</w:t>
      </w:r>
      <w:r w:rsidR="00F50548">
        <w:rPr>
          <w:sz w:val="20"/>
          <w:szCs w:val="20"/>
        </w:rPr>
        <w:t>.</w:t>
      </w:r>
      <w:r w:rsidR="003976C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3976C2">
        <w:rPr>
          <w:sz w:val="20"/>
          <w:szCs w:val="20"/>
        </w:rPr>
        <w:t>Three</w:t>
      </w:r>
      <w:r w:rsidR="00F71F2F">
        <w:rPr>
          <w:sz w:val="20"/>
          <w:szCs w:val="20"/>
        </w:rPr>
        <w:t xml:space="preserve"> independent</w:t>
      </w:r>
      <w:r>
        <w:rPr>
          <w:sz w:val="20"/>
          <w:szCs w:val="20"/>
        </w:rPr>
        <w:t xml:space="preserve"> calibration solutions </w:t>
      </w:r>
      <w:r w:rsidR="003976C2">
        <w:rPr>
          <w:sz w:val="20"/>
          <w:szCs w:val="20"/>
        </w:rPr>
        <w:t>were gravimetrically prepared</w:t>
      </w:r>
      <w:r w:rsidR="00F71F2F">
        <w:rPr>
          <w:sz w:val="20"/>
          <w:szCs w:val="20"/>
        </w:rPr>
        <w:t xml:space="preserve"> with catechin concentrations that </w:t>
      </w:r>
      <w:r w:rsidR="001730E9">
        <w:rPr>
          <w:sz w:val="20"/>
          <w:szCs w:val="20"/>
        </w:rPr>
        <w:t>represent</w:t>
      </w:r>
      <w:r w:rsidR="00F71F2F">
        <w:rPr>
          <w:sz w:val="20"/>
          <w:szCs w:val="20"/>
        </w:rPr>
        <w:t xml:space="preserve"> the levels in each of the three SRM</w:t>
      </w:r>
      <w:r w:rsidR="00583453">
        <w:rPr>
          <w:sz w:val="20"/>
          <w:szCs w:val="20"/>
        </w:rPr>
        <w:t> </w:t>
      </w:r>
      <w:r w:rsidR="00F71F2F">
        <w:rPr>
          <w:sz w:val="20"/>
          <w:szCs w:val="20"/>
        </w:rPr>
        <w:t xml:space="preserve">3257 solutions and were used </w:t>
      </w:r>
      <w:r w:rsidR="00EC40FD">
        <w:rPr>
          <w:sz w:val="20"/>
          <w:szCs w:val="20"/>
        </w:rPr>
        <w:t xml:space="preserve">as external standards </w:t>
      </w:r>
      <w:r w:rsidR="00F71F2F">
        <w:rPr>
          <w:sz w:val="20"/>
          <w:szCs w:val="20"/>
        </w:rPr>
        <w:t xml:space="preserve">for quantitation.  </w:t>
      </w:r>
      <w:r w:rsidR="00661A21">
        <w:rPr>
          <w:sz w:val="20"/>
          <w:szCs w:val="20"/>
        </w:rPr>
        <w:t>Representative chromatograms and the</w:t>
      </w:r>
      <w:r w:rsidR="00974199">
        <w:rPr>
          <w:sz w:val="20"/>
          <w:szCs w:val="20"/>
        </w:rPr>
        <w:t xml:space="preserve"> separation conditions are presented</w:t>
      </w:r>
      <w:r w:rsidR="00F71F2F">
        <w:rPr>
          <w:sz w:val="20"/>
          <w:szCs w:val="20"/>
        </w:rPr>
        <w:t xml:space="preserve"> in Figure</w:t>
      </w:r>
      <w:r w:rsidR="00583453">
        <w:rPr>
          <w:sz w:val="20"/>
          <w:szCs w:val="20"/>
        </w:rPr>
        <w:t> </w:t>
      </w:r>
      <w:r w:rsidR="0040554B">
        <w:rPr>
          <w:sz w:val="20"/>
          <w:szCs w:val="20"/>
        </w:rPr>
        <w:t>1.</w:t>
      </w:r>
    </w:p>
    <w:p w14:paraId="2A55EA64" w14:textId="77777777" w:rsidR="00C75C7C" w:rsidRPr="00B23116" w:rsidRDefault="00C75C7C" w:rsidP="00F2738D">
      <w:pPr>
        <w:rPr>
          <w:sz w:val="12"/>
          <w:szCs w:val="12"/>
        </w:rPr>
      </w:pPr>
    </w:p>
    <w:p w14:paraId="3D0DBF71" w14:textId="77777777" w:rsidR="00BC5308" w:rsidRPr="009C2D3E" w:rsidRDefault="00BC5308" w:rsidP="00F2738D">
      <w:pPr>
        <w:tabs>
          <w:tab w:val="left" w:pos="0"/>
        </w:tabs>
        <w:jc w:val="both"/>
        <w:rPr>
          <w:sz w:val="20"/>
          <w:szCs w:val="20"/>
        </w:rPr>
      </w:pPr>
      <w:r w:rsidRPr="009C2D3E">
        <w:rPr>
          <w:b/>
          <w:sz w:val="20"/>
          <w:szCs w:val="20"/>
        </w:rPr>
        <w:t>Certified Value Assignment</w:t>
      </w:r>
      <w:r>
        <w:rPr>
          <w:sz w:val="20"/>
          <w:szCs w:val="20"/>
        </w:rPr>
        <w:t xml:space="preserve">: </w:t>
      </w:r>
      <w:r w:rsidRPr="00C75C7C">
        <w:rPr>
          <w:sz w:val="20"/>
          <w:szCs w:val="20"/>
        </w:rPr>
        <w:t xml:space="preserve"> </w:t>
      </w:r>
      <w:r w:rsidRPr="009C2D3E">
        <w:rPr>
          <w:sz w:val="20"/>
          <w:szCs w:val="20"/>
        </w:rPr>
        <w:t>Certified values are unweighted means of concentrations determined by gravimetric preparation and chromatographic measurements.</w:t>
      </w:r>
      <w:r>
        <w:rPr>
          <w:sz w:val="20"/>
          <w:szCs w:val="20"/>
        </w:rPr>
        <w:t xml:space="preserve">  </w:t>
      </w:r>
      <w:r w:rsidRPr="009C2D3E">
        <w:rPr>
          <w:sz w:val="20"/>
          <w:szCs w:val="20"/>
        </w:rPr>
        <w:t>The uncertainty provided with each value is an expanded uncertainty about the mean to cover the measurand with approximately 95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% confidence</w:t>
      </w:r>
      <w:r>
        <w:rPr>
          <w:sz w:val="20"/>
          <w:szCs w:val="20"/>
        </w:rPr>
        <w:t>;</w:t>
      </w:r>
      <w:r w:rsidRPr="009C2D3E">
        <w:rPr>
          <w:sz w:val="20"/>
          <w:szCs w:val="20"/>
        </w:rPr>
        <w:t xml:space="preserve"> it incorporates Type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B uncertainty components related to purity determination</w:t>
      </w:r>
      <w:r>
        <w:rPr>
          <w:sz w:val="20"/>
          <w:szCs w:val="20"/>
        </w:rPr>
        <w:t>,</w:t>
      </w:r>
      <w:r w:rsidRPr="009C2D3E">
        <w:rPr>
          <w:sz w:val="20"/>
          <w:szCs w:val="20"/>
        </w:rPr>
        <w:t xml:space="preserve"> components related to density</w:t>
      </w:r>
      <w:r>
        <w:rPr>
          <w:sz w:val="20"/>
          <w:szCs w:val="20"/>
        </w:rPr>
        <w:t xml:space="preserve"> (</w:t>
      </w:r>
      <w:r w:rsidRPr="009C2D3E">
        <w:rPr>
          <w:sz w:val="20"/>
          <w:szCs w:val="20"/>
        </w:rPr>
        <w:t>for concentration results</w:t>
      </w:r>
      <w:r>
        <w:rPr>
          <w:sz w:val="20"/>
          <w:szCs w:val="20"/>
        </w:rPr>
        <w:t>),</w:t>
      </w:r>
      <w:r w:rsidRPr="009C2D3E">
        <w:rPr>
          <w:sz w:val="20"/>
          <w:szCs w:val="20"/>
        </w:rPr>
        <w:t xml:space="preserve"> and expresses both the observed difference between the results from the methods and their respective uncertainties, consistent with the ISO</w:t>
      </w:r>
      <w:r w:rsidR="00F43EF5">
        <w:rPr>
          <w:sz w:val="20"/>
          <w:szCs w:val="20"/>
        </w:rPr>
        <w:t>/JCGM</w:t>
      </w:r>
      <w:r w:rsidRPr="009C2D3E">
        <w:rPr>
          <w:sz w:val="20"/>
          <w:szCs w:val="20"/>
        </w:rPr>
        <w:t xml:space="preserve"> Guide and its Supplement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1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[5</w:t>
      </w:r>
      <w:r>
        <w:rPr>
          <w:sz w:val="20"/>
          <w:szCs w:val="20"/>
        </w:rPr>
        <w:t>–</w:t>
      </w:r>
      <w:r w:rsidRPr="009C2D3E">
        <w:rPr>
          <w:sz w:val="20"/>
          <w:szCs w:val="20"/>
        </w:rPr>
        <w:t>7].</w:t>
      </w:r>
      <w:r>
        <w:rPr>
          <w:sz w:val="20"/>
          <w:szCs w:val="20"/>
        </w:rPr>
        <w:t xml:space="preserve">  T</w:t>
      </w:r>
      <w:r w:rsidRPr="009C2D3E">
        <w:rPr>
          <w:sz w:val="20"/>
          <w:szCs w:val="20"/>
        </w:rPr>
        <w:t xml:space="preserve">he expanded uncertainty is calculated as </w:t>
      </w:r>
      <w:r w:rsidRPr="009C2D3E">
        <w:rPr>
          <w:i/>
          <w:sz w:val="20"/>
          <w:szCs w:val="20"/>
        </w:rPr>
        <w:t>U</w:t>
      </w:r>
      <w:r>
        <w:rPr>
          <w:i/>
          <w:sz w:val="20"/>
          <w:szCs w:val="20"/>
        </w:rPr>
        <w:t> </w:t>
      </w:r>
      <w:r w:rsidRPr="009C2D3E">
        <w:rPr>
          <w:i/>
          <w:sz w:val="20"/>
          <w:szCs w:val="20"/>
        </w:rPr>
        <w:t>=</w:t>
      </w:r>
      <w:r>
        <w:rPr>
          <w:i/>
          <w:sz w:val="20"/>
          <w:szCs w:val="20"/>
        </w:rPr>
        <w:t> </w:t>
      </w:r>
      <w:r w:rsidRPr="009C2D3E">
        <w:rPr>
          <w:i/>
          <w:sz w:val="20"/>
          <w:szCs w:val="20"/>
        </w:rPr>
        <w:t>ku</w:t>
      </w:r>
      <w:r w:rsidRPr="00C75C7C">
        <w:rPr>
          <w:sz w:val="20"/>
          <w:szCs w:val="20"/>
          <w:vertAlign w:val="subscript"/>
        </w:rPr>
        <w:t>c</w:t>
      </w:r>
      <w:r w:rsidRPr="009C2D3E">
        <w:rPr>
          <w:sz w:val="20"/>
          <w:szCs w:val="20"/>
        </w:rPr>
        <w:t xml:space="preserve">, where </w:t>
      </w:r>
      <w:r w:rsidRPr="009C2D3E">
        <w:rPr>
          <w:i/>
          <w:sz w:val="20"/>
          <w:szCs w:val="20"/>
        </w:rPr>
        <w:t>u</w:t>
      </w:r>
      <w:r w:rsidRPr="00C75C7C">
        <w:rPr>
          <w:sz w:val="20"/>
          <w:szCs w:val="20"/>
          <w:vertAlign w:val="subscript"/>
        </w:rPr>
        <w:t>c</w:t>
      </w:r>
      <w:r w:rsidRPr="009C2D3E">
        <w:rPr>
          <w:sz w:val="20"/>
          <w:szCs w:val="20"/>
        </w:rPr>
        <w:t xml:space="preserve"> is the combined uncertainty, and </w:t>
      </w:r>
      <w:r w:rsidRPr="009C2D3E">
        <w:rPr>
          <w:i/>
          <w:sz w:val="20"/>
          <w:szCs w:val="20"/>
        </w:rPr>
        <w:t>k</w:t>
      </w:r>
      <w:r w:rsidRPr="009C2D3E">
        <w:rPr>
          <w:sz w:val="20"/>
          <w:szCs w:val="20"/>
        </w:rPr>
        <w:t xml:space="preserve"> is a coverage factor corresponding to approximately 95</w:t>
      </w:r>
      <w:r>
        <w:rPr>
          <w:sz w:val="20"/>
          <w:szCs w:val="20"/>
        </w:rPr>
        <w:t xml:space="preserve"> </w:t>
      </w:r>
      <w:r w:rsidRPr="009C2D3E">
        <w:rPr>
          <w:sz w:val="20"/>
          <w:szCs w:val="20"/>
        </w:rPr>
        <w:t>% confidence for each analyte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 xml:space="preserve">[5].  For all measurands, </w:t>
      </w:r>
      <w:r w:rsidRPr="009C2D3E">
        <w:rPr>
          <w:i/>
          <w:sz w:val="20"/>
          <w:szCs w:val="20"/>
        </w:rPr>
        <w:t>k</w:t>
      </w:r>
      <w:r>
        <w:rPr>
          <w:i/>
          <w:sz w:val="20"/>
          <w:szCs w:val="20"/>
        </w:rPr>
        <w:t> </w:t>
      </w:r>
      <w:r w:rsidRPr="009C2D3E">
        <w:rPr>
          <w:sz w:val="20"/>
          <w:szCs w:val="20"/>
        </w:rPr>
        <w:t>=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2.</w:t>
      </w:r>
      <w:r>
        <w:rPr>
          <w:sz w:val="20"/>
          <w:szCs w:val="20"/>
        </w:rPr>
        <w:t xml:space="preserve">  </w:t>
      </w:r>
      <w:r w:rsidRPr="009C2D3E">
        <w:rPr>
          <w:sz w:val="20"/>
          <w:szCs w:val="20"/>
        </w:rPr>
        <w:t xml:space="preserve">The </w:t>
      </w:r>
      <w:r w:rsidR="00B23116">
        <w:rPr>
          <w:sz w:val="20"/>
          <w:szCs w:val="20"/>
        </w:rPr>
        <w:t>mass</w:t>
      </w:r>
      <w:r>
        <w:rPr>
          <w:sz w:val="20"/>
          <w:szCs w:val="20"/>
        </w:rPr>
        <w:t xml:space="preserve"> concentrations </w:t>
      </w:r>
      <w:r w:rsidRPr="009C2D3E">
        <w:rPr>
          <w:sz w:val="20"/>
          <w:szCs w:val="20"/>
        </w:rPr>
        <w:t>(</w:t>
      </w:r>
      <w:r w:rsidR="0043553C">
        <w:rPr>
          <w:sz w:val="20"/>
          <w:szCs w:val="20"/>
        </w:rPr>
        <w:t>micrograms per milliliter</w:t>
      </w:r>
      <w:r w:rsidRPr="009C2D3E">
        <w:rPr>
          <w:sz w:val="20"/>
          <w:szCs w:val="20"/>
        </w:rPr>
        <w:t>) were obtained by multiplying the certified values in mass fraction units by the density of the solvent at 22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°C (0.9596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g/mL).  These concentrations are for use in the temperature range of 20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°C to 25</w:t>
      </w:r>
      <w:r>
        <w:rPr>
          <w:sz w:val="20"/>
          <w:szCs w:val="20"/>
        </w:rPr>
        <w:t> </w:t>
      </w:r>
      <w:r w:rsidRPr="009C2D3E">
        <w:rPr>
          <w:sz w:val="20"/>
          <w:szCs w:val="20"/>
        </w:rPr>
        <w:t>°C.</w:t>
      </w:r>
    </w:p>
    <w:p w14:paraId="537625F8" w14:textId="77777777" w:rsidR="00BC5308" w:rsidRPr="00B23116" w:rsidRDefault="00BC5308" w:rsidP="00F2738D">
      <w:pPr>
        <w:tabs>
          <w:tab w:val="left" w:pos="0"/>
        </w:tabs>
        <w:jc w:val="both"/>
        <w:rPr>
          <w:sz w:val="12"/>
          <w:szCs w:val="12"/>
        </w:rPr>
      </w:pPr>
    </w:p>
    <w:p w14:paraId="769B85B7" w14:textId="77777777" w:rsidR="00BC5308" w:rsidRDefault="00BC5308" w:rsidP="00F2738D">
      <w:pPr>
        <w:tabs>
          <w:tab w:val="left" w:pos="0"/>
        </w:tabs>
        <w:jc w:val="center"/>
        <w:rPr>
          <w:sz w:val="20"/>
          <w:szCs w:val="20"/>
        </w:rPr>
      </w:pPr>
      <w:r>
        <w:rPr>
          <w:sz w:val="20"/>
          <w:szCs w:val="20"/>
        </w:rPr>
        <w:t>Table 1.  Certified Values for Catechins in SRM 3257</w:t>
      </w:r>
    </w:p>
    <w:p w14:paraId="4765A987" w14:textId="77777777" w:rsidR="00BC5308" w:rsidRPr="00580620" w:rsidRDefault="00BC5308" w:rsidP="00F2738D">
      <w:pPr>
        <w:tabs>
          <w:tab w:val="left" w:pos="0"/>
        </w:tabs>
        <w:jc w:val="center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3120"/>
        <w:gridCol w:w="3119"/>
      </w:tblGrid>
      <w:tr w:rsidR="00BC5308" w14:paraId="0ACA5A9A" w14:textId="77777777" w:rsidTr="00BC5308">
        <w:trPr>
          <w:trHeight w:val="504"/>
        </w:trPr>
        <w:tc>
          <w:tcPr>
            <w:tcW w:w="3192" w:type="dxa"/>
          </w:tcPr>
          <w:p w14:paraId="22257730" w14:textId="77777777" w:rsidR="00BC5308" w:rsidRDefault="00BC5308" w:rsidP="00F2738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125A296F" w14:textId="77777777" w:rsidR="00BC5308" w:rsidRDefault="00BC5308" w:rsidP="00F2738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 Fraction</w:t>
            </w:r>
          </w:p>
          <w:p w14:paraId="27F43542" w14:textId="77777777" w:rsidR="00BC5308" w:rsidRDefault="00BC5308" w:rsidP="00F2738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fi-FI"/>
              </w:rPr>
              <w:t>µ</w:t>
            </w:r>
            <w:r w:rsidRPr="004D2CB3">
              <w:rPr>
                <w:sz w:val="20"/>
                <w:szCs w:val="20"/>
                <w:lang w:val="fi-FI"/>
              </w:rPr>
              <w:t>g/g</w:t>
            </w:r>
            <w:r>
              <w:rPr>
                <w:sz w:val="20"/>
                <w:szCs w:val="20"/>
                <w:lang w:val="fi-FI"/>
              </w:rPr>
              <w:t>)</w:t>
            </w:r>
          </w:p>
        </w:tc>
        <w:tc>
          <w:tcPr>
            <w:tcW w:w="3192" w:type="dxa"/>
          </w:tcPr>
          <w:p w14:paraId="5EABE5B7" w14:textId="77777777" w:rsidR="00BC5308" w:rsidRDefault="00CD0D3D" w:rsidP="00F2738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Mass </w:t>
            </w:r>
            <w:r w:rsidR="00BC5308">
              <w:rPr>
                <w:sz w:val="20"/>
                <w:szCs w:val="20"/>
              </w:rPr>
              <w:t>Concentration</w:t>
            </w:r>
          </w:p>
          <w:p w14:paraId="039874ED" w14:textId="77777777" w:rsidR="00BC5308" w:rsidRDefault="00BC5308" w:rsidP="00F2738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fi-FI"/>
              </w:rPr>
              <w:t>µg/mL)</w:t>
            </w:r>
          </w:p>
        </w:tc>
      </w:tr>
      <w:tr w:rsidR="00BC5308" w14:paraId="081646EB" w14:textId="77777777" w:rsidTr="00BC5308">
        <w:tc>
          <w:tcPr>
            <w:tcW w:w="3192" w:type="dxa"/>
          </w:tcPr>
          <w:p w14:paraId="100289C2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</w:rPr>
            </w:pPr>
            <w:r w:rsidRPr="004364D3">
              <w:rPr>
                <w:b/>
                <w:sz w:val="20"/>
                <w:szCs w:val="20"/>
                <w:lang w:val="fi-FI"/>
              </w:rPr>
              <w:t xml:space="preserve">Solution </w:t>
            </w:r>
            <w:r>
              <w:rPr>
                <w:b/>
                <w:sz w:val="20"/>
                <w:szCs w:val="20"/>
                <w:lang w:val="fi-FI"/>
              </w:rPr>
              <w:t>1</w:t>
            </w:r>
          </w:p>
        </w:tc>
        <w:tc>
          <w:tcPr>
            <w:tcW w:w="3192" w:type="dxa"/>
          </w:tcPr>
          <w:p w14:paraId="4C6B99B6" w14:textId="77777777" w:rsidR="00BC5308" w:rsidRDefault="00BC5308" w:rsidP="00F2738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56F4CAD6" w14:textId="77777777" w:rsidR="00BC5308" w:rsidRDefault="00BC5308" w:rsidP="00F2738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</w:p>
        </w:tc>
      </w:tr>
      <w:tr w:rsidR="00BC5308" w14:paraId="5AF5B880" w14:textId="77777777" w:rsidTr="00BC5308">
        <w:tc>
          <w:tcPr>
            <w:tcW w:w="3192" w:type="dxa"/>
          </w:tcPr>
          <w:p w14:paraId="59AB4A4F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>(+)-catechin</w:t>
            </w:r>
          </w:p>
        </w:tc>
        <w:tc>
          <w:tcPr>
            <w:tcW w:w="3192" w:type="dxa"/>
          </w:tcPr>
          <w:p w14:paraId="1B4EA798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23.54</w:t>
            </w:r>
            <w:r w:rsidRPr="00590904"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 w:rsidRPr="00590904"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  <w:lang w:val="fi-FI"/>
              </w:rPr>
              <w:t>0.53</w:t>
            </w:r>
          </w:p>
        </w:tc>
        <w:tc>
          <w:tcPr>
            <w:tcW w:w="3192" w:type="dxa"/>
          </w:tcPr>
          <w:p w14:paraId="33804577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22.58</w:t>
            </w:r>
            <w:r w:rsidRPr="00590904"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0.52</w:t>
            </w:r>
          </w:p>
        </w:tc>
      </w:tr>
      <w:tr w:rsidR="00BC5308" w14:paraId="6108631F" w14:textId="77777777" w:rsidTr="00BC5308">
        <w:tc>
          <w:tcPr>
            <w:tcW w:w="3192" w:type="dxa"/>
          </w:tcPr>
          <w:p w14:paraId="1FB3F146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>(–)-gallocatechin</w:t>
            </w:r>
          </w:p>
        </w:tc>
        <w:tc>
          <w:tcPr>
            <w:tcW w:w="3192" w:type="dxa"/>
          </w:tcPr>
          <w:p w14:paraId="553BDE0C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62.7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1.8</w:t>
            </w:r>
          </w:p>
        </w:tc>
        <w:tc>
          <w:tcPr>
            <w:tcW w:w="3192" w:type="dxa"/>
          </w:tcPr>
          <w:p w14:paraId="74C26778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60.2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1.8</w:t>
            </w:r>
          </w:p>
        </w:tc>
      </w:tr>
      <w:tr w:rsidR="00BC5308" w14:paraId="5ADBB691" w14:textId="77777777" w:rsidTr="00BC5308">
        <w:tc>
          <w:tcPr>
            <w:tcW w:w="3192" w:type="dxa"/>
          </w:tcPr>
          <w:p w14:paraId="19CF9845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>(–)-gallocatechin 3-gallate</w:t>
            </w:r>
          </w:p>
        </w:tc>
        <w:tc>
          <w:tcPr>
            <w:tcW w:w="3192" w:type="dxa"/>
          </w:tcPr>
          <w:p w14:paraId="4C115A25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76.6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1.7</w:t>
            </w:r>
          </w:p>
        </w:tc>
        <w:tc>
          <w:tcPr>
            <w:tcW w:w="3192" w:type="dxa"/>
          </w:tcPr>
          <w:p w14:paraId="50BC176E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73.5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1.7</w:t>
            </w:r>
          </w:p>
        </w:tc>
      </w:tr>
      <w:tr w:rsidR="00BC5308" w14:paraId="6852E88C" w14:textId="77777777" w:rsidTr="00BC5308">
        <w:tc>
          <w:tcPr>
            <w:tcW w:w="3192" w:type="dxa"/>
          </w:tcPr>
          <w:p w14:paraId="39F7D030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72FA9069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1182F738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</w:p>
        </w:tc>
      </w:tr>
      <w:tr w:rsidR="00BC5308" w14:paraId="1438E328" w14:textId="77777777" w:rsidTr="00BC5308">
        <w:tc>
          <w:tcPr>
            <w:tcW w:w="3192" w:type="dxa"/>
          </w:tcPr>
          <w:p w14:paraId="4FB02E75" w14:textId="77777777" w:rsidR="00BC5308" w:rsidRPr="009C2D3E" w:rsidRDefault="00BC5308" w:rsidP="00F2738D">
            <w:pPr>
              <w:tabs>
                <w:tab w:val="left" w:pos="0"/>
                <w:tab w:val="decimal" w:pos="3600"/>
                <w:tab w:val="left" w:pos="3960"/>
                <w:tab w:val="decimal" w:pos="4500"/>
                <w:tab w:val="decimal" w:pos="6840"/>
                <w:tab w:val="left" w:pos="7200"/>
                <w:tab w:val="decimal" w:pos="7740"/>
              </w:tabs>
              <w:rPr>
                <w:b/>
                <w:sz w:val="20"/>
                <w:szCs w:val="20"/>
                <w:lang w:val="fi-FI"/>
              </w:rPr>
            </w:pPr>
            <w:r w:rsidRPr="004364D3">
              <w:rPr>
                <w:b/>
                <w:sz w:val="20"/>
                <w:szCs w:val="20"/>
                <w:lang w:val="fi-FI"/>
              </w:rPr>
              <w:t xml:space="preserve">Solution </w:t>
            </w:r>
            <w:r>
              <w:rPr>
                <w:b/>
                <w:sz w:val="20"/>
                <w:szCs w:val="20"/>
                <w:lang w:val="fi-FI"/>
              </w:rPr>
              <w:t>2</w:t>
            </w:r>
          </w:p>
        </w:tc>
        <w:tc>
          <w:tcPr>
            <w:tcW w:w="3192" w:type="dxa"/>
          </w:tcPr>
          <w:p w14:paraId="34F3120D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6C084480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</w:p>
        </w:tc>
      </w:tr>
      <w:tr w:rsidR="00BC5308" w14:paraId="418D2C25" w14:textId="77777777" w:rsidTr="00BC5308">
        <w:tc>
          <w:tcPr>
            <w:tcW w:w="3192" w:type="dxa"/>
          </w:tcPr>
          <w:p w14:paraId="656F245C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>(–)-epicatechin</w:t>
            </w:r>
          </w:p>
        </w:tc>
        <w:tc>
          <w:tcPr>
            <w:tcW w:w="3192" w:type="dxa"/>
          </w:tcPr>
          <w:p w14:paraId="73D2CB6A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93.9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2.1</w:t>
            </w:r>
          </w:p>
        </w:tc>
        <w:tc>
          <w:tcPr>
            <w:tcW w:w="3192" w:type="dxa"/>
          </w:tcPr>
          <w:p w14:paraId="78D29438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90.1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2.0</w:t>
            </w:r>
          </w:p>
        </w:tc>
      </w:tr>
      <w:tr w:rsidR="00BC5308" w14:paraId="28D76EE9" w14:textId="77777777" w:rsidTr="00BC5308">
        <w:tc>
          <w:tcPr>
            <w:tcW w:w="3192" w:type="dxa"/>
          </w:tcPr>
          <w:p w14:paraId="5FE34E66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(–)-epigallocatechin</w:t>
            </w:r>
          </w:p>
        </w:tc>
        <w:tc>
          <w:tcPr>
            <w:tcW w:w="3192" w:type="dxa"/>
          </w:tcPr>
          <w:p w14:paraId="2E43796B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232.9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6.6</w:t>
            </w:r>
          </w:p>
        </w:tc>
        <w:tc>
          <w:tcPr>
            <w:tcW w:w="3192" w:type="dxa"/>
          </w:tcPr>
          <w:p w14:paraId="6D95D9F5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223.5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6.4</w:t>
            </w:r>
          </w:p>
        </w:tc>
      </w:tr>
      <w:tr w:rsidR="00BC5308" w14:paraId="2B33E76F" w14:textId="77777777" w:rsidTr="00BC5308">
        <w:tc>
          <w:tcPr>
            <w:tcW w:w="3192" w:type="dxa"/>
          </w:tcPr>
          <w:p w14:paraId="6BC6B17D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(–)-epicatechin 3-gallate</w:t>
            </w:r>
          </w:p>
        </w:tc>
        <w:tc>
          <w:tcPr>
            <w:tcW w:w="3192" w:type="dxa"/>
          </w:tcPr>
          <w:p w14:paraId="4094083D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203.9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4.6</w:t>
            </w:r>
          </w:p>
        </w:tc>
        <w:tc>
          <w:tcPr>
            <w:tcW w:w="3192" w:type="dxa"/>
          </w:tcPr>
          <w:p w14:paraId="0A0CE182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195.6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4.5</w:t>
            </w:r>
          </w:p>
        </w:tc>
      </w:tr>
      <w:tr w:rsidR="00BC5308" w14:paraId="003D4016" w14:textId="77777777" w:rsidTr="00BC5308">
        <w:tc>
          <w:tcPr>
            <w:tcW w:w="3192" w:type="dxa"/>
          </w:tcPr>
          <w:p w14:paraId="01425170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  <w:lang w:val="fi-FI"/>
              </w:rPr>
            </w:pPr>
          </w:p>
        </w:tc>
        <w:tc>
          <w:tcPr>
            <w:tcW w:w="3192" w:type="dxa"/>
          </w:tcPr>
          <w:p w14:paraId="683AED6F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37B39A8F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</w:p>
        </w:tc>
      </w:tr>
      <w:tr w:rsidR="00BC5308" w14:paraId="31BF54C7" w14:textId="77777777" w:rsidTr="00BC5308">
        <w:tc>
          <w:tcPr>
            <w:tcW w:w="3192" w:type="dxa"/>
          </w:tcPr>
          <w:p w14:paraId="48D04131" w14:textId="77777777" w:rsidR="00BC5308" w:rsidRPr="009C2D3E" w:rsidRDefault="00BC5308" w:rsidP="00F2738D">
            <w:pPr>
              <w:tabs>
                <w:tab w:val="left" w:pos="0"/>
                <w:tab w:val="decimal" w:pos="3600"/>
                <w:tab w:val="left" w:pos="3960"/>
                <w:tab w:val="decimal" w:pos="4500"/>
                <w:tab w:val="decimal" w:pos="6840"/>
                <w:tab w:val="left" w:pos="7200"/>
                <w:tab w:val="decimal" w:pos="7740"/>
              </w:tabs>
              <w:rPr>
                <w:b/>
                <w:sz w:val="20"/>
                <w:szCs w:val="20"/>
                <w:lang w:val="fi-FI"/>
              </w:rPr>
            </w:pPr>
            <w:r w:rsidRPr="004364D3">
              <w:rPr>
                <w:b/>
                <w:sz w:val="20"/>
                <w:szCs w:val="20"/>
                <w:lang w:val="fi-FI"/>
              </w:rPr>
              <w:t xml:space="preserve">Solution </w:t>
            </w:r>
            <w:r>
              <w:rPr>
                <w:b/>
                <w:sz w:val="20"/>
                <w:szCs w:val="20"/>
                <w:lang w:val="fi-FI"/>
              </w:rPr>
              <w:t>3</w:t>
            </w:r>
          </w:p>
        </w:tc>
        <w:tc>
          <w:tcPr>
            <w:tcW w:w="3192" w:type="dxa"/>
          </w:tcPr>
          <w:p w14:paraId="7861CD4A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</w:p>
        </w:tc>
        <w:tc>
          <w:tcPr>
            <w:tcW w:w="3192" w:type="dxa"/>
          </w:tcPr>
          <w:p w14:paraId="5B0D8BF6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</w:p>
        </w:tc>
      </w:tr>
      <w:tr w:rsidR="00BC5308" w14:paraId="15B62185" w14:textId="77777777" w:rsidTr="00BC5308">
        <w:tc>
          <w:tcPr>
            <w:tcW w:w="3192" w:type="dxa"/>
          </w:tcPr>
          <w:p w14:paraId="14242C2A" w14:textId="77777777" w:rsidR="00BC5308" w:rsidRDefault="00BC5308" w:rsidP="00F2738D">
            <w:pPr>
              <w:tabs>
                <w:tab w:val="left" w:pos="0"/>
              </w:tabs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(–)-epigallocatechin 3-gallate</w:t>
            </w:r>
          </w:p>
        </w:tc>
        <w:tc>
          <w:tcPr>
            <w:tcW w:w="3192" w:type="dxa"/>
          </w:tcPr>
          <w:p w14:paraId="4ABF00E1" w14:textId="77777777" w:rsidR="00BC5308" w:rsidRDefault="00BC5308" w:rsidP="00F2738D">
            <w:pPr>
              <w:tabs>
                <w:tab w:val="left" w:pos="0"/>
                <w:tab w:val="decimal" w:pos="1038"/>
                <w:tab w:val="center" w:pos="1488"/>
                <w:tab w:val="decimal" w:pos="19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549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12</w:t>
            </w:r>
          </w:p>
        </w:tc>
        <w:tc>
          <w:tcPr>
            <w:tcW w:w="3192" w:type="dxa"/>
          </w:tcPr>
          <w:p w14:paraId="1C91855E" w14:textId="77777777" w:rsidR="00BC5308" w:rsidRDefault="00BC5308" w:rsidP="00F2738D">
            <w:pPr>
              <w:tabs>
                <w:tab w:val="left" w:pos="0"/>
                <w:tab w:val="decimal" w:pos="996"/>
                <w:tab w:val="center" w:pos="1466"/>
                <w:tab w:val="decimal" w:pos="189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fi-FI"/>
              </w:rPr>
              <w:tab/>
              <w:t>527</w:t>
            </w:r>
            <w:r>
              <w:rPr>
                <w:sz w:val="20"/>
                <w:szCs w:val="20"/>
                <w:lang w:val="fi-FI"/>
              </w:rPr>
              <w:tab/>
            </w:r>
            <w:r>
              <w:rPr>
                <w:sz w:val="20"/>
                <w:szCs w:val="20"/>
              </w:rPr>
              <w:sym w:font="Symbol" w:char="F0B1"/>
            </w:r>
            <w:r>
              <w:rPr>
                <w:sz w:val="20"/>
                <w:szCs w:val="20"/>
                <w:lang w:val="fi-FI"/>
              </w:rPr>
              <w:tab/>
              <w:t>12</w:t>
            </w:r>
          </w:p>
        </w:tc>
      </w:tr>
    </w:tbl>
    <w:p w14:paraId="0730B1E7" w14:textId="77777777" w:rsidR="00C75C7C" w:rsidRDefault="008E13FE" w:rsidP="00F2738D">
      <w:pPr>
        <w:tabs>
          <w:tab w:val="left" w:pos="720"/>
        </w:tabs>
        <w:ind w:left="630" w:right="720"/>
        <w:jc w:val="both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7A97A54" wp14:editId="3BC6CF3E">
            <wp:simplePos x="0" y="0"/>
            <wp:positionH relativeFrom="column">
              <wp:posOffset>723900</wp:posOffset>
            </wp:positionH>
            <wp:positionV relativeFrom="paragraph">
              <wp:posOffset>19050</wp:posOffset>
            </wp:positionV>
            <wp:extent cx="4292600" cy="75057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5C7C">
        <w:rPr>
          <w:sz w:val="20"/>
          <w:szCs w:val="20"/>
        </w:rPr>
        <w:t>Figure</w:t>
      </w:r>
      <w:r w:rsidR="008263F5">
        <w:rPr>
          <w:sz w:val="20"/>
          <w:szCs w:val="20"/>
        </w:rPr>
        <w:t> </w:t>
      </w:r>
      <w:r w:rsidR="00C75C7C">
        <w:rPr>
          <w:sz w:val="20"/>
          <w:szCs w:val="20"/>
        </w:rPr>
        <w:t>1.  LC</w:t>
      </w:r>
      <w:r w:rsidR="00C75C7C">
        <w:rPr>
          <w:sz w:val="20"/>
          <w:szCs w:val="20"/>
        </w:rPr>
        <w:noBreakHyphen/>
        <w:t>UV chromatograms of SRM 3257 Solution</w:t>
      </w:r>
      <w:r w:rsidR="008263F5">
        <w:rPr>
          <w:sz w:val="20"/>
          <w:szCs w:val="20"/>
        </w:rPr>
        <w:t> </w:t>
      </w:r>
      <w:r w:rsidR="00C75C7C">
        <w:rPr>
          <w:sz w:val="20"/>
          <w:szCs w:val="20"/>
        </w:rPr>
        <w:t>1, Solution</w:t>
      </w:r>
      <w:r w:rsidR="008263F5">
        <w:rPr>
          <w:sz w:val="20"/>
          <w:szCs w:val="20"/>
        </w:rPr>
        <w:t> </w:t>
      </w:r>
      <w:r w:rsidR="00C75C7C">
        <w:rPr>
          <w:sz w:val="20"/>
          <w:szCs w:val="20"/>
        </w:rPr>
        <w:t>2, and Solution</w:t>
      </w:r>
      <w:r w:rsidR="008263F5">
        <w:rPr>
          <w:sz w:val="20"/>
          <w:szCs w:val="20"/>
        </w:rPr>
        <w:t> </w:t>
      </w:r>
      <w:r w:rsidR="00C75C7C">
        <w:rPr>
          <w:sz w:val="20"/>
          <w:szCs w:val="20"/>
        </w:rPr>
        <w:t>3.  A Zorbax SB column (Agilent Technologies, Wilmington, DE) with dimensions of 250 mm</w:t>
      </w:r>
      <w:r w:rsidR="008263F5">
        <w:rPr>
          <w:sz w:val="20"/>
          <w:szCs w:val="20"/>
        </w:rPr>
        <w:t> </w:t>
      </w:r>
      <w:r w:rsidR="00C75C7C">
        <w:rPr>
          <w:sz w:val="20"/>
          <w:szCs w:val="20"/>
        </w:rPr>
        <w:t>×</w:t>
      </w:r>
      <w:r w:rsidR="008263F5">
        <w:rPr>
          <w:sz w:val="20"/>
          <w:szCs w:val="20"/>
        </w:rPr>
        <w:t> </w:t>
      </w:r>
      <w:r w:rsidR="00C75C7C">
        <w:rPr>
          <w:sz w:val="20"/>
          <w:szCs w:val="20"/>
        </w:rPr>
        <w:t>4.6 mm ID and containing 5 µm diameter particles was used with a gradient m</w:t>
      </w:r>
      <w:r w:rsidR="00A6486E">
        <w:rPr>
          <w:sz w:val="20"/>
          <w:szCs w:val="20"/>
        </w:rPr>
        <w:t xml:space="preserve">obile phase of water and </w:t>
      </w:r>
      <w:r w:rsidR="00C75C7C">
        <w:rPr>
          <w:sz w:val="20"/>
          <w:szCs w:val="20"/>
        </w:rPr>
        <w:t>acetonitrile</w:t>
      </w:r>
      <w:r w:rsidR="00037E19">
        <w:rPr>
          <w:sz w:val="20"/>
          <w:szCs w:val="20"/>
        </w:rPr>
        <w:t>,</w:t>
      </w:r>
      <w:r w:rsidR="00A6486E">
        <w:rPr>
          <w:sz w:val="20"/>
          <w:szCs w:val="20"/>
        </w:rPr>
        <w:t xml:space="preserve"> each with 0.05 % </w:t>
      </w:r>
      <w:r w:rsidR="00C75C7C">
        <w:rPr>
          <w:sz w:val="20"/>
          <w:szCs w:val="20"/>
        </w:rPr>
        <w:t>formic acid.  Absorbance was measured at 280 nm.</w:t>
      </w:r>
    </w:p>
    <w:p w14:paraId="7225A270" w14:textId="77777777" w:rsidR="00C75C7C" w:rsidRDefault="00C75C7C" w:rsidP="00F2738D">
      <w:pPr>
        <w:tabs>
          <w:tab w:val="left" w:pos="0"/>
        </w:tabs>
        <w:ind w:right="720"/>
        <w:jc w:val="both"/>
        <w:rPr>
          <w:sz w:val="20"/>
          <w:szCs w:val="20"/>
        </w:rPr>
      </w:pPr>
    </w:p>
    <w:p w14:paraId="28D59362" w14:textId="77777777" w:rsidR="00243398" w:rsidRDefault="00243398" w:rsidP="00F2738D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483D146" w14:textId="77777777" w:rsidR="00C75C7C" w:rsidRDefault="00C75C7C" w:rsidP="00F2738D">
      <w:pPr>
        <w:tabs>
          <w:tab w:val="left" w:pos="0"/>
        </w:tabs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REFERENCES</w:t>
      </w:r>
    </w:p>
    <w:p w14:paraId="70002685" w14:textId="77777777" w:rsidR="001730E9" w:rsidRDefault="001730E9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50D2B014" w14:textId="77777777" w:rsidR="00243398" w:rsidRPr="00243398" w:rsidRDefault="00243398" w:rsidP="00F2738D">
      <w:pPr>
        <w:pStyle w:val="HTMLBody"/>
        <w:numPr>
          <w:ilvl w:val="0"/>
          <w:numId w:val="1"/>
        </w:numPr>
        <w:jc w:val="both"/>
      </w:pPr>
      <w:r w:rsidRPr="00243398">
        <w:rPr>
          <w:kern w:val="2"/>
        </w:rPr>
        <w:t xml:space="preserve">May, W.; Parris, R.; Beck, C.; Fassett, J.; Greenberg, R.; Guenther, F.; Kramer, G..; Wise, S.; Gills, T.; Colbert, J.; Gettings, R.; MacDonald, B.; </w:t>
      </w:r>
      <w:r w:rsidRPr="00243398">
        <w:rPr>
          <w:i/>
          <w:kern w:val="2"/>
        </w:rPr>
        <w:t>Definitions of Terms and Modes Used at NIST for Value</w:t>
      </w:r>
      <w:r w:rsidRPr="00243398">
        <w:rPr>
          <w:i/>
          <w:kern w:val="2"/>
        </w:rPr>
        <w:noBreakHyphen/>
        <w:t xml:space="preserve">Assignment of Reference Materials for Chemical Measurements; </w:t>
      </w:r>
      <w:r w:rsidRPr="00243398">
        <w:rPr>
          <w:kern w:val="2"/>
        </w:rPr>
        <w:t>NIST Special Publication 260</w:t>
      </w:r>
      <w:r w:rsidRPr="00243398">
        <w:rPr>
          <w:kern w:val="2"/>
        </w:rPr>
        <w:noBreakHyphen/>
        <w:t xml:space="preserve">136; U.S. Government Printing Office: </w:t>
      </w:r>
      <w:r w:rsidR="001730E9" w:rsidRPr="00FF5EE1">
        <w:rPr>
          <w:kern w:val="2"/>
        </w:rPr>
        <w:t>Washington, DC</w:t>
      </w:r>
      <w:r w:rsidRPr="00243398">
        <w:rPr>
          <w:kern w:val="2"/>
        </w:rPr>
        <w:t xml:space="preserve"> (2000); available at</w:t>
      </w:r>
      <w:r w:rsidRPr="00243398">
        <w:t xml:space="preserve"> </w:t>
      </w:r>
      <w:hyperlink r:id="rId11" w:history="1">
        <w:r w:rsidRPr="00243398">
          <w:rPr>
            <w:rStyle w:val="Hyperlink"/>
          </w:rPr>
          <w:t>http://www.nist.gov/srm/publications.cfm</w:t>
        </w:r>
      </w:hyperlink>
      <w:r w:rsidRPr="00243398">
        <w:rPr>
          <w:rStyle w:val="Hyperlink"/>
        </w:rPr>
        <w:t xml:space="preserve"> (accessed </w:t>
      </w:r>
      <w:r w:rsidR="00F2738D">
        <w:rPr>
          <w:rStyle w:val="Hyperlink"/>
        </w:rPr>
        <w:t>Jan 2016</w:t>
      </w:r>
      <w:r w:rsidRPr="00243398">
        <w:rPr>
          <w:rStyle w:val="Hyperlink"/>
        </w:rPr>
        <w:t>)</w:t>
      </w:r>
      <w:r w:rsidRPr="00243398">
        <w:rPr>
          <w:kern w:val="2"/>
        </w:rPr>
        <w:t>.</w:t>
      </w:r>
    </w:p>
    <w:p w14:paraId="3DB9E188" w14:textId="77777777" w:rsidR="00243398" w:rsidRPr="00243398" w:rsidRDefault="00243398" w:rsidP="00F2738D">
      <w:pPr>
        <w:pStyle w:val="ListParagraph"/>
        <w:numPr>
          <w:ilvl w:val="0"/>
          <w:numId w:val="1"/>
        </w:numPr>
        <w:tabs>
          <w:tab w:val="left" w:pos="450"/>
        </w:tabs>
        <w:contextualSpacing w:val="0"/>
        <w:jc w:val="both"/>
        <w:rPr>
          <w:kern w:val="2"/>
          <w:sz w:val="20"/>
          <w:szCs w:val="20"/>
        </w:rPr>
      </w:pPr>
      <w:r w:rsidRPr="00243398">
        <w:rPr>
          <w:sz w:val="20"/>
          <w:szCs w:val="20"/>
        </w:rPr>
        <w:t xml:space="preserve">Thompson, A.; </w:t>
      </w:r>
      <w:r w:rsidRPr="00243398">
        <w:rPr>
          <w:kern w:val="2"/>
          <w:sz w:val="20"/>
          <w:szCs w:val="20"/>
        </w:rPr>
        <w:t xml:space="preserve">Taylor, B.N.; </w:t>
      </w:r>
      <w:r w:rsidRPr="00243398">
        <w:rPr>
          <w:i/>
          <w:kern w:val="2"/>
          <w:sz w:val="20"/>
          <w:szCs w:val="20"/>
        </w:rPr>
        <w:t>Guide for the Use of the International System of Units (SI)</w:t>
      </w:r>
      <w:r w:rsidRPr="00243398">
        <w:rPr>
          <w:kern w:val="2"/>
          <w:sz w:val="20"/>
          <w:szCs w:val="20"/>
        </w:rPr>
        <w:t>;</w:t>
      </w:r>
      <w:r w:rsidRPr="00243398">
        <w:rPr>
          <w:i/>
          <w:kern w:val="2"/>
          <w:sz w:val="20"/>
          <w:szCs w:val="20"/>
        </w:rPr>
        <w:t xml:space="preserve"> </w:t>
      </w:r>
      <w:r w:rsidRPr="00243398">
        <w:rPr>
          <w:kern w:val="2"/>
          <w:sz w:val="20"/>
          <w:szCs w:val="20"/>
        </w:rPr>
        <w:t xml:space="preserve">NIST Special Publication 811; U.S. Government Printing Office: Washington, DC (2008); available at </w:t>
      </w:r>
      <w:hyperlink r:id="rId12" w:history="1">
        <w:r w:rsidRPr="00243398">
          <w:rPr>
            <w:rStyle w:val="Hyperlink"/>
            <w:sz w:val="20"/>
            <w:szCs w:val="20"/>
          </w:rPr>
          <w:t>http://www.nist.gov/pml/pubs/index.cfm/</w:t>
        </w:r>
      </w:hyperlink>
      <w:r w:rsidRPr="00243398">
        <w:rPr>
          <w:rStyle w:val="Hyperlink"/>
          <w:sz w:val="20"/>
          <w:szCs w:val="20"/>
        </w:rPr>
        <w:t xml:space="preserve"> (accessed </w:t>
      </w:r>
      <w:r w:rsidR="00F2738D">
        <w:rPr>
          <w:rStyle w:val="Hyperlink"/>
          <w:sz w:val="20"/>
          <w:szCs w:val="20"/>
        </w:rPr>
        <w:t>Jan 2016</w:t>
      </w:r>
      <w:r w:rsidRPr="00243398">
        <w:rPr>
          <w:rStyle w:val="Hyperlink"/>
          <w:sz w:val="20"/>
          <w:szCs w:val="20"/>
        </w:rPr>
        <w:t>)</w:t>
      </w:r>
      <w:r w:rsidRPr="00243398">
        <w:rPr>
          <w:kern w:val="2"/>
          <w:sz w:val="20"/>
          <w:szCs w:val="20"/>
        </w:rPr>
        <w:t>.</w:t>
      </w:r>
    </w:p>
    <w:p w14:paraId="1F0DF853" w14:textId="77777777" w:rsidR="00243398" w:rsidRDefault="00C75C7C" w:rsidP="00F2738D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540"/>
        </w:tabs>
        <w:contextualSpacing w:val="0"/>
        <w:jc w:val="both"/>
        <w:rPr>
          <w:kern w:val="2"/>
          <w:sz w:val="20"/>
          <w:szCs w:val="20"/>
        </w:rPr>
      </w:pPr>
      <w:r w:rsidRPr="00243398">
        <w:rPr>
          <w:kern w:val="2"/>
          <w:sz w:val="20"/>
          <w:szCs w:val="20"/>
        </w:rPr>
        <w:t>Sneigoski,</w:t>
      </w:r>
      <w:r w:rsidR="001730E9">
        <w:rPr>
          <w:kern w:val="2"/>
          <w:sz w:val="20"/>
          <w:szCs w:val="20"/>
        </w:rPr>
        <w:t> </w:t>
      </w:r>
      <w:r w:rsidRPr="00243398">
        <w:rPr>
          <w:kern w:val="2"/>
          <w:sz w:val="20"/>
          <w:szCs w:val="20"/>
        </w:rPr>
        <w:t>L.T., Moody,</w:t>
      </w:r>
      <w:r w:rsidR="001730E9">
        <w:rPr>
          <w:kern w:val="2"/>
          <w:sz w:val="20"/>
          <w:szCs w:val="20"/>
        </w:rPr>
        <w:t> </w:t>
      </w:r>
      <w:r w:rsidRPr="00243398">
        <w:rPr>
          <w:kern w:val="2"/>
          <w:sz w:val="20"/>
          <w:szCs w:val="20"/>
        </w:rPr>
        <w:t xml:space="preserve">J.R.; </w:t>
      </w:r>
      <w:r w:rsidRPr="00243398">
        <w:rPr>
          <w:i/>
          <w:kern w:val="2"/>
          <w:sz w:val="20"/>
          <w:szCs w:val="20"/>
        </w:rPr>
        <w:t>Determination of Serum and Blood Densities</w:t>
      </w:r>
      <w:r w:rsidRPr="00243398">
        <w:rPr>
          <w:kern w:val="2"/>
          <w:sz w:val="20"/>
          <w:szCs w:val="20"/>
        </w:rPr>
        <w:t>; Anal. Chem., Vol.</w:t>
      </w:r>
      <w:r w:rsidR="001730E9">
        <w:rPr>
          <w:kern w:val="2"/>
          <w:sz w:val="20"/>
          <w:szCs w:val="20"/>
        </w:rPr>
        <w:t> </w:t>
      </w:r>
      <w:r w:rsidRPr="00243398">
        <w:rPr>
          <w:kern w:val="2"/>
          <w:sz w:val="20"/>
          <w:szCs w:val="20"/>
        </w:rPr>
        <w:t xml:space="preserve">51, </w:t>
      </w:r>
      <w:r w:rsidR="00B23116">
        <w:rPr>
          <w:kern w:val="2"/>
          <w:sz w:val="20"/>
          <w:szCs w:val="20"/>
        </w:rPr>
        <w:br/>
      </w:r>
      <w:r w:rsidRPr="00243398">
        <w:rPr>
          <w:kern w:val="2"/>
          <w:sz w:val="20"/>
          <w:szCs w:val="20"/>
        </w:rPr>
        <w:t>pp.</w:t>
      </w:r>
      <w:r w:rsidR="001730E9">
        <w:rPr>
          <w:kern w:val="2"/>
          <w:sz w:val="20"/>
          <w:szCs w:val="20"/>
        </w:rPr>
        <w:t> </w:t>
      </w:r>
      <w:r w:rsidRPr="00243398">
        <w:rPr>
          <w:kern w:val="2"/>
          <w:sz w:val="20"/>
          <w:szCs w:val="20"/>
        </w:rPr>
        <w:t>1577</w:t>
      </w:r>
      <w:r w:rsidR="001730E9">
        <w:rPr>
          <w:kern w:val="2"/>
          <w:sz w:val="20"/>
          <w:szCs w:val="20"/>
        </w:rPr>
        <w:t>–</w:t>
      </w:r>
      <w:r w:rsidRPr="00243398">
        <w:rPr>
          <w:kern w:val="2"/>
          <w:sz w:val="20"/>
          <w:szCs w:val="20"/>
        </w:rPr>
        <w:t>1578 (1979).</w:t>
      </w:r>
    </w:p>
    <w:p w14:paraId="75FC3A6D" w14:textId="77777777" w:rsidR="00243398" w:rsidRDefault="00C75C7C" w:rsidP="00F2738D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540"/>
        </w:tabs>
        <w:contextualSpacing w:val="0"/>
        <w:jc w:val="both"/>
        <w:rPr>
          <w:kern w:val="2"/>
          <w:sz w:val="20"/>
          <w:szCs w:val="20"/>
        </w:rPr>
      </w:pPr>
      <w:r w:rsidRPr="00243398">
        <w:rPr>
          <w:kern w:val="2"/>
          <w:sz w:val="20"/>
          <w:szCs w:val="20"/>
        </w:rPr>
        <w:t>Zhu, Q.Y</w:t>
      </w:r>
      <w:r w:rsidR="00CD0D3D">
        <w:rPr>
          <w:kern w:val="2"/>
          <w:sz w:val="20"/>
          <w:szCs w:val="20"/>
        </w:rPr>
        <w:t>.</w:t>
      </w:r>
      <w:r w:rsidRPr="00243398">
        <w:rPr>
          <w:kern w:val="2"/>
          <w:sz w:val="20"/>
          <w:szCs w:val="20"/>
        </w:rPr>
        <w:t xml:space="preserve">, Zhang, A., Tsang, D., Huang, D., Chen, Z.-Y.; </w:t>
      </w:r>
      <w:r w:rsidRPr="00243398">
        <w:rPr>
          <w:i/>
          <w:kern w:val="2"/>
          <w:sz w:val="20"/>
          <w:szCs w:val="20"/>
        </w:rPr>
        <w:t>Stability of Green Tea Catechins</w:t>
      </w:r>
      <w:r w:rsidRPr="00243398">
        <w:rPr>
          <w:kern w:val="2"/>
          <w:sz w:val="20"/>
          <w:szCs w:val="20"/>
        </w:rPr>
        <w:t>; J. Agric. Food Chem., Vol.</w:t>
      </w:r>
      <w:r w:rsidR="001730E9">
        <w:rPr>
          <w:kern w:val="2"/>
          <w:sz w:val="20"/>
          <w:szCs w:val="20"/>
        </w:rPr>
        <w:t> </w:t>
      </w:r>
      <w:r w:rsidRPr="00243398">
        <w:rPr>
          <w:kern w:val="2"/>
          <w:sz w:val="20"/>
          <w:szCs w:val="20"/>
        </w:rPr>
        <w:t>45, pp.</w:t>
      </w:r>
      <w:r w:rsidR="001730E9">
        <w:rPr>
          <w:kern w:val="2"/>
          <w:sz w:val="20"/>
          <w:szCs w:val="20"/>
        </w:rPr>
        <w:t> </w:t>
      </w:r>
      <w:r w:rsidRPr="00243398">
        <w:rPr>
          <w:kern w:val="2"/>
          <w:sz w:val="20"/>
          <w:szCs w:val="20"/>
        </w:rPr>
        <w:t>4624</w:t>
      </w:r>
      <w:r w:rsidR="001730E9">
        <w:rPr>
          <w:kern w:val="2"/>
          <w:sz w:val="20"/>
          <w:szCs w:val="20"/>
        </w:rPr>
        <w:t>–</w:t>
      </w:r>
      <w:r w:rsidRPr="00243398">
        <w:rPr>
          <w:kern w:val="2"/>
          <w:sz w:val="20"/>
          <w:szCs w:val="20"/>
        </w:rPr>
        <w:t>4628 (1997).</w:t>
      </w:r>
    </w:p>
    <w:p w14:paraId="685A633A" w14:textId="77777777" w:rsidR="00243398" w:rsidRPr="00243398" w:rsidRDefault="00243398" w:rsidP="00F2738D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540"/>
        </w:tabs>
        <w:contextualSpacing w:val="0"/>
        <w:jc w:val="both"/>
        <w:rPr>
          <w:kern w:val="2"/>
          <w:sz w:val="20"/>
          <w:szCs w:val="20"/>
        </w:rPr>
      </w:pPr>
      <w:r w:rsidRPr="00243398">
        <w:rPr>
          <w:rFonts w:eastAsia="Calibri"/>
          <w:sz w:val="20"/>
          <w:szCs w:val="20"/>
        </w:rPr>
        <w:t xml:space="preserve">JCGM 100:2008; </w:t>
      </w:r>
      <w:r w:rsidRPr="00243398">
        <w:rPr>
          <w:rFonts w:eastAsia="Calibri"/>
          <w:i/>
          <w:iCs/>
          <w:sz w:val="20"/>
          <w:szCs w:val="20"/>
        </w:rPr>
        <w:t xml:space="preserve">Evaluation of Measurement Data — Guide to the Expression of Uncertainty in Measurement </w:t>
      </w:r>
      <w:r w:rsidR="00F43EF5">
        <w:rPr>
          <w:rFonts w:eastAsia="Calibri"/>
          <w:sz w:val="20"/>
          <w:szCs w:val="20"/>
        </w:rPr>
        <w:t>(</w:t>
      </w:r>
      <w:r w:rsidRPr="00243398">
        <w:rPr>
          <w:rFonts w:eastAsia="Calibri"/>
          <w:sz w:val="20"/>
          <w:szCs w:val="20"/>
        </w:rPr>
        <w:t xml:space="preserve">GUM 1995 with Minor Corrections); Joint Committee for Guides in Metrology (JCGM) (2008); available at </w:t>
      </w:r>
      <w:hyperlink r:id="rId13" w:history="1">
        <w:r w:rsidRPr="00243398">
          <w:rPr>
            <w:rStyle w:val="Hyperlink"/>
            <w:rFonts w:eastAsia="Calibri"/>
            <w:sz w:val="20"/>
            <w:szCs w:val="20"/>
          </w:rPr>
          <w:t>http://www.bipm.org/utils/common/documents/jcgm/JCGM_100_2008_E.pdf</w:t>
        </w:r>
      </w:hyperlink>
      <w:r w:rsidRPr="00243398">
        <w:rPr>
          <w:rFonts w:eastAsia="Calibri"/>
          <w:sz w:val="20"/>
          <w:szCs w:val="20"/>
        </w:rPr>
        <w:t xml:space="preserve"> (accessed </w:t>
      </w:r>
      <w:r w:rsidR="00F2738D">
        <w:rPr>
          <w:rFonts w:eastAsia="Calibri"/>
          <w:sz w:val="20"/>
          <w:szCs w:val="20"/>
        </w:rPr>
        <w:t>Jan 2016</w:t>
      </w:r>
      <w:r w:rsidRPr="00243398">
        <w:rPr>
          <w:rFonts w:eastAsia="Calibri"/>
          <w:sz w:val="20"/>
          <w:szCs w:val="20"/>
        </w:rPr>
        <w:t xml:space="preserve">); see also Taylor, B.N.; Kuyatt, C.E.; </w:t>
      </w:r>
      <w:r w:rsidRPr="00243398">
        <w:rPr>
          <w:rFonts w:eastAsia="Calibri"/>
          <w:i/>
          <w:iCs/>
          <w:sz w:val="20"/>
          <w:szCs w:val="20"/>
        </w:rPr>
        <w:t>Guidelines for Evaluating and Expressing the Uncertainty of NIST Measurement Results</w:t>
      </w:r>
      <w:r w:rsidRPr="00243398">
        <w:rPr>
          <w:rFonts w:eastAsia="Calibri"/>
          <w:sz w:val="20"/>
          <w:szCs w:val="20"/>
        </w:rPr>
        <w:t xml:space="preserve">; NIST Technical Note 1297; U.S. Government Printing Office: Washington, DC (1994); available at </w:t>
      </w:r>
      <w:hyperlink r:id="rId14" w:history="1">
        <w:r w:rsidRPr="00243398">
          <w:rPr>
            <w:rStyle w:val="Hyperlink"/>
            <w:sz w:val="20"/>
            <w:szCs w:val="20"/>
          </w:rPr>
          <w:t>http://www.nist.gov/pml/pubs/index.cfm</w:t>
        </w:r>
      </w:hyperlink>
      <w:r w:rsidRPr="00243398">
        <w:rPr>
          <w:rFonts w:eastAsia="Calibri"/>
          <w:sz w:val="20"/>
          <w:szCs w:val="20"/>
        </w:rPr>
        <w:t xml:space="preserve"> (accessed </w:t>
      </w:r>
      <w:r w:rsidR="00F2738D">
        <w:rPr>
          <w:rFonts w:eastAsia="Calibri"/>
          <w:sz w:val="20"/>
          <w:szCs w:val="20"/>
        </w:rPr>
        <w:t>Jan 2016</w:t>
      </w:r>
      <w:r w:rsidRPr="00243398">
        <w:rPr>
          <w:rFonts w:eastAsia="Calibri"/>
          <w:sz w:val="20"/>
          <w:szCs w:val="20"/>
        </w:rPr>
        <w:t>).</w:t>
      </w:r>
    </w:p>
    <w:p w14:paraId="6E9D9D2E" w14:textId="77777777" w:rsidR="00243398" w:rsidRPr="00243398" w:rsidRDefault="00243398" w:rsidP="00F2738D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540"/>
        </w:tabs>
        <w:contextualSpacing w:val="0"/>
        <w:jc w:val="both"/>
        <w:rPr>
          <w:kern w:val="2"/>
          <w:sz w:val="20"/>
          <w:szCs w:val="20"/>
        </w:rPr>
      </w:pPr>
      <w:r w:rsidRPr="00243398">
        <w:rPr>
          <w:sz w:val="20"/>
          <w:szCs w:val="20"/>
        </w:rPr>
        <w:t xml:space="preserve">JCGM 101:2008; </w:t>
      </w:r>
      <w:r w:rsidRPr="00243398">
        <w:rPr>
          <w:i/>
          <w:sz w:val="20"/>
          <w:szCs w:val="20"/>
        </w:rPr>
        <w:t xml:space="preserve">Evaluation of </w:t>
      </w:r>
      <w:r w:rsidR="00F43EF5">
        <w:rPr>
          <w:i/>
          <w:sz w:val="20"/>
          <w:szCs w:val="20"/>
        </w:rPr>
        <w:t>Measurement D</w:t>
      </w:r>
      <w:r w:rsidRPr="00243398">
        <w:rPr>
          <w:i/>
          <w:sz w:val="20"/>
          <w:szCs w:val="20"/>
        </w:rPr>
        <w:t>ata – Supplement 1 to the Guide to the Expression of Uncertainty in Measurement – Propagation of Distributions Using a Monte Carlo Method</w:t>
      </w:r>
      <w:r w:rsidRPr="00243398">
        <w:rPr>
          <w:sz w:val="20"/>
          <w:szCs w:val="20"/>
        </w:rPr>
        <w:t xml:space="preserve">; </w:t>
      </w:r>
      <w:r w:rsidRPr="00243398">
        <w:rPr>
          <w:rFonts w:eastAsia="Calibri"/>
          <w:sz w:val="20"/>
          <w:szCs w:val="20"/>
        </w:rPr>
        <w:t>JCGM</w:t>
      </w:r>
      <w:r w:rsidRPr="00243398">
        <w:rPr>
          <w:sz w:val="20"/>
          <w:szCs w:val="20"/>
        </w:rPr>
        <w:t> (2008);</w:t>
      </w:r>
      <w:r w:rsidR="00F43EF5">
        <w:rPr>
          <w:sz w:val="20"/>
          <w:szCs w:val="20"/>
        </w:rPr>
        <w:t xml:space="preserve"> </w:t>
      </w:r>
      <w:r w:rsidRPr="00243398">
        <w:rPr>
          <w:rFonts w:eastAsia="Calibri"/>
          <w:sz w:val="20"/>
          <w:szCs w:val="20"/>
        </w:rPr>
        <w:t>available</w:t>
      </w:r>
      <w:r w:rsidR="00F43EF5">
        <w:rPr>
          <w:rFonts w:eastAsia="Calibri"/>
          <w:sz w:val="20"/>
          <w:szCs w:val="20"/>
        </w:rPr>
        <w:t xml:space="preserve"> </w:t>
      </w:r>
      <w:r w:rsidRPr="00243398">
        <w:rPr>
          <w:rFonts w:eastAsia="Calibri"/>
          <w:sz w:val="20"/>
          <w:szCs w:val="20"/>
        </w:rPr>
        <w:t xml:space="preserve">at </w:t>
      </w:r>
      <w:hyperlink r:id="rId15" w:history="1">
        <w:r w:rsidRPr="00243398">
          <w:rPr>
            <w:rStyle w:val="Hyperlink"/>
            <w:sz w:val="20"/>
            <w:szCs w:val="20"/>
          </w:rPr>
          <w:t>http://www.bipm.org/utils/common/documents/jcgm/JCGM_101_2008_E.pdf</w:t>
        </w:r>
      </w:hyperlink>
      <w:r w:rsidRPr="00243398">
        <w:rPr>
          <w:sz w:val="20"/>
          <w:szCs w:val="20"/>
        </w:rPr>
        <w:t xml:space="preserve"> </w:t>
      </w:r>
      <w:r w:rsidRPr="00243398">
        <w:rPr>
          <w:rStyle w:val="Hyperlink"/>
          <w:sz w:val="20"/>
          <w:szCs w:val="20"/>
        </w:rPr>
        <w:t>(accessed</w:t>
      </w:r>
      <w:r w:rsidR="004306DF">
        <w:rPr>
          <w:rFonts w:eastAsia="Calibri"/>
          <w:sz w:val="20"/>
          <w:szCs w:val="20"/>
        </w:rPr>
        <w:t xml:space="preserve"> </w:t>
      </w:r>
      <w:r w:rsidR="00F2738D">
        <w:rPr>
          <w:rFonts w:eastAsia="Calibri"/>
          <w:sz w:val="20"/>
          <w:szCs w:val="20"/>
        </w:rPr>
        <w:t>Jan 2016</w:t>
      </w:r>
      <w:r w:rsidRPr="00243398">
        <w:rPr>
          <w:rStyle w:val="Hyperlink"/>
          <w:sz w:val="20"/>
          <w:szCs w:val="20"/>
        </w:rPr>
        <w:t>)</w:t>
      </w:r>
      <w:r w:rsidRPr="00243398">
        <w:rPr>
          <w:sz w:val="20"/>
          <w:szCs w:val="20"/>
        </w:rPr>
        <w:t>.</w:t>
      </w:r>
    </w:p>
    <w:p w14:paraId="2FA3EA3E" w14:textId="77777777" w:rsidR="00243398" w:rsidRPr="00243398" w:rsidRDefault="00243398" w:rsidP="00F2738D">
      <w:pPr>
        <w:pStyle w:val="ListParagraph"/>
        <w:numPr>
          <w:ilvl w:val="0"/>
          <w:numId w:val="1"/>
        </w:numPr>
        <w:tabs>
          <w:tab w:val="left" w:pos="0"/>
          <w:tab w:val="left" w:pos="450"/>
          <w:tab w:val="left" w:pos="540"/>
        </w:tabs>
        <w:contextualSpacing w:val="0"/>
        <w:jc w:val="both"/>
        <w:rPr>
          <w:kern w:val="2"/>
          <w:sz w:val="20"/>
          <w:szCs w:val="20"/>
        </w:rPr>
      </w:pPr>
      <w:r w:rsidRPr="00243398">
        <w:rPr>
          <w:sz w:val="20"/>
          <w:szCs w:val="20"/>
        </w:rPr>
        <w:t xml:space="preserve">Efron, B.; Tibshirani, R.J.; </w:t>
      </w:r>
      <w:r w:rsidRPr="00243398">
        <w:rPr>
          <w:i/>
          <w:sz w:val="20"/>
          <w:szCs w:val="20"/>
        </w:rPr>
        <w:t>An Introduction to the Bootstrap</w:t>
      </w:r>
      <w:r w:rsidRPr="00243398">
        <w:rPr>
          <w:sz w:val="20"/>
          <w:szCs w:val="20"/>
        </w:rPr>
        <w:t>; Chapman &amp; Hall, London, UK (1993).</w:t>
      </w:r>
    </w:p>
    <w:p w14:paraId="3E5E222B" w14:textId="77777777" w:rsidR="00C75C7C" w:rsidRDefault="00C75C7C" w:rsidP="00F2738D">
      <w:pPr>
        <w:tabs>
          <w:tab w:val="left" w:pos="0"/>
        </w:tabs>
        <w:jc w:val="both"/>
        <w:rPr>
          <w:sz w:val="20"/>
          <w:szCs w:val="20"/>
        </w:rPr>
      </w:pPr>
    </w:p>
    <w:p w14:paraId="3C5196B3" w14:textId="77777777" w:rsidR="001730E9" w:rsidRPr="001730E9" w:rsidRDefault="001730E9" w:rsidP="00F2738D">
      <w:pPr>
        <w:jc w:val="both"/>
        <w:rPr>
          <w:color w:val="000000"/>
          <w:sz w:val="20"/>
          <w:szCs w:val="20"/>
        </w:rPr>
      </w:pPr>
    </w:p>
    <w:p w14:paraId="210F2B05" w14:textId="77777777" w:rsidR="001730E9" w:rsidRDefault="001730E9" w:rsidP="00F2738D">
      <w:pPr>
        <w:jc w:val="both"/>
        <w:rPr>
          <w:color w:val="000000"/>
          <w:sz w:val="20"/>
          <w:szCs w:val="20"/>
        </w:rPr>
      </w:pPr>
    </w:p>
    <w:p w14:paraId="5DF2180F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2B91EEF6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18892258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5FF74EAD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2D923258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5CA2183C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51888D76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7EA7D5A2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07BBAC07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45C34BE7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7043C212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72790E9E" w14:textId="77777777" w:rsidR="00B23116" w:rsidRPr="00B23116" w:rsidRDefault="00B23116" w:rsidP="00B23116">
      <w:pPr>
        <w:tabs>
          <w:tab w:val="left" w:pos="450"/>
        </w:tabs>
        <w:ind w:left="450" w:hanging="450"/>
        <w:jc w:val="both"/>
        <w:rPr>
          <w:sz w:val="20"/>
          <w:szCs w:val="20"/>
        </w:rPr>
      </w:pPr>
    </w:p>
    <w:p w14:paraId="2932BAC3" w14:textId="29150202" w:rsidR="00B23116" w:rsidRPr="00B23116" w:rsidRDefault="0067612B" w:rsidP="00B23116">
      <w:pPr>
        <w:tabs>
          <w:tab w:val="left" w:pos="-1080"/>
          <w:tab w:val="left" w:pos="-720"/>
          <w:tab w:val="left" w:pos="0"/>
          <w:tab w:val="left" w:pos="450"/>
          <w:tab w:val="left" w:pos="1440"/>
        </w:tabs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5509588F" wp14:editId="767607C5">
                <wp:extent cx="5947410" cy="217805"/>
                <wp:effectExtent l="9525" t="8890" r="5715" b="8890"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334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8475E" w14:textId="327ECC48" w:rsidR="00B23116" w:rsidRPr="00B23116" w:rsidRDefault="00B23116" w:rsidP="00B23116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sz w:val="16"/>
                              </w:rPr>
                            </w:pPr>
                            <w:r w:rsidRPr="00D60F6D">
                              <w:rPr>
                                <w:b/>
                                <w:sz w:val="16"/>
                              </w:rPr>
                              <w:t>Certificate Revision History</w:t>
                            </w:r>
                            <w:r w:rsidRPr="00D60F6D">
                              <w:rPr>
                                <w:b/>
                                <w:bCs/>
                                <w:sz w:val="16"/>
                              </w:rPr>
                              <w:t>:</w:t>
                            </w:r>
                            <w:r w:rsidRPr="00D60F6D">
                              <w:rPr>
                                <w:sz w:val="16"/>
                              </w:rPr>
                              <w:t xml:space="preserve">  </w:t>
                            </w:r>
                            <w:bookmarkStart w:id="0" w:name="_GoBack"/>
                            <w:bookmarkEnd w:id="0"/>
                            <w:r w:rsidR="005341DD">
                              <w:rPr>
                                <w:sz w:val="16"/>
                              </w:rPr>
                              <w:t>14</w:t>
                            </w:r>
                            <w:r w:rsidRPr="00B23116">
                              <w:rPr>
                                <w:sz w:val="16"/>
                              </w:rPr>
                              <w:t> January 2016 (Change of expiration date; editorial changes); 14 September 2011 (Original certificate date).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09588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68.3pt;height:1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">
                <v:textbox style="mso-fit-shape-to-text:t">
                  <w:txbxContent>
                    <w:p w14:paraId="6B68475E" w14:textId="327ECC48" w:rsidR="00B23116" w:rsidRPr="00B23116" w:rsidRDefault="00B23116" w:rsidP="00B23116">
                      <w:pPr>
                        <w:tabs>
                          <w:tab w:val="left" w:pos="0"/>
                        </w:tabs>
                        <w:jc w:val="both"/>
                        <w:rPr>
                          <w:sz w:val="16"/>
                        </w:rPr>
                      </w:pPr>
                      <w:r w:rsidRPr="00D60F6D">
                        <w:rPr>
                          <w:b/>
                          <w:sz w:val="16"/>
                        </w:rPr>
                        <w:t>Certificate Revision History</w:t>
                      </w:r>
                      <w:r w:rsidRPr="00D60F6D">
                        <w:rPr>
                          <w:b/>
                          <w:bCs/>
                          <w:sz w:val="16"/>
                        </w:rPr>
                        <w:t>:</w:t>
                      </w:r>
                      <w:r w:rsidRPr="00D60F6D">
                        <w:rPr>
                          <w:sz w:val="16"/>
                        </w:rPr>
                        <w:t xml:space="preserve">  </w:t>
                      </w:r>
                      <w:bookmarkStart w:id="1" w:name="_GoBack"/>
                      <w:bookmarkEnd w:id="1"/>
                      <w:r w:rsidR="005341DD">
                        <w:rPr>
                          <w:sz w:val="16"/>
                        </w:rPr>
                        <w:t>14</w:t>
                      </w:r>
                      <w:r w:rsidRPr="00B23116">
                        <w:rPr>
                          <w:sz w:val="16"/>
                        </w:rPr>
                        <w:t> January 2016 (Change of expiration date; editorial changes); 14 September 2011 (Original certificate date).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338BF5" w14:textId="77777777" w:rsidR="00B23116" w:rsidRPr="00B23116" w:rsidRDefault="00B23116" w:rsidP="00B23116">
      <w:pPr>
        <w:jc w:val="both"/>
        <w:rPr>
          <w:i/>
          <w:color w:val="000000"/>
          <w:sz w:val="20"/>
          <w:szCs w:val="20"/>
        </w:rPr>
      </w:pPr>
    </w:p>
    <w:p w14:paraId="468CE38F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2602CF93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54E20016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7D2A22FB" w14:textId="77777777" w:rsidR="00B23116" w:rsidRDefault="00B23116" w:rsidP="00F2738D">
      <w:pPr>
        <w:jc w:val="both"/>
        <w:rPr>
          <w:color w:val="000000"/>
          <w:sz w:val="20"/>
          <w:szCs w:val="20"/>
        </w:rPr>
      </w:pPr>
    </w:p>
    <w:p w14:paraId="548CF2F7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3E51CA44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62C9790E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6635EC92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3DC178C0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4242442D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033E57CE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09BB2B11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6C6FEB9D" w14:textId="77777777" w:rsidR="00D94017" w:rsidRDefault="00D94017" w:rsidP="00F2738D">
      <w:pPr>
        <w:jc w:val="both"/>
        <w:rPr>
          <w:color w:val="000000"/>
          <w:sz w:val="20"/>
          <w:szCs w:val="20"/>
        </w:rPr>
      </w:pPr>
    </w:p>
    <w:p w14:paraId="1CAEDEF6" w14:textId="77777777" w:rsidR="00B23116" w:rsidRDefault="00B23116" w:rsidP="00F2738D">
      <w:pPr>
        <w:jc w:val="both"/>
        <w:rPr>
          <w:color w:val="000000"/>
          <w:sz w:val="20"/>
          <w:szCs w:val="20"/>
        </w:rPr>
      </w:pPr>
    </w:p>
    <w:p w14:paraId="7BAC5483" w14:textId="77777777" w:rsidR="00B23116" w:rsidRDefault="00B23116" w:rsidP="00F2738D">
      <w:pPr>
        <w:jc w:val="both"/>
        <w:rPr>
          <w:color w:val="000000"/>
          <w:sz w:val="20"/>
          <w:szCs w:val="20"/>
        </w:rPr>
      </w:pPr>
    </w:p>
    <w:p w14:paraId="1D331AEE" w14:textId="77777777" w:rsidR="00D94017" w:rsidRPr="001730E9" w:rsidRDefault="00D94017" w:rsidP="00F2738D">
      <w:pPr>
        <w:jc w:val="both"/>
        <w:rPr>
          <w:color w:val="000000"/>
          <w:sz w:val="20"/>
          <w:szCs w:val="20"/>
        </w:rPr>
      </w:pPr>
    </w:p>
    <w:p w14:paraId="4C9CE152" w14:textId="77777777" w:rsidR="00B23116" w:rsidRDefault="00B23116" w:rsidP="00B23116">
      <w:pPr>
        <w:jc w:val="both"/>
        <w:rPr>
          <w:i/>
          <w:color w:val="000000"/>
          <w:sz w:val="20"/>
          <w:szCs w:val="20"/>
        </w:rPr>
      </w:pPr>
      <w:r w:rsidRPr="00B23116">
        <w:rPr>
          <w:i/>
          <w:color w:val="000000"/>
          <w:sz w:val="20"/>
          <w:szCs w:val="20"/>
        </w:rPr>
        <w:t>Users of this SRM should ensure that the Certificate of Analysis in their possession is current.  This can be accomplished by contacting the SRM Program:  telephone (301) 975</w:t>
      </w:r>
      <w:r w:rsidRPr="00B23116">
        <w:rPr>
          <w:i/>
          <w:color w:val="000000"/>
          <w:sz w:val="20"/>
          <w:szCs w:val="20"/>
        </w:rPr>
        <w:noBreakHyphen/>
        <w:t>2200; fax (301) 948</w:t>
      </w:r>
      <w:r w:rsidRPr="00B23116">
        <w:rPr>
          <w:i/>
          <w:color w:val="000000"/>
          <w:sz w:val="20"/>
          <w:szCs w:val="20"/>
        </w:rPr>
        <w:noBreakHyphen/>
        <w:t>3730; e</w:t>
      </w:r>
      <w:r w:rsidRPr="00B23116">
        <w:rPr>
          <w:i/>
          <w:color w:val="000000"/>
          <w:sz w:val="20"/>
          <w:szCs w:val="20"/>
        </w:rPr>
        <w:noBreakHyphen/>
        <w:t>mail </w:t>
      </w:r>
      <w:hyperlink r:id="rId16" w:history="1">
        <w:r w:rsidRPr="00B23116">
          <w:rPr>
            <w:i/>
            <w:color w:val="000000"/>
            <w:sz w:val="20"/>
            <w:szCs w:val="20"/>
          </w:rPr>
          <w:t>srminfo@nist.gov</w:t>
        </w:r>
      </w:hyperlink>
      <w:r w:rsidRPr="00B23116">
        <w:rPr>
          <w:i/>
          <w:color w:val="000000"/>
          <w:sz w:val="20"/>
          <w:szCs w:val="20"/>
        </w:rPr>
        <w:t xml:space="preserve">; or via the Internet at </w:t>
      </w:r>
      <w:hyperlink r:id="rId17" w:history="1">
        <w:r w:rsidRPr="00B23116">
          <w:rPr>
            <w:i/>
            <w:color w:val="000000"/>
            <w:sz w:val="20"/>
            <w:szCs w:val="20"/>
          </w:rPr>
          <w:t>http://www.nist.gov/srm</w:t>
        </w:r>
      </w:hyperlink>
      <w:r w:rsidRPr="00B23116">
        <w:rPr>
          <w:i/>
          <w:color w:val="000000"/>
          <w:sz w:val="20"/>
          <w:szCs w:val="20"/>
        </w:rPr>
        <w:t>.</w:t>
      </w:r>
    </w:p>
    <w:p w14:paraId="397CDDDB" w14:textId="77777777" w:rsidR="00C75C7C" w:rsidRPr="001730E9" w:rsidRDefault="00C75C7C" w:rsidP="00B23116">
      <w:pPr>
        <w:jc w:val="both"/>
        <w:rPr>
          <w:sz w:val="20"/>
          <w:szCs w:val="20"/>
        </w:rPr>
      </w:pPr>
    </w:p>
    <w:sectPr w:rsidR="00C75C7C" w:rsidRPr="001730E9" w:rsidSect="00243398">
      <w:footerReference w:type="default" r:id="rId18"/>
      <w:type w:val="continuous"/>
      <w:pgSz w:w="12240" w:h="15840"/>
      <w:pgMar w:top="720" w:right="1440" w:bottom="72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F475B" w14:textId="77777777" w:rsidR="00FE44DE" w:rsidRDefault="00FE44DE">
      <w:r>
        <w:separator/>
      </w:r>
    </w:p>
  </w:endnote>
  <w:endnote w:type="continuationSeparator" w:id="0">
    <w:p w14:paraId="59779A1F" w14:textId="77777777" w:rsidR="00FE44DE" w:rsidRDefault="00FE4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col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notext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1C008" w14:textId="1F618465" w:rsidR="008263F5" w:rsidRPr="00265478" w:rsidRDefault="008263F5" w:rsidP="00A94E36">
    <w:pPr>
      <w:pStyle w:val="Footer"/>
      <w:tabs>
        <w:tab w:val="clear" w:pos="8640"/>
        <w:tab w:val="right" w:pos="9360"/>
      </w:tabs>
      <w:rPr>
        <w:sz w:val="20"/>
        <w:szCs w:val="20"/>
      </w:rPr>
    </w:pPr>
    <w:r>
      <w:rPr>
        <w:sz w:val="20"/>
        <w:szCs w:val="20"/>
      </w:rPr>
      <w:t>SRM 3257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265478">
      <w:rPr>
        <w:sz w:val="20"/>
        <w:szCs w:val="20"/>
      </w:rPr>
      <w:t xml:space="preserve">Page </w:t>
    </w:r>
    <w:r w:rsidR="008B043A" w:rsidRPr="00265478">
      <w:rPr>
        <w:rStyle w:val="PageNumber"/>
        <w:sz w:val="20"/>
        <w:szCs w:val="20"/>
      </w:rPr>
      <w:fldChar w:fldCharType="begin"/>
    </w:r>
    <w:r w:rsidRPr="00265478">
      <w:rPr>
        <w:rStyle w:val="PageNumber"/>
        <w:sz w:val="20"/>
        <w:szCs w:val="20"/>
      </w:rPr>
      <w:instrText xml:space="preserve"> PAGE </w:instrText>
    </w:r>
    <w:r w:rsidR="008B043A" w:rsidRPr="00265478">
      <w:rPr>
        <w:rStyle w:val="PageNumber"/>
        <w:sz w:val="20"/>
        <w:szCs w:val="20"/>
      </w:rPr>
      <w:fldChar w:fldCharType="separate"/>
    </w:r>
    <w:r w:rsidR="002E09F7">
      <w:rPr>
        <w:rStyle w:val="PageNumber"/>
        <w:noProof/>
        <w:sz w:val="20"/>
        <w:szCs w:val="20"/>
      </w:rPr>
      <w:t>2</w:t>
    </w:r>
    <w:r w:rsidR="008B043A" w:rsidRPr="00265478">
      <w:rPr>
        <w:rStyle w:val="PageNumber"/>
        <w:sz w:val="20"/>
        <w:szCs w:val="20"/>
      </w:rPr>
      <w:fldChar w:fldCharType="end"/>
    </w:r>
    <w:r w:rsidRPr="00265478">
      <w:rPr>
        <w:rStyle w:val="PageNumber"/>
        <w:sz w:val="20"/>
        <w:szCs w:val="20"/>
      </w:rPr>
      <w:t xml:space="preserve"> of </w:t>
    </w:r>
    <w:r w:rsidR="008B043A" w:rsidRPr="00265478">
      <w:rPr>
        <w:rStyle w:val="PageNumber"/>
        <w:sz w:val="20"/>
        <w:szCs w:val="20"/>
      </w:rPr>
      <w:fldChar w:fldCharType="begin"/>
    </w:r>
    <w:r w:rsidRPr="00265478">
      <w:rPr>
        <w:rStyle w:val="PageNumber"/>
        <w:sz w:val="20"/>
        <w:szCs w:val="20"/>
      </w:rPr>
      <w:instrText xml:space="preserve"> NUMPAGES </w:instrText>
    </w:r>
    <w:r w:rsidR="008B043A" w:rsidRPr="00265478">
      <w:rPr>
        <w:rStyle w:val="PageNumber"/>
        <w:sz w:val="20"/>
        <w:szCs w:val="20"/>
      </w:rPr>
      <w:fldChar w:fldCharType="separate"/>
    </w:r>
    <w:r w:rsidR="002E09F7">
      <w:rPr>
        <w:rStyle w:val="PageNumber"/>
        <w:noProof/>
        <w:sz w:val="20"/>
        <w:szCs w:val="20"/>
      </w:rPr>
      <w:t>4</w:t>
    </w:r>
    <w:r w:rsidR="008B043A" w:rsidRPr="00265478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522CD" w14:textId="77777777" w:rsidR="00FE44DE" w:rsidRDefault="00FE44DE">
      <w:r>
        <w:separator/>
      </w:r>
    </w:p>
  </w:footnote>
  <w:footnote w:type="continuationSeparator" w:id="0">
    <w:p w14:paraId="72C76A8C" w14:textId="77777777" w:rsidR="00FE44DE" w:rsidRDefault="00FE44DE">
      <w:r>
        <w:continuationSeparator/>
      </w:r>
    </w:p>
  </w:footnote>
  <w:footnote w:id="1">
    <w:p w14:paraId="321CD2E0" w14:textId="77777777" w:rsidR="008263F5" w:rsidRPr="00583453" w:rsidRDefault="00F74038" w:rsidP="00A94E36">
      <w:pPr>
        <w:pStyle w:val="FootnoteText"/>
        <w:tabs>
          <w:tab w:val="left" w:pos="630"/>
        </w:tabs>
        <w:ind w:firstLine="540"/>
        <w:jc w:val="both"/>
        <w:rPr>
          <w:sz w:val="18"/>
          <w:szCs w:val="18"/>
        </w:rPr>
      </w:pPr>
      <w:r w:rsidRPr="00F74038">
        <w:rPr>
          <w:sz w:val="18"/>
          <w:szCs w:val="18"/>
          <w:vertAlign w:val="superscript"/>
        </w:rPr>
        <w:t>(</w:t>
      </w:r>
      <w:r w:rsidR="008263F5" w:rsidRPr="0063714E">
        <w:rPr>
          <w:rStyle w:val="FootnoteReference"/>
          <w:sz w:val="18"/>
          <w:szCs w:val="18"/>
        </w:rPr>
        <w:footnoteRef/>
      </w:r>
      <w:r w:rsidRPr="00F74038">
        <w:rPr>
          <w:sz w:val="18"/>
          <w:szCs w:val="18"/>
          <w:vertAlign w:val="superscript"/>
        </w:rPr>
        <w:t>)</w:t>
      </w:r>
      <w:r w:rsidR="00A94E36">
        <w:rPr>
          <w:sz w:val="18"/>
          <w:szCs w:val="18"/>
          <w:vertAlign w:val="superscript"/>
        </w:rPr>
        <w:tab/>
      </w:r>
      <w:r w:rsidR="008263F5" w:rsidRPr="00583453">
        <w:rPr>
          <w:sz w:val="18"/>
          <w:szCs w:val="18"/>
        </w:rPr>
        <w:t xml:space="preserve">Certain commercial equipment, instruments or materials are identified in this certificate to adequately </w:t>
      </w:r>
      <w:r w:rsidR="008263F5">
        <w:rPr>
          <w:sz w:val="18"/>
          <w:szCs w:val="18"/>
        </w:rPr>
        <w:t xml:space="preserve">specify </w:t>
      </w:r>
      <w:r w:rsidR="008263F5" w:rsidRPr="00583453">
        <w:rPr>
          <w:sz w:val="18"/>
          <w:szCs w:val="18"/>
        </w:rPr>
        <w:t xml:space="preserve">the experimental procedure.  Such identification does not imply recommendation or endorsement by </w:t>
      </w:r>
      <w:r w:rsidR="00A94E36">
        <w:rPr>
          <w:sz w:val="18"/>
          <w:szCs w:val="18"/>
        </w:rPr>
        <w:t>NIST</w:t>
      </w:r>
      <w:r w:rsidR="008263F5" w:rsidRPr="00583453">
        <w:rPr>
          <w:sz w:val="18"/>
          <w:szCs w:val="18"/>
        </w:rPr>
        <w:t>, nor does it imply that the materials or equipment identified are necessarily the best available for the purpose.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9008B"/>
    <w:multiLevelType w:val="singleLevel"/>
    <w:tmpl w:val="13C839D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B5"/>
    <w:rsid w:val="00005977"/>
    <w:rsid w:val="0001435C"/>
    <w:rsid w:val="00016687"/>
    <w:rsid w:val="00020B02"/>
    <w:rsid w:val="00021714"/>
    <w:rsid w:val="00037E19"/>
    <w:rsid w:val="00061D2C"/>
    <w:rsid w:val="0008697F"/>
    <w:rsid w:val="000871C4"/>
    <w:rsid w:val="000C1829"/>
    <w:rsid w:val="000C2154"/>
    <w:rsid w:val="000C539D"/>
    <w:rsid w:val="000D0FCB"/>
    <w:rsid w:val="000D2556"/>
    <w:rsid w:val="000D675F"/>
    <w:rsid w:val="000D688F"/>
    <w:rsid w:val="000E3CDA"/>
    <w:rsid w:val="000F11EB"/>
    <w:rsid w:val="000F749E"/>
    <w:rsid w:val="001110CC"/>
    <w:rsid w:val="00112F16"/>
    <w:rsid w:val="00121A35"/>
    <w:rsid w:val="001334DC"/>
    <w:rsid w:val="001730E9"/>
    <w:rsid w:val="0019416C"/>
    <w:rsid w:val="001A1D1B"/>
    <w:rsid w:val="001C36C6"/>
    <w:rsid w:val="001D1589"/>
    <w:rsid w:val="001D28A8"/>
    <w:rsid w:val="001E50C3"/>
    <w:rsid w:val="001F104E"/>
    <w:rsid w:val="001F3F6B"/>
    <w:rsid w:val="00210444"/>
    <w:rsid w:val="00243398"/>
    <w:rsid w:val="00262DA0"/>
    <w:rsid w:val="00263B50"/>
    <w:rsid w:val="00265478"/>
    <w:rsid w:val="00291DBD"/>
    <w:rsid w:val="002A2317"/>
    <w:rsid w:val="002A35F7"/>
    <w:rsid w:val="002A5860"/>
    <w:rsid w:val="002A6AF2"/>
    <w:rsid w:val="002C0D96"/>
    <w:rsid w:val="002E09F7"/>
    <w:rsid w:val="002F264F"/>
    <w:rsid w:val="00312685"/>
    <w:rsid w:val="00331EB0"/>
    <w:rsid w:val="0036017E"/>
    <w:rsid w:val="0036188F"/>
    <w:rsid w:val="00371B56"/>
    <w:rsid w:val="0037203F"/>
    <w:rsid w:val="003976A6"/>
    <w:rsid w:val="003976C2"/>
    <w:rsid w:val="003A4906"/>
    <w:rsid w:val="003E1D7E"/>
    <w:rsid w:val="003E59E0"/>
    <w:rsid w:val="003F0080"/>
    <w:rsid w:val="0040554B"/>
    <w:rsid w:val="00420573"/>
    <w:rsid w:val="00422363"/>
    <w:rsid w:val="004306DF"/>
    <w:rsid w:val="0043553C"/>
    <w:rsid w:val="004364D3"/>
    <w:rsid w:val="00447A86"/>
    <w:rsid w:val="004502B5"/>
    <w:rsid w:val="00467C99"/>
    <w:rsid w:val="00470482"/>
    <w:rsid w:val="0047639F"/>
    <w:rsid w:val="00486679"/>
    <w:rsid w:val="0048705B"/>
    <w:rsid w:val="004904E0"/>
    <w:rsid w:val="004A6703"/>
    <w:rsid w:val="004A7C31"/>
    <w:rsid w:val="004B2A93"/>
    <w:rsid w:val="004B3D0E"/>
    <w:rsid w:val="004C53A5"/>
    <w:rsid w:val="004D2847"/>
    <w:rsid w:val="004D2CB3"/>
    <w:rsid w:val="005341DD"/>
    <w:rsid w:val="0054491A"/>
    <w:rsid w:val="005642DF"/>
    <w:rsid w:val="0057684A"/>
    <w:rsid w:val="00580620"/>
    <w:rsid w:val="00583453"/>
    <w:rsid w:val="00590904"/>
    <w:rsid w:val="00595AFD"/>
    <w:rsid w:val="00595B8C"/>
    <w:rsid w:val="005C756E"/>
    <w:rsid w:val="005D74BD"/>
    <w:rsid w:val="00602774"/>
    <w:rsid w:val="006075BD"/>
    <w:rsid w:val="00614B9F"/>
    <w:rsid w:val="0062263C"/>
    <w:rsid w:val="00626F7E"/>
    <w:rsid w:val="00634FDD"/>
    <w:rsid w:val="0063714E"/>
    <w:rsid w:val="006468BF"/>
    <w:rsid w:val="00661A21"/>
    <w:rsid w:val="00667162"/>
    <w:rsid w:val="0067612B"/>
    <w:rsid w:val="006837AB"/>
    <w:rsid w:val="00685C70"/>
    <w:rsid w:val="00691105"/>
    <w:rsid w:val="0069674F"/>
    <w:rsid w:val="006B6A8A"/>
    <w:rsid w:val="006C26E2"/>
    <w:rsid w:val="006C7A73"/>
    <w:rsid w:val="006D08A4"/>
    <w:rsid w:val="006D0A7F"/>
    <w:rsid w:val="006D4B4F"/>
    <w:rsid w:val="006E02AE"/>
    <w:rsid w:val="006F6FDA"/>
    <w:rsid w:val="00707AF9"/>
    <w:rsid w:val="007459B7"/>
    <w:rsid w:val="007479E8"/>
    <w:rsid w:val="007626F5"/>
    <w:rsid w:val="0077066F"/>
    <w:rsid w:val="00790261"/>
    <w:rsid w:val="007B414D"/>
    <w:rsid w:val="007D059A"/>
    <w:rsid w:val="007D4F7C"/>
    <w:rsid w:val="007F1B0E"/>
    <w:rsid w:val="008263F5"/>
    <w:rsid w:val="00840204"/>
    <w:rsid w:val="00843185"/>
    <w:rsid w:val="00844527"/>
    <w:rsid w:val="008460DD"/>
    <w:rsid w:val="0085417D"/>
    <w:rsid w:val="0085721E"/>
    <w:rsid w:val="00861D2A"/>
    <w:rsid w:val="0087338A"/>
    <w:rsid w:val="0088202C"/>
    <w:rsid w:val="00893705"/>
    <w:rsid w:val="008A54E4"/>
    <w:rsid w:val="008A58A1"/>
    <w:rsid w:val="008B043A"/>
    <w:rsid w:val="008B538C"/>
    <w:rsid w:val="008E13FE"/>
    <w:rsid w:val="008E5E52"/>
    <w:rsid w:val="00900376"/>
    <w:rsid w:val="009124FB"/>
    <w:rsid w:val="00920E40"/>
    <w:rsid w:val="00926CE5"/>
    <w:rsid w:val="009347D0"/>
    <w:rsid w:val="00935B89"/>
    <w:rsid w:val="00963961"/>
    <w:rsid w:val="00965955"/>
    <w:rsid w:val="00971C4D"/>
    <w:rsid w:val="00974199"/>
    <w:rsid w:val="00992408"/>
    <w:rsid w:val="009C2D3E"/>
    <w:rsid w:val="009D3F64"/>
    <w:rsid w:val="009F0A04"/>
    <w:rsid w:val="00A016CA"/>
    <w:rsid w:val="00A15011"/>
    <w:rsid w:val="00A22BCF"/>
    <w:rsid w:val="00A24758"/>
    <w:rsid w:val="00A332DB"/>
    <w:rsid w:val="00A50A03"/>
    <w:rsid w:val="00A6486E"/>
    <w:rsid w:val="00A73CEA"/>
    <w:rsid w:val="00A83BA4"/>
    <w:rsid w:val="00A872AF"/>
    <w:rsid w:val="00A94717"/>
    <w:rsid w:val="00A94E36"/>
    <w:rsid w:val="00A97DCF"/>
    <w:rsid w:val="00AD2168"/>
    <w:rsid w:val="00AF2373"/>
    <w:rsid w:val="00AF5FCB"/>
    <w:rsid w:val="00B000D5"/>
    <w:rsid w:val="00B23116"/>
    <w:rsid w:val="00B31629"/>
    <w:rsid w:val="00B36304"/>
    <w:rsid w:val="00B46710"/>
    <w:rsid w:val="00B66EC4"/>
    <w:rsid w:val="00B800E5"/>
    <w:rsid w:val="00BA1D32"/>
    <w:rsid w:val="00BB4258"/>
    <w:rsid w:val="00BC5308"/>
    <w:rsid w:val="00BD3430"/>
    <w:rsid w:val="00BD530A"/>
    <w:rsid w:val="00BE0DEC"/>
    <w:rsid w:val="00BE1E18"/>
    <w:rsid w:val="00BF118E"/>
    <w:rsid w:val="00BF2340"/>
    <w:rsid w:val="00C03DAB"/>
    <w:rsid w:val="00C071D2"/>
    <w:rsid w:val="00C214F9"/>
    <w:rsid w:val="00C21FF9"/>
    <w:rsid w:val="00C24C32"/>
    <w:rsid w:val="00C3120F"/>
    <w:rsid w:val="00C31754"/>
    <w:rsid w:val="00C51B75"/>
    <w:rsid w:val="00C71431"/>
    <w:rsid w:val="00C71BDF"/>
    <w:rsid w:val="00C75C7C"/>
    <w:rsid w:val="00C82F7D"/>
    <w:rsid w:val="00C83D3F"/>
    <w:rsid w:val="00C85571"/>
    <w:rsid w:val="00C90E14"/>
    <w:rsid w:val="00C95C9C"/>
    <w:rsid w:val="00CB26C3"/>
    <w:rsid w:val="00CD0D3D"/>
    <w:rsid w:val="00CD4BC9"/>
    <w:rsid w:val="00CD6632"/>
    <w:rsid w:val="00CD682F"/>
    <w:rsid w:val="00CF0BDE"/>
    <w:rsid w:val="00CF4465"/>
    <w:rsid w:val="00D0048B"/>
    <w:rsid w:val="00D1462F"/>
    <w:rsid w:val="00D173B9"/>
    <w:rsid w:val="00D3274F"/>
    <w:rsid w:val="00D33223"/>
    <w:rsid w:val="00D34DB5"/>
    <w:rsid w:val="00D4476E"/>
    <w:rsid w:val="00D556F2"/>
    <w:rsid w:val="00D61362"/>
    <w:rsid w:val="00D61C7D"/>
    <w:rsid w:val="00D80BBD"/>
    <w:rsid w:val="00D94017"/>
    <w:rsid w:val="00DB305A"/>
    <w:rsid w:val="00DF1DA9"/>
    <w:rsid w:val="00DF3598"/>
    <w:rsid w:val="00DF4174"/>
    <w:rsid w:val="00DF5F23"/>
    <w:rsid w:val="00E233C2"/>
    <w:rsid w:val="00E332A9"/>
    <w:rsid w:val="00E33699"/>
    <w:rsid w:val="00E63C11"/>
    <w:rsid w:val="00E815ED"/>
    <w:rsid w:val="00E84E1C"/>
    <w:rsid w:val="00E878EA"/>
    <w:rsid w:val="00E90381"/>
    <w:rsid w:val="00EC389E"/>
    <w:rsid w:val="00EC40FD"/>
    <w:rsid w:val="00EE0A06"/>
    <w:rsid w:val="00EF34BE"/>
    <w:rsid w:val="00F0456E"/>
    <w:rsid w:val="00F1769E"/>
    <w:rsid w:val="00F22C3E"/>
    <w:rsid w:val="00F2738D"/>
    <w:rsid w:val="00F34A78"/>
    <w:rsid w:val="00F34A7A"/>
    <w:rsid w:val="00F4271E"/>
    <w:rsid w:val="00F43EF5"/>
    <w:rsid w:val="00F50548"/>
    <w:rsid w:val="00F71A10"/>
    <w:rsid w:val="00F71DB5"/>
    <w:rsid w:val="00F71F2F"/>
    <w:rsid w:val="00F74038"/>
    <w:rsid w:val="00F742A8"/>
    <w:rsid w:val="00F825FE"/>
    <w:rsid w:val="00F9528E"/>
    <w:rsid w:val="00FB3165"/>
    <w:rsid w:val="00FB7AA7"/>
    <w:rsid w:val="00FC6C50"/>
    <w:rsid w:val="00FC74AB"/>
    <w:rsid w:val="00FC7E4C"/>
    <w:rsid w:val="00FD6361"/>
    <w:rsid w:val="00FE44DE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."/>
  <w:listSeparator w:val=","/>
  <w14:docId w14:val="52483AD9"/>
  <w15:docId w15:val="{B0FF222B-C2AC-44D1-9A61-6B5C5C08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8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54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547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5478"/>
  </w:style>
  <w:style w:type="table" w:styleId="TableSimple2">
    <w:name w:val="Table Simple 2"/>
    <w:basedOn w:val="TableNormal"/>
    <w:rsid w:val="00C3175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730E9"/>
    <w:rPr>
      <w:color w:val="auto"/>
      <w:u w:val="none"/>
    </w:rPr>
  </w:style>
  <w:style w:type="paragraph" w:styleId="FootnoteText">
    <w:name w:val="footnote text"/>
    <w:basedOn w:val="Normal"/>
    <w:semiHidden/>
    <w:rsid w:val="0019416C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9416C"/>
    <w:rPr>
      <w:vertAlign w:val="superscript"/>
    </w:rPr>
  </w:style>
  <w:style w:type="paragraph" w:styleId="Title">
    <w:name w:val="Title"/>
    <w:basedOn w:val="Normal"/>
    <w:qFormat/>
    <w:rsid w:val="006C26E2"/>
    <w:pPr>
      <w:widowControl w:val="0"/>
      <w:tabs>
        <w:tab w:val="left" w:pos="900"/>
        <w:tab w:val="center" w:pos="4680"/>
      </w:tabs>
      <w:ind w:left="806" w:hanging="806"/>
      <w:jc w:val="center"/>
    </w:pPr>
    <w:rPr>
      <w:rFonts w:ascii="Lincoln" w:hAnsi="Lincoln"/>
      <w:sz w:val="44"/>
      <w:szCs w:val="20"/>
    </w:rPr>
  </w:style>
  <w:style w:type="paragraph" w:styleId="Subtitle">
    <w:name w:val="Subtitle"/>
    <w:basedOn w:val="Normal"/>
    <w:qFormat/>
    <w:rsid w:val="006C26E2"/>
    <w:pPr>
      <w:jc w:val="center"/>
    </w:pPr>
    <w:rPr>
      <w:rFonts w:ascii="Lincoln" w:hAnsi="Lincoln"/>
      <w:snapToGrid w:val="0"/>
      <w:sz w:val="60"/>
      <w:szCs w:val="20"/>
    </w:rPr>
  </w:style>
  <w:style w:type="paragraph" w:styleId="BalloonText">
    <w:name w:val="Balloon Text"/>
    <w:basedOn w:val="Normal"/>
    <w:semiHidden/>
    <w:rsid w:val="00920E4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920E40"/>
    <w:pPr>
      <w:widowControl w:val="0"/>
      <w:tabs>
        <w:tab w:val="left" w:pos="-1440"/>
        <w:tab w:val="left" w:pos="-720"/>
      </w:tabs>
      <w:suppressAutoHyphens/>
      <w:jc w:val="both"/>
    </w:pPr>
    <w:rPr>
      <w:rFonts w:ascii="CG Times" w:hAnsi="CG Times"/>
      <w:spacing w:val="-2"/>
      <w:sz w:val="20"/>
      <w:szCs w:val="20"/>
      <w:lang w:val="en-GB"/>
    </w:rPr>
  </w:style>
  <w:style w:type="character" w:styleId="CommentReference">
    <w:name w:val="annotation reference"/>
    <w:basedOn w:val="DefaultParagraphFont"/>
    <w:semiHidden/>
    <w:rsid w:val="00920E40"/>
    <w:rPr>
      <w:sz w:val="16"/>
      <w:szCs w:val="16"/>
    </w:rPr>
  </w:style>
  <w:style w:type="paragraph" w:styleId="CommentText">
    <w:name w:val="annotation text"/>
    <w:basedOn w:val="Normal"/>
    <w:semiHidden/>
    <w:rsid w:val="00920E4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0E40"/>
    <w:rPr>
      <w:b/>
      <w:bCs/>
    </w:rPr>
  </w:style>
  <w:style w:type="character" w:styleId="FollowedHyperlink">
    <w:name w:val="FollowedHyperlink"/>
    <w:basedOn w:val="DefaultParagraphFont"/>
    <w:rsid w:val="00CD4BC9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602774"/>
    <w:pPr>
      <w:spacing w:after="120" w:line="480" w:lineRule="auto"/>
      <w:ind w:left="360"/>
      <w:jc w:val="both"/>
    </w:pPr>
    <w:rPr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602774"/>
  </w:style>
  <w:style w:type="table" w:styleId="TableGrid">
    <w:name w:val="Table Grid"/>
    <w:basedOn w:val="TableNormal"/>
    <w:uiPriority w:val="59"/>
    <w:rsid w:val="00583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MLBody">
    <w:name w:val="HTML Body"/>
    <w:rsid w:val="00243398"/>
    <w:rPr>
      <w:snapToGrid w:val="0"/>
    </w:rPr>
  </w:style>
  <w:style w:type="paragraph" w:styleId="ListParagraph">
    <w:name w:val="List Paragraph"/>
    <w:basedOn w:val="Normal"/>
    <w:uiPriority w:val="34"/>
    <w:qFormat/>
    <w:rsid w:val="00243398"/>
    <w:pPr>
      <w:ind w:left="720"/>
      <w:contextualSpacing/>
    </w:pPr>
  </w:style>
  <w:style w:type="paragraph" w:styleId="Revision">
    <w:name w:val="Revision"/>
    <w:hidden/>
    <w:uiPriority w:val="99"/>
    <w:semiHidden/>
    <w:rsid w:val="001730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2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://www.bipm.org/utils/common/documents/jcgm/JCGM_100_2008_E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ist.gov/pml/pubs/index.cfm/" TargetMode="External"/><Relationship Id="rId17" Type="http://schemas.openxmlformats.org/officeDocument/2006/relationships/hyperlink" Target="http://www.nist.gov/sr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rminfo@nsit.gov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st.gov/srm/publications.cf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pm.org/utils/common/documents/jcgm/JCGM_101_2008_E.pdf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Word_97_-_2003_Document.doc"/><Relationship Id="rId14" Type="http://schemas.openxmlformats.org/officeDocument/2006/relationships/hyperlink" Target="http://www.nist.gov/pml/pubs/index.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85F0B-9963-4A98-99EC-3BD73539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1542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  National Institute of Standards and Technology</vt:lpstr>
    </vt:vector>
  </TitlesOfParts>
  <Company>NIST</Company>
  <LinksUpToDate>false</LinksUpToDate>
  <CharactersWithSpaces>10851</CharactersWithSpaces>
  <SharedDoc>false</SharedDoc>
  <HLinks>
    <vt:vector size="12" baseType="variant">
      <vt:variant>
        <vt:i4>2752559</vt:i4>
      </vt:variant>
      <vt:variant>
        <vt:i4>3</vt:i4>
      </vt:variant>
      <vt:variant>
        <vt:i4>0</vt:i4>
      </vt:variant>
      <vt:variant>
        <vt:i4>5</vt:i4>
      </vt:variant>
      <vt:variant>
        <vt:lpwstr>http://www.nist.gov/srm</vt:lpwstr>
      </vt:variant>
      <vt:variant>
        <vt:lpwstr/>
      </vt:variant>
      <vt:variant>
        <vt:i4>5046296</vt:i4>
      </vt:variant>
      <vt:variant>
        <vt:i4>0</vt:i4>
      </vt:variant>
      <vt:variant>
        <vt:i4>0</vt:i4>
      </vt:variant>
      <vt:variant>
        <vt:i4>5</vt:i4>
      </vt:variant>
      <vt:variant>
        <vt:lpwstr>http://www.physics.nist.gov/Pubs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  National Institute of Standards and Technology</dc:title>
  <dc:subject/>
  <dc:creator>Mary Bedner</dc:creator>
  <cp:keywords/>
  <dc:description/>
  <cp:lastModifiedBy>Barber, Chuck</cp:lastModifiedBy>
  <cp:revision>4</cp:revision>
  <cp:lastPrinted>2016-01-14T13:31:00Z</cp:lastPrinted>
  <dcterms:created xsi:type="dcterms:W3CDTF">2016-01-14T13:30:00Z</dcterms:created>
  <dcterms:modified xsi:type="dcterms:W3CDTF">2016-01-14T13:31:00Z</dcterms:modified>
</cp:coreProperties>
</file>