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62AE4E" w14:textId="77777777" w:rsidR="006C26E2" w:rsidRDefault="00E45208" w:rsidP="00E45208">
      <w:pPr>
        <w:pStyle w:val="Title"/>
        <w:widowControl/>
        <w:tabs>
          <w:tab w:val="clear" w:pos="900"/>
          <w:tab w:val="left" w:pos="720"/>
        </w:tabs>
        <w:ind w:left="0" w:firstLine="0"/>
        <w:rPr>
          <w:rFonts w:ascii="Linotext" w:hAnsi="Linotext"/>
        </w:rPr>
      </w:pPr>
      <w:r>
        <w:rPr>
          <w:rFonts w:ascii="Linotext" w:hAnsi="Linotext"/>
          <w:noProof/>
        </w:rPr>
        <w:object w:dxaOrig="1440" w:dyaOrig="1440" w14:anchorId="4A20D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36pt;margin-top:-16.15pt;width:96pt;height:63.75pt;z-index:-251658752" fillcolor="window">
            <v:imagedata r:id="rId7" o:title=""/>
          </v:shape>
          <o:OLEObject Type="Embed" ProgID="Word.Document.8" ShapeID="_x0000_s1034" DrawAspect="Content" ObjectID="_1517814359" r:id="rId8">
            <o:FieldCodes>\s</o:FieldCodes>
          </o:OLEObject>
        </w:object>
      </w:r>
      <w:r w:rsidR="006C26E2">
        <w:rPr>
          <w:rFonts w:ascii="Linotext" w:hAnsi="Linotext"/>
        </w:rPr>
        <w:t>National Institute of Standards &amp; Technology</w:t>
      </w:r>
    </w:p>
    <w:p w14:paraId="04C5A08F" w14:textId="77777777" w:rsidR="006275F5" w:rsidRPr="002610C9" w:rsidRDefault="006275F5" w:rsidP="00E45208">
      <w:pPr>
        <w:pStyle w:val="Title"/>
        <w:widowControl/>
        <w:tabs>
          <w:tab w:val="clear" w:pos="900"/>
          <w:tab w:val="clear" w:pos="4680"/>
        </w:tabs>
        <w:ind w:left="0" w:firstLine="0"/>
        <w:rPr>
          <w:rFonts w:ascii="Times New Roman" w:hAnsi="Times New Roman"/>
          <w:sz w:val="20"/>
        </w:rPr>
      </w:pPr>
    </w:p>
    <w:p w14:paraId="2CAD4699" w14:textId="77777777" w:rsidR="006C26E2" w:rsidRDefault="006C26E2">
      <w:pPr>
        <w:pStyle w:val="Subtitle"/>
        <w:rPr>
          <w:rFonts w:ascii="Linotext" w:hAnsi="Linotext"/>
        </w:rPr>
      </w:pPr>
      <w:r>
        <w:rPr>
          <w:rFonts w:ascii="Linotext" w:hAnsi="Linotext"/>
        </w:rPr>
        <w:t>Certificate of Analysis</w:t>
      </w:r>
    </w:p>
    <w:p w14:paraId="0E7A1B59" w14:textId="77777777" w:rsidR="00D34DB5" w:rsidRPr="003A331D" w:rsidRDefault="00D34DB5">
      <w:pPr>
        <w:ind w:hanging="360"/>
        <w:jc w:val="center"/>
        <w:rPr>
          <w:rFonts w:ascii="Linotext" w:hAnsi="Linotext"/>
          <w:szCs w:val="20"/>
        </w:rPr>
      </w:pPr>
    </w:p>
    <w:p w14:paraId="7D77EEE8" w14:textId="77777777" w:rsidR="00D34DB5" w:rsidRDefault="00D34DB5">
      <w:pPr>
        <w:jc w:val="center"/>
        <w:rPr>
          <w:sz w:val="36"/>
          <w:szCs w:val="36"/>
        </w:rPr>
      </w:pPr>
      <w:r w:rsidRPr="00D34DB5">
        <w:rPr>
          <w:sz w:val="36"/>
          <w:szCs w:val="36"/>
        </w:rPr>
        <w:t>Standard Reference Material</w:t>
      </w:r>
      <w:r w:rsidRPr="00D34DB5">
        <w:rPr>
          <w:sz w:val="36"/>
          <w:szCs w:val="36"/>
          <w:vertAlign w:val="superscript"/>
        </w:rPr>
        <w:t>®</w:t>
      </w:r>
      <w:r w:rsidR="002610C9">
        <w:rPr>
          <w:sz w:val="36"/>
          <w:szCs w:val="36"/>
        </w:rPr>
        <w:t> </w:t>
      </w:r>
      <w:r w:rsidR="007A7C1B">
        <w:rPr>
          <w:sz w:val="36"/>
          <w:szCs w:val="36"/>
        </w:rPr>
        <w:t>3286</w:t>
      </w:r>
    </w:p>
    <w:p w14:paraId="7D1548B7" w14:textId="77777777" w:rsidR="00D34DB5" w:rsidRPr="003A331D" w:rsidRDefault="00D34DB5">
      <w:pPr>
        <w:ind w:hanging="360"/>
        <w:jc w:val="center"/>
        <w:rPr>
          <w:szCs w:val="20"/>
        </w:rPr>
      </w:pPr>
    </w:p>
    <w:p w14:paraId="3493A039" w14:textId="77777777" w:rsidR="00D34DB5" w:rsidRPr="00840204" w:rsidRDefault="007A7C1B">
      <w:pPr>
        <w:jc w:val="center"/>
        <w:rPr>
          <w:sz w:val="28"/>
          <w:szCs w:val="28"/>
        </w:rPr>
      </w:pPr>
      <w:r>
        <w:rPr>
          <w:sz w:val="28"/>
          <w:szCs w:val="28"/>
        </w:rPr>
        <w:t>Organic Acids</w:t>
      </w:r>
      <w:r w:rsidR="00B000D5" w:rsidRPr="00B000D5">
        <w:rPr>
          <w:sz w:val="28"/>
          <w:szCs w:val="28"/>
        </w:rPr>
        <w:t xml:space="preserve"> Calibration Solution</w:t>
      </w:r>
    </w:p>
    <w:p w14:paraId="1E767B68" w14:textId="77777777" w:rsidR="00D34DB5" w:rsidRPr="00A94717" w:rsidRDefault="00D34DB5">
      <w:pPr>
        <w:tabs>
          <w:tab w:val="left" w:pos="6930"/>
        </w:tabs>
        <w:rPr>
          <w:szCs w:val="20"/>
        </w:rPr>
      </w:pPr>
    </w:p>
    <w:p w14:paraId="4269104F" w14:textId="77777777" w:rsidR="00D34DB5" w:rsidRPr="004257E1" w:rsidRDefault="00D34DB5">
      <w:pPr>
        <w:rPr>
          <w:szCs w:val="20"/>
        </w:rPr>
      </w:pPr>
      <w:r w:rsidRPr="004257E1">
        <w:rPr>
          <w:szCs w:val="20"/>
        </w:rPr>
        <w:t>This Standard Reference Material</w:t>
      </w:r>
      <w:r w:rsidR="002610C9">
        <w:rPr>
          <w:szCs w:val="20"/>
        </w:rPr>
        <w:t> </w:t>
      </w:r>
      <w:r w:rsidRPr="004257E1">
        <w:rPr>
          <w:szCs w:val="20"/>
        </w:rPr>
        <w:t xml:space="preserve">(SRM) </w:t>
      </w:r>
      <w:r w:rsidR="00920E40" w:rsidRPr="004257E1">
        <w:rPr>
          <w:szCs w:val="20"/>
        </w:rPr>
        <w:t xml:space="preserve">consists of </w:t>
      </w:r>
      <w:r w:rsidR="00CE24AD" w:rsidRPr="004257E1">
        <w:rPr>
          <w:szCs w:val="20"/>
        </w:rPr>
        <w:t xml:space="preserve">a solution of </w:t>
      </w:r>
      <w:r w:rsidR="004257E1" w:rsidRPr="004257E1">
        <w:rPr>
          <w:szCs w:val="20"/>
        </w:rPr>
        <w:t>organic acids (</w:t>
      </w:r>
      <w:r w:rsidR="00CE24AD" w:rsidRPr="004257E1">
        <w:rPr>
          <w:szCs w:val="20"/>
        </w:rPr>
        <w:t>citric acid, malic acid, quinic acid, shikimic acid, and tartaric acid</w:t>
      </w:r>
      <w:r w:rsidR="004257E1" w:rsidRPr="004257E1">
        <w:rPr>
          <w:szCs w:val="20"/>
        </w:rPr>
        <w:t>)</w:t>
      </w:r>
      <w:r w:rsidR="00CE24AD" w:rsidRPr="004257E1">
        <w:rPr>
          <w:szCs w:val="20"/>
        </w:rPr>
        <w:t xml:space="preserve"> in water</w:t>
      </w:r>
      <w:r w:rsidR="00963961" w:rsidRPr="004257E1">
        <w:rPr>
          <w:szCs w:val="20"/>
        </w:rPr>
        <w:t>.  SRM</w:t>
      </w:r>
      <w:r w:rsidR="002610C9">
        <w:rPr>
          <w:szCs w:val="20"/>
        </w:rPr>
        <w:t> </w:t>
      </w:r>
      <w:r w:rsidR="00CE24AD" w:rsidRPr="004257E1">
        <w:rPr>
          <w:szCs w:val="20"/>
        </w:rPr>
        <w:t>3286</w:t>
      </w:r>
      <w:r w:rsidR="00963961" w:rsidRPr="004257E1">
        <w:rPr>
          <w:szCs w:val="20"/>
        </w:rPr>
        <w:t xml:space="preserve"> is intended primarily for use in calibration of instruments and techniques used for the determination of these </w:t>
      </w:r>
      <w:r w:rsidR="004257E1" w:rsidRPr="004257E1">
        <w:rPr>
          <w:szCs w:val="20"/>
        </w:rPr>
        <w:t>organic acids</w:t>
      </w:r>
      <w:r w:rsidR="00963961" w:rsidRPr="004257E1">
        <w:rPr>
          <w:szCs w:val="20"/>
        </w:rPr>
        <w:t xml:space="preserve">.  </w:t>
      </w:r>
      <w:r w:rsidR="003A331D" w:rsidRPr="004257E1">
        <w:rPr>
          <w:szCs w:val="20"/>
        </w:rPr>
        <w:t>A</w:t>
      </w:r>
      <w:r w:rsidR="00963961" w:rsidRPr="004257E1">
        <w:rPr>
          <w:szCs w:val="20"/>
        </w:rPr>
        <w:t xml:space="preserve"> unit </w:t>
      </w:r>
      <w:r w:rsidR="006E5BDF">
        <w:rPr>
          <w:szCs w:val="20"/>
        </w:rPr>
        <w:t xml:space="preserve">of SRM 3286 </w:t>
      </w:r>
      <w:r w:rsidR="00963961" w:rsidRPr="004257E1">
        <w:rPr>
          <w:szCs w:val="20"/>
        </w:rPr>
        <w:t xml:space="preserve">consists of </w:t>
      </w:r>
      <w:r w:rsidR="004257E1" w:rsidRPr="004257E1">
        <w:rPr>
          <w:szCs w:val="20"/>
        </w:rPr>
        <w:t>five</w:t>
      </w:r>
      <w:r w:rsidR="00963961" w:rsidRPr="004257E1">
        <w:rPr>
          <w:szCs w:val="20"/>
        </w:rPr>
        <w:t xml:space="preserve"> 2</w:t>
      </w:r>
      <w:r w:rsidR="002610C9">
        <w:rPr>
          <w:szCs w:val="20"/>
        </w:rPr>
        <w:t> </w:t>
      </w:r>
      <w:r w:rsidR="00963961" w:rsidRPr="004257E1">
        <w:rPr>
          <w:szCs w:val="20"/>
        </w:rPr>
        <w:t>mL ampoules</w:t>
      </w:r>
      <w:r w:rsidR="004257E1" w:rsidRPr="004257E1">
        <w:rPr>
          <w:szCs w:val="20"/>
        </w:rPr>
        <w:t xml:space="preserve">, each </w:t>
      </w:r>
      <w:r w:rsidR="00963961" w:rsidRPr="004257E1">
        <w:rPr>
          <w:szCs w:val="20"/>
        </w:rPr>
        <w:t>contain</w:t>
      </w:r>
      <w:r w:rsidR="004257E1" w:rsidRPr="004257E1">
        <w:rPr>
          <w:szCs w:val="20"/>
        </w:rPr>
        <w:t>ing</w:t>
      </w:r>
      <w:r w:rsidR="00963961" w:rsidRPr="004257E1">
        <w:rPr>
          <w:szCs w:val="20"/>
        </w:rPr>
        <w:t xml:space="preserve"> approximately 1.2</w:t>
      </w:r>
      <w:r w:rsidR="002610C9">
        <w:rPr>
          <w:szCs w:val="20"/>
        </w:rPr>
        <w:t> </w:t>
      </w:r>
      <w:r w:rsidR="00963961" w:rsidRPr="004257E1">
        <w:rPr>
          <w:szCs w:val="20"/>
        </w:rPr>
        <w:t xml:space="preserve">mL of </w:t>
      </w:r>
      <w:r w:rsidR="004257E1" w:rsidRPr="004257E1">
        <w:rPr>
          <w:szCs w:val="20"/>
        </w:rPr>
        <w:t>the organic acids</w:t>
      </w:r>
      <w:r w:rsidR="00963961" w:rsidRPr="004257E1">
        <w:rPr>
          <w:szCs w:val="20"/>
        </w:rPr>
        <w:t xml:space="preserve"> solution.</w:t>
      </w:r>
    </w:p>
    <w:p w14:paraId="53A38422" w14:textId="77777777" w:rsidR="00920E40" w:rsidRPr="007A7C1B" w:rsidRDefault="00920E40">
      <w:pPr>
        <w:rPr>
          <w:szCs w:val="20"/>
          <w:highlight w:val="yellow"/>
        </w:rPr>
      </w:pPr>
    </w:p>
    <w:p w14:paraId="4310F999" w14:textId="77777777" w:rsidR="00920E40" w:rsidRPr="004257E1" w:rsidRDefault="009310E2" w:rsidP="00E45208">
      <w:pPr>
        <w:pStyle w:val="BodyText"/>
        <w:widowControl/>
        <w:tabs>
          <w:tab w:val="clear" w:pos="-1440"/>
          <w:tab w:val="clear" w:pos="-720"/>
        </w:tabs>
        <w:suppressAutoHyphens w:val="0"/>
        <w:rPr>
          <w:rFonts w:ascii="Times New Roman" w:hAnsi="Times New Roman"/>
          <w:spacing w:val="0"/>
          <w:kern w:val="2"/>
          <w:lang w:val="en-US"/>
        </w:rPr>
      </w:pPr>
      <w:r w:rsidRPr="004257E1">
        <w:rPr>
          <w:rFonts w:ascii="Times New Roman" w:hAnsi="Times New Roman"/>
          <w:spacing w:val="0"/>
          <w:lang w:val="en-US"/>
        </w:rPr>
        <w:t>D</w:t>
      </w:r>
      <w:r w:rsidR="00920E40" w:rsidRPr="004257E1">
        <w:rPr>
          <w:rFonts w:ascii="Times New Roman" w:hAnsi="Times New Roman"/>
          <w:spacing w:val="0"/>
          <w:lang w:val="en-US"/>
        </w:rPr>
        <w:t>evelopment of SRM</w:t>
      </w:r>
      <w:r w:rsidR="001C4780">
        <w:rPr>
          <w:rFonts w:ascii="Times New Roman" w:hAnsi="Times New Roman"/>
          <w:spacing w:val="0"/>
          <w:lang w:val="en-US"/>
        </w:rPr>
        <w:t> </w:t>
      </w:r>
      <w:r w:rsidR="004257E1" w:rsidRPr="004257E1">
        <w:rPr>
          <w:rFonts w:ascii="Times New Roman" w:hAnsi="Times New Roman"/>
          <w:spacing w:val="0"/>
          <w:lang w:val="en-US"/>
        </w:rPr>
        <w:t>3286</w:t>
      </w:r>
      <w:r w:rsidR="00920E40" w:rsidRPr="004257E1">
        <w:rPr>
          <w:rFonts w:ascii="Times New Roman" w:hAnsi="Times New Roman"/>
          <w:spacing w:val="0"/>
          <w:lang w:val="en-US"/>
        </w:rPr>
        <w:t xml:space="preserve"> was</w:t>
      </w:r>
      <w:r w:rsidR="0043378E" w:rsidRPr="004257E1">
        <w:rPr>
          <w:rFonts w:ascii="Times New Roman" w:hAnsi="Times New Roman"/>
          <w:spacing w:val="0"/>
          <w:lang w:val="en-US"/>
        </w:rPr>
        <w:t xml:space="preserve"> </w:t>
      </w:r>
      <w:r w:rsidR="009F0F24">
        <w:rPr>
          <w:rFonts w:ascii="Times New Roman" w:hAnsi="Times New Roman"/>
          <w:spacing w:val="0"/>
          <w:lang w:val="en-US"/>
        </w:rPr>
        <w:t>a</w:t>
      </w:r>
      <w:r w:rsidR="00F95DFF" w:rsidRPr="004257E1">
        <w:rPr>
          <w:rFonts w:ascii="Times New Roman" w:hAnsi="Times New Roman"/>
          <w:spacing w:val="0"/>
          <w:lang w:val="en-US"/>
        </w:rPr>
        <w:t xml:space="preserve"> </w:t>
      </w:r>
      <w:r w:rsidR="0043378E" w:rsidRPr="004257E1">
        <w:rPr>
          <w:rFonts w:ascii="Times New Roman" w:hAnsi="Times New Roman"/>
          <w:spacing w:val="0"/>
          <w:lang w:val="en-US"/>
        </w:rPr>
        <w:t>collaboration</w:t>
      </w:r>
      <w:r w:rsidR="00920E40" w:rsidRPr="004257E1">
        <w:rPr>
          <w:rFonts w:ascii="Times New Roman" w:hAnsi="Times New Roman"/>
          <w:spacing w:val="0"/>
          <w:lang w:val="en-US"/>
        </w:rPr>
        <w:t xml:space="preserve"> between the National Institute of Standards and Technology</w:t>
      </w:r>
      <w:r w:rsidR="001C4780">
        <w:rPr>
          <w:rFonts w:ascii="Times New Roman" w:hAnsi="Times New Roman"/>
          <w:spacing w:val="0"/>
          <w:lang w:val="en-US"/>
        </w:rPr>
        <w:t> </w:t>
      </w:r>
      <w:r w:rsidR="00920E40" w:rsidRPr="004257E1">
        <w:rPr>
          <w:rFonts w:ascii="Times New Roman" w:hAnsi="Times New Roman"/>
          <w:spacing w:val="0"/>
          <w:lang w:val="en-US"/>
        </w:rPr>
        <w:t>(NIST) and the National Institutes of Health Office of Dietary Supplements</w:t>
      </w:r>
      <w:r w:rsidR="001C4780">
        <w:rPr>
          <w:rFonts w:ascii="Times New Roman" w:hAnsi="Times New Roman"/>
          <w:spacing w:val="0"/>
          <w:lang w:val="en-US"/>
        </w:rPr>
        <w:t> </w:t>
      </w:r>
      <w:r w:rsidR="00920E40" w:rsidRPr="004257E1">
        <w:rPr>
          <w:rFonts w:ascii="Times New Roman" w:hAnsi="Times New Roman"/>
          <w:spacing w:val="0"/>
          <w:lang w:val="en-US"/>
        </w:rPr>
        <w:t>(</w:t>
      </w:r>
      <w:r w:rsidR="00757DD5">
        <w:rPr>
          <w:rFonts w:ascii="Times New Roman" w:hAnsi="Times New Roman"/>
          <w:spacing w:val="0"/>
          <w:lang w:val="en-US"/>
        </w:rPr>
        <w:t>NIH</w:t>
      </w:r>
      <w:r w:rsidR="001C4780">
        <w:rPr>
          <w:rFonts w:ascii="Times New Roman" w:hAnsi="Times New Roman"/>
          <w:spacing w:val="0"/>
          <w:lang w:val="en-US"/>
        </w:rPr>
        <w:t> </w:t>
      </w:r>
      <w:r w:rsidR="00920E40" w:rsidRPr="004257E1">
        <w:rPr>
          <w:rFonts w:ascii="Times New Roman" w:hAnsi="Times New Roman"/>
          <w:spacing w:val="0"/>
          <w:lang w:val="en-US"/>
        </w:rPr>
        <w:t>ODS).</w:t>
      </w:r>
    </w:p>
    <w:p w14:paraId="7D4435F9" w14:textId="77777777" w:rsidR="00A94717" w:rsidRPr="007A7C1B" w:rsidRDefault="00A94717">
      <w:pPr>
        <w:rPr>
          <w:szCs w:val="20"/>
          <w:highlight w:val="yellow"/>
        </w:rPr>
      </w:pPr>
    </w:p>
    <w:p w14:paraId="3CD79807" w14:textId="77777777" w:rsidR="008A58A1" w:rsidRDefault="00A94717">
      <w:pPr>
        <w:rPr>
          <w:szCs w:val="20"/>
        </w:rPr>
      </w:pPr>
      <w:r w:rsidRPr="004257E1">
        <w:rPr>
          <w:b/>
          <w:szCs w:val="20"/>
        </w:rPr>
        <w:t xml:space="preserve">Certified </w:t>
      </w:r>
      <w:r w:rsidR="00380D10">
        <w:rPr>
          <w:b/>
          <w:szCs w:val="20"/>
        </w:rPr>
        <w:t>Mass Fraction Values</w:t>
      </w:r>
      <w:r w:rsidRPr="004257E1">
        <w:rPr>
          <w:b/>
          <w:szCs w:val="20"/>
        </w:rPr>
        <w:t>:</w:t>
      </w:r>
      <w:r w:rsidR="003A331D" w:rsidRPr="004257E1">
        <w:rPr>
          <w:szCs w:val="20"/>
        </w:rPr>
        <w:t xml:space="preserve">  </w:t>
      </w:r>
      <w:r w:rsidRPr="004257E1">
        <w:rPr>
          <w:szCs w:val="20"/>
        </w:rPr>
        <w:t xml:space="preserve">The certified values </w:t>
      </w:r>
      <w:r w:rsidR="00C71BDF" w:rsidRPr="004257E1">
        <w:rPr>
          <w:szCs w:val="20"/>
        </w:rPr>
        <w:t xml:space="preserve">for </w:t>
      </w:r>
      <w:r w:rsidR="006060B8">
        <w:rPr>
          <w:szCs w:val="20"/>
        </w:rPr>
        <w:t xml:space="preserve">organic acids </w:t>
      </w:r>
      <w:r w:rsidR="004C5BBF" w:rsidRPr="004257E1">
        <w:rPr>
          <w:szCs w:val="20"/>
        </w:rPr>
        <w:t>presented in Table</w:t>
      </w:r>
      <w:r w:rsidR="001C4780">
        <w:rPr>
          <w:szCs w:val="20"/>
        </w:rPr>
        <w:t> </w:t>
      </w:r>
      <w:r w:rsidR="004C5BBF" w:rsidRPr="004257E1">
        <w:rPr>
          <w:szCs w:val="20"/>
        </w:rPr>
        <w:t xml:space="preserve">1 </w:t>
      </w:r>
      <w:r w:rsidRPr="004257E1">
        <w:rPr>
          <w:szCs w:val="20"/>
        </w:rPr>
        <w:t xml:space="preserve">are </w:t>
      </w:r>
      <w:r w:rsidR="002A2317" w:rsidRPr="004257E1">
        <w:rPr>
          <w:szCs w:val="20"/>
        </w:rPr>
        <w:t xml:space="preserve">based on the </w:t>
      </w:r>
      <w:r w:rsidR="006060B8">
        <w:rPr>
          <w:szCs w:val="20"/>
        </w:rPr>
        <w:t>masses used in</w:t>
      </w:r>
      <w:r w:rsidR="002A2317" w:rsidRPr="004257E1">
        <w:rPr>
          <w:szCs w:val="20"/>
        </w:rPr>
        <w:t xml:space="preserve"> the gravimetric preparation of the solution and from the analytical results determined using liquid chromatography with </w:t>
      </w:r>
      <w:r w:rsidR="004257E1" w:rsidRPr="004257E1">
        <w:rPr>
          <w:szCs w:val="20"/>
        </w:rPr>
        <w:t>ultraviolet absorbance detection</w:t>
      </w:r>
      <w:r w:rsidR="001C4780">
        <w:rPr>
          <w:szCs w:val="20"/>
        </w:rPr>
        <w:t> </w:t>
      </w:r>
      <w:r w:rsidR="002A2317" w:rsidRPr="004257E1">
        <w:rPr>
          <w:szCs w:val="20"/>
        </w:rPr>
        <w:t>(LC</w:t>
      </w:r>
      <w:r w:rsidR="001C4780">
        <w:rPr>
          <w:szCs w:val="20"/>
        </w:rPr>
        <w:noBreakHyphen/>
      </w:r>
      <w:r w:rsidR="004257E1" w:rsidRPr="004257E1">
        <w:rPr>
          <w:szCs w:val="20"/>
        </w:rPr>
        <w:t>UV</w:t>
      </w:r>
      <w:r w:rsidR="002A2317" w:rsidRPr="004257E1">
        <w:rPr>
          <w:szCs w:val="20"/>
        </w:rPr>
        <w:t>)</w:t>
      </w:r>
      <w:r w:rsidR="004C5BBF" w:rsidRPr="004257E1">
        <w:rPr>
          <w:szCs w:val="20"/>
        </w:rPr>
        <w:t>.</w:t>
      </w:r>
      <w:r w:rsidRPr="004257E1">
        <w:rPr>
          <w:szCs w:val="20"/>
        </w:rPr>
        <w:t xml:space="preserve">  </w:t>
      </w:r>
      <w:r w:rsidR="002A2317" w:rsidRPr="004257E1">
        <w:rPr>
          <w:szCs w:val="20"/>
        </w:rPr>
        <w:t xml:space="preserve">A NIST certified value is a value for which NIST has the highest confidence in its accuracy in that all known or suspected sources of bias have been investigated or </w:t>
      </w:r>
      <w:r w:rsidR="00D1462F" w:rsidRPr="004257E1">
        <w:rPr>
          <w:szCs w:val="20"/>
        </w:rPr>
        <w:t>taken into account</w:t>
      </w:r>
      <w:r w:rsidR="001C4780">
        <w:rPr>
          <w:szCs w:val="20"/>
        </w:rPr>
        <w:t> </w:t>
      </w:r>
      <w:r w:rsidR="00920E40" w:rsidRPr="004257E1">
        <w:rPr>
          <w:szCs w:val="20"/>
        </w:rPr>
        <w:t>[1]</w:t>
      </w:r>
      <w:r w:rsidR="002A2317" w:rsidRPr="004257E1">
        <w:rPr>
          <w:szCs w:val="20"/>
        </w:rPr>
        <w:t xml:space="preserve">.  </w:t>
      </w:r>
      <w:r w:rsidRPr="004257E1">
        <w:rPr>
          <w:szCs w:val="20"/>
        </w:rPr>
        <w:t xml:space="preserve">Values are </w:t>
      </w:r>
      <w:r w:rsidR="00626F7E" w:rsidRPr="004257E1">
        <w:rPr>
          <w:szCs w:val="20"/>
        </w:rPr>
        <w:t xml:space="preserve">provided </w:t>
      </w:r>
      <w:r w:rsidRPr="004257E1">
        <w:rPr>
          <w:szCs w:val="20"/>
        </w:rPr>
        <w:t xml:space="preserve">in </w:t>
      </w:r>
      <w:r w:rsidR="00920E40" w:rsidRPr="004257E1">
        <w:rPr>
          <w:szCs w:val="20"/>
        </w:rPr>
        <w:t xml:space="preserve">mass fraction </w:t>
      </w:r>
      <w:r w:rsidRPr="004257E1">
        <w:rPr>
          <w:szCs w:val="20"/>
        </w:rPr>
        <w:t>units</w:t>
      </w:r>
      <w:r w:rsidR="001C4780">
        <w:rPr>
          <w:szCs w:val="20"/>
        </w:rPr>
        <w:t> </w:t>
      </w:r>
      <w:r w:rsidR="00920E40" w:rsidRPr="004257E1">
        <w:rPr>
          <w:szCs w:val="20"/>
        </w:rPr>
        <w:t>[2]</w:t>
      </w:r>
      <w:r w:rsidR="00BB2A43">
        <w:rPr>
          <w:szCs w:val="20"/>
        </w:rPr>
        <w:t>.</w:t>
      </w:r>
    </w:p>
    <w:p w14:paraId="35F02713" w14:textId="77777777" w:rsidR="004257E1" w:rsidRDefault="004257E1">
      <w:pPr>
        <w:rPr>
          <w:szCs w:val="20"/>
        </w:rPr>
      </w:pPr>
    </w:p>
    <w:p w14:paraId="5917D845" w14:textId="77777777" w:rsidR="004257E1" w:rsidRDefault="004257E1">
      <w:pPr>
        <w:rPr>
          <w:kern w:val="2"/>
        </w:rPr>
      </w:pPr>
      <w:r>
        <w:rPr>
          <w:b/>
          <w:kern w:val="2"/>
        </w:rPr>
        <w:t>Reference Mass Fraction Value:</w:t>
      </w:r>
      <w:r>
        <w:rPr>
          <w:kern w:val="2"/>
        </w:rPr>
        <w:t xml:space="preserve">  A reference mass fraction value for fumaric acid is provided in Table</w:t>
      </w:r>
      <w:r w:rsidR="00D26A47">
        <w:rPr>
          <w:kern w:val="2"/>
        </w:rPr>
        <w:t> </w:t>
      </w:r>
      <w:r w:rsidR="0055683A">
        <w:rPr>
          <w:kern w:val="2"/>
        </w:rPr>
        <w:t>2</w:t>
      </w:r>
      <w:r>
        <w:rPr>
          <w:kern w:val="2"/>
        </w:rPr>
        <w:t xml:space="preserve">.  </w:t>
      </w:r>
      <w:r w:rsidR="00380D10">
        <w:rPr>
          <w:kern w:val="2"/>
        </w:rPr>
        <w:t xml:space="preserve">A reference </w:t>
      </w:r>
      <w:r>
        <w:rPr>
          <w:kern w:val="2"/>
        </w:rPr>
        <w:t xml:space="preserve">value </w:t>
      </w:r>
      <w:r w:rsidR="00380D10">
        <w:rPr>
          <w:kern w:val="2"/>
        </w:rPr>
        <w:t xml:space="preserve">is a </w:t>
      </w:r>
      <w:r>
        <w:rPr>
          <w:kern w:val="2"/>
        </w:rPr>
        <w:t>non</w:t>
      </w:r>
      <w:r w:rsidR="00D26A47">
        <w:rPr>
          <w:kern w:val="2"/>
        </w:rPr>
        <w:noBreakHyphen/>
      </w:r>
      <w:r>
        <w:rPr>
          <w:kern w:val="2"/>
        </w:rPr>
        <w:t xml:space="preserve">certified value that </w:t>
      </w:r>
      <w:r w:rsidR="00380D10">
        <w:rPr>
          <w:kern w:val="2"/>
        </w:rPr>
        <w:t>is</w:t>
      </w:r>
      <w:r>
        <w:rPr>
          <w:kern w:val="2"/>
        </w:rPr>
        <w:t xml:space="preserve"> the best estimate of the true value based on available data; however, the value do</w:t>
      </w:r>
      <w:r w:rsidR="00380D10">
        <w:rPr>
          <w:kern w:val="2"/>
        </w:rPr>
        <w:t>es</w:t>
      </w:r>
      <w:r>
        <w:rPr>
          <w:kern w:val="2"/>
        </w:rPr>
        <w:t xml:space="preserve"> not meet the NIST criteria for certification</w:t>
      </w:r>
      <w:r w:rsidR="00D26A47">
        <w:rPr>
          <w:kern w:val="2"/>
        </w:rPr>
        <w:t> </w:t>
      </w:r>
      <w:r>
        <w:rPr>
          <w:kern w:val="2"/>
        </w:rPr>
        <w:t>[1]</w:t>
      </w:r>
      <w:r w:rsidR="00E97618">
        <w:rPr>
          <w:kern w:val="2"/>
        </w:rPr>
        <w:fldChar w:fldCharType="begin"/>
      </w:r>
      <w:r>
        <w:rPr>
          <w:kern w:val="2"/>
        </w:rPr>
        <w:instrText xml:space="preserve"> ADDIN REFMGR.CITE &lt;Refman&gt;&lt;Cite&gt;&lt;Author&gt;May&lt;/Author&gt;&lt;Year&gt;2000&lt;/Year&gt;&lt;RecNum&gt;33009&lt;/RecNum&gt;&lt;IDText&gt;Definitions of Terms and Modes used at NIST for Value-Assignment of Reference Materials for Chemical Measurements&lt;/IDText&gt;&lt;MDL Ref_Type="Report"&gt;&lt;Ref_Type&gt;Report&lt;/Ref_Type&gt;&lt;Ref_ID&gt;33009&lt;/Ref_ID&gt;&lt;Title_Primary&gt;Definitions of Terms and Modes used at NIST for Value-Assignment of Reference Materials for Chemical Measurements&lt;/Title_Primary&gt;&lt;Authors_Primary&gt;May,W.&lt;/Authors_Primary&gt;&lt;Authors_Primary&gt;Parris,R.&lt;/Authors_Primary&gt;&lt;Authors_Primary&gt;Beck,C.&lt;/Authors_Primary&gt;&lt;Authors_Primary&gt;Fassett,J.&lt;/Authors_Primary&gt;&lt;Authors_Primary&gt;Greenberg,R.&lt;/Authors_Primary&gt;&lt;Authors_Primary&gt;Guenther,F.&lt;/Authors_Primary&gt;&lt;Authors_Primary&gt;Kramer,G.&lt;/Authors_Primary&gt;&lt;Authors_Primary&gt;Wise,S.&lt;/Authors_Primary&gt;&lt;Authors_Primary&gt;Gills,T.&lt;/Authors_Primary&gt;&lt;Authors_Primary&gt;Colbert,J.&lt;/Authors_Primary&gt;&lt;Authors_Primary&gt;Gettings,R.&lt;/Authors_Primary&gt;&lt;Authors_Primary&gt;MacDonald,B.&lt;/Authors_Primary&gt;&lt;Date_Primary&gt;2000&lt;/Date_Primary&gt;&lt;Keywords&gt;standard&lt;/Keywords&gt;&lt;Keywords&gt;Technology&lt;/Keywords&gt;&lt;Keywords&gt;TECHNOLOGIES&lt;/Keywords&gt;&lt;Keywords&gt;assignment&lt;/Keywords&gt;&lt;Keywords&gt;reference material&lt;/Keywords&gt;&lt;Keywords&gt;materials&lt;/Keywords&gt;&lt;Reprint&gt;Not in File&lt;/Reprint&gt;&lt;Volume&gt;NIST Special Publication 260-136&lt;/Volume&gt;&lt;Authors_Secondary&gt;National Institute of Standards and Technology&lt;/Authors_Secondary&gt;&lt;Pub_Place&gt;Gaithersburg, MD&lt;/Pub_Place&gt;&lt;Publisher&gt;U.S. Government Printing Office&lt;/Publisher&gt;&lt;Availability&gt;http://www.cstl.nist.gov/nist839/NIST_special_publications.htm&lt;/Availability&gt;&lt;Web_URL&gt;http://www.cstl.nist.gov/nist839/NIST_special_publications.htm&lt;/Web_URL&gt;&lt;ZZ_WorkformID&gt;24&lt;/ZZ_WorkformID&gt;&lt;/MDL&gt;&lt;/Cite&gt;&lt;/Refman&gt;</w:instrText>
      </w:r>
      <w:r w:rsidR="00E97618">
        <w:rPr>
          <w:kern w:val="2"/>
        </w:rPr>
        <w:fldChar w:fldCharType="end"/>
      </w:r>
      <w:r>
        <w:rPr>
          <w:kern w:val="2"/>
        </w:rPr>
        <w:t xml:space="preserve"> and </w:t>
      </w:r>
      <w:r w:rsidR="00380D10">
        <w:rPr>
          <w:kern w:val="2"/>
        </w:rPr>
        <w:t>is</w:t>
      </w:r>
      <w:r>
        <w:rPr>
          <w:kern w:val="2"/>
        </w:rPr>
        <w:t xml:space="preserve"> provided with </w:t>
      </w:r>
      <w:r w:rsidR="00380D10">
        <w:rPr>
          <w:kern w:val="2"/>
        </w:rPr>
        <w:t xml:space="preserve">an </w:t>
      </w:r>
      <w:r>
        <w:rPr>
          <w:kern w:val="2"/>
        </w:rPr>
        <w:t>associated uncertaint</w:t>
      </w:r>
      <w:r w:rsidR="00380D10">
        <w:rPr>
          <w:kern w:val="2"/>
        </w:rPr>
        <w:t>y</w:t>
      </w:r>
      <w:r>
        <w:rPr>
          <w:kern w:val="2"/>
        </w:rPr>
        <w:t xml:space="preserve"> that may reflect only measurement reproducibility, may not include all sources of uncertainty, or may reflect a lack of sufficient statistical agreement among multiple analytical methods.</w:t>
      </w:r>
    </w:p>
    <w:p w14:paraId="02D0BD24" w14:textId="77777777" w:rsidR="004257E1" w:rsidRPr="007A7C1B" w:rsidRDefault="004257E1">
      <w:pPr>
        <w:rPr>
          <w:szCs w:val="20"/>
          <w:highlight w:val="yellow"/>
        </w:rPr>
      </w:pPr>
    </w:p>
    <w:p w14:paraId="1CF4BB0A" w14:textId="77777777" w:rsidR="00F22C3E" w:rsidRPr="004257E1" w:rsidRDefault="00595AFD">
      <w:pPr>
        <w:rPr>
          <w:szCs w:val="20"/>
        </w:rPr>
      </w:pPr>
      <w:r w:rsidRPr="004257E1">
        <w:rPr>
          <w:b/>
          <w:szCs w:val="20"/>
        </w:rPr>
        <w:t>Expiration of Certification:</w:t>
      </w:r>
      <w:r w:rsidRPr="004257E1">
        <w:rPr>
          <w:szCs w:val="20"/>
        </w:rPr>
        <w:t xml:space="preserve">  The certification of </w:t>
      </w:r>
      <w:r w:rsidRPr="004257E1">
        <w:rPr>
          <w:b/>
          <w:szCs w:val="20"/>
        </w:rPr>
        <w:t>SRM</w:t>
      </w:r>
      <w:r w:rsidR="00D26A47">
        <w:rPr>
          <w:b/>
          <w:szCs w:val="20"/>
        </w:rPr>
        <w:t> </w:t>
      </w:r>
      <w:r w:rsidR="004257E1" w:rsidRPr="004257E1">
        <w:rPr>
          <w:b/>
          <w:szCs w:val="20"/>
        </w:rPr>
        <w:t>3286</w:t>
      </w:r>
      <w:r w:rsidR="00FD4C47">
        <w:rPr>
          <w:szCs w:val="20"/>
        </w:rPr>
        <w:t xml:space="preserve"> is valid</w:t>
      </w:r>
      <w:r w:rsidR="00D26A47">
        <w:rPr>
          <w:szCs w:val="20"/>
        </w:rPr>
        <w:t>,</w:t>
      </w:r>
      <w:r w:rsidRPr="004257E1">
        <w:rPr>
          <w:szCs w:val="20"/>
        </w:rPr>
        <w:t xml:space="preserve"> within the measurement </w:t>
      </w:r>
      <w:r w:rsidR="003C0522" w:rsidRPr="004257E1">
        <w:rPr>
          <w:szCs w:val="20"/>
        </w:rPr>
        <w:t>uncertaint</w:t>
      </w:r>
      <w:r w:rsidR="003C0522">
        <w:rPr>
          <w:szCs w:val="20"/>
        </w:rPr>
        <w:t>y</w:t>
      </w:r>
      <w:r w:rsidR="003C0522" w:rsidRPr="004257E1">
        <w:rPr>
          <w:szCs w:val="20"/>
        </w:rPr>
        <w:t xml:space="preserve"> </w:t>
      </w:r>
      <w:r w:rsidRPr="004257E1">
        <w:rPr>
          <w:szCs w:val="20"/>
        </w:rPr>
        <w:t>specified</w:t>
      </w:r>
      <w:r w:rsidR="00D26A47">
        <w:rPr>
          <w:szCs w:val="20"/>
        </w:rPr>
        <w:t>,</w:t>
      </w:r>
      <w:r w:rsidRPr="004257E1">
        <w:rPr>
          <w:szCs w:val="20"/>
        </w:rPr>
        <w:t xml:space="preserve"> until </w:t>
      </w:r>
      <w:r w:rsidR="0055683A" w:rsidRPr="00BB2A43">
        <w:rPr>
          <w:b/>
          <w:szCs w:val="20"/>
        </w:rPr>
        <w:t>27</w:t>
      </w:r>
      <w:r w:rsidR="00D26A47">
        <w:rPr>
          <w:b/>
          <w:szCs w:val="20"/>
        </w:rPr>
        <w:t> </w:t>
      </w:r>
      <w:r w:rsidR="0055683A" w:rsidRPr="00BB2A43">
        <w:rPr>
          <w:b/>
          <w:szCs w:val="20"/>
        </w:rPr>
        <w:t>January</w:t>
      </w:r>
      <w:r w:rsidR="00D26A47">
        <w:rPr>
          <w:b/>
          <w:szCs w:val="20"/>
        </w:rPr>
        <w:t> </w:t>
      </w:r>
      <w:r w:rsidR="003C0522" w:rsidRPr="00BB2A43">
        <w:rPr>
          <w:b/>
          <w:szCs w:val="20"/>
        </w:rPr>
        <w:t>20</w:t>
      </w:r>
      <w:r w:rsidR="003C0522">
        <w:rPr>
          <w:b/>
          <w:szCs w:val="20"/>
        </w:rPr>
        <w:t>22</w:t>
      </w:r>
      <w:r w:rsidRPr="004257E1">
        <w:rPr>
          <w:szCs w:val="20"/>
        </w:rPr>
        <w:t xml:space="preserve">, provided the SRM is handled </w:t>
      </w:r>
      <w:r w:rsidR="00D26A47">
        <w:rPr>
          <w:szCs w:val="20"/>
        </w:rPr>
        <w:t xml:space="preserve">and stored </w:t>
      </w:r>
      <w:r w:rsidRPr="004257E1">
        <w:rPr>
          <w:szCs w:val="20"/>
        </w:rPr>
        <w:t xml:space="preserve">in accordance </w:t>
      </w:r>
      <w:r w:rsidR="00F22C3E" w:rsidRPr="004257E1">
        <w:rPr>
          <w:szCs w:val="20"/>
        </w:rPr>
        <w:t>with the instructions given in this certificate (</w:t>
      </w:r>
      <w:r w:rsidR="00F22C3E" w:rsidRPr="00BE2062">
        <w:rPr>
          <w:szCs w:val="20"/>
        </w:rPr>
        <w:t>see “</w:t>
      </w:r>
      <w:r w:rsidR="00A02959" w:rsidRPr="00BE2062">
        <w:rPr>
          <w:szCs w:val="20"/>
        </w:rPr>
        <w:t>Instructions for</w:t>
      </w:r>
      <w:r w:rsidR="00F22C3E" w:rsidRPr="00BE2062">
        <w:rPr>
          <w:szCs w:val="20"/>
        </w:rPr>
        <w:t xml:space="preserve"> </w:t>
      </w:r>
      <w:r w:rsidR="00D26A47" w:rsidRPr="00BE2062">
        <w:rPr>
          <w:szCs w:val="20"/>
        </w:rPr>
        <w:t xml:space="preserve">Handling, Storage, and </w:t>
      </w:r>
      <w:r w:rsidR="00F22C3E" w:rsidRPr="00BE2062">
        <w:rPr>
          <w:szCs w:val="20"/>
        </w:rPr>
        <w:t>Use</w:t>
      </w:r>
      <w:r w:rsidR="00F22C3E" w:rsidRPr="004257E1">
        <w:rPr>
          <w:szCs w:val="20"/>
        </w:rPr>
        <w:t xml:space="preserve">”).  </w:t>
      </w:r>
      <w:r w:rsidR="00A02959" w:rsidRPr="004257E1">
        <w:rPr>
          <w:szCs w:val="20"/>
        </w:rPr>
        <w:t>T</w:t>
      </w:r>
      <w:r w:rsidR="00F22C3E" w:rsidRPr="004257E1">
        <w:rPr>
          <w:szCs w:val="20"/>
        </w:rPr>
        <w:t xml:space="preserve">he certification </w:t>
      </w:r>
      <w:r w:rsidR="00D26A47">
        <w:rPr>
          <w:szCs w:val="20"/>
        </w:rPr>
        <w:t>is</w:t>
      </w:r>
      <w:r w:rsidR="00F22C3E" w:rsidRPr="004257E1">
        <w:rPr>
          <w:szCs w:val="20"/>
        </w:rPr>
        <w:t xml:space="preserve"> nullified if the SRM is damaged, contaminated, or </w:t>
      </w:r>
      <w:r w:rsidR="00920E40" w:rsidRPr="004257E1">
        <w:rPr>
          <w:szCs w:val="20"/>
        </w:rPr>
        <w:t xml:space="preserve">otherwise </w:t>
      </w:r>
      <w:r w:rsidR="00F22C3E" w:rsidRPr="004257E1">
        <w:rPr>
          <w:szCs w:val="20"/>
        </w:rPr>
        <w:t>modified.</w:t>
      </w:r>
    </w:p>
    <w:p w14:paraId="73B82182" w14:textId="77777777" w:rsidR="00920E40" w:rsidRPr="007A7C1B" w:rsidRDefault="00920E40">
      <w:pPr>
        <w:rPr>
          <w:szCs w:val="20"/>
          <w:highlight w:val="yellow"/>
        </w:rPr>
      </w:pPr>
    </w:p>
    <w:p w14:paraId="79EA75E1" w14:textId="77777777" w:rsidR="00595AFD" w:rsidRPr="004257E1" w:rsidRDefault="00F22C3E">
      <w:pPr>
        <w:rPr>
          <w:szCs w:val="20"/>
        </w:rPr>
      </w:pPr>
      <w:r w:rsidRPr="004257E1">
        <w:rPr>
          <w:b/>
          <w:szCs w:val="20"/>
        </w:rPr>
        <w:t>Maintenance of SRM Certification:</w:t>
      </w:r>
      <w:r w:rsidRPr="004257E1">
        <w:rPr>
          <w:szCs w:val="20"/>
        </w:rPr>
        <w:t xml:space="preserve">  NIST will monitor this SRM over the period of its certification.  If </w:t>
      </w:r>
      <w:r w:rsidR="0047150D" w:rsidRPr="004257E1">
        <w:rPr>
          <w:szCs w:val="20"/>
        </w:rPr>
        <w:t xml:space="preserve">substantive technical </w:t>
      </w:r>
      <w:r w:rsidRPr="004257E1">
        <w:rPr>
          <w:szCs w:val="20"/>
        </w:rPr>
        <w:t xml:space="preserve">changes occur that affect the certification before the expiration of this certificate, NIST will notify the purchaser. </w:t>
      </w:r>
      <w:r w:rsidR="00962160" w:rsidRPr="004257E1">
        <w:rPr>
          <w:szCs w:val="20"/>
        </w:rPr>
        <w:t xml:space="preserve"> </w:t>
      </w:r>
      <w:r w:rsidRPr="004257E1">
        <w:rPr>
          <w:szCs w:val="20"/>
        </w:rPr>
        <w:t>Registration (see attached sheet</w:t>
      </w:r>
      <w:r w:rsidR="003C0522">
        <w:rPr>
          <w:szCs w:val="20"/>
        </w:rPr>
        <w:t xml:space="preserve"> or register online</w:t>
      </w:r>
      <w:r w:rsidRPr="004257E1">
        <w:rPr>
          <w:szCs w:val="20"/>
        </w:rPr>
        <w:t>) will facilitate notification.</w:t>
      </w:r>
    </w:p>
    <w:p w14:paraId="32B92A1B" w14:textId="77777777" w:rsidR="00F22C3E" w:rsidRDefault="00F22C3E">
      <w:pPr>
        <w:rPr>
          <w:szCs w:val="20"/>
        </w:rPr>
      </w:pPr>
    </w:p>
    <w:p w14:paraId="049120E8" w14:textId="77777777" w:rsidR="00631616" w:rsidRDefault="00631616">
      <w:r>
        <w:t>Support for the development of SRM</w:t>
      </w:r>
      <w:r w:rsidR="00D26A47">
        <w:t> </w:t>
      </w:r>
      <w:r>
        <w:t>3286 was provided in part by NIH</w:t>
      </w:r>
      <w:r w:rsidR="00D26A47">
        <w:t> </w:t>
      </w:r>
      <w:r>
        <w:t>ODS.  Technical consultation was provided by J.M.</w:t>
      </w:r>
      <w:r w:rsidR="00D26A47">
        <w:t> </w:t>
      </w:r>
      <w:r>
        <w:t>Betz (NIH</w:t>
      </w:r>
      <w:r w:rsidR="00D26A47">
        <w:t> </w:t>
      </w:r>
      <w:r>
        <w:t>ODS).</w:t>
      </w:r>
    </w:p>
    <w:p w14:paraId="4EA8289E" w14:textId="77777777" w:rsidR="00631616" w:rsidRPr="004257E1" w:rsidRDefault="00631616">
      <w:pPr>
        <w:rPr>
          <w:szCs w:val="20"/>
        </w:rPr>
      </w:pPr>
    </w:p>
    <w:p w14:paraId="242B020D" w14:textId="6CD7D952" w:rsidR="006060B8" w:rsidRDefault="003C0522" w:rsidP="00E45208">
      <w:pPr>
        <w:pStyle w:val="BodyText"/>
        <w:widowControl/>
        <w:tabs>
          <w:tab w:val="clear" w:pos="-1440"/>
          <w:tab w:val="clear" w:pos="-720"/>
        </w:tabs>
        <w:suppressAutoHyphens w:val="0"/>
        <w:rPr>
          <w:rFonts w:ascii="Times New Roman" w:hAnsi="Times New Roman"/>
          <w:spacing w:val="0"/>
          <w:kern w:val="2"/>
          <w:lang w:val="en-US"/>
        </w:rPr>
      </w:pPr>
      <w:r>
        <w:rPr>
          <w:rFonts w:ascii="Times New Roman" w:hAnsi="Times New Roman"/>
          <w:spacing w:val="0"/>
          <w:kern w:val="2"/>
          <w:lang w:val="en-US"/>
        </w:rPr>
        <w:t>Overall</w:t>
      </w:r>
      <w:r w:rsidR="006060B8">
        <w:rPr>
          <w:rFonts w:ascii="Times New Roman" w:hAnsi="Times New Roman"/>
          <w:spacing w:val="0"/>
          <w:kern w:val="2"/>
          <w:lang w:val="en-US"/>
        </w:rPr>
        <w:t xml:space="preserve"> direction and coordination of the technical measurements leading to the certification of this SRM were performed by L.C.</w:t>
      </w:r>
      <w:r w:rsidR="00D26A47">
        <w:rPr>
          <w:rFonts w:ascii="Times New Roman" w:hAnsi="Times New Roman"/>
          <w:spacing w:val="0"/>
          <w:kern w:val="2"/>
          <w:lang w:val="en-US"/>
        </w:rPr>
        <w:t> </w:t>
      </w:r>
      <w:r w:rsidR="006060B8">
        <w:rPr>
          <w:rFonts w:ascii="Times New Roman" w:hAnsi="Times New Roman"/>
          <w:spacing w:val="0"/>
          <w:kern w:val="2"/>
          <w:lang w:val="en-US"/>
        </w:rPr>
        <w:t>Sander</w:t>
      </w:r>
      <w:r w:rsidR="00C42467" w:rsidRPr="00C42467">
        <w:rPr>
          <w:rFonts w:ascii="Times New Roman" w:hAnsi="Times New Roman"/>
          <w:spacing w:val="0"/>
          <w:kern w:val="2"/>
          <w:lang w:val="en-US"/>
        </w:rPr>
        <w:t xml:space="preserve"> </w:t>
      </w:r>
      <w:r w:rsidR="00C42467">
        <w:rPr>
          <w:rFonts w:ascii="Times New Roman" w:hAnsi="Times New Roman"/>
          <w:spacing w:val="0"/>
          <w:kern w:val="2"/>
          <w:lang w:val="en-US"/>
        </w:rPr>
        <w:t>and S.A. Wise</w:t>
      </w:r>
      <w:r w:rsidR="006E5BDF" w:rsidRPr="006E5BDF">
        <w:rPr>
          <w:rFonts w:ascii="Times New Roman" w:hAnsi="Times New Roman"/>
          <w:spacing w:val="0"/>
          <w:kern w:val="2"/>
          <w:lang w:val="en-US"/>
        </w:rPr>
        <w:t xml:space="preserve"> </w:t>
      </w:r>
      <w:r w:rsidR="006E5BDF">
        <w:rPr>
          <w:rFonts w:ascii="Times New Roman" w:hAnsi="Times New Roman"/>
          <w:spacing w:val="0"/>
          <w:kern w:val="2"/>
          <w:lang w:val="en-US"/>
        </w:rPr>
        <w:t>of the NIST Chemical Sciences Division</w:t>
      </w:r>
      <w:r w:rsidR="00C42467">
        <w:rPr>
          <w:rFonts w:ascii="Times New Roman" w:hAnsi="Times New Roman"/>
          <w:spacing w:val="0"/>
          <w:kern w:val="2"/>
          <w:lang w:val="en-US"/>
        </w:rPr>
        <w:t xml:space="preserve"> and </w:t>
      </w:r>
      <w:r w:rsidR="006060B8">
        <w:rPr>
          <w:rFonts w:ascii="Times New Roman" w:hAnsi="Times New Roman"/>
          <w:spacing w:val="0"/>
          <w:kern w:val="2"/>
          <w:lang w:val="en-US"/>
        </w:rPr>
        <w:t>K.E.</w:t>
      </w:r>
      <w:r w:rsidR="00D26A47">
        <w:rPr>
          <w:rFonts w:ascii="Times New Roman" w:hAnsi="Times New Roman"/>
          <w:spacing w:val="0"/>
          <w:kern w:val="2"/>
          <w:lang w:val="en-US"/>
        </w:rPr>
        <w:t> </w:t>
      </w:r>
      <w:r w:rsidR="006060B8">
        <w:rPr>
          <w:rFonts w:ascii="Times New Roman" w:hAnsi="Times New Roman"/>
          <w:spacing w:val="0"/>
          <w:kern w:val="2"/>
          <w:lang w:val="en-US"/>
        </w:rPr>
        <w:t xml:space="preserve">Sharpless </w:t>
      </w:r>
      <w:r w:rsidR="006E5BDF">
        <w:rPr>
          <w:rFonts w:ascii="Times New Roman" w:hAnsi="Times New Roman"/>
          <w:spacing w:val="0"/>
          <w:kern w:val="2"/>
          <w:lang w:val="en-US"/>
        </w:rPr>
        <w:t>of NIST</w:t>
      </w:r>
      <w:r w:rsidR="00C42467">
        <w:rPr>
          <w:rFonts w:ascii="Times New Roman" w:hAnsi="Times New Roman"/>
          <w:spacing w:val="0"/>
          <w:kern w:val="2"/>
          <w:lang w:val="en-US"/>
        </w:rPr>
        <w:t xml:space="preserve"> </w:t>
      </w:r>
      <w:r w:rsidR="00C42467" w:rsidRPr="00C42467">
        <w:rPr>
          <w:rFonts w:ascii="Times New Roman" w:hAnsi="Times New Roman"/>
          <w:spacing w:val="0"/>
          <w:kern w:val="2"/>
          <w:lang w:val="en-US"/>
        </w:rPr>
        <w:t>Special Programs Office</w:t>
      </w:r>
      <w:r w:rsidR="006E5BDF" w:rsidRPr="00C42467">
        <w:rPr>
          <w:rFonts w:ascii="Times New Roman" w:hAnsi="Times New Roman"/>
          <w:spacing w:val="0"/>
          <w:kern w:val="2"/>
          <w:lang w:val="en-US"/>
        </w:rPr>
        <w:t>.</w:t>
      </w:r>
    </w:p>
    <w:p w14:paraId="20FA7F98" w14:textId="77777777" w:rsidR="00F22C3E" w:rsidRPr="004257E1" w:rsidRDefault="00F22C3E">
      <w:pPr>
        <w:rPr>
          <w:szCs w:val="20"/>
        </w:rPr>
      </w:pPr>
    </w:p>
    <w:p w14:paraId="44FDC003" w14:textId="77777777" w:rsidR="00920E40" w:rsidRPr="004257E1" w:rsidRDefault="00F22C3E">
      <w:pPr>
        <w:rPr>
          <w:szCs w:val="20"/>
        </w:rPr>
      </w:pPr>
      <w:r w:rsidRPr="004257E1">
        <w:rPr>
          <w:szCs w:val="20"/>
        </w:rPr>
        <w:t xml:space="preserve">Preparation </w:t>
      </w:r>
      <w:r w:rsidR="00962160" w:rsidRPr="004257E1">
        <w:rPr>
          <w:szCs w:val="20"/>
        </w:rPr>
        <w:t xml:space="preserve">of the SRM solution </w:t>
      </w:r>
      <w:r w:rsidRPr="004257E1">
        <w:rPr>
          <w:szCs w:val="20"/>
        </w:rPr>
        <w:t xml:space="preserve">and analytical measurements were performed by </w:t>
      </w:r>
      <w:r w:rsidR="004257E1" w:rsidRPr="004257E1">
        <w:rPr>
          <w:szCs w:val="20"/>
        </w:rPr>
        <w:t>M.M.</w:t>
      </w:r>
      <w:r w:rsidR="00D26A47">
        <w:rPr>
          <w:szCs w:val="20"/>
        </w:rPr>
        <w:t> </w:t>
      </w:r>
      <w:r w:rsidR="004257E1" w:rsidRPr="004257E1">
        <w:rPr>
          <w:szCs w:val="20"/>
        </w:rPr>
        <w:t>Phillips</w:t>
      </w:r>
      <w:r w:rsidRPr="004257E1">
        <w:rPr>
          <w:szCs w:val="20"/>
        </w:rPr>
        <w:t xml:space="preserve"> of the NIST </w:t>
      </w:r>
      <w:r w:rsidR="003C0522">
        <w:rPr>
          <w:szCs w:val="20"/>
        </w:rPr>
        <w:t>Chemical Sciences</w:t>
      </w:r>
      <w:r w:rsidRPr="004257E1">
        <w:rPr>
          <w:szCs w:val="20"/>
        </w:rPr>
        <w:t xml:space="preserve"> Division.</w:t>
      </w:r>
      <w:bookmarkStart w:id="0" w:name="_GoBack"/>
      <w:bookmarkEnd w:id="0"/>
    </w:p>
    <w:p w14:paraId="55BC0C1B" w14:textId="77777777" w:rsidR="00F22C3E" w:rsidRPr="004257E1" w:rsidRDefault="00F22C3E">
      <w:pPr>
        <w:rPr>
          <w:szCs w:val="20"/>
        </w:rPr>
      </w:pPr>
    </w:p>
    <w:p w14:paraId="2A29398F" w14:textId="363C0380" w:rsidR="003A331D" w:rsidRPr="004257E1" w:rsidRDefault="006E5BDF">
      <w:pPr>
        <w:rPr>
          <w:szCs w:val="20"/>
        </w:rPr>
      </w:pPr>
      <w:r w:rsidRPr="006E5BDF">
        <w:rPr>
          <w:szCs w:val="20"/>
        </w:rPr>
        <w:t xml:space="preserve">Statistical consultation was provided </w:t>
      </w:r>
      <w:r w:rsidR="004257E1" w:rsidRPr="004257E1">
        <w:rPr>
          <w:szCs w:val="20"/>
        </w:rPr>
        <w:t>by</w:t>
      </w:r>
      <w:r w:rsidR="00961CF4" w:rsidRPr="004257E1">
        <w:rPr>
          <w:szCs w:val="20"/>
        </w:rPr>
        <w:t xml:space="preserve"> </w:t>
      </w:r>
      <w:r w:rsidR="003A331D" w:rsidRPr="004257E1">
        <w:rPr>
          <w:szCs w:val="20"/>
        </w:rPr>
        <w:t>J.H.</w:t>
      </w:r>
      <w:r w:rsidR="00D26A47">
        <w:rPr>
          <w:szCs w:val="20"/>
        </w:rPr>
        <w:t> </w:t>
      </w:r>
      <w:r w:rsidR="003A331D" w:rsidRPr="004257E1">
        <w:rPr>
          <w:szCs w:val="20"/>
        </w:rPr>
        <w:t>Yen of the NIST Statistical Engineering Division.</w:t>
      </w:r>
    </w:p>
    <w:p w14:paraId="0A91DCF3" w14:textId="77777777" w:rsidR="003A331D" w:rsidRPr="004257E1" w:rsidRDefault="003A331D">
      <w:pPr>
        <w:rPr>
          <w:szCs w:val="20"/>
        </w:rPr>
      </w:pPr>
    </w:p>
    <w:p w14:paraId="18D5FA05" w14:textId="77777777" w:rsidR="003C0522" w:rsidRDefault="003A331D">
      <w:pPr>
        <w:rPr>
          <w:szCs w:val="20"/>
        </w:rPr>
      </w:pPr>
      <w:r w:rsidRPr="004257E1">
        <w:rPr>
          <w:szCs w:val="20"/>
        </w:rPr>
        <w:t xml:space="preserve">Support aspects involved in the issuance of this SRM were coordinated through the NIST </w:t>
      </w:r>
      <w:r w:rsidR="003C0522">
        <w:rPr>
          <w:szCs w:val="20"/>
        </w:rPr>
        <w:t xml:space="preserve">Office of Reference Materials. </w:t>
      </w:r>
    </w:p>
    <w:p w14:paraId="63E55DF1" w14:textId="77777777" w:rsidR="006E5BDF" w:rsidRPr="00CB455F" w:rsidRDefault="006E5BDF">
      <w:pPr>
        <w:rPr>
          <w:kern w:val="2"/>
          <w:szCs w:val="20"/>
        </w:rPr>
      </w:pPr>
    </w:p>
    <w:p w14:paraId="7151D55E" w14:textId="77777777" w:rsidR="0047639F" w:rsidRPr="004257E1" w:rsidRDefault="0047639F">
      <w:pPr>
        <w:tabs>
          <w:tab w:val="right" w:pos="9360"/>
        </w:tabs>
        <w:rPr>
          <w:kern w:val="2"/>
        </w:rPr>
      </w:pPr>
      <w:r w:rsidRPr="004257E1">
        <w:rPr>
          <w:kern w:val="2"/>
        </w:rPr>
        <w:tab/>
      </w:r>
      <w:r w:rsidR="003C0522">
        <w:rPr>
          <w:kern w:val="2"/>
        </w:rPr>
        <w:t>Carlos A. Gonzalez</w:t>
      </w:r>
      <w:r w:rsidRPr="004257E1">
        <w:rPr>
          <w:kern w:val="2"/>
        </w:rPr>
        <w:t>,</w:t>
      </w:r>
      <w:r w:rsidR="00D26A47">
        <w:rPr>
          <w:kern w:val="2"/>
        </w:rPr>
        <w:t> </w:t>
      </w:r>
      <w:r w:rsidRPr="004257E1">
        <w:rPr>
          <w:kern w:val="2"/>
        </w:rPr>
        <w:t>Chief</w:t>
      </w:r>
    </w:p>
    <w:p w14:paraId="6B7369C9" w14:textId="77777777" w:rsidR="0047639F" w:rsidRPr="004257E1" w:rsidRDefault="0047639F">
      <w:pPr>
        <w:tabs>
          <w:tab w:val="right" w:pos="9360"/>
        </w:tabs>
        <w:rPr>
          <w:kern w:val="2"/>
        </w:rPr>
      </w:pPr>
      <w:r w:rsidRPr="004257E1">
        <w:rPr>
          <w:kern w:val="2"/>
        </w:rPr>
        <w:tab/>
      </w:r>
      <w:r w:rsidR="003C0522">
        <w:rPr>
          <w:kern w:val="2"/>
        </w:rPr>
        <w:t xml:space="preserve">Chemical Sciences </w:t>
      </w:r>
      <w:r w:rsidRPr="004257E1">
        <w:rPr>
          <w:kern w:val="2"/>
        </w:rPr>
        <w:t>Division</w:t>
      </w:r>
    </w:p>
    <w:p w14:paraId="45AE40ED" w14:textId="77777777" w:rsidR="0047639F" w:rsidRPr="00D26A47" w:rsidRDefault="0047639F">
      <w:pPr>
        <w:rPr>
          <w:kern w:val="2"/>
          <w:szCs w:val="20"/>
        </w:rPr>
      </w:pPr>
    </w:p>
    <w:p w14:paraId="48FD9625" w14:textId="77777777" w:rsidR="0047639F" w:rsidRPr="004257E1" w:rsidRDefault="0047639F">
      <w:pPr>
        <w:tabs>
          <w:tab w:val="right" w:pos="9360"/>
        </w:tabs>
        <w:rPr>
          <w:kern w:val="2"/>
        </w:rPr>
      </w:pPr>
      <w:r w:rsidRPr="004257E1">
        <w:rPr>
          <w:kern w:val="2"/>
        </w:rPr>
        <w:t>Gaithersburg,</w:t>
      </w:r>
      <w:r w:rsidR="00D26A47">
        <w:rPr>
          <w:kern w:val="2"/>
        </w:rPr>
        <w:t> </w:t>
      </w:r>
      <w:r w:rsidRPr="004257E1">
        <w:rPr>
          <w:kern w:val="2"/>
        </w:rPr>
        <w:t>MD</w:t>
      </w:r>
      <w:r w:rsidR="00D26A47">
        <w:rPr>
          <w:kern w:val="2"/>
        </w:rPr>
        <w:t> </w:t>
      </w:r>
      <w:r w:rsidRPr="004257E1">
        <w:rPr>
          <w:kern w:val="2"/>
        </w:rPr>
        <w:t>20899</w:t>
      </w:r>
      <w:r w:rsidRPr="004257E1">
        <w:rPr>
          <w:kern w:val="2"/>
        </w:rPr>
        <w:tab/>
      </w:r>
      <w:r w:rsidR="003C0522">
        <w:rPr>
          <w:kern w:val="2"/>
        </w:rPr>
        <w:t>Steven J. Choquette, Acting Director</w:t>
      </w:r>
    </w:p>
    <w:p w14:paraId="4375DF4F" w14:textId="4EA3F6D2" w:rsidR="003C0522" w:rsidRDefault="0047639F">
      <w:pPr>
        <w:tabs>
          <w:tab w:val="right" w:pos="9360"/>
        </w:tabs>
        <w:rPr>
          <w:kern w:val="2"/>
        </w:rPr>
      </w:pPr>
      <w:r w:rsidRPr="004257E1">
        <w:rPr>
          <w:kern w:val="2"/>
        </w:rPr>
        <w:t>Certificate Issue Date</w:t>
      </w:r>
      <w:r w:rsidR="004257E1" w:rsidRPr="004257E1">
        <w:rPr>
          <w:kern w:val="2"/>
        </w:rPr>
        <w:t xml:space="preserve">:  </w:t>
      </w:r>
      <w:r w:rsidR="00E45208">
        <w:rPr>
          <w:kern w:val="2"/>
        </w:rPr>
        <w:t>2</w:t>
      </w:r>
      <w:r w:rsidR="00E45208">
        <w:rPr>
          <w:kern w:val="2"/>
        </w:rPr>
        <w:t>4</w:t>
      </w:r>
      <w:r w:rsidR="00E45208">
        <w:rPr>
          <w:kern w:val="2"/>
        </w:rPr>
        <w:t> </w:t>
      </w:r>
      <w:r w:rsidR="003C0522">
        <w:rPr>
          <w:kern w:val="2"/>
        </w:rPr>
        <w:t>February 2016</w:t>
      </w:r>
      <w:r w:rsidR="002C0872" w:rsidRPr="004257E1">
        <w:rPr>
          <w:kern w:val="2"/>
        </w:rPr>
        <w:tab/>
      </w:r>
      <w:r w:rsidR="003C0522">
        <w:rPr>
          <w:kern w:val="2"/>
        </w:rPr>
        <w:t>Office of Reference Materials</w:t>
      </w:r>
    </w:p>
    <w:p w14:paraId="1C04B9AF" w14:textId="77777777" w:rsidR="00D26A47" w:rsidRPr="002C4694" w:rsidRDefault="003C0522">
      <w:pPr>
        <w:tabs>
          <w:tab w:val="right" w:pos="9360"/>
        </w:tabs>
        <w:spacing w:after="120"/>
        <w:rPr>
          <w:b/>
        </w:rPr>
      </w:pPr>
      <w:r>
        <w:rPr>
          <w:i/>
          <w:kern w:val="2"/>
          <w:sz w:val="16"/>
          <w:szCs w:val="16"/>
        </w:rPr>
        <w:t>Certificate Revision History on Last Page</w:t>
      </w:r>
      <w:r w:rsidR="0047639F" w:rsidRPr="007A7C1B">
        <w:rPr>
          <w:kern w:val="2"/>
          <w:highlight w:val="yellow"/>
        </w:rPr>
        <w:br w:type="page"/>
      </w:r>
      <w:r w:rsidR="00D26A47" w:rsidRPr="002C4694">
        <w:rPr>
          <w:b/>
        </w:rPr>
        <w:lastRenderedPageBreak/>
        <w:t>INSTRUCTIONS FOR HANDLING, STORAGE, AND USE</w:t>
      </w:r>
    </w:p>
    <w:p w14:paraId="7C543C32" w14:textId="77777777" w:rsidR="00D26A47" w:rsidRPr="002C4694" w:rsidRDefault="002C4694">
      <w:r w:rsidRPr="002C4694">
        <w:rPr>
          <w:b/>
          <w:szCs w:val="20"/>
        </w:rPr>
        <w:t>Handling:</w:t>
      </w:r>
      <w:r w:rsidRPr="002C4694">
        <w:rPr>
          <w:szCs w:val="20"/>
        </w:rPr>
        <w:t xml:space="preserve">  </w:t>
      </w:r>
      <w:r w:rsidR="00D26A47" w:rsidRPr="002C4694">
        <w:t>This SRM is an acidic solution contained in tip</w:t>
      </w:r>
      <w:r w:rsidR="003B473A" w:rsidRPr="002C4694">
        <w:noBreakHyphen/>
      </w:r>
      <w:r w:rsidR="00D26A47" w:rsidRPr="002C4694">
        <w:t>sealed borosilicate glass ampoules with pre</w:t>
      </w:r>
      <w:r w:rsidR="00D26A47" w:rsidRPr="002C4694">
        <w:noBreakHyphen/>
        <w:t>scored stems.  Therefore, all appropriate safety precautions, including use of gloves during handling, should be taken.  Unopened ampoules should be stored under normal laboratory conditions in an upright position inside the original container supplied by NIST.</w:t>
      </w:r>
    </w:p>
    <w:p w14:paraId="46965142" w14:textId="77777777" w:rsidR="00D26A47" w:rsidRPr="00E8018B" w:rsidRDefault="00D26A47">
      <w:pPr>
        <w:rPr>
          <w:szCs w:val="20"/>
        </w:rPr>
      </w:pPr>
    </w:p>
    <w:p w14:paraId="0FB83E00" w14:textId="77777777" w:rsidR="00D26A47" w:rsidRPr="00D453F3" w:rsidRDefault="00D26A47">
      <w:pPr>
        <w:rPr>
          <w:szCs w:val="20"/>
        </w:rPr>
      </w:pPr>
      <w:r w:rsidRPr="00D453F3">
        <w:rPr>
          <w:b/>
          <w:szCs w:val="20"/>
        </w:rPr>
        <w:t>Storage:</w:t>
      </w:r>
      <w:r w:rsidRPr="00D453F3">
        <w:rPr>
          <w:szCs w:val="20"/>
        </w:rPr>
        <w:t xml:space="preserve">  Sealed ampoules, as received, should be stored in the dark at or below room temperature.</w:t>
      </w:r>
    </w:p>
    <w:p w14:paraId="2A2F447E" w14:textId="77777777" w:rsidR="00D26A47" w:rsidRPr="00E8018B" w:rsidRDefault="00D26A47">
      <w:pPr>
        <w:rPr>
          <w:szCs w:val="20"/>
        </w:rPr>
      </w:pPr>
    </w:p>
    <w:p w14:paraId="72635BFA" w14:textId="77777777" w:rsidR="00691105" w:rsidRPr="00D453F3" w:rsidRDefault="008F1777">
      <w:pPr>
        <w:rPr>
          <w:szCs w:val="20"/>
        </w:rPr>
      </w:pPr>
      <w:r>
        <w:rPr>
          <w:b/>
          <w:szCs w:val="20"/>
        </w:rPr>
        <w:t>Use:</w:t>
      </w:r>
      <w:r w:rsidR="000C0AE5" w:rsidRPr="000C0AE5">
        <w:rPr>
          <w:szCs w:val="20"/>
        </w:rPr>
        <w:t xml:space="preserve">  </w:t>
      </w:r>
      <w:r>
        <w:rPr>
          <w:kern w:val="2"/>
        </w:rPr>
        <w:t xml:space="preserve">Prior to removal of a test portion for analysis, the contents of an ampoule should be mixed thoroughly.  </w:t>
      </w:r>
      <w:r w:rsidR="00626F7E" w:rsidRPr="00D453F3">
        <w:rPr>
          <w:szCs w:val="20"/>
        </w:rPr>
        <w:t>Test portions</w:t>
      </w:r>
      <w:r w:rsidR="00CD6632" w:rsidRPr="00D453F3">
        <w:rPr>
          <w:szCs w:val="20"/>
        </w:rPr>
        <w:t xml:space="preserve"> for </w:t>
      </w:r>
      <w:r w:rsidR="00626F7E" w:rsidRPr="00D453F3">
        <w:rPr>
          <w:szCs w:val="20"/>
        </w:rPr>
        <w:t>use</w:t>
      </w:r>
      <w:r w:rsidR="00CD6632" w:rsidRPr="00D453F3">
        <w:rPr>
          <w:szCs w:val="20"/>
        </w:rPr>
        <w:t xml:space="preserve"> should be </w:t>
      </w:r>
      <w:r w:rsidR="00626F7E" w:rsidRPr="00D453F3">
        <w:rPr>
          <w:szCs w:val="20"/>
        </w:rPr>
        <w:t>with</w:t>
      </w:r>
      <w:r w:rsidR="00CD6632" w:rsidRPr="00D453F3">
        <w:rPr>
          <w:szCs w:val="20"/>
        </w:rPr>
        <w:t>drawn immediately after opening the ampoules</w:t>
      </w:r>
      <w:r w:rsidR="004C427C" w:rsidRPr="00D453F3">
        <w:rPr>
          <w:szCs w:val="20"/>
        </w:rPr>
        <w:t>,</w:t>
      </w:r>
      <w:r w:rsidR="00CD6632" w:rsidRPr="00D453F3">
        <w:rPr>
          <w:szCs w:val="20"/>
        </w:rPr>
        <w:t xml:space="preserve"> and should be processed</w:t>
      </w:r>
      <w:r w:rsidR="00BD530A" w:rsidRPr="00D453F3">
        <w:rPr>
          <w:szCs w:val="20"/>
        </w:rPr>
        <w:t xml:space="preserve"> or diluted</w:t>
      </w:r>
      <w:r w:rsidR="00CD6632" w:rsidRPr="00D453F3">
        <w:rPr>
          <w:szCs w:val="20"/>
        </w:rPr>
        <w:t xml:space="preserve"> without delay for the certified </w:t>
      </w:r>
      <w:r w:rsidR="005F1FD9">
        <w:rPr>
          <w:szCs w:val="20"/>
        </w:rPr>
        <w:t>mass fraction</w:t>
      </w:r>
      <w:r w:rsidR="00CD6632" w:rsidRPr="00D453F3">
        <w:rPr>
          <w:szCs w:val="20"/>
        </w:rPr>
        <w:t xml:space="preserve"> to be valid within the stated uncertainty</w:t>
      </w:r>
      <w:r>
        <w:rPr>
          <w:szCs w:val="20"/>
        </w:rPr>
        <w:t>.</w:t>
      </w:r>
      <w:r w:rsidR="00CD6632" w:rsidRPr="00D453F3">
        <w:rPr>
          <w:szCs w:val="20"/>
        </w:rPr>
        <w:t xml:space="preserve">  </w:t>
      </w:r>
      <w:r>
        <w:rPr>
          <w:kern w:val="2"/>
        </w:rPr>
        <w:t>The stability of organic acids in opened ampoules has not been investigated.</w:t>
      </w:r>
    </w:p>
    <w:p w14:paraId="68CC8D97" w14:textId="77777777" w:rsidR="00D453F3" w:rsidRPr="007A7C1B" w:rsidRDefault="00D453F3">
      <w:pPr>
        <w:rPr>
          <w:szCs w:val="20"/>
          <w:highlight w:val="yellow"/>
        </w:rPr>
      </w:pPr>
    </w:p>
    <w:p w14:paraId="0A60B8CB" w14:textId="77777777" w:rsidR="00691105" w:rsidRPr="008F1777" w:rsidRDefault="00691105">
      <w:pPr>
        <w:spacing w:after="120"/>
        <w:rPr>
          <w:szCs w:val="20"/>
        </w:rPr>
      </w:pPr>
      <w:r w:rsidRPr="008F1777">
        <w:rPr>
          <w:b/>
          <w:szCs w:val="20"/>
        </w:rPr>
        <w:t>PREPARATION AND ANALYSIS</w:t>
      </w:r>
      <w:r w:rsidR="00D26A47" w:rsidRPr="00D26A47">
        <w:rPr>
          <w:b/>
          <w:szCs w:val="20"/>
          <w:vertAlign w:val="superscript"/>
        </w:rPr>
        <w:t>(</w:t>
      </w:r>
      <w:r w:rsidR="0036108F" w:rsidRPr="00D26A47">
        <w:rPr>
          <w:rStyle w:val="FootnoteReference"/>
          <w:b/>
          <w:szCs w:val="20"/>
        </w:rPr>
        <w:footnoteReference w:id="1"/>
      </w:r>
      <w:r w:rsidR="00D26A47" w:rsidRPr="00D26A47">
        <w:rPr>
          <w:b/>
          <w:szCs w:val="20"/>
          <w:vertAlign w:val="superscript"/>
        </w:rPr>
        <w:t>)</w:t>
      </w:r>
    </w:p>
    <w:p w14:paraId="3B9DFC8B" w14:textId="77777777" w:rsidR="00691105" w:rsidRPr="008F1777" w:rsidRDefault="009F0F24">
      <w:pPr>
        <w:rPr>
          <w:szCs w:val="20"/>
        </w:rPr>
      </w:pPr>
      <w:r>
        <w:rPr>
          <w:b/>
          <w:szCs w:val="20"/>
        </w:rPr>
        <w:t>Solution Preparation:</w:t>
      </w:r>
      <w:r w:rsidR="000C0AE5" w:rsidRPr="000C0AE5">
        <w:rPr>
          <w:szCs w:val="20"/>
        </w:rPr>
        <w:t xml:space="preserve">  </w:t>
      </w:r>
      <w:r w:rsidR="00691105" w:rsidRPr="00D453F3">
        <w:rPr>
          <w:szCs w:val="20"/>
        </w:rPr>
        <w:t>The solution</w:t>
      </w:r>
      <w:r w:rsidR="00BB2A43">
        <w:rPr>
          <w:szCs w:val="20"/>
        </w:rPr>
        <w:t xml:space="preserve"> was</w:t>
      </w:r>
      <w:r w:rsidR="00691105" w:rsidRPr="00D453F3">
        <w:rPr>
          <w:szCs w:val="20"/>
        </w:rPr>
        <w:t xml:space="preserve"> prepared gravimetrically at NIST from </w:t>
      </w:r>
      <w:r w:rsidR="00D453F3" w:rsidRPr="00D453F3">
        <w:rPr>
          <w:szCs w:val="20"/>
        </w:rPr>
        <w:t>water</w:t>
      </w:r>
      <w:r w:rsidR="00CD682F" w:rsidRPr="00D453F3">
        <w:rPr>
          <w:szCs w:val="20"/>
        </w:rPr>
        <w:t xml:space="preserve"> and </w:t>
      </w:r>
      <w:r w:rsidR="00691105" w:rsidRPr="00D453F3">
        <w:rPr>
          <w:szCs w:val="20"/>
        </w:rPr>
        <w:t xml:space="preserve">primary standards for </w:t>
      </w:r>
      <w:r w:rsidR="00D453F3" w:rsidRPr="00D453F3">
        <w:rPr>
          <w:szCs w:val="20"/>
        </w:rPr>
        <w:t xml:space="preserve">citric acid, malic acid, quinic acid, shikimic acid, and tartaric acid </w:t>
      </w:r>
      <w:r w:rsidR="00691105" w:rsidRPr="00D453F3">
        <w:rPr>
          <w:szCs w:val="20"/>
        </w:rPr>
        <w:t xml:space="preserve">obtained from </w:t>
      </w:r>
      <w:r w:rsidR="00D453F3" w:rsidRPr="00D453F3">
        <w:rPr>
          <w:szCs w:val="20"/>
        </w:rPr>
        <w:t>Sigma</w:t>
      </w:r>
      <w:r w:rsidR="00691105" w:rsidRPr="00D453F3">
        <w:rPr>
          <w:szCs w:val="20"/>
        </w:rPr>
        <w:t xml:space="preserve"> </w:t>
      </w:r>
      <w:r w:rsidR="00D453F3" w:rsidRPr="00D453F3">
        <w:rPr>
          <w:szCs w:val="20"/>
        </w:rPr>
        <w:t>(St</w:t>
      </w:r>
      <w:r w:rsidR="00D26A47" w:rsidRPr="00D453F3">
        <w:rPr>
          <w:szCs w:val="20"/>
        </w:rPr>
        <w:t>.</w:t>
      </w:r>
      <w:r w:rsidR="00D26A47">
        <w:rPr>
          <w:szCs w:val="20"/>
        </w:rPr>
        <w:t> </w:t>
      </w:r>
      <w:r w:rsidR="00D453F3" w:rsidRPr="00D453F3">
        <w:rPr>
          <w:szCs w:val="20"/>
        </w:rPr>
        <w:t>Louis</w:t>
      </w:r>
      <w:r w:rsidR="00D26A47" w:rsidRPr="00D453F3">
        <w:rPr>
          <w:szCs w:val="20"/>
        </w:rPr>
        <w:t>,</w:t>
      </w:r>
      <w:r w:rsidR="00D26A47">
        <w:rPr>
          <w:szCs w:val="20"/>
        </w:rPr>
        <w:t> </w:t>
      </w:r>
      <w:r w:rsidR="00D453F3" w:rsidRPr="00D453F3">
        <w:rPr>
          <w:szCs w:val="20"/>
        </w:rPr>
        <w:t>MO</w:t>
      </w:r>
      <w:r w:rsidR="00691105" w:rsidRPr="00D453F3">
        <w:rPr>
          <w:szCs w:val="20"/>
        </w:rPr>
        <w:t>).</w:t>
      </w:r>
      <w:r w:rsidR="00BB2A43">
        <w:rPr>
          <w:szCs w:val="20"/>
        </w:rPr>
        <w:t xml:space="preserve">  The solution</w:t>
      </w:r>
      <w:r w:rsidR="00CD682F" w:rsidRPr="00D453F3">
        <w:rPr>
          <w:szCs w:val="20"/>
        </w:rPr>
        <w:t xml:space="preserve"> w</w:t>
      </w:r>
      <w:r w:rsidR="00BB2A43">
        <w:rPr>
          <w:szCs w:val="20"/>
        </w:rPr>
        <w:t>as</w:t>
      </w:r>
      <w:r w:rsidR="00CD682F" w:rsidRPr="00D453F3">
        <w:rPr>
          <w:szCs w:val="20"/>
        </w:rPr>
        <w:t xml:space="preserve"> mixed overnight (</w:t>
      </w:r>
      <w:r w:rsidR="00D26A47" w:rsidRPr="00D453F3">
        <w:rPr>
          <w:szCs w:val="20"/>
        </w:rPr>
        <w:t>18</w:t>
      </w:r>
      <w:r w:rsidR="00D26A47">
        <w:rPr>
          <w:szCs w:val="20"/>
        </w:rPr>
        <w:t> </w:t>
      </w:r>
      <w:r w:rsidR="00CD682F" w:rsidRPr="00D453F3">
        <w:rPr>
          <w:szCs w:val="20"/>
        </w:rPr>
        <w:t>h</w:t>
      </w:r>
      <w:r w:rsidR="00D453F3" w:rsidRPr="00D453F3">
        <w:rPr>
          <w:szCs w:val="20"/>
        </w:rPr>
        <w:t xml:space="preserve">) </w:t>
      </w:r>
      <w:r w:rsidR="00572713" w:rsidRPr="00D453F3">
        <w:rPr>
          <w:szCs w:val="20"/>
        </w:rPr>
        <w:t xml:space="preserve">and </w:t>
      </w:r>
      <w:r w:rsidR="00CD682F" w:rsidRPr="00D453F3">
        <w:rPr>
          <w:szCs w:val="20"/>
        </w:rPr>
        <w:t xml:space="preserve">aliquoted </w:t>
      </w:r>
      <w:r w:rsidR="00626F7E" w:rsidRPr="00D453F3">
        <w:rPr>
          <w:szCs w:val="20"/>
        </w:rPr>
        <w:t xml:space="preserve">into </w:t>
      </w:r>
      <w:r w:rsidR="00D26A47" w:rsidRPr="00D453F3">
        <w:rPr>
          <w:szCs w:val="20"/>
        </w:rPr>
        <w:t>2</w:t>
      </w:r>
      <w:r w:rsidR="00D26A47">
        <w:rPr>
          <w:szCs w:val="20"/>
        </w:rPr>
        <w:t> </w:t>
      </w:r>
      <w:r w:rsidR="00CD682F" w:rsidRPr="00D453F3">
        <w:rPr>
          <w:szCs w:val="20"/>
        </w:rPr>
        <w:t>mL amber glass ampoules that had been purged with argon prior to addition of the solution.</w:t>
      </w:r>
      <w:r w:rsidR="00D453F3" w:rsidRPr="00D453F3">
        <w:rPr>
          <w:szCs w:val="20"/>
        </w:rPr>
        <w:t xml:space="preserve"> </w:t>
      </w:r>
      <w:r w:rsidR="00CD682F" w:rsidRPr="00D453F3">
        <w:rPr>
          <w:szCs w:val="20"/>
        </w:rPr>
        <w:t xml:space="preserve"> </w:t>
      </w:r>
      <w:r w:rsidR="00CD682F" w:rsidRPr="008F1777">
        <w:rPr>
          <w:szCs w:val="20"/>
        </w:rPr>
        <w:t xml:space="preserve">The </w:t>
      </w:r>
      <w:r w:rsidR="00EF34BE" w:rsidRPr="008F1777">
        <w:rPr>
          <w:szCs w:val="20"/>
        </w:rPr>
        <w:t>ampoules</w:t>
      </w:r>
      <w:r w:rsidR="00CD682F" w:rsidRPr="008F1777">
        <w:rPr>
          <w:szCs w:val="20"/>
        </w:rPr>
        <w:t xml:space="preserve"> were then flame-sealed.</w:t>
      </w:r>
      <w:r w:rsidR="00EF34BE" w:rsidRPr="008F1777">
        <w:rPr>
          <w:szCs w:val="20"/>
        </w:rPr>
        <w:t xml:space="preserve">  The masses of the </w:t>
      </w:r>
      <w:r w:rsidR="00962160" w:rsidRPr="008F1777">
        <w:rPr>
          <w:szCs w:val="20"/>
        </w:rPr>
        <w:t xml:space="preserve">primary </w:t>
      </w:r>
      <w:r w:rsidR="00EF34BE" w:rsidRPr="008F1777">
        <w:rPr>
          <w:szCs w:val="20"/>
        </w:rPr>
        <w:t>standards and the total mass</w:t>
      </w:r>
      <w:r w:rsidR="00BB2A43">
        <w:rPr>
          <w:szCs w:val="20"/>
        </w:rPr>
        <w:t xml:space="preserve"> of the solution</w:t>
      </w:r>
      <w:r w:rsidR="00EF34BE" w:rsidRPr="008F1777">
        <w:rPr>
          <w:szCs w:val="20"/>
        </w:rPr>
        <w:t xml:space="preserve"> were used to calculate the gravimetric </w:t>
      </w:r>
      <w:r w:rsidR="00CF1C94">
        <w:rPr>
          <w:szCs w:val="20"/>
        </w:rPr>
        <w:t>mass fraction</w:t>
      </w:r>
      <w:r w:rsidR="00EF34BE" w:rsidRPr="008F1777">
        <w:rPr>
          <w:szCs w:val="20"/>
        </w:rPr>
        <w:t xml:space="preserve">s.  The </w:t>
      </w:r>
      <w:r w:rsidR="00CF1C94">
        <w:rPr>
          <w:szCs w:val="20"/>
        </w:rPr>
        <w:t>mass fraction</w:t>
      </w:r>
      <w:r w:rsidR="00EF34BE" w:rsidRPr="008F1777">
        <w:rPr>
          <w:szCs w:val="20"/>
        </w:rPr>
        <w:t>s were adjusted for the purity estimates of the primary standards,</w:t>
      </w:r>
      <w:r w:rsidR="008F1777" w:rsidRPr="008F1777">
        <w:rPr>
          <w:szCs w:val="20"/>
        </w:rPr>
        <w:t xml:space="preserve"> which were determined using LC</w:t>
      </w:r>
      <w:r w:rsidR="00D26A47">
        <w:rPr>
          <w:szCs w:val="20"/>
        </w:rPr>
        <w:noBreakHyphen/>
      </w:r>
      <w:r w:rsidR="008F1777" w:rsidRPr="008F1777">
        <w:rPr>
          <w:szCs w:val="20"/>
        </w:rPr>
        <w:t>UV</w:t>
      </w:r>
      <w:r w:rsidR="00EF34BE" w:rsidRPr="008F1777">
        <w:rPr>
          <w:szCs w:val="20"/>
        </w:rPr>
        <w:t xml:space="preserve">, </w:t>
      </w:r>
      <w:r w:rsidR="008F1777" w:rsidRPr="008F1777">
        <w:rPr>
          <w:szCs w:val="20"/>
        </w:rPr>
        <w:t>LC with evaporative light</w:t>
      </w:r>
      <w:r w:rsidR="00D26A47">
        <w:rPr>
          <w:szCs w:val="20"/>
        </w:rPr>
        <w:noBreakHyphen/>
      </w:r>
      <w:r w:rsidR="008F1777" w:rsidRPr="008F1777">
        <w:rPr>
          <w:szCs w:val="20"/>
        </w:rPr>
        <w:t>scattering detection, differential scanning calorimetry,</w:t>
      </w:r>
      <w:r w:rsidR="00EF34BE" w:rsidRPr="008F1777">
        <w:rPr>
          <w:szCs w:val="20"/>
        </w:rPr>
        <w:t xml:space="preserve"> and </w:t>
      </w:r>
      <w:r w:rsidR="001A1D1B" w:rsidRPr="008F1777">
        <w:rPr>
          <w:szCs w:val="20"/>
        </w:rPr>
        <w:t>Karl Fischer titration</w:t>
      </w:r>
      <w:r w:rsidR="00EF34BE" w:rsidRPr="008F1777">
        <w:rPr>
          <w:szCs w:val="20"/>
        </w:rPr>
        <w:t>.</w:t>
      </w:r>
    </w:p>
    <w:p w14:paraId="36EE2E33" w14:textId="77777777" w:rsidR="003A331D" w:rsidRPr="007A7C1B" w:rsidRDefault="003A331D">
      <w:pPr>
        <w:rPr>
          <w:szCs w:val="20"/>
          <w:highlight w:val="yellow"/>
        </w:rPr>
      </w:pPr>
    </w:p>
    <w:p w14:paraId="6A6F1BDD" w14:textId="50109480" w:rsidR="00661A21" w:rsidRPr="00837242" w:rsidRDefault="009F0F24">
      <w:pPr>
        <w:rPr>
          <w:szCs w:val="20"/>
          <w:highlight w:val="yellow"/>
        </w:rPr>
      </w:pPr>
      <w:r w:rsidRPr="005F5EED">
        <w:rPr>
          <w:b/>
        </w:rPr>
        <w:t>Analytical Approach</w:t>
      </w:r>
      <w:r>
        <w:rPr>
          <w:b/>
        </w:rPr>
        <w:t>:</w:t>
      </w:r>
      <w:r w:rsidR="000C0AE5" w:rsidRPr="000C0AE5">
        <w:t xml:space="preserve">  </w:t>
      </w:r>
      <w:r w:rsidR="00E878EA" w:rsidRPr="009F0F24">
        <w:rPr>
          <w:szCs w:val="20"/>
        </w:rPr>
        <w:t xml:space="preserve">Aliquots from </w:t>
      </w:r>
      <w:r w:rsidR="00D26A47" w:rsidRPr="009F0F24">
        <w:rPr>
          <w:szCs w:val="20"/>
        </w:rPr>
        <w:t>1</w:t>
      </w:r>
      <w:r w:rsidR="00D26A47">
        <w:rPr>
          <w:szCs w:val="20"/>
        </w:rPr>
        <w:t>0 </w:t>
      </w:r>
      <w:r w:rsidR="00E878EA" w:rsidRPr="009F0F24">
        <w:rPr>
          <w:szCs w:val="20"/>
        </w:rPr>
        <w:t xml:space="preserve">ampoules, selected using a </w:t>
      </w:r>
      <w:r w:rsidR="00626F7E" w:rsidRPr="009F0F24">
        <w:rPr>
          <w:szCs w:val="20"/>
        </w:rPr>
        <w:t>stratified random</w:t>
      </w:r>
      <w:r w:rsidR="00E878EA" w:rsidRPr="009F0F24">
        <w:rPr>
          <w:szCs w:val="20"/>
        </w:rPr>
        <w:t xml:space="preserve"> sampling scheme, wer</w:t>
      </w:r>
      <w:r w:rsidR="005642DF" w:rsidRPr="009F0F24">
        <w:rPr>
          <w:szCs w:val="20"/>
        </w:rPr>
        <w:t>e analyzed</w:t>
      </w:r>
      <w:r w:rsidR="00BB2A43">
        <w:rPr>
          <w:szCs w:val="20"/>
        </w:rPr>
        <w:t xml:space="preserve"> in duplicate</w:t>
      </w:r>
      <w:r w:rsidR="005642DF" w:rsidRPr="009F0F24">
        <w:rPr>
          <w:szCs w:val="20"/>
        </w:rPr>
        <w:t xml:space="preserve"> using L</w:t>
      </w:r>
      <w:r w:rsidR="008F1777" w:rsidRPr="009F0F24">
        <w:rPr>
          <w:szCs w:val="20"/>
        </w:rPr>
        <w:t>C</w:t>
      </w:r>
      <w:r w:rsidR="00D26A47">
        <w:rPr>
          <w:szCs w:val="20"/>
        </w:rPr>
        <w:noBreakHyphen/>
      </w:r>
      <w:r w:rsidR="008F1777" w:rsidRPr="009F0F24">
        <w:rPr>
          <w:szCs w:val="20"/>
        </w:rPr>
        <w:t xml:space="preserve">UV at </w:t>
      </w:r>
      <w:r w:rsidR="00D26A47" w:rsidRPr="009F0F24">
        <w:rPr>
          <w:szCs w:val="20"/>
        </w:rPr>
        <w:t>210</w:t>
      </w:r>
      <w:r w:rsidR="00D26A47">
        <w:rPr>
          <w:szCs w:val="20"/>
        </w:rPr>
        <w:t> </w:t>
      </w:r>
      <w:r w:rsidR="008F1777" w:rsidRPr="009F0F24">
        <w:rPr>
          <w:szCs w:val="20"/>
        </w:rPr>
        <w:t>nm</w:t>
      </w:r>
      <w:r w:rsidR="00F50548" w:rsidRPr="009F0F24">
        <w:rPr>
          <w:szCs w:val="20"/>
        </w:rPr>
        <w:t>.</w:t>
      </w:r>
      <w:r w:rsidR="00E878EA" w:rsidRPr="009F0F24">
        <w:rPr>
          <w:szCs w:val="20"/>
        </w:rPr>
        <w:t xml:space="preserve">  </w:t>
      </w:r>
      <w:r w:rsidR="00667162" w:rsidRPr="009F0F24">
        <w:rPr>
          <w:szCs w:val="20"/>
        </w:rPr>
        <w:t>Four independent</w:t>
      </w:r>
      <w:r w:rsidR="00CF1C94">
        <w:rPr>
          <w:szCs w:val="20"/>
        </w:rPr>
        <w:t>ly prepared</w:t>
      </w:r>
      <w:r w:rsidR="00E878EA" w:rsidRPr="009F0F24">
        <w:rPr>
          <w:szCs w:val="20"/>
        </w:rPr>
        <w:t xml:space="preserve"> calibration solutions consisting of </w:t>
      </w:r>
      <w:r w:rsidR="008F1777" w:rsidRPr="009F0F24">
        <w:rPr>
          <w:szCs w:val="20"/>
        </w:rPr>
        <w:t>citric acid, malic acid, quinic acid, shikimic acid, and tartaric acid</w:t>
      </w:r>
      <w:r w:rsidR="00667162" w:rsidRPr="009F0F24">
        <w:rPr>
          <w:szCs w:val="20"/>
        </w:rPr>
        <w:t xml:space="preserve"> were gravimetrically prepared and chromatographically analyzed</w:t>
      </w:r>
      <w:r w:rsidRPr="009F0F24">
        <w:rPr>
          <w:szCs w:val="20"/>
        </w:rPr>
        <w:t>.  Four independent</w:t>
      </w:r>
      <w:r w:rsidR="00CF1C94">
        <w:rPr>
          <w:szCs w:val="20"/>
        </w:rPr>
        <w:t>ly prepared</w:t>
      </w:r>
      <w:r w:rsidRPr="009F0F24">
        <w:rPr>
          <w:szCs w:val="20"/>
        </w:rPr>
        <w:t xml:space="preserve"> calibration solutions </w:t>
      </w:r>
      <w:r>
        <w:rPr>
          <w:szCs w:val="20"/>
        </w:rPr>
        <w:t>containing fumaric acid</w:t>
      </w:r>
      <w:r w:rsidRPr="009F0F24">
        <w:rPr>
          <w:szCs w:val="20"/>
        </w:rPr>
        <w:t xml:space="preserve"> were </w:t>
      </w:r>
      <w:r>
        <w:rPr>
          <w:szCs w:val="20"/>
        </w:rPr>
        <w:t xml:space="preserve">also </w:t>
      </w:r>
      <w:r w:rsidRPr="009F0F24">
        <w:rPr>
          <w:szCs w:val="20"/>
        </w:rPr>
        <w:t xml:space="preserve">gravimetrically prepared and chromatographically analyzed.  </w:t>
      </w:r>
      <w:r w:rsidR="00CF1C94">
        <w:rPr>
          <w:szCs w:val="20"/>
        </w:rPr>
        <w:t xml:space="preserve">(Fumaric acid is present in the calibration solutions because it was an impurity in the malic acid that was used in preparation of this SRM.)  </w:t>
      </w:r>
      <w:r w:rsidRPr="009F0F24">
        <w:t xml:space="preserve">Quantitation </w:t>
      </w:r>
      <w:r>
        <w:t xml:space="preserve">of all organic acids </w:t>
      </w:r>
      <w:r w:rsidRPr="009F0F24">
        <w:t>was based on an external calibration model</w:t>
      </w:r>
      <w:r w:rsidR="00667162" w:rsidRPr="009F0F24">
        <w:rPr>
          <w:szCs w:val="20"/>
        </w:rPr>
        <w:t>.</w:t>
      </w:r>
      <w:r w:rsidR="00661A21" w:rsidRPr="009F0F24">
        <w:rPr>
          <w:szCs w:val="20"/>
        </w:rPr>
        <w:t xml:space="preserve">  </w:t>
      </w:r>
      <w:r w:rsidRPr="009F0F24">
        <w:rPr>
          <w:szCs w:val="20"/>
        </w:rPr>
        <w:t>A r</w:t>
      </w:r>
      <w:r w:rsidR="00661A21" w:rsidRPr="009F0F24">
        <w:rPr>
          <w:szCs w:val="20"/>
        </w:rPr>
        <w:t>epresentative chromatogram and the</w:t>
      </w:r>
      <w:r w:rsidR="00974199" w:rsidRPr="009F0F24">
        <w:rPr>
          <w:szCs w:val="20"/>
        </w:rPr>
        <w:t xml:space="preserve"> separation conditions are presented</w:t>
      </w:r>
      <w:r w:rsidRPr="009F0F24">
        <w:rPr>
          <w:szCs w:val="20"/>
        </w:rPr>
        <w:t xml:space="preserve"> in</w:t>
      </w:r>
      <w:r w:rsidR="00837242">
        <w:rPr>
          <w:szCs w:val="20"/>
        </w:rPr>
        <w:t xml:space="preserve"> </w:t>
      </w:r>
      <w:r w:rsidR="00BE2062">
        <w:rPr>
          <w:szCs w:val="20"/>
        </w:rPr>
        <w:t>Figure</w:t>
      </w:r>
      <w:r w:rsidR="006E5BDF">
        <w:rPr>
          <w:szCs w:val="20"/>
        </w:rPr>
        <w:t> </w:t>
      </w:r>
      <w:r w:rsidR="00BE2062">
        <w:rPr>
          <w:szCs w:val="20"/>
        </w:rPr>
        <w:t>1.</w:t>
      </w:r>
    </w:p>
    <w:p w14:paraId="438CD61C" w14:textId="77777777" w:rsidR="008F1777" w:rsidRDefault="008F1777">
      <w:pPr>
        <w:rPr>
          <w:szCs w:val="20"/>
        </w:rPr>
      </w:pPr>
    </w:p>
    <w:p w14:paraId="0CFECE6F" w14:textId="77777777" w:rsidR="008F1777" w:rsidRDefault="008F1777">
      <w:r>
        <w:rPr>
          <w:b/>
          <w:kern w:val="2"/>
        </w:rPr>
        <w:t>Homogeneity Assessment:</w:t>
      </w:r>
      <w:r>
        <w:rPr>
          <w:kern w:val="2"/>
        </w:rPr>
        <w:t xml:space="preserve">  The homogeneity of organic acid </w:t>
      </w:r>
      <w:r w:rsidR="005F1FD9">
        <w:rPr>
          <w:kern w:val="2"/>
        </w:rPr>
        <w:t>mass fraction</w:t>
      </w:r>
      <w:r w:rsidR="006060B8">
        <w:rPr>
          <w:kern w:val="2"/>
        </w:rPr>
        <w:t>s</w:t>
      </w:r>
      <w:r>
        <w:rPr>
          <w:kern w:val="2"/>
        </w:rPr>
        <w:t xml:space="preserve"> was assessed at NIST by using the </w:t>
      </w:r>
      <w:r w:rsidR="00BB2A43">
        <w:rPr>
          <w:kern w:val="2"/>
        </w:rPr>
        <w:t>analytical approach</w:t>
      </w:r>
      <w:r>
        <w:rPr>
          <w:kern w:val="2"/>
        </w:rPr>
        <w:t xml:space="preserve"> described above.  </w:t>
      </w:r>
      <w:r w:rsidRPr="00BD5C53">
        <w:t xml:space="preserve">An analysis of variance </w:t>
      </w:r>
      <w:r>
        <w:t xml:space="preserve">did not show inhomogeneity for the </w:t>
      </w:r>
      <w:r w:rsidR="00BB2A43">
        <w:t>0.</w:t>
      </w:r>
      <w:r w:rsidR="003B473A">
        <w:t>1 </w:t>
      </w:r>
      <w:r w:rsidR="00BB2A43">
        <w:t xml:space="preserve">g </w:t>
      </w:r>
      <w:r>
        <w:t>test portions analyzed</w:t>
      </w:r>
      <w:r w:rsidR="001C64DD">
        <w:t>.</w:t>
      </w:r>
    </w:p>
    <w:p w14:paraId="26423F22" w14:textId="77777777" w:rsidR="0025293C" w:rsidRDefault="0025293C"/>
    <w:p w14:paraId="567CC7C7" w14:textId="77777777" w:rsidR="0025293C" w:rsidRDefault="0025293C">
      <w:pPr>
        <w:autoSpaceDE w:val="0"/>
        <w:autoSpaceDN w:val="0"/>
        <w:adjustRightInd w:val="0"/>
        <w:rPr>
          <w:kern w:val="2"/>
        </w:rPr>
      </w:pPr>
      <w:r>
        <w:rPr>
          <w:b/>
          <w:kern w:val="2"/>
        </w:rPr>
        <w:t>Value Assignment:</w:t>
      </w:r>
      <w:r>
        <w:rPr>
          <w:kern w:val="2"/>
        </w:rPr>
        <w:t xml:space="preserve">  </w:t>
      </w:r>
      <w:r w:rsidR="001B2FBE" w:rsidRPr="001B2FBE">
        <w:rPr>
          <w:kern w:val="2"/>
        </w:rPr>
        <w:t>For calculation of assigned values</w:t>
      </w:r>
      <w:r w:rsidR="001B2FBE">
        <w:rPr>
          <w:kern w:val="2"/>
        </w:rPr>
        <w:t>,</w:t>
      </w:r>
      <w:r w:rsidR="001B2FBE" w:rsidRPr="001B2FBE">
        <w:rPr>
          <w:kern w:val="2"/>
        </w:rPr>
        <w:t xml:space="preserve"> the mean of the available sets of data were averaged</w:t>
      </w:r>
      <w:r w:rsidR="001B2FBE">
        <w:rPr>
          <w:kern w:val="2"/>
        </w:rPr>
        <w:t xml:space="preserve">.  </w:t>
      </w:r>
      <w:r w:rsidR="005F1FD9" w:rsidRPr="005F1FD9">
        <w:rPr>
          <w:kern w:val="2"/>
        </w:rPr>
        <w:t xml:space="preserve">Certified values are means of </w:t>
      </w:r>
      <w:r w:rsidR="005F1FD9">
        <w:rPr>
          <w:kern w:val="2"/>
        </w:rPr>
        <w:t>mass fraction</w:t>
      </w:r>
      <w:r w:rsidR="005F1FD9" w:rsidRPr="005F1FD9">
        <w:rPr>
          <w:kern w:val="2"/>
        </w:rPr>
        <w:t>s determined by gravimetric preparation and chromatographic measurements</w:t>
      </w:r>
      <w:r w:rsidR="00050B84">
        <w:rPr>
          <w:kern w:val="2"/>
        </w:rPr>
        <w:t>.</w:t>
      </w:r>
      <w:r w:rsidR="00954CE9">
        <w:rPr>
          <w:kern w:val="2"/>
        </w:rPr>
        <w:t xml:space="preserve">  The reference value is the mean of mass fractions determined by chromatographic measurements only.</w:t>
      </w:r>
    </w:p>
    <w:p w14:paraId="0C0901A0" w14:textId="77777777" w:rsidR="008F1777" w:rsidRPr="007A7C1B" w:rsidRDefault="008F1777">
      <w:pPr>
        <w:rPr>
          <w:szCs w:val="20"/>
          <w:highlight w:val="yellow"/>
        </w:rPr>
      </w:pPr>
    </w:p>
    <w:p w14:paraId="509012EB" w14:textId="235C7A3D" w:rsidR="00837242" w:rsidRDefault="003B473A">
      <w:pPr>
        <w:spacing w:after="120"/>
        <w:rPr>
          <w:szCs w:val="20"/>
        </w:rPr>
      </w:pPr>
      <w:r w:rsidRPr="003B473A">
        <w:rPr>
          <w:szCs w:val="20"/>
        </w:rPr>
        <w:t>Each certified value is a mean of mass fractions determined by gravimetric preparation and LC</w:t>
      </w:r>
      <w:r w:rsidRPr="003B473A">
        <w:rPr>
          <w:szCs w:val="20"/>
        </w:rPr>
        <w:noBreakHyphen/>
        <w:t>UV measurements.  The uncertainty provided with each value is an expanded uncertainty about the mean to cover the measurand with approximately 95</w:t>
      </w:r>
      <w:r w:rsidR="00837242">
        <w:rPr>
          <w:szCs w:val="20"/>
        </w:rPr>
        <w:t> </w:t>
      </w:r>
      <w:r w:rsidRPr="003B473A">
        <w:rPr>
          <w:szCs w:val="20"/>
        </w:rPr>
        <w:t>% confidence</w:t>
      </w:r>
      <w:r w:rsidR="0066431C">
        <w:rPr>
          <w:szCs w:val="20"/>
        </w:rPr>
        <w:t>;</w:t>
      </w:r>
      <w:r w:rsidR="0066431C" w:rsidRPr="003B473A">
        <w:rPr>
          <w:szCs w:val="20"/>
        </w:rPr>
        <w:t xml:space="preserve"> </w:t>
      </w:r>
      <w:r w:rsidRPr="003B473A">
        <w:rPr>
          <w:szCs w:val="20"/>
        </w:rPr>
        <w:t>it expresses both the observed difference between the results from the two methods and their respective uncertainties, consistent with the ISO</w:t>
      </w:r>
      <w:r w:rsidR="00A33911">
        <w:rPr>
          <w:szCs w:val="20"/>
        </w:rPr>
        <w:t>/JCGM</w:t>
      </w:r>
      <w:r w:rsidRPr="003B473A">
        <w:rPr>
          <w:szCs w:val="20"/>
        </w:rPr>
        <w:t xml:space="preserve"> Guide and with its Supplement</w:t>
      </w:r>
      <w:r w:rsidR="00837242">
        <w:rPr>
          <w:szCs w:val="20"/>
        </w:rPr>
        <w:t> </w:t>
      </w:r>
      <w:r w:rsidRPr="003B473A">
        <w:rPr>
          <w:szCs w:val="20"/>
        </w:rPr>
        <w:t>1</w:t>
      </w:r>
      <w:r w:rsidR="00837242">
        <w:rPr>
          <w:szCs w:val="20"/>
        </w:rPr>
        <w:t> </w:t>
      </w:r>
      <w:r w:rsidRPr="003B473A">
        <w:rPr>
          <w:szCs w:val="20"/>
        </w:rPr>
        <w:t>[3</w:t>
      </w:r>
      <w:r w:rsidR="00837242">
        <w:rPr>
          <w:szCs w:val="20"/>
        </w:rPr>
        <w:t>–</w:t>
      </w:r>
      <w:r w:rsidRPr="003B473A">
        <w:rPr>
          <w:szCs w:val="20"/>
        </w:rPr>
        <w:t>5].</w:t>
      </w:r>
      <w:r w:rsidR="00E8018B">
        <w:rPr>
          <w:szCs w:val="20"/>
        </w:rPr>
        <w:t xml:space="preserve">  T</w:t>
      </w:r>
      <w:r w:rsidR="00E8018B" w:rsidRPr="009C2D3E">
        <w:rPr>
          <w:szCs w:val="20"/>
        </w:rPr>
        <w:t xml:space="preserve">he expanded uncertainty is calculated as </w:t>
      </w:r>
      <w:r w:rsidR="00E8018B" w:rsidRPr="009C2D3E">
        <w:rPr>
          <w:i/>
          <w:szCs w:val="20"/>
        </w:rPr>
        <w:t>U</w:t>
      </w:r>
      <w:r w:rsidR="00E8018B">
        <w:rPr>
          <w:i/>
          <w:szCs w:val="20"/>
        </w:rPr>
        <w:t> </w:t>
      </w:r>
      <w:r w:rsidR="00E8018B" w:rsidRPr="009C2D3E">
        <w:rPr>
          <w:i/>
          <w:szCs w:val="20"/>
        </w:rPr>
        <w:t>=</w:t>
      </w:r>
      <w:r w:rsidR="00E8018B">
        <w:rPr>
          <w:i/>
          <w:szCs w:val="20"/>
        </w:rPr>
        <w:t> </w:t>
      </w:r>
      <w:r w:rsidR="00E8018B" w:rsidRPr="009C2D3E">
        <w:rPr>
          <w:i/>
          <w:szCs w:val="20"/>
        </w:rPr>
        <w:t>ku</w:t>
      </w:r>
      <w:r w:rsidR="00E8018B" w:rsidRPr="00C75C7C">
        <w:rPr>
          <w:szCs w:val="20"/>
          <w:vertAlign w:val="subscript"/>
        </w:rPr>
        <w:t>c</w:t>
      </w:r>
      <w:r w:rsidR="00E8018B" w:rsidRPr="009C2D3E">
        <w:rPr>
          <w:szCs w:val="20"/>
        </w:rPr>
        <w:t xml:space="preserve">, where </w:t>
      </w:r>
      <w:r w:rsidR="00E8018B" w:rsidRPr="009C2D3E">
        <w:rPr>
          <w:i/>
          <w:szCs w:val="20"/>
        </w:rPr>
        <w:t>u</w:t>
      </w:r>
      <w:r w:rsidR="00E8018B" w:rsidRPr="00C75C7C">
        <w:rPr>
          <w:szCs w:val="20"/>
          <w:vertAlign w:val="subscript"/>
        </w:rPr>
        <w:t>c</w:t>
      </w:r>
      <w:r w:rsidR="00E8018B" w:rsidRPr="009C2D3E">
        <w:rPr>
          <w:szCs w:val="20"/>
        </w:rPr>
        <w:t xml:space="preserve"> is the combined uncertainty, and </w:t>
      </w:r>
      <w:r w:rsidR="00E8018B" w:rsidRPr="009C2D3E">
        <w:rPr>
          <w:i/>
          <w:szCs w:val="20"/>
        </w:rPr>
        <w:t>k</w:t>
      </w:r>
      <w:r w:rsidR="00E8018B">
        <w:rPr>
          <w:szCs w:val="20"/>
        </w:rPr>
        <w:t> = 2 is the</w:t>
      </w:r>
      <w:r w:rsidR="00E8018B" w:rsidRPr="009C2D3E">
        <w:rPr>
          <w:szCs w:val="20"/>
        </w:rPr>
        <w:t xml:space="preserve"> coverage factor corresponding to approximately 95</w:t>
      </w:r>
      <w:r w:rsidR="00BE6897">
        <w:rPr>
          <w:szCs w:val="20"/>
        </w:rPr>
        <w:t> </w:t>
      </w:r>
      <w:r w:rsidR="00E8018B" w:rsidRPr="009C2D3E">
        <w:rPr>
          <w:szCs w:val="20"/>
        </w:rPr>
        <w:t>% confidence</w:t>
      </w:r>
      <w:r w:rsidR="00E8018B">
        <w:rPr>
          <w:szCs w:val="20"/>
        </w:rPr>
        <w:t>.</w:t>
      </w:r>
      <w:r w:rsidR="009953F5">
        <w:rPr>
          <w:szCs w:val="20"/>
        </w:rPr>
        <w:t xml:space="preserve">  The measurand is the total mass fraction of </w:t>
      </w:r>
      <w:r w:rsidR="00A02394">
        <w:rPr>
          <w:szCs w:val="20"/>
        </w:rPr>
        <w:t>each</w:t>
      </w:r>
      <w:r w:rsidR="009953F5">
        <w:rPr>
          <w:szCs w:val="20"/>
        </w:rPr>
        <w:t xml:space="preserve"> organic acid in Table 1 and the value is metrologically traceable to the SI derived unit for mass fraction (expressed as milligrams per gram).</w:t>
      </w:r>
    </w:p>
    <w:p w14:paraId="42329943" w14:textId="77777777" w:rsidR="003B473A" w:rsidRDefault="008F1777">
      <w:pPr>
        <w:spacing w:after="120"/>
        <w:jc w:val="center"/>
        <w:rPr>
          <w:szCs w:val="20"/>
        </w:rPr>
      </w:pPr>
      <w:r w:rsidRPr="00971F9A">
        <w:rPr>
          <w:szCs w:val="20"/>
        </w:rPr>
        <w:t>Table</w:t>
      </w:r>
      <w:r w:rsidR="00837242">
        <w:rPr>
          <w:szCs w:val="20"/>
        </w:rPr>
        <w:t> </w:t>
      </w:r>
      <w:r w:rsidRPr="00971F9A">
        <w:rPr>
          <w:szCs w:val="20"/>
        </w:rPr>
        <w:t xml:space="preserve">1.  Certified </w:t>
      </w:r>
      <w:r w:rsidR="00757DD5">
        <w:rPr>
          <w:szCs w:val="20"/>
        </w:rPr>
        <w:t xml:space="preserve">Mass Fraction </w:t>
      </w:r>
      <w:r w:rsidRPr="00971F9A">
        <w:rPr>
          <w:szCs w:val="20"/>
        </w:rPr>
        <w:t>Values for Organic Acids in SRM</w:t>
      </w:r>
      <w:r w:rsidR="00837242">
        <w:rPr>
          <w:szCs w:val="20"/>
        </w:rPr>
        <w:t> </w:t>
      </w:r>
      <w:r w:rsidRPr="00971F9A">
        <w:rPr>
          <w:szCs w:val="20"/>
        </w:rPr>
        <w:t>3286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2680"/>
      </w:tblGrid>
      <w:tr w:rsidR="003B473A" w14:paraId="6D81E030" w14:textId="77777777" w:rsidTr="003B473A">
        <w:trPr>
          <w:trHeight w:val="634"/>
          <w:jc w:val="center"/>
        </w:trPr>
        <w:tc>
          <w:tcPr>
            <w:tcW w:w="1969" w:type="dxa"/>
          </w:tcPr>
          <w:p w14:paraId="2A2E7BA7" w14:textId="77777777" w:rsidR="003B473A" w:rsidRDefault="003B473A">
            <w:pPr>
              <w:tabs>
                <w:tab w:val="center" w:pos="4725"/>
                <w:tab w:val="center" w:pos="7290"/>
              </w:tabs>
              <w:rPr>
                <w:szCs w:val="20"/>
              </w:rPr>
            </w:pPr>
          </w:p>
        </w:tc>
        <w:tc>
          <w:tcPr>
            <w:tcW w:w="2680" w:type="dxa"/>
          </w:tcPr>
          <w:p w14:paraId="544A871D" w14:textId="77777777" w:rsidR="003B473A" w:rsidRDefault="003B473A">
            <w:pPr>
              <w:tabs>
                <w:tab w:val="center" w:pos="4725"/>
                <w:tab w:val="center" w:pos="7290"/>
              </w:tabs>
              <w:jc w:val="center"/>
              <w:rPr>
                <w:szCs w:val="20"/>
              </w:rPr>
            </w:pPr>
            <w:r w:rsidRPr="00971F9A">
              <w:rPr>
                <w:szCs w:val="20"/>
              </w:rPr>
              <w:t>Mass Fraction</w:t>
            </w:r>
          </w:p>
          <w:p w14:paraId="4A2E4E62" w14:textId="77777777" w:rsidR="003B473A" w:rsidRDefault="003B473A">
            <w:pPr>
              <w:tabs>
                <w:tab w:val="center" w:pos="4725"/>
                <w:tab w:val="center" w:pos="7290"/>
              </w:tabs>
              <w:jc w:val="center"/>
              <w:rPr>
                <w:szCs w:val="20"/>
              </w:rPr>
            </w:pPr>
            <w:r>
              <w:rPr>
                <w:szCs w:val="20"/>
              </w:rPr>
              <w:t>(</w:t>
            </w:r>
            <w:r w:rsidRPr="00971F9A">
              <w:rPr>
                <w:szCs w:val="20"/>
                <w:lang w:val="fi-FI"/>
              </w:rPr>
              <w:t>mg/g</w:t>
            </w:r>
            <w:r>
              <w:rPr>
                <w:szCs w:val="20"/>
                <w:lang w:val="fi-FI"/>
              </w:rPr>
              <w:t>)</w:t>
            </w:r>
          </w:p>
        </w:tc>
      </w:tr>
      <w:tr w:rsidR="003B473A" w14:paraId="076502D7" w14:textId="77777777" w:rsidTr="003B473A">
        <w:trPr>
          <w:jc w:val="center"/>
        </w:trPr>
        <w:tc>
          <w:tcPr>
            <w:tcW w:w="1969" w:type="dxa"/>
          </w:tcPr>
          <w:p w14:paraId="2A82826E" w14:textId="77777777" w:rsidR="003B473A" w:rsidRDefault="003B473A">
            <w:pPr>
              <w:tabs>
                <w:tab w:val="center" w:pos="4725"/>
                <w:tab w:val="center" w:pos="7290"/>
              </w:tabs>
              <w:rPr>
                <w:szCs w:val="20"/>
              </w:rPr>
            </w:pPr>
            <w:r w:rsidRPr="00F021CB">
              <w:rPr>
                <w:szCs w:val="20"/>
                <w:lang w:val="fi-FI"/>
              </w:rPr>
              <w:t xml:space="preserve">Citric </w:t>
            </w:r>
            <w:r>
              <w:rPr>
                <w:szCs w:val="20"/>
                <w:lang w:val="fi-FI"/>
              </w:rPr>
              <w:t>A</w:t>
            </w:r>
            <w:r w:rsidRPr="00F021CB">
              <w:rPr>
                <w:szCs w:val="20"/>
                <w:lang w:val="fi-FI"/>
              </w:rPr>
              <w:t>cid</w:t>
            </w:r>
          </w:p>
        </w:tc>
        <w:tc>
          <w:tcPr>
            <w:tcW w:w="2680" w:type="dxa"/>
          </w:tcPr>
          <w:p w14:paraId="6BD28C80" w14:textId="77777777" w:rsidR="003B473A" w:rsidRDefault="003B473A">
            <w:pPr>
              <w:tabs>
                <w:tab w:val="decimal" w:pos="518"/>
                <w:tab w:val="center" w:pos="1238"/>
                <w:tab w:val="decimal" w:pos="1688"/>
                <w:tab w:val="center" w:pos="4725"/>
                <w:tab w:val="center" w:pos="7290"/>
              </w:tabs>
              <w:rPr>
                <w:szCs w:val="20"/>
              </w:rPr>
            </w:pPr>
            <w:r>
              <w:rPr>
                <w:szCs w:val="20"/>
                <w:lang w:val="fi-FI"/>
              </w:rPr>
              <w:tab/>
            </w:r>
            <w:r w:rsidRPr="00F021CB">
              <w:rPr>
                <w:szCs w:val="20"/>
                <w:lang w:val="fi-FI"/>
              </w:rPr>
              <w:t>4.9</w:t>
            </w:r>
            <w:r>
              <w:rPr>
                <w:szCs w:val="20"/>
                <w:lang w:val="fi-FI"/>
              </w:rPr>
              <w:t>25</w:t>
            </w:r>
            <w:r w:rsidRPr="00F021CB">
              <w:rPr>
                <w:szCs w:val="20"/>
                <w:lang w:val="fi-FI"/>
              </w:rPr>
              <w:tab/>
            </w:r>
            <w:r w:rsidRPr="00F021CB">
              <w:rPr>
                <w:szCs w:val="20"/>
                <w:lang w:val="fi-FI"/>
              </w:rPr>
              <w:sym w:font="Symbol" w:char="F0B1"/>
            </w:r>
            <w:r w:rsidRPr="00F021CB">
              <w:rPr>
                <w:szCs w:val="20"/>
                <w:lang w:val="fi-FI"/>
              </w:rPr>
              <w:tab/>
              <w:t>0.0</w:t>
            </w:r>
            <w:r>
              <w:rPr>
                <w:szCs w:val="20"/>
                <w:lang w:val="fi-FI"/>
              </w:rPr>
              <w:t>54</w:t>
            </w:r>
          </w:p>
        </w:tc>
      </w:tr>
      <w:tr w:rsidR="003B473A" w14:paraId="301EFF9C" w14:textId="77777777" w:rsidTr="003B473A">
        <w:trPr>
          <w:jc w:val="center"/>
        </w:trPr>
        <w:tc>
          <w:tcPr>
            <w:tcW w:w="1969" w:type="dxa"/>
          </w:tcPr>
          <w:p w14:paraId="492A9ACB" w14:textId="77777777" w:rsidR="003B473A" w:rsidRDefault="003B473A">
            <w:pPr>
              <w:tabs>
                <w:tab w:val="center" w:pos="4725"/>
                <w:tab w:val="center" w:pos="7290"/>
              </w:tabs>
              <w:rPr>
                <w:szCs w:val="20"/>
              </w:rPr>
            </w:pPr>
            <w:r w:rsidRPr="00F021CB">
              <w:rPr>
                <w:szCs w:val="20"/>
                <w:lang w:val="fi-FI"/>
              </w:rPr>
              <w:t xml:space="preserve">Malic </w:t>
            </w:r>
            <w:r>
              <w:rPr>
                <w:szCs w:val="20"/>
                <w:lang w:val="fi-FI"/>
              </w:rPr>
              <w:t>A</w:t>
            </w:r>
            <w:r w:rsidRPr="00F021CB">
              <w:rPr>
                <w:szCs w:val="20"/>
                <w:lang w:val="fi-FI"/>
              </w:rPr>
              <w:t>cid</w:t>
            </w:r>
          </w:p>
        </w:tc>
        <w:tc>
          <w:tcPr>
            <w:tcW w:w="2680" w:type="dxa"/>
          </w:tcPr>
          <w:p w14:paraId="0281296E" w14:textId="77777777" w:rsidR="003B473A" w:rsidRDefault="003B473A">
            <w:pPr>
              <w:tabs>
                <w:tab w:val="decimal" w:pos="518"/>
                <w:tab w:val="center" w:pos="1238"/>
                <w:tab w:val="decimal" w:pos="1688"/>
                <w:tab w:val="center" w:pos="4725"/>
                <w:tab w:val="center" w:pos="7290"/>
              </w:tabs>
              <w:rPr>
                <w:szCs w:val="20"/>
              </w:rPr>
            </w:pPr>
            <w:r>
              <w:rPr>
                <w:szCs w:val="20"/>
              </w:rPr>
              <w:tab/>
            </w:r>
            <w:r w:rsidRPr="00F021CB">
              <w:rPr>
                <w:szCs w:val="20"/>
                <w:lang w:val="fi-FI"/>
              </w:rPr>
              <w:t>4.8</w:t>
            </w:r>
            <w:r>
              <w:rPr>
                <w:szCs w:val="20"/>
                <w:lang w:val="fi-FI"/>
              </w:rPr>
              <w:t>77</w:t>
            </w:r>
            <w:r w:rsidRPr="00F021CB">
              <w:rPr>
                <w:szCs w:val="20"/>
                <w:lang w:val="fi-FI"/>
              </w:rPr>
              <w:tab/>
            </w:r>
            <w:r w:rsidRPr="00F021CB">
              <w:rPr>
                <w:szCs w:val="20"/>
                <w:lang w:val="fi-FI"/>
              </w:rPr>
              <w:sym w:font="Symbol" w:char="F0B1"/>
            </w:r>
            <w:r w:rsidRPr="00F021CB">
              <w:rPr>
                <w:szCs w:val="20"/>
                <w:lang w:val="fi-FI"/>
              </w:rPr>
              <w:tab/>
              <w:t>0.05</w:t>
            </w:r>
            <w:r>
              <w:rPr>
                <w:szCs w:val="20"/>
                <w:lang w:val="fi-FI"/>
              </w:rPr>
              <w:t>3</w:t>
            </w:r>
          </w:p>
        </w:tc>
      </w:tr>
      <w:tr w:rsidR="003B473A" w14:paraId="15A381B8" w14:textId="77777777" w:rsidTr="003B473A">
        <w:trPr>
          <w:jc w:val="center"/>
        </w:trPr>
        <w:tc>
          <w:tcPr>
            <w:tcW w:w="1969" w:type="dxa"/>
          </w:tcPr>
          <w:p w14:paraId="3040C251" w14:textId="77777777" w:rsidR="003B473A" w:rsidRDefault="003B473A">
            <w:pPr>
              <w:tabs>
                <w:tab w:val="center" w:pos="4725"/>
                <w:tab w:val="center" w:pos="7290"/>
              </w:tabs>
              <w:rPr>
                <w:szCs w:val="20"/>
              </w:rPr>
            </w:pPr>
            <w:r w:rsidRPr="00D453F3">
              <w:rPr>
                <w:szCs w:val="20"/>
                <w:lang w:val="fi-FI"/>
              </w:rPr>
              <w:t xml:space="preserve">Quinic </w:t>
            </w:r>
            <w:r>
              <w:rPr>
                <w:szCs w:val="20"/>
                <w:lang w:val="fi-FI"/>
              </w:rPr>
              <w:t>A</w:t>
            </w:r>
            <w:r w:rsidRPr="00D453F3">
              <w:rPr>
                <w:szCs w:val="20"/>
                <w:lang w:val="fi-FI"/>
              </w:rPr>
              <w:t>cid</w:t>
            </w:r>
          </w:p>
        </w:tc>
        <w:tc>
          <w:tcPr>
            <w:tcW w:w="2680" w:type="dxa"/>
          </w:tcPr>
          <w:p w14:paraId="3F6B6236" w14:textId="77777777" w:rsidR="003B473A" w:rsidRDefault="003B473A">
            <w:pPr>
              <w:tabs>
                <w:tab w:val="decimal" w:pos="518"/>
                <w:tab w:val="center" w:pos="1238"/>
                <w:tab w:val="decimal" w:pos="1688"/>
                <w:tab w:val="center" w:pos="4725"/>
                <w:tab w:val="center" w:pos="7290"/>
              </w:tabs>
              <w:rPr>
                <w:szCs w:val="20"/>
              </w:rPr>
            </w:pPr>
            <w:r>
              <w:rPr>
                <w:szCs w:val="20"/>
              </w:rPr>
              <w:tab/>
            </w:r>
            <w:r w:rsidRPr="00D453F3">
              <w:rPr>
                <w:szCs w:val="20"/>
                <w:lang w:val="fi-FI"/>
              </w:rPr>
              <w:t>4.7</w:t>
            </w:r>
            <w:r>
              <w:rPr>
                <w:szCs w:val="20"/>
                <w:lang w:val="fi-FI"/>
              </w:rPr>
              <w:t>62</w:t>
            </w:r>
            <w:r w:rsidRPr="00D453F3">
              <w:rPr>
                <w:szCs w:val="20"/>
                <w:lang w:val="fi-FI"/>
              </w:rPr>
              <w:tab/>
            </w:r>
            <w:r w:rsidRPr="00F021CB">
              <w:rPr>
                <w:szCs w:val="20"/>
                <w:lang w:val="fi-FI"/>
              </w:rPr>
              <w:sym w:font="Symbol" w:char="F0B1"/>
            </w:r>
            <w:r>
              <w:rPr>
                <w:szCs w:val="20"/>
                <w:lang w:val="fi-FI"/>
              </w:rPr>
              <w:tab/>
              <w:t>0.054</w:t>
            </w:r>
          </w:p>
        </w:tc>
      </w:tr>
      <w:tr w:rsidR="003B473A" w14:paraId="4800A287" w14:textId="77777777" w:rsidTr="003B473A">
        <w:trPr>
          <w:jc w:val="center"/>
        </w:trPr>
        <w:tc>
          <w:tcPr>
            <w:tcW w:w="1969" w:type="dxa"/>
          </w:tcPr>
          <w:p w14:paraId="3CB429FD" w14:textId="77777777" w:rsidR="003B473A" w:rsidRDefault="003B473A">
            <w:pPr>
              <w:tabs>
                <w:tab w:val="center" w:pos="4725"/>
                <w:tab w:val="center" w:pos="7290"/>
              </w:tabs>
              <w:rPr>
                <w:szCs w:val="20"/>
              </w:rPr>
            </w:pPr>
            <w:r>
              <w:rPr>
                <w:szCs w:val="20"/>
                <w:lang w:val="fi-FI"/>
              </w:rPr>
              <w:t>Shikimic Acid</w:t>
            </w:r>
          </w:p>
        </w:tc>
        <w:tc>
          <w:tcPr>
            <w:tcW w:w="2680" w:type="dxa"/>
          </w:tcPr>
          <w:p w14:paraId="66BBA6F3" w14:textId="77777777" w:rsidR="003B473A" w:rsidRDefault="003B473A">
            <w:pPr>
              <w:tabs>
                <w:tab w:val="decimal" w:pos="518"/>
                <w:tab w:val="center" w:pos="1238"/>
                <w:tab w:val="decimal" w:pos="1688"/>
                <w:tab w:val="center" w:pos="4725"/>
                <w:tab w:val="center" w:pos="7290"/>
              </w:tabs>
              <w:rPr>
                <w:szCs w:val="20"/>
              </w:rPr>
            </w:pPr>
            <w:r>
              <w:rPr>
                <w:szCs w:val="20"/>
              </w:rPr>
              <w:tab/>
            </w:r>
            <w:r>
              <w:rPr>
                <w:szCs w:val="20"/>
                <w:lang w:val="fi-FI"/>
              </w:rPr>
              <w:t>0.482</w:t>
            </w:r>
            <w:r>
              <w:rPr>
                <w:szCs w:val="20"/>
                <w:lang w:val="fi-FI"/>
              </w:rPr>
              <w:tab/>
            </w:r>
            <w:r w:rsidRPr="00F021CB">
              <w:rPr>
                <w:szCs w:val="20"/>
                <w:lang w:val="fi-FI"/>
              </w:rPr>
              <w:sym w:font="Symbol" w:char="F0B1"/>
            </w:r>
            <w:r>
              <w:rPr>
                <w:szCs w:val="20"/>
                <w:lang w:val="fi-FI"/>
              </w:rPr>
              <w:tab/>
              <w:t>0.005</w:t>
            </w:r>
          </w:p>
        </w:tc>
      </w:tr>
      <w:tr w:rsidR="003B473A" w14:paraId="595A2297" w14:textId="77777777" w:rsidTr="003B473A">
        <w:trPr>
          <w:jc w:val="center"/>
        </w:trPr>
        <w:tc>
          <w:tcPr>
            <w:tcW w:w="1969" w:type="dxa"/>
          </w:tcPr>
          <w:p w14:paraId="5B67DE3F" w14:textId="77777777" w:rsidR="003B473A" w:rsidRDefault="003B473A">
            <w:pPr>
              <w:tabs>
                <w:tab w:val="center" w:pos="4725"/>
                <w:tab w:val="center" w:pos="7290"/>
              </w:tabs>
              <w:rPr>
                <w:szCs w:val="20"/>
                <w:lang w:val="fi-FI"/>
              </w:rPr>
            </w:pPr>
            <w:r>
              <w:rPr>
                <w:szCs w:val="20"/>
                <w:lang w:val="fi-FI"/>
              </w:rPr>
              <w:t>Tartaric Acid</w:t>
            </w:r>
          </w:p>
        </w:tc>
        <w:tc>
          <w:tcPr>
            <w:tcW w:w="2680" w:type="dxa"/>
          </w:tcPr>
          <w:p w14:paraId="3AC6027C" w14:textId="77777777" w:rsidR="003B473A" w:rsidRDefault="003B473A">
            <w:pPr>
              <w:tabs>
                <w:tab w:val="decimal" w:pos="518"/>
                <w:tab w:val="center" w:pos="1238"/>
                <w:tab w:val="decimal" w:pos="1688"/>
                <w:tab w:val="center" w:pos="4725"/>
                <w:tab w:val="center" w:pos="7290"/>
              </w:tabs>
              <w:rPr>
                <w:szCs w:val="20"/>
              </w:rPr>
            </w:pPr>
            <w:r>
              <w:rPr>
                <w:szCs w:val="20"/>
              </w:rPr>
              <w:tab/>
            </w:r>
            <w:r>
              <w:rPr>
                <w:szCs w:val="20"/>
                <w:lang w:val="fi-FI"/>
              </w:rPr>
              <w:t>4.979</w:t>
            </w:r>
            <w:r>
              <w:rPr>
                <w:szCs w:val="20"/>
                <w:lang w:val="fi-FI"/>
              </w:rPr>
              <w:tab/>
            </w:r>
            <w:r w:rsidRPr="00F021CB">
              <w:rPr>
                <w:szCs w:val="20"/>
                <w:lang w:val="fi-FI"/>
              </w:rPr>
              <w:sym w:font="Symbol" w:char="F0B1"/>
            </w:r>
            <w:r>
              <w:rPr>
                <w:szCs w:val="20"/>
                <w:lang w:val="fi-FI"/>
              </w:rPr>
              <w:tab/>
              <w:t>0.053</w:t>
            </w:r>
          </w:p>
        </w:tc>
      </w:tr>
    </w:tbl>
    <w:p w14:paraId="71EDE8FF" w14:textId="77777777" w:rsidR="0019416C" w:rsidRPr="00837242" w:rsidRDefault="00837242">
      <w:pPr>
        <w:rPr>
          <w:szCs w:val="20"/>
        </w:rPr>
      </w:pPr>
      <w:r w:rsidRPr="00837242">
        <w:rPr>
          <w:szCs w:val="20"/>
        </w:rPr>
        <w:lastRenderedPageBreak/>
        <w:t>The reference mass fraction value is the mean of results provided by LC</w:t>
      </w:r>
      <w:r>
        <w:rPr>
          <w:szCs w:val="20"/>
        </w:rPr>
        <w:noBreakHyphen/>
      </w:r>
      <w:r w:rsidRPr="00837242">
        <w:rPr>
          <w:szCs w:val="20"/>
        </w:rPr>
        <w:t>UV.  The uncertainty provided with the value is an expanded uncertainty about the mean to cover the measurand with approximately 95</w:t>
      </w:r>
      <w:r>
        <w:rPr>
          <w:szCs w:val="20"/>
        </w:rPr>
        <w:t> </w:t>
      </w:r>
      <w:r w:rsidRPr="00837242">
        <w:rPr>
          <w:szCs w:val="20"/>
        </w:rPr>
        <w:t>% confidence</w:t>
      </w:r>
      <w:r w:rsidR="00A754C6">
        <w:rPr>
          <w:szCs w:val="20"/>
        </w:rPr>
        <w:t>;</w:t>
      </w:r>
      <w:r w:rsidR="00A754C6" w:rsidRPr="00837242">
        <w:rPr>
          <w:szCs w:val="20"/>
        </w:rPr>
        <w:t xml:space="preserve"> </w:t>
      </w:r>
      <w:r>
        <w:rPr>
          <w:szCs w:val="20"/>
        </w:rPr>
        <w:t>i</w:t>
      </w:r>
      <w:r w:rsidRPr="00837242">
        <w:rPr>
          <w:szCs w:val="20"/>
        </w:rPr>
        <w:t>t expresses within</w:t>
      </w:r>
      <w:r>
        <w:rPr>
          <w:szCs w:val="20"/>
        </w:rPr>
        <w:noBreakHyphen/>
      </w:r>
      <w:r w:rsidRPr="00837242">
        <w:rPr>
          <w:szCs w:val="20"/>
        </w:rPr>
        <w:t>method uncertainty, consistent with the ISO</w:t>
      </w:r>
      <w:r w:rsidR="00A33911">
        <w:rPr>
          <w:szCs w:val="20"/>
        </w:rPr>
        <w:t>/JCGM</w:t>
      </w:r>
      <w:r w:rsidRPr="00837242">
        <w:rPr>
          <w:szCs w:val="20"/>
        </w:rPr>
        <w:t xml:space="preserve"> Guide</w:t>
      </w:r>
      <w:r>
        <w:rPr>
          <w:szCs w:val="20"/>
        </w:rPr>
        <w:t> </w:t>
      </w:r>
      <w:r w:rsidRPr="00837242">
        <w:rPr>
          <w:szCs w:val="20"/>
        </w:rPr>
        <w:t>[3].</w:t>
      </w:r>
      <w:r w:rsidR="00E8018B">
        <w:rPr>
          <w:szCs w:val="20"/>
        </w:rPr>
        <w:t xml:space="preserve">  T</w:t>
      </w:r>
      <w:r w:rsidR="00E8018B" w:rsidRPr="009C2D3E">
        <w:rPr>
          <w:szCs w:val="20"/>
        </w:rPr>
        <w:t xml:space="preserve">he expanded uncertainty is calculated as </w:t>
      </w:r>
      <w:r w:rsidR="00E8018B" w:rsidRPr="009C2D3E">
        <w:rPr>
          <w:i/>
          <w:szCs w:val="20"/>
        </w:rPr>
        <w:t>U</w:t>
      </w:r>
      <w:r w:rsidR="00E8018B">
        <w:rPr>
          <w:i/>
          <w:szCs w:val="20"/>
        </w:rPr>
        <w:t> </w:t>
      </w:r>
      <w:r w:rsidR="00E8018B" w:rsidRPr="009C2D3E">
        <w:rPr>
          <w:i/>
          <w:szCs w:val="20"/>
        </w:rPr>
        <w:t>=</w:t>
      </w:r>
      <w:r w:rsidR="00E8018B">
        <w:rPr>
          <w:i/>
          <w:szCs w:val="20"/>
        </w:rPr>
        <w:t> </w:t>
      </w:r>
      <w:r w:rsidR="00E8018B" w:rsidRPr="009C2D3E">
        <w:rPr>
          <w:i/>
          <w:szCs w:val="20"/>
        </w:rPr>
        <w:t>ku</w:t>
      </w:r>
      <w:r w:rsidR="00E8018B" w:rsidRPr="00C75C7C">
        <w:rPr>
          <w:szCs w:val="20"/>
          <w:vertAlign w:val="subscript"/>
        </w:rPr>
        <w:t>c</w:t>
      </w:r>
      <w:r w:rsidR="00E8018B" w:rsidRPr="009C2D3E">
        <w:rPr>
          <w:szCs w:val="20"/>
        </w:rPr>
        <w:t xml:space="preserve">, where </w:t>
      </w:r>
      <w:r w:rsidR="00E8018B" w:rsidRPr="009C2D3E">
        <w:rPr>
          <w:i/>
          <w:szCs w:val="20"/>
        </w:rPr>
        <w:t>u</w:t>
      </w:r>
      <w:r w:rsidR="00E8018B" w:rsidRPr="00C75C7C">
        <w:rPr>
          <w:szCs w:val="20"/>
          <w:vertAlign w:val="subscript"/>
        </w:rPr>
        <w:t>c</w:t>
      </w:r>
      <w:r w:rsidR="00E8018B" w:rsidRPr="009C2D3E">
        <w:rPr>
          <w:szCs w:val="20"/>
        </w:rPr>
        <w:t xml:space="preserve"> is the combined uncertainty, and </w:t>
      </w:r>
      <w:r w:rsidR="00E8018B" w:rsidRPr="009C2D3E">
        <w:rPr>
          <w:i/>
          <w:szCs w:val="20"/>
        </w:rPr>
        <w:t>k</w:t>
      </w:r>
      <w:r w:rsidR="00E8018B">
        <w:rPr>
          <w:szCs w:val="20"/>
        </w:rPr>
        <w:t> = 2.1 is the</w:t>
      </w:r>
      <w:r w:rsidR="00E8018B" w:rsidRPr="009C2D3E">
        <w:rPr>
          <w:szCs w:val="20"/>
        </w:rPr>
        <w:t xml:space="preserve"> coverage factor corresponding to approximately 95</w:t>
      </w:r>
      <w:r w:rsidR="00BE6897">
        <w:rPr>
          <w:szCs w:val="20"/>
        </w:rPr>
        <w:t> </w:t>
      </w:r>
      <w:r w:rsidR="00E8018B" w:rsidRPr="009C2D3E">
        <w:rPr>
          <w:szCs w:val="20"/>
        </w:rPr>
        <w:t>% confidence</w:t>
      </w:r>
      <w:r w:rsidR="00E8018B">
        <w:rPr>
          <w:szCs w:val="20"/>
        </w:rPr>
        <w:t>.</w:t>
      </w:r>
      <w:r w:rsidR="00A33911">
        <w:rPr>
          <w:szCs w:val="20"/>
        </w:rPr>
        <w:t xml:space="preserve">  The measurand is the mass fraction value of fumaric acid as determined by LC-UV and the value is metrologically traceable to the SI derived unit for mass fraction (expressed as milligrams per gram).</w:t>
      </w:r>
    </w:p>
    <w:p w14:paraId="4F107F4A" w14:textId="77777777" w:rsidR="00837242" w:rsidRDefault="00837242">
      <w:pPr>
        <w:jc w:val="center"/>
        <w:rPr>
          <w:szCs w:val="20"/>
        </w:rPr>
      </w:pPr>
    </w:p>
    <w:p w14:paraId="46F00F14" w14:textId="77777777" w:rsidR="00757DD5" w:rsidRDefault="00757DD5">
      <w:pPr>
        <w:jc w:val="center"/>
        <w:rPr>
          <w:kern w:val="2"/>
        </w:rPr>
      </w:pPr>
      <w:r>
        <w:rPr>
          <w:kern w:val="2"/>
        </w:rPr>
        <w:t xml:space="preserve">Table </w:t>
      </w:r>
      <w:r w:rsidR="0025293C">
        <w:rPr>
          <w:kern w:val="2"/>
        </w:rPr>
        <w:t>2</w:t>
      </w:r>
      <w:r>
        <w:rPr>
          <w:kern w:val="2"/>
        </w:rPr>
        <w:t xml:space="preserve">.  Reference Mass Fraction </w:t>
      </w:r>
      <w:r w:rsidRPr="00971F9A">
        <w:rPr>
          <w:szCs w:val="20"/>
        </w:rPr>
        <w:t>Values for Organic Acids in SRM</w:t>
      </w:r>
      <w:r w:rsidR="00BE6897">
        <w:rPr>
          <w:szCs w:val="20"/>
        </w:rPr>
        <w:t> </w:t>
      </w:r>
      <w:r w:rsidRPr="00971F9A">
        <w:rPr>
          <w:szCs w:val="20"/>
        </w:rPr>
        <w:t>3286</w:t>
      </w:r>
    </w:p>
    <w:p w14:paraId="027F39E7" w14:textId="77777777" w:rsidR="00757DD5" w:rsidRDefault="00757DD5">
      <w:pPr>
        <w:tabs>
          <w:tab w:val="left" w:pos="-720"/>
          <w:tab w:val="left" w:pos="1620"/>
          <w:tab w:val="decimal" w:pos="4770"/>
          <w:tab w:val="left" w:pos="5310"/>
          <w:tab w:val="decimal" w:pos="5850"/>
          <w:tab w:val="decimal" w:pos="6300"/>
          <w:tab w:val="left" w:pos="6660"/>
          <w:tab w:val="decimal" w:pos="7110"/>
          <w:tab w:val="left" w:pos="7830"/>
        </w:tabs>
        <w:rPr>
          <w:kern w:val="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2680"/>
      </w:tblGrid>
      <w:tr w:rsidR="003B473A" w14:paraId="3386575F" w14:textId="77777777" w:rsidTr="003B473A">
        <w:trPr>
          <w:trHeight w:val="634"/>
          <w:jc w:val="center"/>
        </w:trPr>
        <w:tc>
          <w:tcPr>
            <w:tcW w:w="1969" w:type="dxa"/>
          </w:tcPr>
          <w:p w14:paraId="65DCF8E8" w14:textId="77777777" w:rsidR="003B473A" w:rsidRDefault="003B473A">
            <w:pPr>
              <w:tabs>
                <w:tab w:val="center" w:pos="4725"/>
                <w:tab w:val="center" w:pos="7290"/>
              </w:tabs>
              <w:rPr>
                <w:szCs w:val="20"/>
              </w:rPr>
            </w:pPr>
          </w:p>
        </w:tc>
        <w:tc>
          <w:tcPr>
            <w:tcW w:w="2680" w:type="dxa"/>
          </w:tcPr>
          <w:p w14:paraId="6945B9A4" w14:textId="77777777" w:rsidR="003B473A" w:rsidRDefault="003B473A">
            <w:pPr>
              <w:tabs>
                <w:tab w:val="center" w:pos="4725"/>
                <w:tab w:val="center" w:pos="7290"/>
              </w:tabs>
              <w:jc w:val="center"/>
              <w:rPr>
                <w:szCs w:val="20"/>
              </w:rPr>
            </w:pPr>
            <w:r w:rsidRPr="00971F9A">
              <w:rPr>
                <w:szCs w:val="20"/>
              </w:rPr>
              <w:t>Mass Fraction</w:t>
            </w:r>
          </w:p>
          <w:p w14:paraId="32EFC5DC" w14:textId="77777777" w:rsidR="003B473A" w:rsidRDefault="003B473A">
            <w:pPr>
              <w:tabs>
                <w:tab w:val="center" w:pos="4725"/>
                <w:tab w:val="center" w:pos="7290"/>
              </w:tabs>
              <w:jc w:val="center"/>
              <w:rPr>
                <w:szCs w:val="20"/>
              </w:rPr>
            </w:pPr>
            <w:r>
              <w:rPr>
                <w:szCs w:val="20"/>
              </w:rPr>
              <w:t>(</w:t>
            </w:r>
            <w:r w:rsidRPr="00971F9A">
              <w:rPr>
                <w:szCs w:val="20"/>
                <w:lang w:val="fi-FI"/>
              </w:rPr>
              <w:t>mg/g</w:t>
            </w:r>
            <w:r>
              <w:rPr>
                <w:szCs w:val="20"/>
                <w:lang w:val="fi-FI"/>
              </w:rPr>
              <w:t>)</w:t>
            </w:r>
          </w:p>
        </w:tc>
      </w:tr>
      <w:tr w:rsidR="003B473A" w14:paraId="6A5EE296" w14:textId="77777777" w:rsidTr="003B473A">
        <w:trPr>
          <w:jc w:val="center"/>
        </w:trPr>
        <w:tc>
          <w:tcPr>
            <w:tcW w:w="1969" w:type="dxa"/>
          </w:tcPr>
          <w:p w14:paraId="43D2B82B" w14:textId="77777777" w:rsidR="003B473A" w:rsidRDefault="003B473A">
            <w:pPr>
              <w:tabs>
                <w:tab w:val="center" w:pos="4725"/>
                <w:tab w:val="center" w:pos="7290"/>
              </w:tabs>
              <w:rPr>
                <w:szCs w:val="20"/>
              </w:rPr>
            </w:pPr>
            <w:r>
              <w:rPr>
                <w:szCs w:val="20"/>
                <w:lang w:val="fi-FI"/>
              </w:rPr>
              <w:t>Fumaric A</w:t>
            </w:r>
            <w:r w:rsidRPr="00F021CB">
              <w:rPr>
                <w:szCs w:val="20"/>
                <w:lang w:val="fi-FI"/>
              </w:rPr>
              <w:t>cid</w:t>
            </w:r>
          </w:p>
        </w:tc>
        <w:tc>
          <w:tcPr>
            <w:tcW w:w="2680" w:type="dxa"/>
          </w:tcPr>
          <w:p w14:paraId="05F02F9A" w14:textId="77777777" w:rsidR="003B473A" w:rsidRDefault="003B473A">
            <w:pPr>
              <w:tabs>
                <w:tab w:val="decimal" w:pos="518"/>
                <w:tab w:val="center" w:pos="1238"/>
                <w:tab w:val="decimal" w:pos="1688"/>
                <w:tab w:val="center" w:pos="4725"/>
                <w:tab w:val="center" w:pos="7290"/>
              </w:tabs>
              <w:rPr>
                <w:szCs w:val="20"/>
              </w:rPr>
            </w:pPr>
            <w:r>
              <w:rPr>
                <w:szCs w:val="20"/>
                <w:lang w:val="fi-FI"/>
              </w:rPr>
              <w:tab/>
            </w:r>
            <w:r>
              <w:rPr>
                <w:kern w:val="2"/>
              </w:rPr>
              <w:t>0.0675</w:t>
            </w:r>
            <w:r w:rsidRPr="00063712">
              <w:rPr>
                <w:kern w:val="2"/>
              </w:rPr>
              <w:tab/>
              <w:t>±</w:t>
            </w:r>
            <w:r w:rsidRPr="00063712">
              <w:rPr>
                <w:kern w:val="2"/>
              </w:rPr>
              <w:tab/>
            </w:r>
            <w:r>
              <w:rPr>
                <w:kern w:val="2"/>
              </w:rPr>
              <w:t>0.0008</w:t>
            </w:r>
          </w:p>
        </w:tc>
      </w:tr>
    </w:tbl>
    <w:p w14:paraId="552784CF" w14:textId="77777777" w:rsidR="00BE2062" w:rsidRDefault="00BE2062">
      <w:pPr>
        <w:rPr>
          <w:szCs w:val="20"/>
        </w:rPr>
      </w:pPr>
    </w:p>
    <w:p w14:paraId="681EDDC0" w14:textId="77777777" w:rsidR="00BE2062" w:rsidRDefault="00BE2062">
      <w:pPr>
        <w:rPr>
          <w:szCs w:val="20"/>
        </w:rPr>
      </w:pPr>
    </w:p>
    <w:p w14:paraId="032E05D1" w14:textId="77777777" w:rsidR="00BE2062" w:rsidRDefault="00695230">
      <w:pPr>
        <w:rPr>
          <w:szCs w:val="20"/>
        </w:rPr>
      </w:pPr>
      <w:r>
        <w:rPr>
          <w:szCs w:val="20"/>
        </w:rPr>
        <w:t xml:space="preserve">An </w:t>
      </w:r>
      <w:r w:rsidR="00BE2062">
        <w:rPr>
          <w:szCs w:val="20"/>
        </w:rPr>
        <w:t>LC</w:t>
      </w:r>
      <w:r w:rsidR="00BE2062">
        <w:rPr>
          <w:szCs w:val="20"/>
        </w:rPr>
        <w:noBreakHyphen/>
        <w:t>UV chromatogram of SRM 3286 Organic Acids Calibration Solution is shown in the figure below.</w:t>
      </w:r>
    </w:p>
    <w:p w14:paraId="17A1C818" w14:textId="77777777" w:rsidR="00BE2062" w:rsidRDefault="00BE2062">
      <w:pPr>
        <w:rPr>
          <w:szCs w:val="20"/>
        </w:rPr>
      </w:pPr>
    </w:p>
    <w:p w14:paraId="3485F7CB" w14:textId="77777777" w:rsidR="00BE2062" w:rsidRDefault="00BE2062">
      <w:pPr>
        <w:rPr>
          <w:szCs w:val="20"/>
        </w:rPr>
      </w:pPr>
      <w:r>
        <w:rPr>
          <w:noProof/>
          <w:szCs w:val="20"/>
        </w:rPr>
        <w:drawing>
          <wp:inline distT="0" distB="0" distL="0" distR="0" wp14:anchorId="680F2A5F" wp14:editId="28D96E4E">
            <wp:extent cx="5937250" cy="1809750"/>
            <wp:effectExtent l="19050" t="0" r="6350" b="0"/>
            <wp:docPr id="1" name="Picture 2" descr="Chromato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romatograms"/>
                    <pic:cNvPicPr>
                      <a:picLocks noChangeAspect="1" noChangeArrowheads="1"/>
                    </pic:cNvPicPr>
                  </pic:nvPicPr>
                  <pic:blipFill>
                    <a:blip r:embed="rId9" cstate="print"/>
                    <a:srcRect/>
                    <a:stretch>
                      <a:fillRect/>
                    </a:stretch>
                  </pic:blipFill>
                  <pic:spPr bwMode="auto">
                    <a:xfrm>
                      <a:off x="0" y="0"/>
                      <a:ext cx="5937250" cy="1809750"/>
                    </a:xfrm>
                    <a:prstGeom prst="rect">
                      <a:avLst/>
                    </a:prstGeom>
                    <a:noFill/>
                    <a:ln w="9525">
                      <a:noFill/>
                      <a:miter lim="800000"/>
                      <a:headEnd/>
                      <a:tailEnd/>
                    </a:ln>
                  </pic:spPr>
                </pic:pic>
              </a:graphicData>
            </a:graphic>
          </wp:inline>
        </w:drawing>
      </w:r>
    </w:p>
    <w:p w14:paraId="128004A2" w14:textId="77777777" w:rsidR="00BE2062" w:rsidRDefault="00BE2062">
      <w:pPr>
        <w:rPr>
          <w:szCs w:val="20"/>
        </w:rPr>
      </w:pPr>
    </w:p>
    <w:p w14:paraId="543E852E" w14:textId="77777777" w:rsidR="00BE2062" w:rsidRPr="005642DF" w:rsidRDefault="00BE2062">
      <w:pPr>
        <w:rPr>
          <w:szCs w:val="20"/>
        </w:rPr>
      </w:pPr>
      <w:r>
        <w:rPr>
          <w:szCs w:val="20"/>
        </w:rPr>
        <w:t>Figure 1.  The chromatogram was obtained using an Allure Organic Acids column (Restek Corporation, Bellefonte, PA) with dimensions of 250 mm × 4.6 mm ID and containing 5 µm diameter particles with an isocratic mobile phase of 25 mmol/L potassium phosphate monobasic at pH 2.0 and UV absorbance detection at 210 nm.</w:t>
      </w:r>
    </w:p>
    <w:p w14:paraId="7D8816BD" w14:textId="77777777" w:rsidR="00BE2062" w:rsidRDefault="00BE2062">
      <w:pPr>
        <w:rPr>
          <w:szCs w:val="20"/>
        </w:rPr>
      </w:pPr>
    </w:p>
    <w:p w14:paraId="68DD597A" w14:textId="77777777" w:rsidR="002C4694" w:rsidRDefault="002C4694">
      <w:pPr>
        <w:rPr>
          <w:szCs w:val="20"/>
        </w:rPr>
      </w:pPr>
    </w:p>
    <w:p w14:paraId="0EBE913D" w14:textId="77777777" w:rsidR="003A331D" w:rsidRPr="00BB2A43" w:rsidRDefault="003A331D">
      <w:pPr>
        <w:jc w:val="center"/>
        <w:rPr>
          <w:b/>
          <w:szCs w:val="20"/>
        </w:rPr>
      </w:pPr>
      <w:r w:rsidRPr="00BB2A43">
        <w:rPr>
          <w:b/>
          <w:szCs w:val="20"/>
        </w:rPr>
        <w:t>REFERENCES</w:t>
      </w:r>
    </w:p>
    <w:p w14:paraId="3FD68490" w14:textId="77777777" w:rsidR="003A331D" w:rsidRDefault="003A331D">
      <w:pPr>
        <w:rPr>
          <w:szCs w:val="20"/>
        </w:rPr>
      </w:pPr>
    </w:p>
    <w:p w14:paraId="23A85305" w14:textId="77777777" w:rsidR="00453071" w:rsidRPr="00453071" w:rsidRDefault="00453071">
      <w:pPr>
        <w:tabs>
          <w:tab w:val="left" w:pos="450"/>
        </w:tabs>
        <w:ind w:left="450" w:hanging="450"/>
        <w:rPr>
          <w:kern w:val="2"/>
        </w:rPr>
      </w:pPr>
      <w:r w:rsidRPr="00453071">
        <w:rPr>
          <w:kern w:val="2"/>
        </w:rPr>
        <w:t>[1]</w:t>
      </w:r>
      <w:r w:rsidRPr="00453071">
        <w:rPr>
          <w:kern w:val="2"/>
        </w:rPr>
        <w:tab/>
      </w:r>
      <w:r w:rsidR="00BE2062" w:rsidRPr="00BE2062">
        <w:rPr>
          <w:kern w:val="2"/>
          <w:szCs w:val="20"/>
        </w:rPr>
        <w:t xml:space="preserve">May, W.; Parris, R.; Beck, C.; Fassett, J.; Greenberg, R.; Guenther, F.; Kramer, G..; Wise, S.; Gills, T.; Colbert, J.; Gettings, R.; MacDonald, B.; </w:t>
      </w:r>
      <w:r w:rsidR="00BE2062" w:rsidRPr="00BE2062">
        <w:rPr>
          <w:i/>
          <w:kern w:val="2"/>
          <w:szCs w:val="20"/>
        </w:rPr>
        <w:t>Definitions of Terms and Modes Used at NIST for Value</w:t>
      </w:r>
      <w:r w:rsidR="00BE2062" w:rsidRPr="00BE2062">
        <w:rPr>
          <w:i/>
          <w:kern w:val="2"/>
          <w:szCs w:val="20"/>
        </w:rPr>
        <w:noBreakHyphen/>
        <w:t>Assignment of Reference Materials for Chemical Measurements</w:t>
      </w:r>
      <w:r w:rsidR="00BE2062" w:rsidRPr="00BE2062">
        <w:rPr>
          <w:kern w:val="2"/>
          <w:szCs w:val="20"/>
        </w:rPr>
        <w:t>;</w:t>
      </w:r>
      <w:r w:rsidR="00BE2062" w:rsidRPr="00BE2062">
        <w:rPr>
          <w:i/>
          <w:kern w:val="2"/>
          <w:szCs w:val="20"/>
        </w:rPr>
        <w:t xml:space="preserve"> </w:t>
      </w:r>
      <w:r w:rsidR="00BE2062" w:rsidRPr="00BE2062">
        <w:rPr>
          <w:kern w:val="2"/>
          <w:szCs w:val="20"/>
        </w:rPr>
        <w:t>NIST Special Publication 260</w:t>
      </w:r>
      <w:r w:rsidR="00BE2062" w:rsidRPr="00BE2062">
        <w:rPr>
          <w:kern w:val="2"/>
          <w:szCs w:val="20"/>
        </w:rPr>
        <w:noBreakHyphen/>
        <w:t xml:space="preserve">136; U.S. Government Printing Office: </w:t>
      </w:r>
      <w:r w:rsidR="00695230">
        <w:rPr>
          <w:rFonts w:eastAsia="Calibri"/>
          <w:szCs w:val="20"/>
        </w:rPr>
        <w:t>Washington, DC</w:t>
      </w:r>
      <w:r w:rsidR="00BE2062" w:rsidRPr="00BE2062">
        <w:rPr>
          <w:kern w:val="2"/>
          <w:szCs w:val="20"/>
        </w:rPr>
        <w:t xml:space="preserve"> (2000); available at</w:t>
      </w:r>
      <w:r w:rsidR="00BE2062" w:rsidRPr="00BE2062">
        <w:rPr>
          <w:szCs w:val="20"/>
        </w:rPr>
        <w:t xml:space="preserve"> </w:t>
      </w:r>
      <w:hyperlink r:id="rId10" w:history="1">
        <w:r w:rsidR="00BE2062" w:rsidRPr="00BE2062">
          <w:rPr>
            <w:rStyle w:val="Hyperlink"/>
            <w:szCs w:val="20"/>
          </w:rPr>
          <w:t>http://www.nist.gov/srm/publications.cfm</w:t>
        </w:r>
      </w:hyperlink>
      <w:r w:rsidR="00BE2062" w:rsidRPr="00BE2062">
        <w:rPr>
          <w:rStyle w:val="Hyperlink"/>
          <w:szCs w:val="20"/>
        </w:rPr>
        <w:t xml:space="preserve"> (accessed </w:t>
      </w:r>
      <w:r w:rsidR="009953F5">
        <w:rPr>
          <w:rStyle w:val="Hyperlink"/>
          <w:szCs w:val="20"/>
        </w:rPr>
        <w:t>Feb 2016</w:t>
      </w:r>
      <w:r w:rsidR="00BE2062" w:rsidRPr="00BE2062">
        <w:rPr>
          <w:rStyle w:val="Hyperlink"/>
          <w:szCs w:val="20"/>
        </w:rPr>
        <w:t>)</w:t>
      </w:r>
      <w:r w:rsidRPr="00BE2062">
        <w:rPr>
          <w:kern w:val="2"/>
          <w:szCs w:val="20"/>
        </w:rPr>
        <w:t>.</w:t>
      </w:r>
    </w:p>
    <w:p w14:paraId="0B859DF8" w14:textId="77777777" w:rsidR="00453071" w:rsidRPr="00BE2062" w:rsidRDefault="00453071">
      <w:pPr>
        <w:tabs>
          <w:tab w:val="left" w:pos="450"/>
        </w:tabs>
        <w:ind w:left="450" w:hanging="450"/>
        <w:rPr>
          <w:kern w:val="2"/>
          <w:szCs w:val="20"/>
        </w:rPr>
      </w:pPr>
      <w:r w:rsidRPr="00453071">
        <w:rPr>
          <w:kern w:val="2"/>
        </w:rPr>
        <w:t>[2]</w:t>
      </w:r>
      <w:r w:rsidRPr="00453071">
        <w:rPr>
          <w:kern w:val="2"/>
        </w:rPr>
        <w:tab/>
      </w:r>
      <w:r w:rsidR="00BE2062" w:rsidRPr="00BE2062">
        <w:rPr>
          <w:szCs w:val="20"/>
        </w:rPr>
        <w:t xml:space="preserve">Thompson, A.; </w:t>
      </w:r>
      <w:r w:rsidR="00BE2062" w:rsidRPr="00BE2062">
        <w:rPr>
          <w:kern w:val="2"/>
          <w:szCs w:val="20"/>
        </w:rPr>
        <w:t xml:space="preserve">Taylor, B.N.; </w:t>
      </w:r>
      <w:r w:rsidR="00BE2062" w:rsidRPr="00BE2062">
        <w:rPr>
          <w:i/>
          <w:kern w:val="2"/>
          <w:szCs w:val="20"/>
        </w:rPr>
        <w:t>Guide for the Use of the International System of Units (SI)</w:t>
      </w:r>
      <w:r w:rsidR="00BE2062" w:rsidRPr="00BE2062">
        <w:rPr>
          <w:kern w:val="2"/>
          <w:szCs w:val="20"/>
        </w:rPr>
        <w:t>;</w:t>
      </w:r>
      <w:r w:rsidR="00BE2062" w:rsidRPr="00BE2062">
        <w:rPr>
          <w:i/>
          <w:kern w:val="2"/>
          <w:szCs w:val="20"/>
        </w:rPr>
        <w:t xml:space="preserve"> </w:t>
      </w:r>
      <w:r w:rsidR="00BE2062" w:rsidRPr="00BE2062">
        <w:rPr>
          <w:kern w:val="2"/>
          <w:szCs w:val="20"/>
        </w:rPr>
        <w:t xml:space="preserve">NIST Special Publication 811; U.S. Government Printing Office: Washington, DC (2008); available at </w:t>
      </w:r>
      <w:hyperlink r:id="rId11" w:history="1">
        <w:r w:rsidR="00BE2062" w:rsidRPr="00BE2062">
          <w:rPr>
            <w:rStyle w:val="Hyperlink"/>
            <w:szCs w:val="20"/>
          </w:rPr>
          <w:t>http://www.nist.gov/pml/pubs/index.cfm/</w:t>
        </w:r>
      </w:hyperlink>
      <w:r w:rsidR="00BE2062" w:rsidRPr="00BE2062">
        <w:rPr>
          <w:rStyle w:val="Hyperlink"/>
          <w:szCs w:val="20"/>
        </w:rPr>
        <w:t xml:space="preserve"> (accessed </w:t>
      </w:r>
      <w:r w:rsidR="009953F5">
        <w:rPr>
          <w:rStyle w:val="Hyperlink"/>
          <w:szCs w:val="20"/>
        </w:rPr>
        <w:t>Feb 2016</w:t>
      </w:r>
      <w:r w:rsidR="00BE2062" w:rsidRPr="00BE2062">
        <w:rPr>
          <w:rStyle w:val="Hyperlink"/>
          <w:szCs w:val="20"/>
        </w:rPr>
        <w:t>)</w:t>
      </w:r>
      <w:r w:rsidR="00BE2062" w:rsidRPr="00BE2062">
        <w:rPr>
          <w:kern w:val="2"/>
          <w:szCs w:val="20"/>
        </w:rPr>
        <w:t>.</w:t>
      </w:r>
    </w:p>
    <w:p w14:paraId="2009DA95" w14:textId="1A104837" w:rsidR="00BE2062" w:rsidRPr="00BE2062" w:rsidRDefault="00453071">
      <w:pPr>
        <w:tabs>
          <w:tab w:val="left" w:pos="-936"/>
          <w:tab w:val="left" w:pos="-720"/>
          <w:tab w:val="left" w:pos="450"/>
        </w:tabs>
        <w:ind w:left="450" w:hanging="450"/>
        <w:rPr>
          <w:szCs w:val="20"/>
        </w:rPr>
      </w:pPr>
      <w:r w:rsidRPr="00BE2062">
        <w:rPr>
          <w:kern w:val="2"/>
          <w:szCs w:val="20"/>
        </w:rPr>
        <w:t>[3]</w:t>
      </w:r>
      <w:r w:rsidRPr="00BE2062">
        <w:rPr>
          <w:kern w:val="2"/>
          <w:szCs w:val="20"/>
        </w:rPr>
        <w:tab/>
      </w:r>
      <w:r w:rsidR="00BE2062" w:rsidRPr="00BE2062">
        <w:rPr>
          <w:rFonts w:eastAsia="Calibri"/>
          <w:szCs w:val="20"/>
        </w:rPr>
        <w:t xml:space="preserve">JCGM 100:2008; </w:t>
      </w:r>
      <w:r w:rsidR="00BE2062" w:rsidRPr="00BE2062">
        <w:rPr>
          <w:rFonts w:eastAsia="Calibri"/>
          <w:i/>
          <w:iCs/>
          <w:szCs w:val="20"/>
        </w:rPr>
        <w:t xml:space="preserve">Evaluation of Measurement Data — Guide to the Expression of Uncertainty in Measurement </w:t>
      </w:r>
      <w:r w:rsidR="00BE2062" w:rsidRPr="00BE2062">
        <w:rPr>
          <w:rFonts w:eastAsia="Calibri"/>
          <w:szCs w:val="20"/>
        </w:rPr>
        <w:t xml:space="preserve">(GUM 1995 with Minor Corrections); Joint Committee for Guides in Metrology (JCGM) (2008); available at </w:t>
      </w:r>
      <w:hyperlink r:id="rId12" w:history="1">
        <w:r w:rsidR="00BE2062" w:rsidRPr="00BE2062">
          <w:rPr>
            <w:rStyle w:val="Hyperlink"/>
            <w:rFonts w:eastAsia="Calibri"/>
            <w:szCs w:val="20"/>
          </w:rPr>
          <w:t>http://www.bipm.org/utils/common/documents/jcgm/JCGM_100_2008_E.pdf</w:t>
        </w:r>
      </w:hyperlink>
      <w:r w:rsidR="00BE2062" w:rsidRPr="00BE2062">
        <w:rPr>
          <w:rFonts w:eastAsia="Calibri"/>
          <w:szCs w:val="20"/>
        </w:rPr>
        <w:t xml:space="preserve"> (accessed </w:t>
      </w:r>
      <w:r w:rsidR="009953F5">
        <w:rPr>
          <w:rStyle w:val="Hyperlink"/>
          <w:szCs w:val="20"/>
        </w:rPr>
        <w:t>Feb 2016</w:t>
      </w:r>
      <w:r w:rsidR="00BE2062" w:rsidRPr="00BE2062">
        <w:rPr>
          <w:rFonts w:eastAsia="Calibri"/>
          <w:szCs w:val="20"/>
        </w:rPr>
        <w:t xml:space="preserve">); see also Taylor, B.N.; Kuyatt, C.E.; </w:t>
      </w:r>
      <w:r w:rsidR="00BE2062" w:rsidRPr="00BE2062">
        <w:rPr>
          <w:rFonts w:eastAsia="Calibri"/>
          <w:i/>
          <w:iCs/>
          <w:szCs w:val="20"/>
        </w:rPr>
        <w:t>Guidelines for Evaluating and Expressing the Uncertainty of NIST Measurement Results</w:t>
      </w:r>
      <w:r w:rsidR="00BE2062" w:rsidRPr="00BE2062">
        <w:rPr>
          <w:rFonts w:eastAsia="Calibri"/>
          <w:szCs w:val="20"/>
        </w:rPr>
        <w:t>; NIST Technical Note</w:t>
      </w:r>
      <w:r w:rsidR="00BE6897">
        <w:rPr>
          <w:rFonts w:eastAsia="Calibri"/>
          <w:szCs w:val="20"/>
        </w:rPr>
        <w:t> </w:t>
      </w:r>
      <w:r w:rsidR="00BE2062" w:rsidRPr="00BE2062">
        <w:rPr>
          <w:rFonts w:eastAsia="Calibri"/>
          <w:szCs w:val="20"/>
        </w:rPr>
        <w:t xml:space="preserve">1297; U.S. Government Printing Office: Washington, DC (1994); available at </w:t>
      </w:r>
      <w:hyperlink r:id="rId13" w:history="1">
        <w:r w:rsidR="00BE2062" w:rsidRPr="00BE2062">
          <w:rPr>
            <w:rStyle w:val="Hyperlink"/>
            <w:szCs w:val="20"/>
          </w:rPr>
          <w:t>http://www.nist.gov/pml/pubs/index.cfm</w:t>
        </w:r>
      </w:hyperlink>
      <w:r w:rsidR="00BE2062" w:rsidRPr="00BE2062">
        <w:rPr>
          <w:rFonts w:eastAsia="Calibri"/>
          <w:szCs w:val="20"/>
        </w:rPr>
        <w:t xml:space="preserve"> (accessed </w:t>
      </w:r>
      <w:r w:rsidR="009953F5">
        <w:rPr>
          <w:rStyle w:val="Hyperlink"/>
          <w:szCs w:val="20"/>
        </w:rPr>
        <w:t>Feb 2016</w:t>
      </w:r>
      <w:r w:rsidR="00BE2062" w:rsidRPr="00BE2062">
        <w:rPr>
          <w:rFonts w:eastAsia="Calibri"/>
          <w:szCs w:val="20"/>
        </w:rPr>
        <w:t>).</w:t>
      </w:r>
    </w:p>
    <w:p w14:paraId="35135567" w14:textId="77777777" w:rsidR="00BE2062" w:rsidRPr="00BE2062" w:rsidRDefault="00BE2062">
      <w:pPr>
        <w:tabs>
          <w:tab w:val="left" w:pos="450"/>
        </w:tabs>
        <w:ind w:left="450" w:hanging="450"/>
        <w:rPr>
          <w:szCs w:val="20"/>
        </w:rPr>
      </w:pPr>
      <w:r w:rsidRPr="00BE2062">
        <w:rPr>
          <w:szCs w:val="20"/>
        </w:rPr>
        <w:t>[</w:t>
      </w:r>
      <w:r>
        <w:rPr>
          <w:szCs w:val="20"/>
        </w:rPr>
        <w:t>4</w:t>
      </w:r>
      <w:r w:rsidRPr="00BE2062">
        <w:rPr>
          <w:szCs w:val="20"/>
        </w:rPr>
        <w:t>]</w:t>
      </w:r>
      <w:r w:rsidRPr="00BE2062">
        <w:rPr>
          <w:szCs w:val="20"/>
        </w:rPr>
        <w:tab/>
        <w:t xml:space="preserve">JCGM 101:2008; </w:t>
      </w:r>
      <w:r w:rsidRPr="00BE2062">
        <w:rPr>
          <w:i/>
          <w:szCs w:val="20"/>
        </w:rPr>
        <w:t>Evaluation of measurement data – Supplement 1 to the Guide to the Expression of Uncertainty in Measurement – Propagation of Distributions Using a Monte Carlo Method</w:t>
      </w:r>
      <w:r w:rsidRPr="00BE2062">
        <w:rPr>
          <w:szCs w:val="20"/>
        </w:rPr>
        <w:t>; Joint Committee for Guides in Metrology </w:t>
      </w:r>
      <w:r w:rsidRPr="00BE2062">
        <w:rPr>
          <w:rFonts w:eastAsia="Calibri"/>
          <w:szCs w:val="20"/>
        </w:rPr>
        <w:t>(JCGM)</w:t>
      </w:r>
      <w:r w:rsidRPr="00BE2062">
        <w:rPr>
          <w:szCs w:val="20"/>
        </w:rPr>
        <w:t> (2008); </w:t>
      </w:r>
      <w:r w:rsidRPr="00BE2062">
        <w:rPr>
          <w:rFonts w:eastAsia="Calibri"/>
          <w:szCs w:val="20"/>
        </w:rPr>
        <w:t xml:space="preserve">available at </w:t>
      </w:r>
      <w:hyperlink r:id="rId14" w:history="1">
        <w:r w:rsidRPr="00BE2062">
          <w:rPr>
            <w:rStyle w:val="Hyperlink"/>
            <w:szCs w:val="20"/>
          </w:rPr>
          <w:t>http://www.bipm.org/utils/common/documents/jcgm/JCGM_101_2008_E.pdf</w:t>
        </w:r>
      </w:hyperlink>
      <w:r w:rsidRPr="00BE2062">
        <w:rPr>
          <w:szCs w:val="20"/>
        </w:rPr>
        <w:t xml:space="preserve"> </w:t>
      </w:r>
      <w:r w:rsidRPr="00BE2062">
        <w:rPr>
          <w:rStyle w:val="Hyperlink"/>
          <w:szCs w:val="20"/>
        </w:rPr>
        <w:t xml:space="preserve">(accessed </w:t>
      </w:r>
      <w:r w:rsidR="009953F5">
        <w:rPr>
          <w:rStyle w:val="Hyperlink"/>
          <w:szCs w:val="20"/>
        </w:rPr>
        <w:t>Feb 2016</w:t>
      </w:r>
      <w:r w:rsidRPr="00BE2062">
        <w:rPr>
          <w:rStyle w:val="Hyperlink"/>
          <w:szCs w:val="20"/>
        </w:rPr>
        <w:t>)</w:t>
      </w:r>
      <w:r w:rsidRPr="00BE2062">
        <w:rPr>
          <w:szCs w:val="20"/>
        </w:rPr>
        <w:t>.</w:t>
      </w:r>
    </w:p>
    <w:p w14:paraId="41C03100" w14:textId="77777777" w:rsidR="00453071" w:rsidRPr="00453071" w:rsidRDefault="00453071">
      <w:pPr>
        <w:tabs>
          <w:tab w:val="left" w:pos="450"/>
        </w:tabs>
        <w:ind w:left="450" w:hanging="450"/>
        <w:rPr>
          <w:kern w:val="2"/>
        </w:rPr>
      </w:pPr>
      <w:r w:rsidRPr="00453071">
        <w:rPr>
          <w:kern w:val="2"/>
        </w:rPr>
        <w:t>[</w:t>
      </w:r>
      <w:r w:rsidR="00050B84">
        <w:rPr>
          <w:kern w:val="2"/>
        </w:rPr>
        <w:t>5</w:t>
      </w:r>
      <w:r w:rsidRPr="00453071">
        <w:rPr>
          <w:kern w:val="2"/>
        </w:rPr>
        <w:t>]</w:t>
      </w:r>
      <w:r w:rsidRPr="00453071">
        <w:rPr>
          <w:kern w:val="2"/>
        </w:rPr>
        <w:tab/>
        <w:t>Efron,</w:t>
      </w:r>
      <w:r w:rsidR="00837242">
        <w:rPr>
          <w:kern w:val="2"/>
        </w:rPr>
        <w:t> </w:t>
      </w:r>
      <w:r w:rsidRPr="00453071">
        <w:rPr>
          <w:kern w:val="2"/>
        </w:rPr>
        <w:t>B.; Tibshirani,</w:t>
      </w:r>
      <w:r w:rsidR="00837242">
        <w:rPr>
          <w:kern w:val="2"/>
        </w:rPr>
        <w:t> </w:t>
      </w:r>
      <w:r w:rsidRPr="00453071">
        <w:rPr>
          <w:kern w:val="2"/>
        </w:rPr>
        <w:t xml:space="preserve">R.J.; </w:t>
      </w:r>
      <w:r w:rsidRPr="00453071">
        <w:rPr>
          <w:i/>
          <w:kern w:val="2"/>
        </w:rPr>
        <w:t>An Introduction to the Bootstrap</w:t>
      </w:r>
      <w:r w:rsidRPr="00453071">
        <w:rPr>
          <w:kern w:val="2"/>
        </w:rPr>
        <w:t>; Chapman &amp; Hall, London,</w:t>
      </w:r>
      <w:r w:rsidR="00837242">
        <w:rPr>
          <w:kern w:val="2"/>
        </w:rPr>
        <w:t> </w:t>
      </w:r>
      <w:r w:rsidRPr="00453071">
        <w:rPr>
          <w:kern w:val="2"/>
        </w:rPr>
        <w:t>UK (1993).</w:t>
      </w:r>
    </w:p>
    <w:p w14:paraId="0524AC03" w14:textId="77777777" w:rsidR="00776754" w:rsidRDefault="00776754" w:rsidP="00E45208">
      <w:pPr>
        <w:tabs>
          <w:tab w:val="left" w:pos="204"/>
        </w:tabs>
        <w:autoSpaceDE w:val="0"/>
        <w:autoSpaceDN w:val="0"/>
        <w:adjustRightInd w:val="0"/>
        <w:ind w:left="360" w:hanging="360"/>
      </w:pPr>
    </w:p>
    <w:p w14:paraId="6AE7AEDA" w14:textId="0340A4F5" w:rsidR="00776754" w:rsidRPr="00995C3D" w:rsidRDefault="00776754">
      <w:pPr>
        <w:pBdr>
          <w:top w:val="single" w:sz="4" w:space="1" w:color="auto"/>
          <w:left w:val="single" w:sz="4" w:space="4" w:color="auto"/>
          <w:bottom w:val="single" w:sz="4" w:space="1" w:color="auto"/>
          <w:right w:val="single" w:sz="4" w:space="4" w:color="auto"/>
        </w:pBdr>
        <w:autoSpaceDE w:val="0"/>
        <w:autoSpaceDN w:val="0"/>
        <w:adjustRightInd w:val="0"/>
        <w:rPr>
          <w:sz w:val="16"/>
          <w:szCs w:val="16"/>
        </w:rPr>
      </w:pPr>
      <w:r w:rsidRPr="00995C3D">
        <w:rPr>
          <w:b/>
          <w:sz w:val="16"/>
          <w:szCs w:val="16"/>
        </w:rPr>
        <w:t>Certificate Revision History:</w:t>
      </w:r>
      <w:r w:rsidRPr="00995C3D">
        <w:rPr>
          <w:sz w:val="16"/>
          <w:szCs w:val="16"/>
        </w:rPr>
        <w:t xml:space="preserve">  </w:t>
      </w:r>
      <w:r w:rsidR="00E45208">
        <w:rPr>
          <w:sz w:val="16"/>
          <w:szCs w:val="16"/>
        </w:rPr>
        <w:t>2</w:t>
      </w:r>
      <w:r w:rsidR="00E45208">
        <w:rPr>
          <w:sz w:val="16"/>
          <w:szCs w:val="16"/>
        </w:rPr>
        <w:t>4</w:t>
      </w:r>
      <w:r w:rsidR="00E45208">
        <w:rPr>
          <w:sz w:val="16"/>
          <w:szCs w:val="16"/>
        </w:rPr>
        <w:t> </w:t>
      </w:r>
      <w:r>
        <w:rPr>
          <w:sz w:val="16"/>
          <w:szCs w:val="16"/>
        </w:rPr>
        <w:t>February 2016 (Change of expiration date; e</w:t>
      </w:r>
      <w:r w:rsidRPr="00225609">
        <w:rPr>
          <w:sz w:val="16"/>
          <w:szCs w:val="16"/>
        </w:rPr>
        <w:t>ditorial changes</w:t>
      </w:r>
      <w:r>
        <w:rPr>
          <w:sz w:val="16"/>
          <w:szCs w:val="16"/>
        </w:rPr>
        <w:t xml:space="preserve">); 01 September 2015 </w:t>
      </w:r>
      <w:r w:rsidRPr="00995C3D">
        <w:rPr>
          <w:sz w:val="16"/>
          <w:szCs w:val="16"/>
        </w:rPr>
        <w:t>(Original certificate date).</w:t>
      </w:r>
    </w:p>
    <w:p w14:paraId="552BD123" w14:textId="77777777" w:rsidR="00776754" w:rsidRPr="00D42DB3" w:rsidRDefault="00776754">
      <w:pPr>
        <w:tabs>
          <w:tab w:val="left" w:pos="-1440"/>
          <w:tab w:val="left" w:pos="-720"/>
          <w:tab w:val="left" w:pos="414"/>
        </w:tabs>
      </w:pPr>
    </w:p>
    <w:p w14:paraId="0D0313F2" w14:textId="77777777" w:rsidR="00837242" w:rsidRPr="00DB305A" w:rsidRDefault="00776754">
      <w:r w:rsidRPr="00A64CFB">
        <w:rPr>
          <w:i/>
          <w:iCs/>
        </w:rPr>
        <w:t>Users of this SRM should ensure that the Certificate of Analysis in their possession is current.  This can be accomplished by contacting the SRM Program: telephone (301) 975</w:t>
      </w:r>
      <w:r w:rsidRPr="00A64CFB">
        <w:rPr>
          <w:i/>
          <w:iCs/>
        </w:rPr>
        <w:noBreakHyphen/>
        <w:t>2200; fax (301) 948</w:t>
      </w:r>
      <w:r w:rsidRPr="00A64CFB">
        <w:rPr>
          <w:i/>
          <w:iCs/>
        </w:rPr>
        <w:noBreakHyphen/>
        <w:t>3730; e</w:t>
      </w:r>
      <w:r w:rsidRPr="00A64CFB">
        <w:rPr>
          <w:i/>
          <w:iCs/>
        </w:rPr>
        <w:noBreakHyphen/>
        <w:t xml:space="preserve">mail srminfo@nist.gov; or via the Internet at </w:t>
      </w:r>
      <w:hyperlink r:id="rId15" w:history="1">
        <w:r w:rsidRPr="00A64CFB">
          <w:rPr>
            <w:rStyle w:val="Hyperlink"/>
            <w:i/>
            <w:iCs/>
          </w:rPr>
          <w:t>http://www.nist.gov/srm</w:t>
        </w:r>
      </w:hyperlink>
      <w:r w:rsidRPr="00A64CFB">
        <w:rPr>
          <w:i/>
        </w:rPr>
        <w:t>.</w:t>
      </w:r>
    </w:p>
    <w:sectPr w:rsidR="00837242" w:rsidRPr="00DB305A" w:rsidSect="00E45208">
      <w:footerReference w:type="default" r:id="rId16"/>
      <w:footnotePr>
        <w:numRestart w:val="eachPage"/>
      </w:footnotePr>
      <w:pgSz w:w="12240" w:h="15840" w:code="1"/>
      <w:pgMar w:top="720"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E447CB" w14:textId="77777777" w:rsidR="00BE2062" w:rsidRDefault="00BE2062">
      <w:r>
        <w:separator/>
      </w:r>
    </w:p>
  </w:endnote>
  <w:endnote w:type="continuationSeparator" w:id="0">
    <w:p w14:paraId="15DAD48E" w14:textId="77777777" w:rsidR="00BE2062" w:rsidRDefault="00BE2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ncoln">
    <w:altName w:val="Linotex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Linotext">
    <w:panose1 w:val="000005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2F256" w14:textId="63A23CA9" w:rsidR="00BE2062" w:rsidRPr="00265478" w:rsidRDefault="00BE2062" w:rsidP="003A331D">
    <w:pPr>
      <w:pStyle w:val="Footer"/>
      <w:tabs>
        <w:tab w:val="clear" w:pos="8640"/>
        <w:tab w:val="right" w:pos="9360"/>
      </w:tabs>
      <w:rPr>
        <w:szCs w:val="20"/>
      </w:rPr>
    </w:pPr>
    <w:r w:rsidRPr="00265478">
      <w:rPr>
        <w:szCs w:val="20"/>
      </w:rPr>
      <w:t xml:space="preserve">SRM </w:t>
    </w:r>
    <w:r>
      <w:rPr>
        <w:szCs w:val="20"/>
      </w:rPr>
      <w:t>3286</w:t>
    </w:r>
    <w:r>
      <w:rPr>
        <w:szCs w:val="20"/>
      </w:rPr>
      <w:tab/>
    </w:r>
    <w:r>
      <w:rPr>
        <w:szCs w:val="20"/>
      </w:rPr>
      <w:tab/>
    </w:r>
    <w:r w:rsidRPr="00265478">
      <w:rPr>
        <w:szCs w:val="20"/>
      </w:rPr>
      <w:t xml:space="preserve">Page </w:t>
    </w:r>
    <w:r w:rsidR="00E97618" w:rsidRPr="00265478">
      <w:rPr>
        <w:rStyle w:val="PageNumber"/>
        <w:szCs w:val="20"/>
      </w:rPr>
      <w:fldChar w:fldCharType="begin"/>
    </w:r>
    <w:r w:rsidRPr="00265478">
      <w:rPr>
        <w:rStyle w:val="PageNumber"/>
        <w:szCs w:val="20"/>
      </w:rPr>
      <w:instrText xml:space="preserve"> PAGE </w:instrText>
    </w:r>
    <w:r w:rsidR="00E97618" w:rsidRPr="00265478">
      <w:rPr>
        <w:rStyle w:val="PageNumber"/>
        <w:szCs w:val="20"/>
      </w:rPr>
      <w:fldChar w:fldCharType="separate"/>
    </w:r>
    <w:r w:rsidR="00E45208">
      <w:rPr>
        <w:rStyle w:val="PageNumber"/>
        <w:noProof/>
        <w:szCs w:val="20"/>
      </w:rPr>
      <w:t>3</w:t>
    </w:r>
    <w:r w:rsidR="00E97618" w:rsidRPr="00265478">
      <w:rPr>
        <w:rStyle w:val="PageNumber"/>
        <w:szCs w:val="20"/>
      </w:rPr>
      <w:fldChar w:fldCharType="end"/>
    </w:r>
    <w:r w:rsidRPr="00265478">
      <w:rPr>
        <w:rStyle w:val="PageNumber"/>
        <w:szCs w:val="20"/>
      </w:rPr>
      <w:t xml:space="preserve"> of </w:t>
    </w:r>
    <w:r w:rsidR="00E97618" w:rsidRPr="00265478">
      <w:rPr>
        <w:rStyle w:val="PageNumber"/>
        <w:szCs w:val="20"/>
      </w:rPr>
      <w:fldChar w:fldCharType="begin"/>
    </w:r>
    <w:r w:rsidRPr="00265478">
      <w:rPr>
        <w:rStyle w:val="PageNumber"/>
        <w:szCs w:val="20"/>
      </w:rPr>
      <w:instrText xml:space="preserve"> NUMPAGES </w:instrText>
    </w:r>
    <w:r w:rsidR="00E97618" w:rsidRPr="00265478">
      <w:rPr>
        <w:rStyle w:val="PageNumber"/>
        <w:szCs w:val="20"/>
      </w:rPr>
      <w:fldChar w:fldCharType="separate"/>
    </w:r>
    <w:r w:rsidR="00E45208">
      <w:rPr>
        <w:rStyle w:val="PageNumber"/>
        <w:noProof/>
        <w:szCs w:val="20"/>
      </w:rPr>
      <w:t>3</w:t>
    </w:r>
    <w:r w:rsidR="00E97618" w:rsidRPr="00265478">
      <w:rPr>
        <w:rStyle w:val="PageNumber"/>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A8254B" w14:textId="77777777" w:rsidR="00BE2062" w:rsidRDefault="00BE2062">
      <w:r>
        <w:separator/>
      </w:r>
    </w:p>
  </w:footnote>
  <w:footnote w:type="continuationSeparator" w:id="0">
    <w:p w14:paraId="3E57B64A" w14:textId="77777777" w:rsidR="00BE2062" w:rsidRDefault="00BE2062">
      <w:r>
        <w:continuationSeparator/>
      </w:r>
    </w:p>
  </w:footnote>
  <w:footnote w:id="1">
    <w:p w14:paraId="05F0FB03" w14:textId="77777777" w:rsidR="00BE2062" w:rsidRPr="003A331D" w:rsidRDefault="00BE2062" w:rsidP="00D26A47">
      <w:pPr>
        <w:pStyle w:val="FootnoteText"/>
        <w:tabs>
          <w:tab w:val="left" w:pos="540"/>
        </w:tabs>
        <w:rPr>
          <w:sz w:val="18"/>
          <w:szCs w:val="18"/>
        </w:rPr>
      </w:pPr>
      <w:r>
        <w:rPr>
          <w:sz w:val="18"/>
          <w:szCs w:val="18"/>
          <w:vertAlign w:val="superscript"/>
        </w:rPr>
        <w:tab/>
      </w:r>
      <w:r w:rsidRPr="00D26A47">
        <w:rPr>
          <w:sz w:val="18"/>
          <w:szCs w:val="18"/>
          <w:vertAlign w:val="superscript"/>
        </w:rPr>
        <w:t>(</w:t>
      </w:r>
      <w:r w:rsidRPr="00D26A47">
        <w:rPr>
          <w:rStyle w:val="FootnoteReference"/>
          <w:sz w:val="18"/>
          <w:szCs w:val="18"/>
        </w:rPr>
        <w:footnoteRef/>
      </w:r>
      <w:r w:rsidRPr="00D26A47">
        <w:rPr>
          <w:sz w:val="18"/>
          <w:szCs w:val="18"/>
          <w:vertAlign w:val="superscript"/>
        </w:rPr>
        <w:t>)</w:t>
      </w:r>
      <w:r w:rsidRPr="003A331D">
        <w:rPr>
          <w:sz w:val="18"/>
          <w:szCs w:val="18"/>
        </w:rPr>
        <w:t>Certain commercial equipment or materials are identified in this certificate to adequately specify the experimental procedure.  Such identification does not imply recommendation or endorsement by the National Institute of Standards and Technology, nor does it imply that the materials or equipment identified are necessarily the best available for the purpose.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DB5"/>
    <w:rsid w:val="000052FF"/>
    <w:rsid w:val="000131F9"/>
    <w:rsid w:val="000253A6"/>
    <w:rsid w:val="00050B84"/>
    <w:rsid w:val="00060F5C"/>
    <w:rsid w:val="00061D2C"/>
    <w:rsid w:val="000651AF"/>
    <w:rsid w:val="00075220"/>
    <w:rsid w:val="000871C4"/>
    <w:rsid w:val="00090026"/>
    <w:rsid w:val="000C0AE5"/>
    <w:rsid w:val="000D675F"/>
    <w:rsid w:val="000D688F"/>
    <w:rsid w:val="000E3CDA"/>
    <w:rsid w:val="000F749E"/>
    <w:rsid w:val="00110AF9"/>
    <w:rsid w:val="001110CC"/>
    <w:rsid w:val="00112F16"/>
    <w:rsid w:val="00121A35"/>
    <w:rsid w:val="001334DC"/>
    <w:rsid w:val="0014216E"/>
    <w:rsid w:val="00143F6A"/>
    <w:rsid w:val="00154D41"/>
    <w:rsid w:val="00160F58"/>
    <w:rsid w:val="0017044B"/>
    <w:rsid w:val="0019416C"/>
    <w:rsid w:val="001A1D1B"/>
    <w:rsid w:val="001B2FBE"/>
    <w:rsid w:val="001C4780"/>
    <w:rsid w:val="001C56D5"/>
    <w:rsid w:val="001C64DD"/>
    <w:rsid w:val="001D0149"/>
    <w:rsid w:val="001D1589"/>
    <w:rsid w:val="001E6301"/>
    <w:rsid w:val="001F104E"/>
    <w:rsid w:val="00200D54"/>
    <w:rsid w:val="00233ECE"/>
    <w:rsid w:val="0023642E"/>
    <w:rsid w:val="0025293C"/>
    <w:rsid w:val="002610C9"/>
    <w:rsid w:val="00265478"/>
    <w:rsid w:val="002A2317"/>
    <w:rsid w:val="002C0872"/>
    <w:rsid w:val="002C4694"/>
    <w:rsid w:val="002F0E1B"/>
    <w:rsid w:val="002F11AE"/>
    <w:rsid w:val="002F264F"/>
    <w:rsid w:val="0036108F"/>
    <w:rsid w:val="0036188F"/>
    <w:rsid w:val="00371B56"/>
    <w:rsid w:val="00377F2D"/>
    <w:rsid w:val="00380D10"/>
    <w:rsid w:val="00397416"/>
    <w:rsid w:val="003976A6"/>
    <w:rsid w:val="003A331D"/>
    <w:rsid w:val="003A3ABC"/>
    <w:rsid w:val="003A5F7C"/>
    <w:rsid w:val="003B473A"/>
    <w:rsid w:val="003C0522"/>
    <w:rsid w:val="003E0A1C"/>
    <w:rsid w:val="003E1D7E"/>
    <w:rsid w:val="003F0080"/>
    <w:rsid w:val="003F58AA"/>
    <w:rsid w:val="00422363"/>
    <w:rsid w:val="004257E1"/>
    <w:rsid w:val="0043378E"/>
    <w:rsid w:val="00437F36"/>
    <w:rsid w:val="00447A86"/>
    <w:rsid w:val="00453071"/>
    <w:rsid w:val="00467C99"/>
    <w:rsid w:val="00470482"/>
    <w:rsid w:val="0047150D"/>
    <w:rsid w:val="0047639F"/>
    <w:rsid w:val="00486679"/>
    <w:rsid w:val="004904E0"/>
    <w:rsid w:val="004927DC"/>
    <w:rsid w:val="00493CDD"/>
    <w:rsid w:val="004A7C31"/>
    <w:rsid w:val="004C18F4"/>
    <w:rsid w:val="004C427C"/>
    <w:rsid w:val="004C5BBF"/>
    <w:rsid w:val="004D2CB3"/>
    <w:rsid w:val="004E0704"/>
    <w:rsid w:val="004F16A8"/>
    <w:rsid w:val="00522A34"/>
    <w:rsid w:val="005539A3"/>
    <w:rsid w:val="0055683A"/>
    <w:rsid w:val="005642DF"/>
    <w:rsid w:val="00572713"/>
    <w:rsid w:val="0057684A"/>
    <w:rsid w:val="00590904"/>
    <w:rsid w:val="00595AFD"/>
    <w:rsid w:val="005F1FD9"/>
    <w:rsid w:val="005F74DE"/>
    <w:rsid w:val="00604AF8"/>
    <w:rsid w:val="006060B8"/>
    <w:rsid w:val="006168E5"/>
    <w:rsid w:val="00617F10"/>
    <w:rsid w:val="00626F7E"/>
    <w:rsid w:val="006275F5"/>
    <w:rsid w:val="00631616"/>
    <w:rsid w:val="006344B2"/>
    <w:rsid w:val="00661A21"/>
    <w:rsid w:val="0066431C"/>
    <w:rsid w:val="00667162"/>
    <w:rsid w:val="00691105"/>
    <w:rsid w:val="00695230"/>
    <w:rsid w:val="006A31F9"/>
    <w:rsid w:val="006C26E2"/>
    <w:rsid w:val="006D08A4"/>
    <w:rsid w:val="006D4B4F"/>
    <w:rsid w:val="006E02AE"/>
    <w:rsid w:val="006E56BA"/>
    <w:rsid w:val="006E5BDF"/>
    <w:rsid w:val="006F6FDA"/>
    <w:rsid w:val="006F72BC"/>
    <w:rsid w:val="00720C83"/>
    <w:rsid w:val="00757DD5"/>
    <w:rsid w:val="0077066F"/>
    <w:rsid w:val="0077251F"/>
    <w:rsid w:val="00776754"/>
    <w:rsid w:val="007A7C1B"/>
    <w:rsid w:val="007C1A1F"/>
    <w:rsid w:val="007C5078"/>
    <w:rsid w:val="007D059A"/>
    <w:rsid w:val="007E44B9"/>
    <w:rsid w:val="00837242"/>
    <w:rsid w:val="00840204"/>
    <w:rsid w:val="00844527"/>
    <w:rsid w:val="00861A61"/>
    <w:rsid w:val="0087338A"/>
    <w:rsid w:val="00877CFB"/>
    <w:rsid w:val="00883931"/>
    <w:rsid w:val="008A0DF5"/>
    <w:rsid w:val="008A208D"/>
    <w:rsid w:val="008A54E4"/>
    <w:rsid w:val="008A58A1"/>
    <w:rsid w:val="008B1223"/>
    <w:rsid w:val="008B633A"/>
    <w:rsid w:val="008C4443"/>
    <w:rsid w:val="008D4B82"/>
    <w:rsid w:val="008E5E52"/>
    <w:rsid w:val="008F1777"/>
    <w:rsid w:val="00920E40"/>
    <w:rsid w:val="009260E2"/>
    <w:rsid w:val="00926CE5"/>
    <w:rsid w:val="009310E2"/>
    <w:rsid w:val="00954CE9"/>
    <w:rsid w:val="00961CF4"/>
    <w:rsid w:val="00962160"/>
    <w:rsid w:val="009632A0"/>
    <w:rsid w:val="00963961"/>
    <w:rsid w:val="00971F9A"/>
    <w:rsid w:val="00974199"/>
    <w:rsid w:val="009953F5"/>
    <w:rsid w:val="009C5A7B"/>
    <w:rsid w:val="009D348C"/>
    <w:rsid w:val="009D3F64"/>
    <w:rsid w:val="009F0F24"/>
    <w:rsid w:val="00A01725"/>
    <w:rsid w:val="00A02394"/>
    <w:rsid w:val="00A02959"/>
    <w:rsid w:val="00A15011"/>
    <w:rsid w:val="00A20B8A"/>
    <w:rsid w:val="00A26B17"/>
    <w:rsid w:val="00A332DB"/>
    <w:rsid w:val="00A33911"/>
    <w:rsid w:val="00A36387"/>
    <w:rsid w:val="00A446F0"/>
    <w:rsid w:val="00A475CA"/>
    <w:rsid w:val="00A754C6"/>
    <w:rsid w:val="00A83B56"/>
    <w:rsid w:val="00A83BA4"/>
    <w:rsid w:val="00A872AF"/>
    <w:rsid w:val="00A8757C"/>
    <w:rsid w:val="00A91381"/>
    <w:rsid w:val="00A94126"/>
    <w:rsid w:val="00A94717"/>
    <w:rsid w:val="00AA310B"/>
    <w:rsid w:val="00AA4E7A"/>
    <w:rsid w:val="00AB5827"/>
    <w:rsid w:val="00AB7903"/>
    <w:rsid w:val="00AD2168"/>
    <w:rsid w:val="00AF0D76"/>
    <w:rsid w:val="00B000D5"/>
    <w:rsid w:val="00B1070B"/>
    <w:rsid w:val="00B306B3"/>
    <w:rsid w:val="00B36304"/>
    <w:rsid w:val="00B5061E"/>
    <w:rsid w:val="00B51A0E"/>
    <w:rsid w:val="00B759AD"/>
    <w:rsid w:val="00B75C65"/>
    <w:rsid w:val="00B8423B"/>
    <w:rsid w:val="00BA1D32"/>
    <w:rsid w:val="00BA3818"/>
    <w:rsid w:val="00BB2A43"/>
    <w:rsid w:val="00BD530A"/>
    <w:rsid w:val="00BE2062"/>
    <w:rsid w:val="00BE6897"/>
    <w:rsid w:val="00BF5B5A"/>
    <w:rsid w:val="00C01C3E"/>
    <w:rsid w:val="00C3120F"/>
    <w:rsid w:val="00C31754"/>
    <w:rsid w:val="00C32209"/>
    <w:rsid w:val="00C42467"/>
    <w:rsid w:val="00C51B75"/>
    <w:rsid w:val="00C57213"/>
    <w:rsid w:val="00C71431"/>
    <w:rsid w:val="00C71BDF"/>
    <w:rsid w:val="00C74541"/>
    <w:rsid w:val="00C762D4"/>
    <w:rsid w:val="00C91947"/>
    <w:rsid w:val="00CA6E15"/>
    <w:rsid w:val="00CB26C3"/>
    <w:rsid w:val="00CB455F"/>
    <w:rsid w:val="00CD4D67"/>
    <w:rsid w:val="00CD6632"/>
    <w:rsid w:val="00CD682F"/>
    <w:rsid w:val="00CE24AD"/>
    <w:rsid w:val="00CF0BDE"/>
    <w:rsid w:val="00CF1C94"/>
    <w:rsid w:val="00CF4465"/>
    <w:rsid w:val="00D06424"/>
    <w:rsid w:val="00D12685"/>
    <w:rsid w:val="00D1462F"/>
    <w:rsid w:val="00D173B9"/>
    <w:rsid w:val="00D26A47"/>
    <w:rsid w:val="00D3274F"/>
    <w:rsid w:val="00D34DB5"/>
    <w:rsid w:val="00D3742B"/>
    <w:rsid w:val="00D401C7"/>
    <w:rsid w:val="00D41B10"/>
    <w:rsid w:val="00D453F3"/>
    <w:rsid w:val="00D56FEF"/>
    <w:rsid w:val="00D61362"/>
    <w:rsid w:val="00D70F01"/>
    <w:rsid w:val="00D80BBD"/>
    <w:rsid w:val="00DA1D89"/>
    <w:rsid w:val="00DB305A"/>
    <w:rsid w:val="00DC229E"/>
    <w:rsid w:val="00DC7FC4"/>
    <w:rsid w:val="00DE21AD"/>
    <w:rsid w:val="00DF26A3"/>
    <w:rsid w:val="00DF3598"/>
    <w:rsid w:val="00DF5F23"/>
    <w:rsid w:val="00E218D6"/>
    <w:rsid w:val="00E233C2"/>
    <w:rsid w:val="00E23C97"/>
    <w:rsid w:val="00E332A9"/>
    <w:rsid w:val="00E33348"/>
    <w:rsid w:val="00E4060D"/>
    <w:rsid w:val="00E4484E"/>
    <w:rsid w:val="00E45208"/>
    <w:rsid w:val="00E46FA2"/>
    <w:rsid w:val="00E56162"/>
    <w:rsid w:val="00E70935"/>
    <w:rsid w:val="00E71CDE"/>
    <w:rsid w:val="00E8018B"/>
    <w:rsid w:val="00E80B32"/>
    <w:rsid w:val="00E815ED"/>
    <w:rsid w:val="00E840FF"/>
    <w:rsid w:val="00E878EA"/>
    <w:rsid w:val="00E90381"/>
    <w:rsid w:val="00E97618"/>
    <w:rsid w:val="00EA13E2"/>
    <w:rsid w:val="00EC192A"/>
    <w:rsid w:val="00ED142E"/>
    <w:rsid w:val="00EE0A06"/>
    <w:rsid w:val="00EF34BE"/>
    <w:rsid w:val="00EF7F46"/>
    <w:rsid w:val="00F021CB"/>
    <w:rsid w:val="00F05BAE"/>
    <w:rsid w:val="00F1769E"/>
    <w:rsid w:val="00F220F4"/>
    <w:rsid w:val="00F22C3E"/>
    <w:rsid w:val="00F34283"/>
    <w:rsid w:val="00F34A7A"/>
    <w:rsid w:val="00F35BD4"/>
    <w:rsid w:val="00F37C8F"/>
    <w:rsid w:val="00F4271E"/>
    <w:rsid w:val="00F46A21"/>
    <w:rsid w:val="00F50548"/>
    <w:rsid w:val="00F5593A"/>
    <w:rsid w:val="00F6255D"/>
    <w:rsid w:val="00F71A10"/>
    <w:rsid w:val="00F742A8"/>
    <w:rsid w:val="00F825FE"/>
    <w:rsid w:val="00F901A0"/>
    <w:rsid w:val="00F95DFF"/>
    <w:rsid w:val="00FC7E4C"/>
    <w:rsid w:val="00FD4C47"/>
    <w:rsid w:val="00FD6361"/>
    <w:rsid w:val="00FE2DB8"/>
    <w:rsid w:val="00FF5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64BBA3A6"/>
  <w15:docId w15:val="{461E99E6-59D0-4E24-A108-A4F61BAC6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522"/>
    <w:pPr>
      <w:jc w:val="both"/>
    </w:pPr>
    <w:rPr>
      <w:szCs w:val="24"/>
    </w:rPr>
  </w:style>
  <w:style w:type="paragraph" w:styleId="Heading1">
    <w:name w:val="heading 1"/>
    <w:basedOn w:val="Normal"/>
    <w:next w:val="Normal"/>
    <w:link w:val="Heading1Char"/>
    <w:qFormat/>
    <w:rsid w:val="00D26A47"/>
    <w:pPr>
      <w:keepNext/>
      <w:outlineLvl w:val="0"/>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5478"/>
    <w:pPr>
      <w:tabs>
        <w:tab w:val="center" w:pos="4320"/>
        <w:tab w:val="right" w:pos="8640"/>
      </w:tabs>
    </w:pPr>
  </w:style>
  <w:style w:type="paragraph" w:styleId="Footer">
    <w:name w:val="footer"/>
    <w:basedOn w:val="Normal"/>
    <w:rsid w:val="00265478"/>
    <w:pPr>
      <w:tabs>
        <w:tab w:val="center" w:pos="4320"/>
        <w:tab w:val="right" w:pos="8640"/>
      </w:tabs>
    </w:pPr>
  </w:style>
  <w:style w:type="character" w:styleId="PageNumber">
    <w:name w:val="page number"/>
    <w:basedOn w:val="DefaultParagraphFont"/>
    <w:rsid w:val="00265478"/>
  </w:style>
  <w:style w:type="table" w:styleId="TableSimple2">
    <w:name w:val="Table Simple 2"/>
    <w:basedOn w:val="TableNormal"/>
    <w:rsid w:val="00C3175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rsid w:val="00BE2062"/>
    <w:rPr>
      <w:color w:val="auto"/>
      <w:u w:val="none"/>
    </w:rPr>
  </w:style>
  <w:style w:type="paragraph" w:styleId="FootnoteText">
    <w:name w:val="footnote text"/>
    <w:basedOn w:val="Normal"/>
    <w:semiHidden/>
    <w:rsid w:val="0019416C"/>
    <w:rPr>
      <w:szCs w:val="20"/>
    </w:rPr>
  </w:style>
  <w:style w:type="character" w:styleId="FootnoteReference">
    <w:name w:val="footnote reference"/>
    <w:basedOn w:val="DefaultParagraphFont"/>
    <w:semiHidden/>
    <w:rsid w:val="0019416C"/>
    <w:rPr>
      <w:vertAlign w:val="superscript"/>
    </w:rPr>
  </w:style>
  <w:style w:type="paragraph" w:styleId="Title">
    <w:name w:val="Title"/>
    <w:basedOn w:val="Normal"/>
    <w:qFormat/>
    <w:rsid w:val="006C26E2"/>
    <w:pPr>
      <w:widowControl w:val="0"/>
      <w:tabs>
        <w:tab w:val="left" w:pos="900"/>
        <w:tab w:val="center" w:pos="4680"/>
      </w:tabs>
      <w:ind w:left="806" w:hanging="806"/>
      <w:jc w:val="center"/>
    </w:pPr>
    <w:rPr>
      <w:rFonts w:ascii="Lincoln" w:hAnsi="Lincoln"/>
      <w:sz w:val="44"/>
      <w:szCs w:val="20"/>
    </w:rPr>
  </w:style>
  <w:style w:type="paragraph" w:styleId="Subtitle">
    <w:name w:val="Subtitle"/>
    <w:basedOn w:val="Normal"/>
    <w:qFormat/>
    <w:rsid w:val="006C26E2"/>
    <w:pPr>
      <w:jc w:val="center"/>
    </w:pPr>
    <w:rPr>
      <w:rFonts w:ascii="Lincoln" w:hAnsi="Lincoln"/>
      <w:snapToGrid w:val="0"/>
      <w:sz w:val="60"/>
      <w:szCs w:val="20"/>
    </w:rPr>
  </w:style>
  <w:style w:type="paragraph" w:styleId="BalloonText">
    <w:name w:val="Balloon Text"/>
    <w:basedOn w:val="Normal"/>
    <w:semiHidden/>
    <w:rsid w:val="00920E40"/>
    <w:rPr>
      <w:rFonts w:ascii="Tahoma" w:hAnsi="Tahoma" w:cs="Tahoma"/>
      <w:sz w:val="16"/>
      <w:szCs w:val="16"/>
    </w:rPr>
  </w:style>
  <w:style w:type="paragraph" w:styleId="BodyText">
    <w:name w:val="Body Text"/>
    <w:basedOn w:val="Normal"/>
    <w:rsid w:val="00920E40"/>
    <w:pPr>
      <w:widowControl w:val="0"/>
      <w:tabs>
        <w:tab w:val="left" w:pos="-1440"/>
        <w:tab w:val="left" w:pos="-720"/>
      </w:tabs>
      <w:suppressAutoHyphens/>
    </w:pPr>
    <w:rPr>
      <w:rFonts w:ascii="CG Times" w:hAnsi="CG Times"/>
      <w:spacing w:val="-2"/>
      <w:szCs w:val="20"/>
      <w:lang w:val="en-GB"/>
    </w:rPr>
  </w:style>
  <w:style w:type="character" w:styleId="CommentReference">
    <w:name w:val="annotation reference"/>
    <w:basedOn w:val="DefaultParagraphFont"/>
    <w:semiHidden/>
    <w:rsid w:val="00920E40"/>
    <w:rPr>
      <w:sz w:val="16"/>
      <w:szCs w:val="16"/>
    </w:rPr>
  </w:style>
  <w:style w:type="paragraph" w:styleId="CommentText">
    <w:name w:val="annotation text"/>
    <w:basedOn w:val="Normal"/>
    <w:semiHidden/>
    <w:rsid w:val="00920E40"/>
    <w:rPr>
      <w:szCs w:val="20"/>
    </w:rPr>
  </w:style>
  <w:style w:type="paragraph" w:styleId="CommentSubject">
    <w:name w:val="annotation subject"/>
    <w:basedOn w:val="CommentText"/>
    <w:next w:val="CommentText"/>
    <w:semiHidden/>
    <w:rsid w:val="00920E40"/>
    <w:rPr>
      <w:b/>
      <w:bCs/>
    </w:rPr>
  </w:style>
  <w:style w:type="character" w:styleId="FollowedHyperlink">
    <w:name w:val="FollowedHyperlink"/>
    <w:basedOn w:val="DefaultParagraphFont"/>
    <w:rsid w:val="00D12685"/>
    <w:rPr>
      <w:color w:val="800080"/>
      <w:u w:val="single"/>
    </w:rPr>
  </w:style>
  <w:style w:type="paragraph" w:styleId="BodyTextIndent">
    <w:name w:val="Body Text Indent"/>
    <w:basedOn w:val="Normal"/>
    <w:link w:val="BodyTextIndentChar"/>
    <w:rsid w:val="003A331D"/>
    <w:pPr>
      <w:spacing w:after="120"/>
      <w:ind w:left="360"/>
    </w:pPr>
  </w:style>
  <w:style w:type="character" w:customStyle="1" w:styleId="BodyTextIndentChar">
    <w:name w:val="Body Text Indent Char"/>
    <w:basedOn w:val="DefaultParagraphFont"/>
    <w:link w:val="BodyTextIndent"/>
    <w:rsid w:val="003A331D"/>
    <w:rPr>
      <w:sz w:val="24"/>
      <w:szCs w:val="24"/>
    </w:rPr>
  </w:style>
  <w:style w:type="character" w:customStyle="1" w:styleId="Heading1Char">
    <w:name w:val="Heading 1 Char"/>
    <w:basedOn w:val="DefaultParagraphFont"/>
    <w:link w:val="Heading1"/>
    <w:rsid w:val="00D26A47"/>
    <w:rPr>
      <w:b/>
      <w:sz w:val="24"/>
    </w:rPr>
  </w:style>
  <w:style w:type="table" w:styleId="TableGrid">
    <w:name w:val="Table Grid"/>
    <w:basedOn w:val="TableNormal"/>
    <w:rsid w:val="003B47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BE2062"/>
    <w:pPr>
      <w:widowControl w:val="0"/>
      <w:tabs>
        <w:tab w:val="left" w:pos="-1080"/>
        <w:tab w:val="left" w:pos="-720"/>
        <w:tab w:val="left" w:pos="2970"/>
        <w:tab w:val="left" w:pos="5310"/>
        <w:tab w:val="left" w:pos="8467"/>
      </w:tabs>
    </w:pPr>
    <w:rPr>
      <w:rFonts w:ascii="CG Times" w:hAnsi="CG Times"/>
      <w:szCs w:val="20"/>
    </w:rPr>
  </w:style>
  <w:style w:type="character" w:customStyle="1" w:styleId="BodyText2Char">
    <w:name w:val="Body Text 2 Char"/>
    <w:basedOn w:val="DefaultParagraphFont"/>
    <w:link w:val="BodyText2"/>
    <w:rsid w:val="00BE2062"/>
    <w:rPr>
      <w:rFonts w:ascii="CG Times" w:hAnsi="CG 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483016">
      <w:bodyDiv w:val="1"/>
      <w:marLeft w:val="0"/>
      <w:marRight w:val="0"/>
      <w:marTop w:val="0"/>
      <w:marBottom w:val="0"/>
      <w:divBdr>
        <w:top w:val="none" w:sz="0" w:space="0" w:color="auto"/>
        <w:left w:val="none" w:sz="0" w:space="0" w:color="auto"/>
        <w:bottom w:val="none" w:sz="0" w:space="0" w:color="auto"/>
        <w:right w:val="none" w:sz="0" w:space="0" w:color="auto"/>
      </w:divBdr>
    </w:div>
    <w:div w:id="609244499">
      <w:bodyDiv w:val="1"/>
      <w:marLeft w:val="0"/>
      <w:marRight w:val="0"/>
      <w:marTop w:val="0"/>
      <w:marBottom w:val="0"/>
      <w:divBdr>
        <w:top w:val="none" w:sz="0" w:space="0" w:color="auto"/>
        <w:left w:val="none" w:sz="0" w:space="0" w:color="auto"/>
        <w:bottom w:val="none" w:sz="0" w:space="0" w:color="auto"/>
        <w:right w:val="none" w:sz="0" w:space="0" w:color="auto"/>
      </w:divBdr>
    </w:div>
    <w:div w:id="60928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Word_97_-_2003_Document.doc"/><Relationship Id="rId13" Type="http://schemas.openxmlformats.org/officeDocument/2006/relationships/hyperlink" Target="http://www.nist.gov/pml/pubs/index.cf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bipm.org/utils/common/documents/jcgm/JCGM_100_2008_E.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ist.gov/pml/pubs/index.cfm/" TargetMode="External"/><Relationship Id="rId5" Type="http://schemas.openxmlformats.org/officeDocument/2006/relationships/footnotes" Target="footnotes.xml"/><Relationship Id="rId15" Type="http://schemas.openxmlformats.org/officeDocument/2006/relationships/hyperlink" Target="http://www.nist.gov/srm" TargetMode="External"/><Relationship Id="rId10" Type="http://schemas.openxmlformats.org/officeDocument/2006/relationships/hyperlink" Target="http://www.nist.gov/srm/publications.cf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bipm.org/utils/common/documents/jcgm/JCGM_101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597F0-EF50-4856-AC19-36C03138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1600</Words>
  <Characters>11405</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N  National Institute of Standards and Technology</vt:lpstr>
    </vt:vector>
  </TitlesOfParts>
  <Company>NIST</Company>
  <LinksUpToDate>false</LinksUpToDate>
  <CharactersWithSpaces>12980</CharactersWithSpaces>
  <SharedDoc>false</SharedDoc>
  <HLinks>
    <vt:vector size="24" baseType="variant">
      <vt:variant>
        <vt:i4>3866647</vt:i4>
      </vt:variant>
      <vt:variant>
        <vt:i4>11</vt:i4>
      </vt:variant>
      <vt:variant>
        <vt:i4>0</vt:i4>
      </vt:variant>
      <vt:variant>
        <vt:i4>5</vt:i4>
      </vt:variant>
      <vt:variant>
        <vt:lpwstr>mailto:srminfo@nsit.gov</vt:lpwstr>
      </vt:variant>
      <vt:variant>
        <vt:lpwstr/>
      </vt:variant>
      <vt:variant>
        <vt:i4>5046337</vt:i4>
      </vt:variant>
      <vt:variant>
        <vt:i4>8</vt:i4>
      </vt:variant>
      <vt:variant>
        <vt:i4>0</vt:i4>
      </vt:variant>
      <vt:variant>
        <vt:i4>5</vt:i4>
      </vt:variant>
      <vt:variant>
        <vt:lpwstr>http://physics.nist.gov/Pubs/</vt:lpwstr>
      </vt:variant>
      <vt:variant>
        <vt:lpwstr/>
      </vt:variant>
      <vt:variant>
        <vt:i4>1114177</vt:i4>
      </vt:variant>
      <vt:variant>
        <vt:i4>5</vt:i4>
      </vt:variant>
      <vt:variant>
        <vt:i4>0</vt:i4>
      </vt:variant>
      <vt:variant>
        <vt:i4>5</vt:i4>
      </vt:variant>
      <vt:variant>
        <vt:lpwstr>http://physics.nist.gov/Pub/</vt:lpwstr>
      </vt:variant>
      <vt:variant>
        <vt:lpwstr/>
      </vt:variant>
      <vt:variant>
        <vt:i4>7995508</vt:i4>
      </vt:variant>
      <vt:variant>
        <vt:i4>2</vt:i4>
      </vt:variant>
      <vt:variant>
        <vt:i4>0</vt:i4>
      </vt:variant>
      <vt:variant>
        <vt:i4>5</vt:i4>
      </vt:variant>
      <vt:variant>
        <vt:lpwstr>http://www.cstl.nist.gov/nist839/NIST_special_publications.htm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National Institute of Standards and Technology</dc:title>
  <dc:subject/>
  <dc:creator>Mary Bedner</dc:creator>
  <cp:keywords/>
  <dc:description/>
  <cp:lastModifiedBy>Benkstein, Jennifer</cp:lastModifiedBy>
  <cp:revision>6</cp:revision>
  <cp:lastPrinted>2011-07-25T12:58:00Z</cp:lastPrinted>
  <dcterms:created xsi:type="dcterms:W3CDTF">2016-02-23T19:50:00Z</dcterms:created>
  <dcterms:modified xsi:type="dcterms:W3CDTF">2016-02-24T15:20:00Z</dcterms:modified>
</cp:coreProperties>
</file>