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B522B"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0F586246" wp14:editId="4CBED3BF">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7B0C1263" w14:textId="5EB2EC39" w:rsidR="00FD5524" w:rsidRPr="00A45A14" w:rsidRDefault="00B513EC"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18 </w:t>
      </w:r>
      <w:r w:rsidR="00F97149">
        <w:rPr>
          <w:rFonts w:ascii="Times New Roman" w:eastAsia="Times New Roman" w:hAnsi="Times New Roman"/>
          <w:bCs/>
          <w:sz w:val="24"/>
          <w:szCs w:val="24"/>
        </w:rPr>
        <w:t>May</w:t>
      </w:r>
      <w:r w:rsidR="005F36B6">
        <w:rPr>
          <w:rFonts w:ascii="Times New Roman" w:eastAsia="Times New Roman" w:hAnsi="Times New Roman"/>
          <w:bCs/>
          <w:sz w:val="24"/>
          <w:szCs w:val="24"/>
        </w:rPr>
        <w:t> </w:t>
      </w:r>
      <w:r w:rsidR="00FD5524" w:rsidRPr="00A45A14">
        <w:rPr>
          <w:rFonts w:ascii="Times New Roman" w:eastAsia="Times New Roman" w:hAnsi="Times New Roman"/>
          <w:bCs/>
          <w:sz w:val="24"/>
          <w:szCs w:val="24"/>
        </w:rPr>
        <w:t>201</w:t>
      </w:r>
      <w:r w:rsidR="00F97149">
        <w:rPr>
          <w:rFonts w:ascii="Times New Roman" w:eastAsia="Times New Roman" w:hAnsi="Times New Roman"/>
          <w:bCs/>
          <w:sz w:val="24"/>
          <w:szCs w:val="24"/>
        </w:rPr>
        <w:t>5</w:t>
      </w:r>
    </w:p>
    <w:p w14:paraId="192A5DD9"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14:paraId="095F074E" w14:textId="77777777" w:rsidR="00E24579" w:rsidRPr="00D34188" w:rsidRDefault="00BF5DD9" w:rsidP="002B22C8">
      <w:pPr>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1DA7FB07" w14:textId="77777777" w:rsidR="00D60A36" w:rsidRPr="00FD5524" w:rsidRDefault="00D60A36" w:rsidP="002B22C8">
      <w:pPr>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0E040A5E" w14:textId="77777777" w:rsidTr="00D60A36">
        <w:trPr>
          <w:trHeight w:hRule="exact" w:val="360"/>
        </w:trPr>
        <w:tc>
          <w:tcPr>
            <w:tcW w:w="9576" w:type="dxa"/>
            <w:vAlign w:val="center"/>
          </w:tcPr>
          <w:p w14:paraId="5055FE27" w14:textId="77777777" w:rsidR="00D60A36" w:rsidRPr="00D60A36" w:rsidRDefault="00D60A36" w:rsidP="00FC7D09">
            <w:pPr>
              <w:keepNext/>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C0E76B7" w14:textId="77777777" w:rsidR="00150BAB" w:rsidRPr="00455695" w:rsidRDefault="007666FB" w:rsidP="002C5045">
      <w:pPr>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61ED17A8" w14:textId="77777777" w:rsidR="00150BAB" w:rsidRPr="00D25DBF" w:rsidRDefault="00150BAB" w:rsidP="00130CC0">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0849A9">
        <w:rPr>
          <w:rFonts w:ascii="Times New Roman" w:hAnsi="Times New Roman"/>
          <w:bCs/>
          <w:sz w:val="20"/>
          <w:szCs w:val="20"/>
        </w:rPr>
        <w:t>2881</w:t>
      </w:r>
    </w:p>
    <w:p w14:paraId="5FB16551" w14:textId="77777777" w:rsidR="00150BAB" w:rsidRPr="00D25DBF" w:rsidRDefault="00150BAB" w:rsidP="005F656F">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F97149" w:rsidRPr="00F97149">
        <w:rPr>
          <w:rFonts w:ascii="Times New Roman" w:eastAsia="Times New Roman" w:hAnsi="Times New Roman"/>
          <w:bCs/>
          <w:sz w:val="20"/>
          <w:szCs w:val="20"/>
        </w:rPr>
        <w:t>Polystyrene Absolute Molecular Mass Distribution Standard</w:t>
      </w:r>
    </w:p>
    <w:p w14:paraId="3388B3BC" w14:textId="77777777" w:rsidR="00FD5524" w:rsidRPr="00D25DBF" w:rsidRDefault="00FD5524" w:rsidP="005F656F">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1E640EF0" w14:textId="77777777" w:rsidR="00150BAB" w:rsidRPr="00D25DBF" w:rsidRDefault="00150BAB" w:rsidP="003A70BC">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7F9DC648" w14:textId="77777777" w:rsidR="00150BAB" w:rsidRDefault="00F97149" w:rsidP="003A70BC">
      <w:pPr>
        <w:widowControl/>
        <w:spacing w:after="0" w:line="240" w:lineRule="auto"/>
        <w:ind w:left="360"/>
        <w:jc w:val="both"/>
        <w:rPr>
          <w:rFonts w:ascii="Times New Roman" w:eastAsia="Times New Roman" w:hAnsi="Times New Roman"/>
          <w:sz w:val="20"/>
          <w:szCs w:val="20"/>
        </w:rPr>
      </w:pPr>
      <w:r w:rsidRPr="00F97149">
        <w:rPr>
          <w:rFonts w:ascii="Times New Roman" w:eastAsia="Times New Roman" w:hAnsi="Times New Roman"/>
          <w:sz w:val="20"/>
          <w:szCs w:val="20"/>
        </w:rPr>
        <w:t xml:space="preserve">This Standard Reference Material (SRM) is intended for the calibration and the performance evaluation of instruments used to determine the average molecular mass and molecular mass distribution of synthetic polymers (where mass is taken to be relative to the mass of </w:t>
      </w:r>
      <w:r w:rsidRPr="00F97149">
        <w:rPr>
          <w:rFonts w:ascii="Times New Roman" w:eastAsia="Times New Roman" w:hAnsi="Times New Roman"/>
          <w:sz w:val="20"/>
          <w:szCs w:val="20"/>
          <w:vertAlign w:val="superscript"/>
        </w:rPr>
        <w:t>12</w:t>
      </w:r>
      <w:r w:rsidRPr="00F97149">
        <w:rPr>
          <w:rFonts w:ascii="Times New Roman" w:eastAsia="Times New Roman" w:hAnsi="Times New Roman"/>
          <w:sz w:val="20"/>
          <w:szCs w:val="20"/>
        </w:rPr>
        <w:t>C).</w:t>
      </w:r>
      <w:r w:rsidR="00EF761A" w:rsidRPr="00EF761A">
        <w:rPr>
          <w:rFonts w:ascii="Times New Roman" w:eastAsia="Times New Roman" w:hAnsi="Times New Roman"/>
          <w:sz w:val="20"/>
          <w:szCs w:val="20"/>
        </w:rPr>
        <w:t xml:space="preserve">  </w:t>
      </w:r>
      <w:r w:rsidRPr="00F97149">
        <w:rPr>
          <w:rFonts w:ascii="Times New Roman" w:eastAsia="Times New Roman" w:hAnsi="Times New Roman"/>
          <w:sz w:val="20"/>
          <w:szCs w:val="20"/>
        </w:rPr>
        <w:t>A unit of SRM 2881 consists of approximately 0.3 g of polystyrene powder.</w:t>
      </w:r>
    </w:p>
    <w:p w14:paraId="62CCA1BA" w14:textId="77777777" w:rsidR="00F6032E" w:rsidRPr="00D222CA" w:rsidRDefault="00F6032E" w:rsidP="003A70BC">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0248820E" w14:textId="77777777" w:rsidTr="002F28B5">
        <w:tc>
          <w:tcPr>
            <w:tcW w:w="4590" w:type="dxa"/>
          </w:tcPr>
          <w:p w14:paraId="5F655A39"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4E432E00"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5553747E" w14:textId="77777777" w:rsidTr="002F28B5">
        <w:tc>
          <w:tcPr>
            <w:tcW w:w="4590" w:type="dxa"/>
          </w:tcPr>
          <w:p w14:paraId="32B21493"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74CC1BCD"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545B401C" w14:textId="77777777" w:rsidTr="002F28B5">
        <w:tc>
          <w:tcPr>
            <w:tcW w:w="4590" w:type="dxa"/>
          </w:tcPr>
          <w:p w14:paraId="7DA8EAB3"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5440C891" w14:textId="77777777" w:rsidR="00F6032E" w:rsidRPr="00193FA9" w:rsidRDefault="00F6032E" w:rsidP="003A70BC">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725793E9" w14:textId="77777777" w:rsidTr="002F28B5">
        <w:tc>
          <w:tcPr>
            <w:tcW w:w="4590" w:type="dxa"/>
          </w:tcPr>
          <w:p w14:paraId="4BB75F6B"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4D45F44" w14:textId="77777777" w:rsidR="00F6032E" w:rsidRPr="00193FA9" w:rsidRDefault="00F6032E" w:rsidP="003A70BC">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3E62186C" w14:textId="77777777" w:rsidTr="002F28B5">
        <w:tc>
          <w:tcPr>
            <w:tcW w:w="4590" w:type="dxa"/>
          </w:tcPr>
          <w:p w14:paraId="24D2342D"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2F2876CB" w14:textId="77777777" w:rsidR="00F6032E" w:rsidRPr="00193FA9" w:rsidRDefault="00F6032E" w:rsidP="003A70BC">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2B1C6F52" w14:textId="77777777" w:rsidTr="002F28B5">
        <w:tc>
          <w:tcPr>
            <w:tcW w:w="4590" w:type="dxa"/>
          </w:tcPr>
          <w:p w14:paraId="544FB66F"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111699F1" w14:textId="77777777" w:rsidR="00F6032E" w:rsidRPr="00193FA9" w:rsidRDefault="00F6032E" w:rsidP="003A70BC">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Emergency Telephone </w:t>
            </w:r>
            <w:proofErr w:type="spellStart"/>
            <w:r w:rsidRPr="00193FA9">
              <w:rPr>
                <w:rFonts w:ascii="Times New Roman" w:eastAsia="Times New Roman" w:hAnsi="Times New Roman"/>
                <w:sz w:val="20"/>
                <w:szCs w:val="20"/>
              </w:rPr>
              <w:t>ChemTrec</w:t>
            </w:r>
            <w:proofErr w:type="spellEnd"/>
            <w:r w:rsidRPr="00193FA9">
              <w:rPr>
                <w:rFonts w:ascii="Times New Roman" w:eastAsia="Times New Roman" w:hAnsi="Times New Roman"/>
                <w:sz w:val="20"/>
                <w:szCs w:val="20"/>
              </w:rPr>
              <w:t>:</w:t>
            </w:r>
          </w:p>
        </w:tc>
      </w:tr>
      <w:tr w:rsidR="00F6032E" w:rsidRPr="00193FA9" w14:paraId="622C8AF4" w14:textId="77777777" w:rsidTr="002F28B5">
        <w:tc>
          <w:tcPr>
            <w:tcW w:w="4590" w:type="dxa"/>
          </w:tcPr>
          <w:p w14:paraId="7CE75C2D"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52C81DD0" w14:textId="77777777" w:rsidR="00F6032E" w:rsidRPr="00193FA9" w:rsidRDefault="00F6032E" w:rsidP="00331C80">
            <w:pPr>
              <w:widowControl/>
              <w:tabs>
                <w:tab w:val="right" w:pos="1692"/>
                <w:tab w:val="left" w:pos="1962"/>
              </w:tabs>
              <w:overflowPunct w:val="0"/>
              <w:autoSpaceDE w:val="0"/>
              <w:autoSpaceDN w:val="0"/>
              <w:adjustRightInd w:val="0"/>
              <w:spacing w:before="100" w:beforeAutospacing="1" w:after="0" w:line="228" w:lineRule="auto"/>
              <w:ind w:left="43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2B7B1249" w14:textId="77777777" w:rsidTr="002F28B5">
        <w:tc>
          <w:tcPr>
            <w:tcW w:w="4590" w:type="dxa"/>
          </w:tcPr>
          <w:p w14:paraId="61DB9D09"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1245FC6" w14:textId="77777777" w:rsidR="00F6032E" w:rsidRPr="00193FA9" w:rsidRDefault="00F6032E" w:rsidP="00331C80">
            <w:pPr>
              <w:widowControl/>
              <w:tabs>
                <w:tab w:val="right" w:pos="1692"/>
                <w:tab w:val="left" w:pos="1962"/>
                <w:tab w:val="left" w:pos="9360"/>
              </w:tabs>
              <w:overflowPunct w:val="0"/>
              <w:autoSpaceDE w:val="0"/>
              <w:autoSpaceDN w:val="0"/>
              <w:adjustRightInd w:val="0"/>
              <w:spacing w:before="100" w:beforeAutospacing="1" w:after="0" w:line="228" w:lineRule="auto"/>
              <w:ind w:left="43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67A91932" w14:textId="77777777" w:rsidTr="002F28B5">
        <w:tc>
          <w:tcPr>
            <w:tcW w:w="4590" w:type="dxa"/>
          </w:tcPr>
          <w:p w14:paraId="2B794ED1" w14:textId="77777777" w:rsidR="00F6032E" w:rsidRPr="00193FA9" w:rsidRDefault="00F6032E" w:rsidP="003A70BC">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7D168A9" w14:textId="77777777" w:rsidR="00F6032E" w:rsidRPr="00193FA9" w:rsidRDefault="00F6032E" w:rsidP="003A70BC">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5E54F080" w14:textId="77777777" w:rsidTr="002B22C8">
        <w:trPr>
          <w:trHeight w:hRule="exact" w:val="360"/>
        </w:trPr>
        <w:tc>
          <w:tcPr>
            <w:tcW w:w="9576" w:type="dxa"/>
            <w:vAlign w:val="center"/>
          </w:tcPr>
          <w:p w14:paraId="5D389264" w14:textId="77777777" w:rsidR="002B22C8" w:rsidRDefault="002B22C8" w:rsidP="003A70BC">
            <w:pPr>
              <w:keepNext/>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B9B4719" w14:textId="77777777" w:rsidR="00341E61" w:rsidRPr="00341E61" w:rsidRDefault="008B70F0" w:rsidP="003A70BC">
      <w:pPr>
        <w:widowControl/>
        <w:spacing w:before="120" w:after="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Note:</w:t>
      </w:r>
      <w:r w:rsidRPr="006B712E">
        <w:rPr>
          <w:rFonts w:ascii="Times New Roman" w:eastAsia="Times New Roman" w:hAnsi="Times New Roman"/>
          <w:bCs/>
          <w:sz w:val="20"/>
          <w:szCs w:val="20"/>
        </w:rPr>
        <w:t xml:space="preserve">  </w:t>
      </w:r>
      <w:r w:rsidR="002566D9">
        <w:rPr>
          <w:rFonts w:ascii="Times New Roman" w:eastAsia="Times New Roman" w:hAnsi="Times New Roman"/>
          <w:bCs/>
          <w:sz w:val="20"/>
          <w:szCs w:val="20"/>
        </w:rPr>
        <w:t>SRM </w:t>
      </w:r>
      <w:r w:rsidR="000849A9">
        <w:rPr>
          <w:rFonts w:ascii="Times New Roman" w:eastAsia="Times New Roman" w:hAnsi="Times New Roman"/>
          <w:bCs/>
          <w:sz w:val="20"/>
          <w:szCs w:val="20"/>
        </w:rPr>
        <w:t>2881</w:t>
      </w:r>
      <w:r w:rsidR="00EF761A" w:rsidRPr="00341E61">
        <w:rPr>
          <w:rFonts w:ascii="Times New Roman" w:eastAsia="Times New Roman" w:hAnsi="Times New Roman"/>
          <w:bCs/>
          <w:sz w:val="20"/>
          <w:szCs w:val="20"/>
        </w:rPr>
        <w:t xml:space="preserve"> </w:t>
      </w:r>
      <w:r w:rsidR="00341E61" w:rsidRPr="00341E61">
        <w:rPr>
          <w:rFonts w:ascii="Times New Roman" w:eastAsia="Times New Roman" w:hAnsi="Times New Roman"/>
          <w:bCs/>
          <w:sz w:val="20"/>
          <w:szCs w:val="20"/>
        </w:rPr>
        <w:t>is supplied in a small quantity</w:t>
      </w:r>
      <w:r w:rsidR="002566D9">
        <w:rPr>
          <w:rFonts w:ascii="Times New Roman" w:eastAsia="Times New Roman" w:hAnsi="Times New Roman"/>
          <w:bCs/>
          <w:sz w:val="20"/>
          <w:szCs w:val="20"/>
        </w:rPr>
        <w:t xml:space="preserve"> and under normal laboratory conditions it </w:t>
      </w:r>
      <w:r w:rsidR="00341E61" w:rsidRPr="00341E61">
        <w:rPr>
          <w:rFonts w:ascii="Times New Roman" w:eastAsia="Times New Roman" w:hAnsi="Times New Roman"/>
          <w:bCs/>
          <w:sz w:val="20"/>
          <w:szCs w:val="20"/>
        </w:rPr>
        <w:t xml:space="preserve">does not constitute a combustible dust hazard.  The physical properties of this material indicate that accumulated dust </w:t>
      </w:r>
      <w:r w:rsidR="006B712E">
        <w:rPr>
          <w:rFonts w:ascii="Times New Roman" w:eastAsia="Times New Roman" w:hAnsi="Times New Roman"/>
          <w:bCs/>
          <w:sz w:val="20"/>
          <w:szCs w:val="20"/>
        </w:rPr>
        <w:t xml:space="preserve">on surfaces </w:t>
      </w:r>
      <w:r w:rsidR="008C684F">
        <w:rPr>
          <w:rFonts w:ascii="Times New Roman" w:eastAsia="Times New Roman" w:hAnsi="Times New Roman"/>
          <w:bCs/>
          <w:sz w:val="20"/>
          <w:szCs w:val="20"/>
        </w:rPr>
        <w:t xml:space="preserve">generated </w:t>
      </w:r>
      <w:r w:rsidR="005832A5">
        <w:rPr>
          <w:rFonts w:ascii="Times New Roman" w:eastAsia="Times New Roman" w:hAnsi="Times New Roman"/>
          <w:bCs/>
          <w:sz w:val="20"/>
          <w:szCs w:val="20"/>
        </w:rPr>
        <w:t>where operations produce fine particulates</w:t>
      </w:r>
      <w:r w:rsidR="008C684F">
        <w:rPr>
          <w:rFonts w:ascii="Times New Roman" w:eastAsia="Times New Roman" w:hAnsi="Times New Roman"/>
          <w:bCs/>
          <w:sz w:val="20"/>
          <w:szCs w:val="20"/>
        </w:rPr>
        <w:t>,</w:t>
      </w:r>
      <w:r w:rsidR="00695328">
        <w:rPr>
          <w:rFonts w:ascii="Times New Roman" w:eastAsia="Times New Roman" w:hAnsi="Times New Roman"/>
          <w:bCs/>
          <w:sz w:val="20"/>
          <w:szCs w:val="20"/>
        </w:rPr>
        <w:t xml:space="preserve"> </w:t>
      </w:r>
      <w:r w:rsidR="006B712E">
        <w:rPr>
          <w:rFonts w:ascii="Times New Roman" w:eastAsia="Times New Roman" w:hAnsi="Times New Roman"/>
          <w:bCs/>
          <w:sz w:val="20"/>
          <w:szCs w:val="20"/>
        </w:rPr>
        <w:t xml:space="preserve">may </w:t>
      </w:r>
      <w:r w:rsidR="00784040">
        <w:rPr>
          <w:rFonts w:ascii="Times New Roman" w:eastAsia="Times New Roman" w:hAnsi="Times New Roman"/>
          <w:bCs/>
          <w:sz w:val="20"/>
          <w:szCs w:val="20"/>
        </w:rPr>
        <w:t>lead to</w:t>
      </w:r>
      <w:r w:rsidR="008C684F">
        <w:rPr>
          <w:rFonts w:ascii="Times New Roman" w:eastAsia="Times New Roman" w:hAnsi="Times New Roman"/>
          <w:bCs/>
          <w:sz w:val="20"/>
          <w:szCs w:val="20"/>
        </w:rPr>
        <w:t xml:space="preserve"> </w:t>
      </w:r>
      <w:r w:rsidR="006B712E">
        <w:rPr>
          <w:rFonts w:ascii="Times New Roman" w:eastAsia="Times New Roman" w:hAnsi="Times New Roman"/>
          <w:bCs/>
          <w:sz w:val="20"/>
          <w:szCs w:val="20"/>
        </w:rPr>
        <w:t>combustible dust concentration</w:t>
      </w:r>
      <w:r w:rsidR="00784040">
        <w:rPr>
          <w:rFonts w:ascii="Times New Roman" w:eastAsia="Times New Roman" w:hAnsi="Times New Roman"/>
          <w:bCs/>
          <w:sz w:val="20"/>
          <w:szCs w:val="20"/>
        </w:rPr>
        <w:t>s</w:t>
      </w:r>
      <w:r w:rsidR="006B712E">
        <w:rPr>
          <w:rFonts w:ascii="Times New Roman" w:eastAsia="Times New Roman" w:hAnsi="Times New Roman"/>
          <w:bCs/>
          <w:sz w:val="20"/>
          <w:szCs w:val="20"/>
        </w:rPr>
        <w:t xml:space="preserve"> in air.</w:t>
      </w:r>
    </w:p>
    <w:p w14:paraId="0F0379CE" w14:textId="77777777" w:rsidR="001C4F6D" w:rsidRPr="00455695" w:rsidRDefault="002B22C8" w:rsidP="003A70BC">
      <w:pPr>
        <w:widowControl/>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p>
    <w:p w14:paraId="136480B9" w14:textId="77777777" w:rsidR="0073150A" w:rsidRPr="005550E0" w:rsidRDefault="0073150A" w:rsidP="003A70BC">
      <w:pPr>
        <w:widowControl/>
        <w:tabs>
          <w:tab w:val="left" w:pos="225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Physical Hazard:</w:t>
      </w:r>
      <w:r w:rsidR="0044226E" w:rsidRPr="005550E0">
        <w:rPr>
          <w:rFonts w:ascii="Times New Roman" w:eastAsia="Times New Roman" w:hAnsi="Times New Roman"/>
          <w:bCs/>
          <w:sz w:val="20"/>
          <w:szCs w:val="20"/>
        </w:rPr>
        <w:tab/>
      </w:r>
      <w:r w:rsidR="00195830">
        <w:rPr>
          <w:rFonts w:ascii="Times New Roman" w:eastAsia="Times New Roman" w:hAnsi="Times New Roman"/>
          <w:bCs/>
          <w:sz w:val="20"/>
          <w:szCs w:val="20"/>
        </w:rPr>
        <w:t>Not classified</w:t>
      </w:r>
      <w:r w:rsidR="004528A1">
        <w:rPr>
          <w:rFonts w:ascii="Times New Roman" w:eastAsia="Times New Roman" w:hAnsi="Times New Roman"/>
          <w:bCs/>
          <w:sz w:val="20"/>
          <w:szCs w:val="20"/>
        </w:rPr>
        <w:t>.</w:t>
      </w:r>
    </w:p>
    <w:p w14:paraId="11AAE51E" w14:textId="77777777" w:rsidR="00037080" w:rsidRPr="00015F8E" w:rsidRDefault="0073150A" w:rsidP="003A70BC">
      <w:pPr>
        <w:widowControl/>
        <w:tabs>
          <w:tab w:val="left" w:pos="225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Health Hazard:</w:t>
      </w:r>
      <w:r w:rsidR="0044226E" w:rsidRPr="005550E0">
        <w:rPr>
          <w:rFonts w:ascii="Times New Roman" w:eastAsia="Times New Roman" w:hAnsi="Times New Roman"/>
          <w:bCs/>
          <w:sz w:val="20"/>
          <w:szCs w:val="20"/>
        </w:rPr>
        <w:tab/>
      </w:r>
      <w:r w:rsidR="004528A1">
        <w:rPr>
          <w:rFonts w:ascii="Times New Roman" w:eastAsia="Times New Roman" w:hAnsi="Times New Roman"/>
          <w:bCs/>
          <w:sz w:val="20"/>
          <w:szCs w:val="20"/>
        </w:rPr>
        <w:t>Not classified.</w:t>
      </w:r>
    </w:p>
    <w:p w14:paraId="6424744E" w14:textId="77777777" w:rsidR="004528A1" w:rsidRDefault="004528A1" w:rsidP="00684EF3">
      <w:pPr>
        <w:widowControl/>
        <w:tabs>
          <w:tab w:val="left" w:pos="1890"/>
          <w:tab w:val="left" w:pos="6120"/>
        </w:tabs>
        <w:spacing w:after="0" w:line="240" w:lineRule="auto"/>
        <w:ind w:left="360"/>
        <w:jc w:val="both"/>
        <w:rPr>
          <w:rFonts w:ascii="Times New Roman" w:eastAsia="Times New Roman" w:hAnsi="Times New Roman"/>
          <w:b/>
          <w:bCs/>
          <w:sz w:val="20"/>
          <w:szCs w:val="20"/>
        </w:rPr>
      </w:pPr>
    </w:p>
    <w:p w14:paraId="658ECE51" w14:textId="77777777" w:rsidR="00730686" w:rsidRPr="00015F8E" w:rsidRDefault="00730686" w:rsidP="00684EF3">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Label Elements</w:t>
      </w:r>
    </w:p>
    <w:p w14:paraId="328DEE8A" w14:textId="77777777" w:rsidR="00910EA2" w:rsidRPr="000338D3" w:rsidRDefault="00730686" w:rsidP="00E74426">
      <w:pPr>
        <w:widowControl/>
        <w:tabs>
          <w:tab w:val="left" w:pos="2740"/>
          <w:tab w:val="left" w:pos="4540"/>
          <w:tab w:val="left" w:pos="6340"/>
        </w:tabs>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Symbol</w:t>
      </w:r>
      <w:r w:rsidR="003A70BC">
        <w:rPr>
          <w:rFonts w:ascii="Times New Roman" w:eastAsia="Times New Roman" w:hAnsi="Times New Roman"/>
          <w:b/>
          <w:bCs/>
          <w:sz w:val="20"/>
          <w:szCs w:val="20"/>
        </w:rPr>
        <w:t xml:space="preserve">:  </w:t>
      </w:r>
      <w:r w:rsidR="00E06A19" w:rsidRPr="000338D3">
        <w:rPr>
          <w:rFonts w:ascii="Times New Roman" w:eastAsia="Times New Roman" w:hAnsi="Times New Roman"/>
          <w:bCs/>
          <w:sz w:val="20"/>
          <w:szCs w:val="20"/>
        </w:rPr>
        <w:t>No Symbol</w:t>
      </w:r>
      <w:r w:rsidR="003A70BC">
        <w:rPr>
          <w:rFonts w:ascii="Times New Roman" w:eastAsia="Times New Roman" w:hAnsi="Times New Roman"/>
          <w:bCs/>
          <w:sz w:val="20"/>
          <w:szCs w:val="20"/>
        </w:rPr>
        <w:t>/No Pictogram.</w:t>
      </w:r>
    </w:p>
    <w:p w14:paraId="0A04FA4E" w14:textId="77777777" w:rsidR="008B70F0" w:rsidRPr="000338D3" w:rsidRDefault="00730686" w:rsidP="00684EF3">
      <w:pPr>
        <w:widowControl/>
        <w:tabs>
          <w:tab w:val="left" w:pos="2740"/>
          <w:tab w:val="left" w:pos="4540"/>
          <w:tab w:val="left" w:pos="6340"/>
        </w:tabs>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Signal Word</w:t>
      </w:r>
      <w:r w:rsidR="003A70BC" w:rsidRPr="003A70BC">
        <w:rPr>
          <w:rFonts w:ascii="Times New Roman" w:eastAsia="Times New Roman" w:hAnsi="Times New Roman"/>
          <w:b/>
          <w:bCs/>
          <w:sz w:val="20"/>
          <w:szCs w:val="20"/>
        </w:rPr>
        <w:t>:</w:t>
      </w:r>
      <w:r w:rsidR="003A70BC">
        <w:rPr>
          <w:rFonts w:ascii="Times New Roman" w:eastAsia="Times New Roman" w:hAnsi="Times New Roman"/>
          <w:bCs/>
          <w:sz w:val="20"/>
          <w:szCs w:val="20"/>
        </w:rPr>
        <w:t xml:space="preserve">  </w:t>
      </w:r>
      <w:r w:rsidR="008B70F0" w:rsidRPr="000338D3">
        <w:rPr>
          <w:rFonts w:ascii="Times New Roman" w:eastAsia="Times New Roman" w:hAnsi="Times New Roman"/>
          <w:bCs/>
          <w:sz w:val="20"/>
          <w:szCs w:val="20"/>
        </w:rPr>
        <w:t>No Signal Word</w:t>
      </w:r>
    </w:p>
    <w:p w14:paraId="7C033176" w14:textId="77777777" w:rsidR="008B70F0" w:rsidRPr="00A203EB" w:rsidRDefault="00730686">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Hazard Statement(s</w:t>
      </w:r>
      <w:r w:rsidR="00FC3C8B" w:rsidRPr="00015F8E">
        <w:rPr>
          <w:rFonts w:ascii="Times New Roman" w:eastAsia="Times New Roman" w:hAnsi="Times New Roman"/>
          <w:b/>
          <w:bCs/>
          <w:sz w:val="20"/>
          <w:szCs w:val="20"/>
        </w:rPr>
        <w:t>)</w:t>
      </w:r>
      <w:r w:rsidR="008B70F0">
        <w:rPr>
          <w:rFonts w:ascii="Times New Roman" w:eastAsia="Times New Roman" w:hAnsi="Times New Roman"/>
          <w:b/>
          <w:bCs/>
          <w:sz w:val="20"/>
          <w:szCs w:val="20"/>
        </w:rPr>
        <w:t>:</w:t>
      </w:r>
      <w:r w:rsidR="008B70F0" w:rsidRPr="008B70F0">
        <w:rPr>
          <w:rFonts w:ascii="Times New Roman" w:eastAsia="Times New Roman" w:hAnsi="Times New Roman"/>
          <w:bCs/>
          <w:sz w:val="20"/>
          <w:szCs w:val="20"/>
        </w:rPr>
        <w:t xml:space="preserve"> </w:t>
      </w:r>
      <w:r w:rsidR="002B3137">
        <w:rPr>
          <w:rFonts w:ascii="Times New Roman" w:eastAsia="Times New Roman" w:hAnsi="Times New Roman"/>
          <w:bCs/>
          <w:sz w:val="20"/>
          <w:szCs w:val="20"/>
        </w:rPr>
        <w:t xml:space="preserve"> </w:t>
      </w:r>
      <w:r w:rsidR="008B70F0" w:rsidRPr="00F3381A">
        <w:rPr>
          <w:rFonts w:ascii="Times New Roman" w:eastAsia="Times New Roman" w:hAnsi="Times New Roman"/>
          <w:bCs/>
          <w:sz w:val="20"/>
          <w:szCs w:val="20"/>
        </w:rPr>
        <w:t>Not applicable.</w:t>
      </w:r>
    </w:p>
    <w:p w14:paraId="218D85BD" w14:textId="77777777" w:rsidR="00910EA2" w:rsidRPr="00A203EB" w:rsidRDefault="00730686">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Precautionary Statement(s)</w:t>
      </w:r>
      <w:r w:rsidR="00F3381A">
        <w:rPr>
          <w:rFonts w:ascii="Times New Roman" w:eastAsia="Times New Roman" w:hAnsi="Times New Roman"/>
          <w:b/>
          <w:bCs/>
          <w:sz w:val="20"/>
          <w:szCs w:val="20"/>
        </w:rPr>
        <w:t>:</w:t>
      </w:r>
      <w:r w:rsidR="00F3381A" w:rsidRPr="00F3381A">
        <w:rPr>
          <w:rFonts w:ascii="Times New Roman" w:eastAsia="Times New Roman" w:hAnsi="Times New Roman"/>
          <w:bCs/>
          <w:sz w:val="20"/>
          <w:szCs w:val="20"/>
        </w:rPr>
        <w:t xml:space="preserve">  Not applicable.</w:t>
      </w:r>
    </w:p>
    <w:p w14:paraId="4D505F87" w14:textId="77777777" w:rsidR="002B22C8" w:rsidRPr="00A203EB" w:rsidRDefault="00910EA2">
      <w:pPr>
        <w:widowControl/>
        <w:spacing w:before="120" w:after="120" w:line="240" w:lineRule="auto"/>
        <w:ind w:left="360"/>
        <w:jc w:val="both"/>
        <w:rPr>
          <w:rFonts w:ascii="Times New Roman" w:eastAsia="Times New Roman" w:hAnsi="Times New Roman"/>
          <w:bCs/>
          <w:sz w:val="20"/>
          <w:szCs w:val="20"/>
        </w:rPr>
      </w:pPr>
      <w:r w:rsidRPr="00BF72CB">
        <w:rPr>
          <w:rFonts w:ascii="Times New Roman" w:eastAsia="Times New Roman" w:hAnsi="Times New Roman"/>
          <w:b/>
          <w:bCs/>
          <w:sz w:val="20"/>
          <w:szCs w:val="20"/>
        </w:rPr>
        <w:t>Hazards Not Otherwise Classified:</w:t>
      </w:r>
      <w:r w:rsidR="00971EDC" w:rsidRPr="00BF72CB">
        <w:rPr>
          <w:rFonts w:ascii="Times New Roman" w:eastAsia="Times New Roman" w:hAnsi="Times New Roman"/>
          <w:bCs/>
          <w:sz w:val="20"/>
          <w:szCs w:val="20"/>
        </w:rPr>
        <w:t xml:space="preserve">  </w:t>
      </w:r>
      <w:r w:rsidR="008B70F0" w:rsidRPr="008B70F0">
        <w:rPr>
          <w:rFonts w:ascii="Times New Roman" w:eastAsia="Times New Roman" w:hAnsi="Times New Roman"/>
          <w:bCs/>
          <w:sz w:val="20"/>
          <w:szCs w:val="20"/>
        </w:rPr>
        <w:t>Not applicable.</w:t>
      </w:r>
    </w:p>
    <w:p w14:paraId="1F6D9CE8" w14:textId="77777777" w:rsidR="00371ED3" w:rsidRDefault="00910EA2">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BF72CB">
        <w:rPr>
          <w:rFonts w:ascii="Times New Roman" w:eastAsia="Times New Roman" w:hAnsi="Times New Roman"/>
          <w:b/>
          <w:bCs/>
          <w:sz w:val="20"/>
          <w:szCs w:val="20"/>
        </w:rPr>
        <w:t>Ingredients(s) with Unknown Acute Toxicity</w:t>
      </w:r>
      <w:r w:rsidR="00971EDC" w:rsidRPr="00BF72CB">
        <w:rPr>
          <w:rFonts w:ascii="Times New Roman" w:eastAsia="Times New Roman" w:hAnsi="Times New Roman"/>
          <w:b/>
          <w:bCs/>
          <w:sz w:val="20"/>
          <w:szCs w:val="20"/>
        </w:rPr>
        <w:t>:</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040E5DFF" w14:textId="77777777" w:rsidTr="00371ED3">
        <w:trPr>
          <w:trHeight w:hRule="exact" w:val="360"/>
        </w:trPr>
        <w:tc>
          <w:tcPr>
            <w:tcW w:w="9576" w:type="dxa"/>
            <w:vAlign w:val="center"/>
          </w:tcPr>
          <w:p w14:paraId="4B29221C" w14:textId="77777777" w:rsidR="00371ED3" w:rsidRPr="00A91680" w:rsidRDefault="00371ED3" w:rsidP="003A70BC">
            <w:pPr>
              <w:keepNext/>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3638C09A" w14:textId="77777777" w:rsidR="00BB0995" w:rsidRPr="00176501" w:rsidRDefault="00BB0995" w:rsidP="003A70BC">
      <w:pPr>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0849A9">
        <w:rPr>
          <w:rFonts w:ascii="Times New Roman" w:eastAsia="Times New Roman" w:hAnsi="Times New Roman"/>
          <w:bCs/>
          <w:spacing w:val="1"/>
          <w:sz w:val="20"/>
          <w:szCs w:val="20"/>
        </w:rPr>
        <w:t>Polystyrene</w:t>
      </w:r>
    </w:p>
    <w:p w14:paraId="3A4199EE" w14:textId="77777777" w:rsidR="001930E9" w:rsidRPr="00F3381A" w:rsidRDefault="00BB0995" w:rsidP="003A70BC">
      <w:pPr>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DC0227" w:rsidRPr="00F3381A">
        <w:rPr>
          <w:rFonts w:ascii="Times New Roman" w:eastAsia="Times New Roman" w:hAnsi="Times New Roman"/>
          <w:spacing w:val="-1"/>
          <w:sz w:val="20"/>
          <w:szCs w:val="20"/>
        </w:rPr>
        <w:t xml:space="preserve"> </w:t>
      </w:r>
      <w:r w:rsidR="000849A9">
        <w:rPr>
          <w:rFonts w:ascii="Times New Roman" w:eastAsia="Times New Roman" w:hAnsi="Times New Roman"/>
          <w:bCs/>
          <w:sz w:val="20"/>
          <w:szCs w:val="20"/>
        </w:rPr>
        <w:t xml:space="preserve">Styrene polymer; </w:t>
      </w:r>
      <w:proofErr w:type="spellStart"/>
      <w:r w:rsidR="000849A9">
        <w:rPr>
          <w:rFonts w:ascii="Times New Roman" w:eastAsia="Times New Roman" w:hAnsi="Times New Roman"/>
          <w:bCs/>
          <w:sz w:val="20"/>
          <w:szCs w:val="20"/>
        </w:rPr>
        <w:t>ethenylbenzene</w:t>
      </w:r>
      <w:proofErr w:type="spellEnd"/>
      <w:r w:rsidR="000849A9">
        <w:rPr>
          <w:rFonts w:ascii="Times New Roman" w:eastAsia="Times New Roman" w:hAnsi="Times New Roman"/>
          <w:bCs/>
          <w:sz w:val="20"/>
          <w:szCs w:val="20"/>
        </w:rPr>
        <w:t xml:space="preserve"> </w:t>
      </w:r>
      <w:proofErr w:type="spellStart"/>
      <w:r w:rsidR="000849A9">
        <w:rPr>
          <w:rFonts w:ascii="Times New Roman" w:eastAsia="Times New Roman" w:hAnsi="Times New Roman"/>
          <w:bCs/>
          <w:sz w:val="20"/>
          <w:szCs w:val="20"/>
        </w:rPr>
        <w:t>homopolymer</w:t>
      </w:r>
      <w:proofErr w:type="spellEnd"/>
      <w:r w:rsidR="000849A9">
        <w:rPr>
          <w:rFonts w:ascii="Times New Roman" w:eastAsia="Times New Roman" w:hAnsi="Times New Roman"/>
          <w:bCs/>
          <w:sz w:val="20"/>
          <w:szCs w:val="20"/>
        </w:rPr>
        <w:t xml:space="preserve">; </w:t>
      </w:r>
      <w:proofErr w:type="spellStart"/>
      <w:r w:rsidR="000849A9">
        <w:rPr>
          <w:rFonts w:ascii="Times New Roman" w:eastAsia="Times New Roman" w:hAnsi="Times New Roman"/>
          <w:bCs/>
          <w:sz w:val="20"/>
          <w:szCs w:val="20"/>
        </w:rPr>
        <w:t>ethenylene</w:t>
      </w:r>
      <w:proofErr w:type="spellEnd"/>
      <w:r w:rsidR="000849A9">
        <w:rPr>
          <w:rFonts w:ascii="Times New Roman" w:eastAsia="Times New Roman" w:hAnsi="Times New Roman"/>
          <w:bCs/>
          <w:sz w:val="20"/>
          <w:szCs w:val="20"/>
        </w:rPr>
        <w:t xml:space="preserve">; </w:t>
      </w:r>
      <w:proofErr w:type="spellStart"/>
      <w:r w:rsidR="000849A9">
        <w:rPr>
          <w:rFonts w:ascii="Times New Roman" w:eastAsia="Times New Roman" w:hAnsi="Times New Roman"/>
          <w:bCs/>
          <w:sz w:val="20"/>
          <w:szCs w:val="20"/>
        </w:rPr>
        <w:t>oligostyrene</w:t>
      </w:r>
      <w:proofErr w:type="spellEnd"/>
      <w:r w:rsidR="000849A9">
        <w:rPr>
          <w:rFonts w:ascii="Times New Roman" w:eastAsia="Times New Roman" w:hAnsi="Times New Roman"/>
          <w:bCs/>
          <w:sz w:val="20"/>
          <w:szCs w:val="20"/>
        </w:rPr>
        <w:t xml:space="preserve">; </w:t>
      </w:r>
      <w:proofErr w:type="gramStart"/>
      <w:r w:rsidR="000849A9">
        <w:rPr>
          <w:rFonts w:ascii="Times New Roman" w:eastAsia="Times New Roman" w:hAnsi="Times New Roman"/>
          <w:bCs/>
          <w:sz w:val="20"/>
          <w:szCs w:val="20"/>
        </w:rPr>
        <w:t>poly(</w:t>
      </w:r>
      <w:proofErr w:type="spellStart"/>
      <w:proofErr w:type="gramEnd"/>
      <w:r w:rsidR="000849A9">
        <w:rPr>
          <w:rFonts w:ascii="Times New Roman" w:eastAsia="Times New Roman" w:hAnsi="Times New Roman"/>
          <w:bCs/>
          <w:sz w:val="20"/>
          <w:szCs w:val="20"/>
        </w:rPr>
        <w:t>vinylbenzene</w:t>
      </w:r>
      <w:proofErr w:type="spellEnd"/>
      <w:r w:rsidR="000849A9">
        <w:rPr>
          <w:rFonts w:ascii="Times New Roman" w:eastAsia="Times New Roman" w:hAnsi="Times New Roman"/>
          <w:bCs/>
          <w:sz w:val="20"/>
          <w:szCs w:val="20"/>
        </w:rPr>
        <w:t>)</w:t>
      </w:r>
      <w:r w:rsidR="003A70BC">
        <w:rPr>
          <w:rFonts w:ascii="Times New Roman" w:eastAsia="Times New Roman" w:hAnsi="Times New Roman"/>
          <w:bCs/>
          <w:sz w:val="20"/>
          <w:szCs w:val="20"/>
        </w:rPr>
        <w:t>.</w:t>
      </w:r>
    </w:p>
    <w:p w14:paraId="01BB0BF8" w14:textId="77777777" w:rsidR="00037080" w:rsidRDefault="00661CCC" w:rsidP="003A70BC">
      <w:pPr>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3A70BC">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800"/>
        <w:gridCol w:w="1890"/>
        <w:gridCol w:w="2880"/>
        <w:gridCol w:w="360"/>
      </w:tblGrid>
      <w:tr w:rsidR="00037080" w:rsidRPr="00037080" w14:paraId="3CBEA386" w14:textId="77777777" w:rsidTr="003A70BC">
        <w:trPr>
          <w:gridAfter w:val="1"/>
          <w:wAfter w:w="360" w:type="dxa"/>
          <w:trHeight w:val="504"/>
        </w:trPr>
        <w:tc>
          <w:tcPr>
            <w:tcW w:w="2718" w:type="dxa"/>
          </w:tcPr>
          <w:p w14:paraId="7FC6C7A9" w14:textId="77777777" w:rsidR="00037080" w:rsidRPr="00037080" w:rsidRDefault="00037080" w:rsidP="003A70BC">
            <w:pPr>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800" w:type="dxa"/>
          </w:tcPr>
          <w:p w14:paraId="07E6A2CD" w14:textId="77777777" w:rsidR="00037080" w:rsidRPr="00037080" w:rsidRDefault="00037080" w:rsidP="003A70BC">
            <w:pPr>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1890" w:type="dxa"/>
          </w:tcPr>
          <w:p w14:paraId="36003504" w14:textId="77777777" w:rsidR="00037080" w:rsidRPr="00037080" w:rsidRDefault="00037080" w:rsidP="003A70BC">
            <w:pPr>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40FEAA2D" w14:textId="77777777" w:rsidR="00037080" w:rsidRPr="00037080" w:rsidRDefault="00037080" w:rsidP="003A70BC">
            <w:pPr>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04D36462" w14:textId="77777777" w:rsidR="00037080" w:rsidRPr="00037080" w:rsidRDefault="00037080" w:rsidP="003A70BC">
            <w:pPr>
              <w:widowControl/>
              <w:spacing w:after="0" w:line="240" w:lineRule="auto"/>
              <w:jc w:val="center"/>
              <w:rPr>
                <w:rFonts w:ascii="Times New Roman" w:eastAsia="Times New Roman" w:hAnsi="Times New Roman"/>
                <w:b/>
                <w:bCs/>
                <w:sz w:val="20"/>
                <w:szCs w:val="20"/>
              </w:rPr>
            </w:pP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in</w:t>
            </w:r>
            <w:r w:rsidRPr="00037080">
              <w:rPr>
                <w:rFonts w:ascii="Times New Roman" w:eastAsia="Times New Roman" w:hAnsi="Times New Roman"/>
                <w:b/>
                <w:bCs/>
                <w:spacing w:val="1"/>
                <w:sz w:val="20"/>
                <w:szCs w:val="20"/>
              </w:rPr>
              <w:t>a</w:t>
            </w:r>
            <w:r w:rsidRPr="00037080">
              <w:rPr>
                <w:rFonts w:ascii="Times New Roman" w:eastAsia="Times New Roman" w:hAnsi="Times New Roman"/>
                <w:b/>
                <w:bCs/>
                <w:sz w:val="20"/>
                <w:szCs w:val="20"/>
              </w:rPr>
              <w:t>l</w:t>
            </w:r>
            <w:r w:rsidRPr="00037080">
              <w:rPr>
                <w:rFonts w:ascii="Times New Roman" w:eastAsia="Times New Roman" w:hAnsi="Times New Roman"/>
                <w:b/>
                <w:bCs/>
                <w:spacing w:val="-7"/>
                <w:sz w:val="20"/>
                <w:szCs w:val="20"/>
              </w:rPr>
              <w:t xml:space="preserve"> </w:t>
            </w:r>
            <w:r w:rsidRPr="00037080">
              <w:rPr>
                <w:rFonts w:ascii="Times New Roman" w:eastAsia="Times New Roman" w:hAnsi="Times New Roman"/>
                <w:b/>
                <w:bCs/>
                <w:spacing w:val="4"/>
                <w:sz w:val="20"/>
                <w:szCs w:val="20"/>
              </w:rPr>
              <w:t>M</w:t>
            </w:r>
            <w:r w:rsidRPr="00037080">
              <w:rPr>
                <w:rFonts w:ascii="Times New Roman" w:eastAsia="Times New Roman" w:hAnsi="Times New Roman"/>
                <w:b/>
                <w:bCs/>
                <w:spacing w:val="1"/>
                <w:sz w:val="20"/>
                <w:szCs w:val="20"/>
              </w:rPr>
              <w:t>a</w:t>
            </w:r>
            <w:r w:rsidRPr="00037080">
              <w:rPr>
                <w:rFonts w:ascii="Times New Roman" w:eastAsia="Times New Roman" w:hAnsi="Times New Roman"/>
                <w:b/>
                <w:bCs/>
                <w:spacing w:val="-1"/>
                <w:sz w:val="20"/>
                <w:szCs w:val="20"/>
              </w:rPr>
              <w:t>s</w:t>
            </w:r>
            <w:r w:rsidRPr="00037080">
              <w:rPr>
                <w:rFonts w:ascii="Times New Roman" w:eastAsia="Times New Roman" w:hAnsi="Times New Roman"/>
                <w:b/>
                <w:bCs/>
                <w:sz w:val="20"/>
                <w:szCs w:val="20"/>
              </w:rPr>
              <w:t>s</w:t>
            </w:r>
            <w:r w:rsidRPr="00037080">
              <w:rPr>
                <w:rFonts w:ascii="Times New Roman" w:eastAsia="Times New Roman" w:hAnsi="Times New Roman"/>
                <w:b/>
                <w:bCs/>
                <w:spacing w:val="-4"/>
                <w:sz w:val="20"/>
                <w:szCs w:val="20"/>
              </w:rPr>
              <w:t xml:space="preserve"> </w:t>
            </w:r>
            <w:r w:rsidR="00F3381A" w:rsidRPr="00037080">
              <w:rPr>
                <w:rFonts w:ascii="Times New Roman" w:eastAsia="Times New Roman" w:hAnsi="Times New Roman"/>
                <w:b/>
                <w:bCs/>
                <w:w w:val="99"/>
                <w:sz w:val="20"/>
                <w:szCs w:val="20"/>
              </w:rPr>
              <w:t>C</w:t>
            </w:r>
            <w:r w:rsidR="00F3381A" w:rsidRPr="00037080">
              <w:rPr>
                <w:rFonts w:ascii="Times New Roman" w:eastAsia="Times New Roman" w:hAnsi="Times New Roman"/>
                <w:b/>
                <w:bCs/>
                <w:spacing w:val="1"/>
                <w:w w:val="99"/>
                <w:sz w:val="20"/>
                <w:szCs w:val="20"/>
              </w:rPr>
              <w:t>o</w:t>
            </w:r>
            <w:r w:rsidR="00F3381A" w:rsidRPr="00037080">
              <w:rPr>
                <w:rFonts w:ascii="Times New Roman" w:eastAsia="Times New Roman" w:hAnsi="Times New Roman"/>
                <w:b/>
                <w:bCs/>
                <w:w w:val="99"/>
                <w:sz w:val="20"/>
                <w:szCs w:val="20"/>
              </w:rPr>
              <w:t>ncen</w:t>
            </w:r>
            <w:r w:rsidR="00F3381A" w:rsidRPr="00037080">
              <w:rPr>
                <w:rFonts w:ascii="Times New Roman" w:eastAsia="Times New Roman" w:hAnsi="Times New Roman"/>
                <w:b/>
                <w:bCs/>
                <w:spacing w:val="1"/>
                <w:w w:val="99"/>
                <w:sz w:val="20"/>
                <w:szCs w:val="20"/>
              </w:rPr>
              <w:t>t</w:t>
            </w:r>
            <w:r w:rsidR="00F3381A" w:rsidRPr="00037080">
              <w:rPr>
                <w:rFonts w:ascii="Times New Roman" w:eastAsia="Times New Roman" w:hAnsi="Times New Roman"/>
                <w:b/>
                <w:bCs/>
                <w:w w:val="99"/>
                <w:sz w:val="20"/>
                <w:szCs w:val="20"/>
              </w:rPr>
              <w:t>r</w:t>
            </w:r>
            <w:r w:rsidR="00F3381A" w:rsidRPr="00037080">
              <w:rPr>
                <w:rFonts w:ascii="Times New Roman" w:eastAsia="Times New Roman" w:hAnsi="Times New Roman"/>
                <w:b/>
                <w:bCs/>
                <w:spacing w:val="1"/>
                <w:w w:val="99"/>
                <w:sz w:val="20"/>
                <w:szCs w:val="20"/>
              </w:rPr>
              <w:t>at</w:t>
            </w:r>
            <w:r w:rsidR="00F3381A" w:rsidRPr="00037080">
              <w:rPr>
                <w:rFonts w:ascii="Times New Roman" w:eastAsia="Times New Roman" w:hAnsi="Times New Roman"/>
                <w:b/>
                <w:bCs/>
                <w:w w:val="99"/>
                <w:sz w:val="20"/>
                <w:szCs w:val="20"/>
              </w:rPr>
              <w:t>i</w:t>
            </w:r>
            <w:r w:rsidR="00F3381A" w:rsidRPr="00037080">
              <w:rPr>
                <w:rFonts w:ascii="Times New Roman" w:eastAsia="Times New Roman" w:hAnsi="Times New Roman"/>
                <w:b/>
                <w:bCs/>
                <w:spacing w:val="1"/>
                <w:w w:val="99"/>
                <w:sz w:val="20"/>
                <w:szCs w:val="20"/>
              </w:rPr>
              <w:t>o</w:t>
            </w:r>
            <w:r w:rsidR="00F3381A" w:rsidRPr="00037080">
              <w:rPr>
                <w:rFonts w:ascii="Times New Roman" w:eastAsia="Times New Roman" w:hAnsi="Times New Roman"/>
                <w:b/>
                <w:bCs/>
                <w:w w:val="99"/>
                <w:sz w:val="20"/>
                <w:szCs w:val="20"/>
              </w:rPr>
              <w:t xml:space="preserve">n </w:t>
            </w:r>
            <w:r w:rsidRPr="00037080">
              <w:rPr>
                <w:rFonts w:ascii="Times New Roman" w:eastAsia="Times New Roman" w:hAnsi="Times New Roman"/>
                <w:b/>
                <w:bCs/>
                <w:sz w:val="20"/>
                <w:szCs w:val="20"/>
              </w:rPr>
              <w:br/>
            </w:r>
            <w:r w:rsidRPr="00037080">
              <w:rPr>
                <w:rFonts w:ascii="Times New Roman" w:eastAsia="Times New Roman" w:hAnsi="Times New Roman"/>
                <w:b/>
                <w:bCs/>
                <w:spacing w:val="1"/>
                <w:w w:val="99"/>
                <w:sz w:val="20"/>
                <w:szCs w:val="20"/>
              </w:rPr>
              <w:t>(</w:t>
            </w:r>
            <w:r w:rsidRPr="00037080">
              <w:rPr>
                <w:rFonts w:ascii="Times New Roman" w:eastAsia="Times New Roman" w:hAnsi="Times New Roman"/>
                <w:b/>
                <w:bCs/>
                <w:w w:val="99"/>
                <w:sz w:val="20"/>
                <w:szCs w:val="20"/>
              </w:rPr>
              <w:t>%)</w:t>
            </w:r>
          </w:p>
        </w:tc>
      </w:tr>
      <w:tr w:rsidR="00037080" w:rsidRPr="00037080" w14:paraId="5BB3EC16" w14:textId="77777777" w:rsidTr="003A70BC">
        <w:trPr>
          <w:gridAfter w:val="1"/>
          <w:wAfter w:w="360" w:type="dxa"/>
          <w:trHeight w:val="288"/>
        </w:trPr>
        <w:tc>
          <w:tcPr>
            <w:tcW w:w="2718" w:type="dxa"/>
          </w:tcPr>
          <w:p w14:paraId="78940DB0" w14:textId="77777777" w:rsidR="00037080" w:rsidRPr="00D25DBF" w:rsidRDefault="000849A9" w:rsidP="003A70BC">
            <w:pPr>
              <w:widowControl/>
              <w:spacing w:after="0" w:line="240" w:lineRule="auto"/>
              <w:ind w:right="-108"/>
              <w:rPr>
                <w:rFonts w:ascii="Times New Roman" w:eastAsia="Times New Roman" w:hAnsi="Times New Roman"/>
                <w:sz w:val="18"/>
                <w:szCs w:val="18"/>
              </w:rPr>
            </w:pPr>
            <w:r>
              <w:rPr>
                <w:rFonts w:ascii="Times New Roman" w:eastAsia="Times New Roman" w:hAnsi="Times New Roman"/>
                <w:spacing w:val="2"/>
                <w:sz w:val="20"/>
                <w:szCs w:val="20"/>
              </w:rPr>
              <w:t>Polystyrene powder</w:t>
            </w:r>
          </w:p>
        </w:tc>
        <w:tc>
          <w:tcPr>
            <w:tcW w:w="1800" w:type="dxa"/>
          </w:tcPr>
          <w:p w14:paraId="62DE1A1D" w14:textId="77777777" w:rsidR="00037080" w:rsidRPr="00D25DBF" w:rsidRDefault="000849A9" w:rsidP="003A70BC">
            <w:pPr>
              <w:widowControl/>
              <w:tabs>
                <w:tab w:val="right" w:pos="1242"/>
              </w:tabs>
              <w:spacing w:after="0" w:line="240" w:lineRule="auto"/>
              <w:jc w:val="center"/>
              <w:rPr>
                <w:rFonts w:ascii="Times New Roman" w:eastAsia="Times New Roman" w:hAnsi="Times New Roman"/>
                <w:sz w:val="18"/>
                <w:szCs w:val="18"/>
              </w:rPr>
            </w:pPr>
            <w:r>
              <w:rPr>
                <w:rFonts w:ascii="Times New Roman" w:eastAsia="Times New Roman" w:hAnsi="Times New Roman"/>
                <w:spacing w:val="1"/>
                <w:sz w:val="20"/>
                <w:szCs w:val="20"/>
              </w:rPr>
              <w:t>9003-53-6</w:t>
            </w:r>
          </w:p>
        </w:tc>
        <w:tc>
          <w:tcPr>
            <w:tcW w:w="1890" w:type="dxa"/>
          </w:tcPr>
          <w:p w14:paraId="7D9CAA11" w14:textId="77777777" w:rsidR="00037080" w:rsidRPr="00D25DBF" w:rsidRDefault="000849A9" w:rsidP="003A70BC">
            <w:pPr>
              <w:widowControl/>
              <w:spacing w:after="0" w:line="240" w:lineRule="auto"/>
              <w:jc w:val="center"/>
              <w:rPr>
                <w:rFonts w:ascii="Times New Roman" w:eastAsia="Times New Roman" w:hAnsi="Times New Roman"/>
                <w:sz w:val="18"/>
                <w:szCs w:val="18"/>
              </w:rPr>
            </w:pPr>
            <w:r>
              <w:rPr>
                <w:rFonts w:ascii="Times New Roman" w:eastAsia="Times New Roman" w:hAnsi="Times New Roman"/>
                <w:spacing w:val="1"/>
                <w:sz w:val="20"/>
                <w:szCs w:val="20"/>
              </w:rPr>
              <w:t>500-008-9</w:t>
            </w:r>
          </w:p>
        </w:tc>
        <w:tc>
          <w:tcPr>
            <w:tcW w:w="2880" w:type="dxa"/>
          </w:tcPr>
          <w:p w14:paraId="7E353EB7" w14:textId="77777777" w:rsidR="00037080" w:rsidRPr="00D25DBF" w:rsidRDefault="004528A1" w:rsidP="00E74426">
            <w:pPr>
              <w:widowControl/>
              <w:spacing w:after="0" w:line="240" w:lineRule="auto"/>
              <w:jc w:val="center"/>
              <w:rPr>
                <w:rFonts w:ascii="Times New Roman" w:eastAsia="Times New Roman" w:hAnsi="Times New Roman"/>
                <w:sz w:val="18"/>
                <w:szCs w:val="18"/>
              </w:rPr>
            </w:pPr>
            <w:r>
              <w:rPr>
                <w:rFonts w:ascii="Times New Roman" w:eastAsia="Times New Roman" w:hAnsi="Times New Roman"/>
                <w:spacing w:val="1"/>
                <w:w w:val="99"/>
                <w:sz w:val="20"/>
                <w:szCs w:val="20"/>
              </w:rPr>
              <w:t>100</w:t>
            </w:r>
          </w:p>
        </w:tc>
      </w:tr>
      <w:tr w:rsidR="00037080" w:rsidRPr="00037080" w14:paraId="43A8C4C5" w14:textId="77777777" w:rsidTr="003A70BC">
        <w:tblPrEx>
          <w:tblBorders>
            <w:top w:val="single" w:sz="4" w:space="0" w:color="auto"/>
            <w:bottom w:val="single" w:sz="4" w:space="0" w:color="auto"/>
            <w:insideH w:val="single" w:sz="4" w:space="0" w:color="auto"/>
            <w:insideV w:val="single" w:sz="4" w:space="0" w:color="auto"/>
          </w:tblBorders>
        </w:tblPrEx>
        <w:trPr>
          <w:trHeight w:hRule="exact" w:val="360"/>
        </w:trPr>
        <w:tc>
          <w:tcPr>
            <w:tcW w:w="9648" w:type="dxa"/>
            <w:gridSpan w:val="5"/>
            <w:vAlign w:val="center"/>
          </w:tcPr>
          <w:p w14:paraId="207500B4" w14:textId="77777777" w:rsidR="00037080" w:rsidRPr="00037080" w:rsidRDefault="00037080" w:rsidP="003A70BC">
            <w:pPr>
              <w:keepNext/>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lastRenderedPageBreak/>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3C918911" w14:textId="77777777" w:rsidR="00C508A0" w:rsidRPr="00F3381A" w:rsidRDefault="00BB0995" w:rsidP="003A70BC">
      <w:pPr>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3644204D" w14:textId="77777777" w:rsidR="00C508A0" w:rsidRPr="00F3381A" w:rsidRDefault="00BF5DD9" w:rsidP="003A70B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6E97FC9E" w14:textId="77777777" w:rsidR="00C508A0" w:rsidRPr="00F3381A" w:rsidRDefault="00BF5DD9" w:rsidP="003A70B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57C320A6" w14:textId="77777777" w:rsidR="00C508A0" w:rsidRPr="00A203EB" w:rsidRDefault="00BF5DD9" w:rsidP="003A70B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73C865D4" w14:textId="77777777" w:rsidR="00E24579" w:rsidRPr="008C684F" w:rsidRDefault="00BF5DD9" w:rsidP="003A70BC">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69F77AF0" w14:textId="77777777" w:rsidR="002D63F4" w:rsidRPr="00A203EB" w:rsidRDefault="002D63F4" w:rsidP="003A70BC">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6662F0">
        <w:rPr>
          <w:rFonts w:ascii="Times New Roman" w:eastAsia="Times New Roman" w:hAnsi="Times New Roman"/>
          <w:bCs/>
          <w:sz w:val="20"/>
          <w:szCs w:val="20"/>
        </w:rPr>
        <w:t>Skin or eye mechanical irritation.</w:t>
      </w:r>
      <w:r w:rsidR="009E0D2E">
        <w:rPr>
          <w:rFonts w:ascii="Times New Roman" w:eastAsia="Times New Roman" w:hAnsi="Times New Roman"/>
          <w:bCs/>
          <w:sz w:val="20"/>
          <w:szCs w:val="20"/>
        </w:rPr>
        <w:t xml:space="preserve"> </w:t>
      </w:r>
    </w:p>
    <w:p w14:paraId="56342C04" w14:textId="77777777" w:rsidR="002D63F4" w:rsidRPr="00455695" w:rsidRDefault="002D63F4" w:rsidP="003A70BC">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8DADB3F" w14:textId="77777777" w:rsidTr="001D7FE4">
        <w:trPr>
          <w:trHeight w:hRule="exact" w:val="360"/>
        </w:trPr>
        <w:tc>
          <w:tcPr>
            <w:tcW w:w="9576" w:type="dxa"/>
            <w:vAlign w:val="center"/>
          </w:tcPr>
          <w:p w14:paraId="2A8985B3" w14:textId="77777777" w:rsidR="001D7FE4" w:rsidRPr="00A203EB" w:rsidRDefault="001D7FE4" w:rsidP="003A70BC">
            <w:pPr>
              <w:keepNext/>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7F19FB11" w14:textId="77777777" w:rsidR="001248AA" w:rsidRPr="00A203EB" w:rsidRDefault="001248AA" w:rsidP="003A70BC">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6B712E" w:rsidRPr="006B712E">
        <w:rPr>
          <w:rFonts w:ascii="Times New Roman" w:eastAsia="Times New Roman" w:hAnsi="Times New Roman"/>
          <w:bCs/>
          <w:spacing w:val="-1"/>
          <w:sz w:val="20"/>
          <w:szCs w:val="20"/>
        </w:rPr>
        <w:t xml:space="preserve">Avoid generating dust; </w:t>
      </w:r>
      <w:r w:rsidR="00DB756D" w:rsidRPr="00DB756D">
        <w:rPr>
          <w:rFonts w:ascii="Times New Roman" w:eastAsia="Times New Roman" w:hAnsi="Times New Roman"/>
          <w:bCs/>
          <w:spacing w:val="-1"/>
          <w:sz w:val="20"/>
          <w:szCs w:val="20"/>
        </w:rPr>
        <w:t xml:space="preserve">sufficient concentrations </w:t>
      </w:r>
      <w:r w:rsidR="00DB756D">
        <w:rPr>
          <w:rFonts w:ascii="Times New Roman" w:eastAsia="Times New Roman" w:hAnsi="Times New Roman"/>
          <w:bCs/>
          <w:spacing w:val="-1"/>
          <w:sz w:val="20"/>
          <w:szCs w:val="20"/>
        </w:rPr>
        <w:t xml:space="preserve">of </w:t>
      </w:r>
      <w:r w:rsidR="006B712E" w:rsidRPr="006B712E">
        <w:rPr>
          <w:rFonts w:ascii="Times New Roman" w:eastAsia="Times New Roman" w:hAnsi="Times New Roman"/>
          <w:bCs/>
          <w:spacing w:val="-1"/>
          <w:sz w:val="20"/>
          <w:szCs w:val="20"/>
        </w:rPr>
        <w:t>fine dust dispersed in air, and in the presence of an ignition source is a potential hazard.</w:t>
      </w:r>
      <w:r w:rsidR="00424C7F">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22C1ACB2" w14:textId="77777777" w:rsidR="006251CA" w:rsidRPr="00A203EB" w:rsidRDefault="00676966" w:rsidP="003A70BC">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7B0AE354" w14:textId="77777777" w:rsidR="00E93DD1" w:rsidRPr="00A203EB" w:rsidRDefault="00E93DD1" w:rsidP="003A70B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Regular dry chemical, carbon dioxide, water, and regular foam</w:t>
      </w:r>
      <w:r w:rsidR="00EF4006" w:rsidRPr="00A203EB">
        <w:rPr>
          <w:rFonts w:ascii="Times New Roman" w:eastAsia="Times New Roman" w:hAnsi="Times New Roman"/>
          <w:bCs/>
          <w:sz w:val="20"/>
          <w:szCs w:val="20"/>
        </w:rPr>
        <w:t>.</w:t>
      </w:r>
    </w:p>
    <w:p w14:paraId="6BC01655" w14:textId="77777777" w:rsidR="00E93DD1" w:rsidRPr="00A203EB" w:rsidRDefault="0028318C" w:rsidP="003A70B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4325AECB" w14:textId="77777777" w:rsidR="00E24579" w:rsidRPr="00A203EB" w:rsidRDefault="00676966" w:rsidP="003A70BC">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17AF7B97" w14:textId="77777777" w:rsidR="002B60F0" w:rsidRPr="00A203EB" w:rsidRDefault="00F057E8" w:rsidP="003A70BC">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4224FB2A" w14:textId="77777777" w:rsidR="00170F65" w:rsidRPr="00A203EB" w:rsidRDefault="000D31BB" w:rsidP="003A70BC">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1FC453A6" w14:textId="77777777" w:rsidR="00170F65" w:rsidRPr="00A203EB" w:rsidRDefault="00170F65" w:rsidP="003A70BC">
      <w:pPr>
        <w:widowControl/>
        <w:tabs>
          <w:tab w:val="left" w:pos="360"/>
          <w:tab w:val="left" w:pos="2160"/>
          <w:tab w:val="left" w:pos="3600"/>
        </w:tabs>
        <w:spacing w:before="12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0849A9">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0849A9">
        <w:rPr>
          <w:rFonts w:ascii="Times New Roman" w:hAnsi="Times New Roman"/>
          <w:sz w:val="20"/>
          <w:szCs w:val="20"/>
        </w:rPr>
        <w:t>1</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5F118E28" w14:textId="77777777" w:rsidTr="001D7FE4">
        <w:trPr>
          <w:trHeight w:hRule="exact" w:val="360"/>
        </w:trPr>
        <w:tc>
          <w:tcPr>
            <w:tcW w:w="9576" w:type="dxa"/>
            <w:vAlign w:val="center"/>
          </w:tcPr>
          <w:p w14:paraId="49C9D588" w14:textId="77777777" w:rsidR="001D7FE4" w:rsidRPr="00A203EB" w:rsidRDefault="001D7FE4" w:rsidP="003A70BC">
            <w:pPr>
              <w:keepNext/>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3F8786DF" w14:textId="77777777" w:rsidR="00717B98" w:rsidRPr="00BE09C9" w:rsidRDefault="001D7FE4" w:rsidP="003A70BC">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5832A5">
        <w:rPr>
          <w:rFonts w:ascii="Times New Roman" w:eastAsia="Times New Roman" w:hAnsi="Times New Roman"/>
          <w:bCs/>
          <w:spacing w:val="1"/>
          <w:sz w:val="20"/>
          <w:szCs w:val="20"/>
        </w:rPr>
        <w:t xml:space="preserve">Any accumulated material on surfaces should be removed and properly disposed of.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4D4DF9E5" w14:textId="77777777" w:rsidR="00BC5C79" w:rsidRPr="00717B98" w:rsidRDefault="00BC5C79" w:rsidP="003A70BC">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Do not touch spilled material.  Notify safety personnel of spills.  Collect spilled material in appropriate container for disposal</w:t>
      </w:r>
      <w:r w:rsidR="00717B98" w:rsidRPr="00A203EB">
        <w:rPr>
          <w:rFonts w:ascii="Times New Roman" w:eastAsia="Times New Roman" w:hAnsi="Times New Roman"/>
          <w:bCs/>
          <w:spacing w:val="1"/>
          <w:sz w:val="20"/>
          <w:szCs w:val="20"/>
        </w:rPr>
        <w:t>.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04D40DC4" w14:textId="77777777" w:rsidTr="001D7FE4">
        <w:trPr>
          <w:trHeight w:hRule="exact" w:val="360"/>
        </w:trPr>
        <w:tc>
          <w:tcPr>
            <w:tcW w:w="9576" w:type="dxa"/>
            <w:vAlign w:val="center"/>
          </w:tcPr>
          <w:p w14:paraId="43789AB6" w14:textId="77777777" w:rsidR="001D7FE4" w:rsidRDefault="001D7FE4" w:rsidP="003A70BC">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5620BCEB" w14:textId="77777777" w:rsidR="001D7FE4" w:rsidRPr="00902F44" w:rsidRDefault="001D7FE4" w:rsidP="003A70BC">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 and accumulation</w:t>
      </w:r>
      <w:r w:rsidR="00622909">
        <w:rPr>
          <w:rFonts w:ascii="Times New Roman" w:eastAsia="Times New Roman" w:hAnsi="Times New Roman"/>
          <w:bCs/>
          <w:spacing w:val="-6"/>
          <w:sz w:val="20"/>
          <w:szCs w:val="20"/>
        </w:rPr>
        <w:t xml:space="preserve"> on surfaces</w:t>
      </w:r>
      <w:r w:rsidR="00E1552D" w:rsidRPr="006B712E">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0FC5D5C" w14:textId="77777777" w:rsidR="00D25DBF" w:rsidRPr="00717B98" w:rsidRDefault="00FD5524" w:rsidP="003A70BC">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z w:val="20"/>
          <w:szCs w:val="20"/>
        </w:rPr>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and </w:t>
      </w:r>
      <w:r w:rsidR="000849A9" w:rsidRPr="00FD5524">
        <w:rPr>
          <w:rFonts w:ascii="Times New Roman" w:eastAsia="Times New Roman" w:hAnsi="Times New Roman"/>
          <w:bCs/>
          <w:sz w:val="20"/>
          <w:szCs w:val="20"/>
        </w:rPr>
        <w:t>handl</w:t>
      </w:r>
      <w:r w:rsidR="000849A9">
        <w:rPr>
          <w:rFonts w:ascii="Times New Roman" w:eastAsia="Times New Roman" w:hAnsi="Times New Roman"/>
          <w:bCs/>
          <w:sz w:val="20"/>
          <w:szCs w:val="20"/>
        </w:rPr>
        <w:t>e</w:t>
      </w:r>
      <w:r w:rsidR="000849A9" w:rsidRPr="00FD5524">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in accordance with all current regulations and standards.  </w:t>
      </w:r>
      <w:r w:rsidRPr="00902F44">
        <w:rPr>
          <w:rFonts w:ascii="Times New Roman" w:hAnsi="Times New Roman"/>
          <w:sz w:val="20"/>
          <w:szCs w:val="20"/>
        </w:rPr>
        <w:t>Keep separated from incompatible substances</w:t>
      </w:r>
      <w:r w:rsidR="003A70BC">
        <w:rPr>
          <w:rFonts w:ascii="Times New Roman" w:hAnsi="Times New Roman"/>
          <w:sz w:val="20"/>
          <w:szCs w:val="20"/>
        </w:rPr>
        <w:t>;</w:t>
      </w:r>
      <w:r>
        <w:rPr>
          <w:rFonts w:ascii="Times New Roman" w:hAnsi="Times New Roman"/>
          <w:sz w:val="20"/>
          <w:szCs w:val="20"/>
        </w:rPr>
        <w:t xml:space="preserve"> </w:t>
      </w:r>
      <w:r w:rsidR="003A70BC">
        <w:rPr>
          <w:rFonts w:ascii="Times New Roman" w:hAnsi="Times New Roman"/>
          <w:sz w:val="20"/>
          <w:szCs w:val="20"/>
        </w:rPr>
        <w:t>s</w:t>
      </w:r>
      <w:r w:rsidR="003A70BC" w:rsidRPr="003A70BC">
        <w:rPr>
          <w:rFonts w:ascii="Times New Roman" w:hAnsi="Times New Roman"/>
          <w:sz w:val="20"/>
          <w:szCs w:val="20"/>
        </w:rPr>
        <w:t>ee Section</w:t>
      </w:r>
      <w:r w:rsidR="003A70BC">
        <w:rPr>
          <w:rFonts w:ascii="Times New Roman" w:hAnsi="Times New Roman"/>
          <w:sz w:val="20"/>
          <w:szCs w:val="20"/>
        </w:rPr>
        <w:t> 10</w:t>
      </w:r>
      <w:r w:rsidR="003A70BC" w:rsidRPr="003A70BC">
        <w:rPr>
          <w:rFonts w:ascii="Times New Roman" w:hAnsi="Times New Roman"/>
          <w:sz w:val="20"/>
          <w:szCs w:val="20"/>
        </w:rPr>
        <w:t>, “S</w:t>
      </w:r>
      <w:r w:rsidR="003A70BC">
        <w:rPr>
          <w:rFonts w:ascii="Times New Roman" w:hAnsi="Times New Roman"/>
          <w:sz w:val="20"/>
          <w:szCs w:val="20"/>
        </w:rPr>
        <w:t>tability and Reactivity</w:t>
      </w:r>
      <w:r w:rsidR="003A70BC" w:rsidRPr="003A70BC">
        <w:rPr>
          <w:rFonts w:ascii="Times New Roman" w:hAnsi="Times New Roman"/>
          <w:sz w:val="20"/>
          <w:szCs w:val="20"/>
        </w:rPr>
        <w:t>”</w:t>
      </w:r>
      <w:r w:rsidR="00C661E3" w:rsidRPr="00FE152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22A16E0E" w14:textId="77777777" w:rsidTr="00D25DBF">
        <w:trPr>
          <w:trHeight w:hRule="exact" w:val="360"/>
        </w:trPr>
        <w:tc>
          <w:tcPr>
            <w:tcW w:w="9576" w:type="dxa"/>
            <w:vAlign w:val="center"/>
          </w:tcPr>
          <w:p w14:paraId="2C967208" w14:textId="77777777" w:rsidR="00D25DBF" w:rsidRDefault="00D25DBF" w:rsidP="003A70BC">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2607DE10" w14:textId="77777777" w:rsidR="00893F73" w:rsidRPr="00A61AAA" w:rsidRDefault="001D7FE4" w:rsidP="00684EF3">
      <w:pPr>
        <w:keepNext/>
        <w:widowControl/>
        <w:spacing w:before="120" w:after="120" w:line="240" w:lineRule="auto"/>
        <w:jc w:val="both"/>
        <w:rPr>
          <w:rFonts w:ascii="Times New Roman" w:eastAsia="Times New Roman" w:hAnsi="Times New Roman"/>
          <w:sz w:val="19"/>
          <w:szCs w:val="19"/>
        </w:rPr>
      </w:pPr>
      <w:r>
        <w:rPr>
          <w:rFonts w:ascii="Times New Roman" w:eastAsia="Times New Roman" w:hAnsi="Times New Roman"/>
          <w:b/>
          <w:bCs/>
          <w:spacing w:val="-1"/>
          <w:sz w:val="20"/>
          <w:szCs w:val="20"/>
        </w:rPr>
        <w:t>Ex</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z w:val="20"/>
          <w:szCs w:val="20"/>
        </w:rPr>
        <w:t>ure</w:t>
      </w:r>
      <w:r>
        <w:rPr>
          <w:rFonts w:ascii="Times New Roman" w:eastAsia="Times New Roman" w:hAnsi="Times New Roman"/>
          <w:b/>
          <w:bCs/>
          <w:spacing w:val="-7"/>
          <w:sz w:val="20"/>
          <w:szCs w:val="20"/>
        </w:rPr>
        <w:t xml:space="preserve"> </w:t>
      </w:r>
      <w:r>
        <w:rPr>
          <w:rFonts w:ascii="Times New Roman" w:eastAsia="Times New Roman" w:hAnsi="Times New Roman"/>
          <w:b/>
          <w:bCs/>
          <w:spacing w:val="-1"/>
          <w:sz w:val="20"/>
          <w:szCs w:val="20"/>
        </w:rPr>
        <w:t>L</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i</w:t>
      </w:r>
      <w:r>
        <w:rPr>
          <w:rFonts w:ascii="Times New Roman" w:eastAsia="Times New Roman" w:hAnsi="Times New Roman"/>
          <w:b/>
          <w:bCs/>
          <w:spacing w:val="1"/>
          <w:sz w:val="20"/>
          <w:szCs w:val="20"/>
        </w:rPr>
        <w:t>t</w:t>
      </w:r>
      <w:r>
        <w:rPr>
          <w:rFonts w:ascii="Times New Roman" w:eastAsia="Times New Roman" w:hAnsi="Times New Roman"/>
          <w:b/>
          <w:bCs/>
          <w:sz w:val="20"/>
          <w:szCs w:val="20"/>
        </w:rPr>
        <w:t>s</w:t>
      </w:r>
      <w:r w:rsidR="005F656F">
        <w:rPr>
          <w:rFonts w:ascii="Times New Roman" w:eastAsia="Times New Roman" w:hAnsi="Times New Roman"/>
          <w:b/>
          <w:bCs/>
          <w:sz w:val="20"/>
          <w:szCs w:val="20"/>
        </w:rPr>
        <w:t>:</w:t>
      </w:r>
      <w:r w:rsidR="00A61AAA">
        <w:rPr>
          <w:rFonts w:ascii="Times New Roman" w:eastAsia="Times New Roman" w:hAnsi="Times New Roman"/>
          <w:bCs/>
          <w:sz w:val="20"/>
          <w:szCs w:val="20"/>
        </w:rPr>
        <w:t xml:space="preserve">  </w:t>
      </w:r>
      <w:r w:rsidR="00A61AAA" w:rsidRPr="00A61AAA">
        <w:rPr>
          <w:rFonts w:ascii="Times New Roman" w:eastAsia="Times New Roman" w:hAnsi="Times New Roman"/>
          <w:bCs/>
          <w:sz w:val="20"/>
          <w:szCs w:val="20"/>
        </w:rPr>
        <w:t xml:space="preserve">This material is a particulate matter and adequate inhalation/respiratory protection should be used to minimize exposure.  No occupational exposure limits have been established for </w:t>
      </w:r>
      <w:r w:rsidR="000849A9">
        <w:rPr>
          <w:rFonts w:ascii="Times New Roman" w:eastAsia="Times New Roman" w:hAnsi="Times New Roman"/>
          <w:bCs/>
          <w:sz w:val="20"/>
          <w:szCs w:val="20"/>
        </w:rPr>
        <w:t>polystyrene</w:t>
      </w:r>
      <w:r w:rsidR="00A61AAA" w:rsidRPr="00A61AAA">
        <w:rPr>
          <w:rFonts w:ascii="Times New Roman" w:eastAsia="Times New Roman" w:hAnsi="Times New Roman"/>
          <w:bCs/>
          <w:sz w:val="20"/>
          <w:szCs w:val="20"/>
        </w:rPr>
        <w:t xml:space="preserve">.  The exposure limits for </w:t>
      </w:r>
      <w:r w:rsidR="00454319">
        <w:rPr>
          <w:rFonts w:ascii="Times New Roman" w:eastAsia="Times New Roman" w:hAnsi="Times New Roman"/>
          <w:bCs/>
          <w:sz w:val="20"/>
          <w:szCs w:val="20"/>
        </w:rPr>
        <w:t>P</w:t>
      </w:r>
      <w:r w:rsidR="00A61AAA" w:rsidRPr="00A61AAA">
        <w:rPr>
          <w:rFonts w:ascii="Times New Roman" w:eastAsia="Times New Roman" w:hAnsi="Times New Roman"/>
          <w:bCs/>
          <w:sz w:val="20"/>
          <w:szCs w:val="20"/>
        </w:rPr>
        <w:t xml:space="preserve">articulates </w:t>
      </w:r>
      <w:r w:rsidR="00454319">
        <w:rPr>
          <w:rFonts w:ascii="Times New Roman" w:eastAsia="Times New Roman" w:hAnsi="Times New Roman"/>
          <w:bCs/>
          <w:sz w:val="20"/>
          <w:szCs w:val="20"/>
        </w:rPr>
        <w:t>N</w:t>
      </w:r>
      <w:r w:rsidR="00A61AAA" w:rsidRPr="00A61AAA">
        <w:rPr>
          <w:rFonts w:ascii="Times New Roman" w:eastAsia="Times New Roman" w:hAnsi="Times New Roman"/>
          <w:bCs/>
          <w:sz w:val="20"/>
          <w:szCs w:val="20"/>
        </w:rPr>
        <w:t xml:space="preserve">ot </w:t>
      </w:r>
      <w:r w:rsidR="00454319">
        <w:rPr>
          <w:rFonts w:ascii="Times New Roman" w:eastAsia="Times New Roman" w:hAnsi="Times New Roman"/>
          <w:bCs/>
          <w:sz w:val="20"/>
          <w:szCs w:val="20"/>
        </w:rPr>
        <w:t>O</w:t>
      </w:r>
      <w:r w:rsidR="00A61AAA" w:rsidRPr="00A61AAA">
        <w:rPr>
          <w:rFonts w:ascii="Times New Roman" w:eastAsia="Times New Roman" w:hAnsi="Times New Roman"/>
          <w:bCs/>
          <w:sz w:val="20"/>
          <w:szCs w:val="20"/>
        </w:rPr>
        <w:t xml:space="preserve">therwise </w:t>
      </w:r>
      <w:r w:rsidR="00454319">
        <w:rPr>
          <w:rFonts w:ascii="Times New Roman" w:eastAsia="Times New Roman" w:hAnsi="Times New Roman"/>
          <w:bCs/>
          <w:sz w:val="20"/>
          <w:szCs w:val="20"/>
        </w:rPr>
        <w:t>R</w:t>
      </w:r>
      <w:r w:rsidR="00A61AAA" w:rsidRPr="00A61AAA">
        <w:rPr>
          <w:rFonts w:ascii="Times New Roman" w:eastAsia="Times New Roman" w:hAnsi="Times New Roman"/>
          <w:bCs/>
          <w:sz w:val="20"/>
          <w:szCs w:val="20"/>
        </w:rPr>
        <w:t xml:space="preserve">egulated are </w:t>
      </w:r>
      <w:r w:rsidR="007036EB">
        <w:rPr>
          <w:rFonts w:ascii="Times New Roman" w:eastAsia="Times New Roman" w:hAnsi="Times New Roman"/>
          <w:bCs/>
          <w:sz w:val="20"/>
          <w:szCs w:val="20"/>
        </w:rPr>
        <w:t>applicable</w:t>
      </w:r>
      <w:r w:rsidR="00A61AAA" w:rsidRPr="00A61AAA">
        <w:rPr>
          <w:rFonts w:ascii="Times New Roman" w:eastAsia="Times New Roman" w:hAnsi="Times New Roman"/>
          <w:bCs/>
          <w:sz w:val="20"/>
          <w:szCs w:val="20"/>
        </w:rPr>
        <w:t>.</w:t>
      </w:r>
    </w:p>
    <w:p w14:paraId="16DED086" w14:textId="77777777" w:rsidR="00A61AAA" w:rsidRPr="00A61AAA" w:rsidRDefault="00A61AAA" w:rsidP="00E74426">
      <w:pPr>
        <w:widowControl/>
        <w:tabs>
          <w:tab w:val="decimal" w:pos="1800"/>
          <w:tab w:val="right" w:pos="3150"/>
        </w:tabs>
        <w:overflowPunct w:val="0"/>
        <w:autoSpaceDE w:val="0"/>
        <w:autoSpaceDN w:val="0"/>
        <w:adjustRightInd w:val="0"/>
        <w:spacing w:after="0" w:line="240" w:lineRule="auto"/>
        <w:ind w:left="180" w:firstLine="180"/>
        <w:jc w:val="both"/>
        <w:textAlignment w:val="baseline"/>
        <w:rPr>
          <w:rFonts w:ascii="Times New Roman" w:eastAsia="Times New Roman" w:hAnsi="Times New Roman"/>
          <w:sz w:val="20"/>
          <w:szCs w:val="20"/>
        </w:rPr>
      </w:pPr>
      <w:r w:rsidRPr="00A61AAA">
        <w:rPr>
          <w:rFonts w:ascii="Times New Roman" w:eastAsia="Times New Roman" w:hAnsi="Times New Roman"/>
          <w:sz w:val="20"/>
          <w:szCs w:val="20"/>
        </w:rPr>
        <w:t>OSHA (PEL):</w:t>
      </w:r>
      <w:r>
        <w:rPr>
          <w:rFonts w:ascii="Times New Roman" w:eastAsia="Times New Roman" w:hAnsi="Times New Roman"/>
          <w:sz w:val="20"/>
          <w:szCs w:val="20"/>
        </w:rPr>
        <w:tab/>
      </w:r>
      <w:r w:rsidRPr="00A61AAA">
        <w:rPr>
          <w:rFonts w:ascii="Times New Roman" w:eastAsia="Times New Roman" w:hAnsi="Times New Roman"/>
          <w:sz w:val="20"/>
          <w:szCs w:val="20"/>
        </w:rPr>
        <w:t>15 mg/m</w:t>
      </w:r>
      <w:r w:rsidRPr="00A61AAA">
        <w:rPr>
          <w:rFonts w:ascii="Times New Roman" w:eastAsia="Times New Roman" w:hAnsi="Times New Roman"/>
          <w:sz w:val="20"/>
          <w:szCs w:val="20"/>
          <w:vertAlign w:val="superscript"/>
        </w:rPr>
        <w:t>3</w:t>
      </w:r>
      <w:r w:rsidRPr="00A61AAA">
        <w:rPr>
          <w:rFonts w:ascii="Times New Roman" w:eastAsia="Times New Roman" w:hAnsi="Times New Roman"/>
          <w:sz w:val="20"/>
          <w:szCs w:val="20"/>
        </w:rPr>
        <w:t xml:space="preserve"> (TWA, total particulates)</w:t>
      </w:r>
    </w:p>
    <w:p w14:paraId="7CF26DCE" w14:textId="77777777" w:rsidR="006C412A" w:rsidRPr="003045F2" w:rsidRDefault="00A61AAA" w:rsidP="00E74426">
      <w:pPr>
        <w:widowControl/>
        <w:tabs>
          <w:tab w:val="decimal" w:pos="1800"/>
          <w:tab w:val="right" w:pos="3150"/>
        </w:tabs>
        <w:overflowPunct w:val="0"/>
        <w:autoSpaceDE w:val="0"/>
        <w:autoSpaceDN w:val="0"/>
        <w:adjustRightInd w:val="0"/>
        <w:spacing w:after="0" w:line="240" w:lineRule="auto"/>
        <w:ind w:left="180" w:firstLine="180"/>
        <w:jc w:val="both"/>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A61AAA">
        <w:rPr>
          <w:rFonts w:ascii="Times New Roman" w:eastAsia="Times New Roman" w:hAnsi="Times New Roman"/>
          <w:sz w:val="20"/>
          <w:szCs w:val="20"/>
        </w:rPr>
        <w:t>5 mg/m</w:t>
      </w:r>
      <w:r w:rsidRPr="00A61AAA">
        <w:rPr>
          <w:rFonts w:ascii="Times New Roman" w:eastAsia="Times New Roman" w:hAnsi="Times New Roman"/>
          <w:sz w:val="20"/>
          <w:szCs w:val="20"/>
          <w:vertAlign w:val="superscript"/>
        </w:rPr>
        <w:t>3</w:t>
      </w:r>
      <w:r w:rsidRPr="00A61AAA">
        <w:rPr>
          <w:rFonts w:ascii="Times New Roman" w:eastAsia="Times New Roman" w:hAnsi="Times New Roman"/>
          <w:sz w:val="20"/>
          <w:szCs w:val="20"/>
        </w:rPr>
        <w:t xml:space="preserve"> (TWA, </w:t>
      </w:r>
      <w:proofErr w:type="spellStart"/>
      <w:r w:rsidRPr="00A61AAA">
        <w:rPr>
          <w:rFonts w:ascii="Times New Roman" w:eastAsia="Times New Roman" w:hAnsi="Times New Roman"/>
          <w:sz w:val="20"/>
          <w:szCs w:val="20"/>
        </w:rPr>
        <w:t>respirable</w:t>
      </w:r>
      <w:proofErr w:type="spellEnd"/>
      <w:r w:rsidRPr="00A61AAA">
        <w:rPr>
          <w:rFonts w:ascii="Times New Roman" w:eastAsia="Times New Roman" w:hAnsi="Times New Roman"/>
          <w:sz w:val="20"/>
          <w:szCs w:val="20"/>
        </w:rPr>
        <w:t xml:space="preserve"> particulates)</w:t>
      </w:r>
    </w:p>
    <w:p w14:paraId="7B6B82D3" w14:textId="77777777" w:rsidR="0031663D" w:rsidRDefault="0031663D" w:rsidP="00684EF3">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686D6C1" w14:textId="77777777" w:rsidR="0031663D" w:rsidRDefault="00194A5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DE99EED" w14:textId="77777777" w:rsidR="0031663D" w:rsidRDefault="0031663D" w:rsidP="003A70BC">
      <w:pPr>
        <w:widowControl/>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lastRenderedPageBreak/>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6682CAC1" w14:textId="77777777" w:rsidR="0031663D" w:rsidRPr="00783F68" w:rsidRDefault="0031663D" w:rsidP="003A70BC">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 wash station should be readily available near areas of use.</w:t>
      </w:r>
    </w:p>
    <w:p w14:paraId="42A93417" w14:textId="77777777" w:rsidR="00D25DBF" w:rsidRPr="00D25DBF" w:rsidRDefault="00194A53" w:rsidP="003A70BC">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6ABF11BD" w14:textId="77777777" w:rsidTr="00D25DBF">
        <w:trPr>
          <w:trHeight w:hRule="exact" w:val="360"/>
        </w:trPr>
        <w:tc>
          <w:tcPr>
            <w:tcW w:w="9576" w:type="dxa"/>
            <w:vAlign w:val="center"/>
          </w:tcPr>
          <w:p w14:paraId="7040385C" w14:textId="77777777" w:rsidR="00D25DBF" w:rsidRPr="00D25DBF" w:rsidRDefault="00D25DBF" w:rsidP="003A70BC">
            <w:pPr>
              <w:widowControl/>
              <w:overflowPunct w:val="0"/>
              <w:autoSpaceDE w:val="0"/>
              <w:autoSpaceDN w:val="0"/>
              <w:adjustRightInd w:val="0"/>
              <w:spacing w:after="0" w:line="36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3F18644A" w14:textId="77777777" w:rsidR="00D25DBF" w:rsidRPr="00D25DBF" w:rsidRDefault="00D25DBF" w:rsidP="003A70BC">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050"/>
      </w:tblGrid>
      <w:tr w:rsidR="00E06A19" w:rsidRPr="002F51BD" w14:paraId="3700184D" w14:textId="77777777" w:rsidTr="002F51BD">
        <w:trPr>
          <w:trHeight w:val="225"/>
        </w:trPr>
        <w:tc>
          <w:tcPr>
            <w:tcW w:w="4428" w:type="dxa"/>
          </w:tcPr>
          <w:p w14:paraId="25CC428D" w14:textId="77777777" w:rsidR="00E06A19" w:rsidRPr="005A257B" w:rsidRDefault="00E06A19" w:rsidP="003A70BC">
            <w:pPr>
              <w:pStyle w:val="Default"/>
              <w:rPr>
                <w:b/>
                <w:color w:val="auto"/>
                <w:sz w:val="20"/>
                <w:szCs w:val="20"/>
              </w:rPr>
            </w:pPr>
            <w:r w:rsidRPr="005A257B">
              <w:rPr>
                <w:b/>
                <w:color w:val="auto"/>
                <w:sz w:val="20"/>
                <w:szCs w:val="20"/>
              </w:rPr>
              <w:t>Descriptive Properties:</w:t>
            </w:r>
          </w:p>
        </w:tc>
        <w:tc>
          <w:tcPr>
            <w:tcW w:w="4050" w:type="dxa"/>
          </w:tcPr>
          <w:p w14:paraId="2821E2A2" w14:textId="77777777" w:rsidR="00E06A19" w:rsidRPr="005A257B" w:rsidRDefault="000849A9" w:rsidP="003A70BC">
            <w:pPr>
              <w:pStyle w:val="Default"/>
              <w:spacing w:after="120"/>
              <w:ind w:left="432"/>
              <w:rPr>
                <w:b/>
                <w:color w:val="auto"/>
                <w:sz w:val="20"/>
                <w:szCs w:val="20"/>
              </w:rPr>
            </w:pPr>
            <w:r>
              <w:rPr>
                <w:b/>
                <w:color w:val="auto"/>
                <w:sz w:val="20"/>
                <w:szCs w:val="20"/>
              </w:rPr>
              <w:t>Polystyrene</w:t>
            </w:r>
          </w:p>
        </w:tc>
      </w:tr>
      <w:tr w:rsidR="00E06A19" w:rsidRPr="002F51BD" w14:paraId="5917DBFC" w14:textId="77777777" w:rsidTr="002F51BD">
        <w:tc>
          <w:tcPr>
            <w:tcW w:w="4428" w:type="dxa"/>
          </w:tcPr>
          <w:p w14:paraId="19B10556" w14:textId="77777777" w:rsidR="00E06A19" w:rsidRPr="005A257B" w:rsidRDefault="00E06A19" w:rsidP="003A70BC">
            <w:pPr>
              <w:pStyle w:val="Default"/>
              <w:spacing w:before="40"/>
              <w:ind w:left="360"/>
              <w:rPr>
                <w:b/>
                <w:color w:val="auto"/>
                <w:sz w:val="20"/>
                <w:szCs w:val="20"/>
              </w:rPr>
            </w:pPr>
            <w:r w:rsidRPr="005A257B">
              <w:rPr>
                <w:b/>
                <w:color w:val="auto"/>
                <w:sz w:val="20"/>
                <w:szCs w:val="20"/>
              </w:rPr>
              <w:t xml:space="preserve">Appearance </w:t>
            </w:r>
            <w:r w:rsidRPr="005A257B">
              <w:rPr>
                <w:b/>
                <w:color w:val="auto"/>
                <w:sz w:val="20"/>
                <w:szCs w:val="20"/>
              </w:rPr>
              <w:br/>
              <w:t>(physical state, color, etc.):</w:t>
            </w:r>
          </w:p>
        </w:tc>
        <w:tc>
          <w:tcPr>
            <w:tcW w:w="4050" w:type="dxa"/>
          </w:tcPr>
          <w:p w14:paraId="37267308" w14:textId="77777777" w:rsidR="00E06A19" w:rsidRPr="005A257B" w:rsidRDefault="002F51BD" w:rsidP="003A70BC">
            <w:pPr>
              <w:pStyle w:val="Default"/>
              <w:spacing w:before="40"/>
              <w:ind w:left="432"/>
              <w:rPr>
                <w:color w:val="auto"/>
                <w:sz w:val="20"/>
                <w:szCs w:val="20"/>
              </w:rPr>
            </w:pPr>
            <w:r>
              <w:rPr>
                <w:color w:val="auto"/>
                <w:sz w:val="20"/>
                <w:szCs w:val="20"/>
              </w:rPr>
              <w:t xml:space="preserve">Colorless to white </w:t>
            </w:r>
            <w:r w:rsidR="00590E21" w:rsidRPr="005A257B">
              <w:rPr>
                <w:color w:val="auto"/>
                <w:sz w:val="20"/>
                <w:szCs w:val="20"/>
              </w:rPr>
              <w:t>powder</w:t>
            </w:r>
          </w:p>
        </w:tc>
      </w:tr>
      <w:tr w:rsidR="00E06A19" w:rsidRPr="002F51BD" w14:paraId="16490CA3" w14:textId="77777777" w:rsidTr="002F51BD">
        <w:tc>
          <w:tcPr>
            <w:tcW w:w="4428" w:type="dxa"/>
          </w:tcPr>
          <w:p w14:paraId="035F49D6" w14:textId="77777777" w:rsidR="00E06A19" w:rsidRPr="005A257B" w:rsidRDefault="00E06A19" w:rsidP="003A70BC">
            <w:pPr>
              <w:pStyle w:val="Default"/>
              <w:spacing w:before="40"/>
              <w:ind w:left="360"/>
              <w:rPr>
                <w:b/>
                <w:color w:val="auto"/>
                <w:sz w:val="20"/>
                <w:szCs w:val="20"/>
              </w:rPr>
            </w:pPr>
            <w:r w:rsidRPr="005A257B">
              <w:rPr>
                <w:b/>
                <w:color w:val="auto"/>
                <w:sz w:val="20"/>
                <w:szCs w:val="20"/>
              </w:rPr>
              <w:t>Molecular Formula:</w:t>
            </w:r>
          </w:p>
        </w:tc>
        <w:tc>
          <w:tcPr>
            <w:tcW w:w="4050" w:type="dxa"/>
          </w:tcPr>
          <w:p w14:paraId="79A050CF" w14:textId="77777777" w:rsidR="00E06A19" w:rsidRPr="003F186E" w:rsidRDefault="003F186E" w:rsidP="003A70BC">
            <w:pPr>
              <w:pStyle w:val="Default"/>
              <w:spacing w:before="40"/>
              <w:ind w:left="432"/>
              <w:rPr>
                <w:b/>
                <w:color w:val="auto"/>
                <w:sz w:val="20"/>
                <w:szCs w:val="20"/>
              </w:rPr>
            </w:pPr>
            <w:r>
              <w:rPr>
                <w:color w:val="auto"/>
                <w:sz w:val="20"/>
                <w:szCs w:val="20"/>
              </w:rPr>
              <w:t>(CH(C</w:t>
            </w:r>
            <w:r>
              <w:rPr>
                <w:color w:val="auto"/>
                <w:sz w:val="20"/>
                <w:szCs w:val="20"/>
                <w:vertAlign w:val="subscript"/>
              </w:rPr>
              <w:t>6</w:t>
            </w:r>
            <w:r>
              <w:rPr>
                <w:color w:val="auto"/>
                <w:sz w:val="20"/>
                <w:szCs w:val="20"/>
              </w:rPr>
              <w:t>H</w:t>
            </w:r>
            <w:r>
              <w:rPr>
                <w:color w:val="auto"/>
                <w:sz w:val="20"/>
                <w:szCs w:val="20"/>
                <w:vertAlign w:val="subscript"/>
              </w:rPr>
              <w:t>5</w:t>
            </w:r>
            <w:r>
              <w:rPr>
                <w:color w:val="auto"/>
                <w:sz w:val="20"/>
                <w:szCs w:val="20"/>
              </w:rPr>
              <w:t>)-CH</w:t>
            </w:r>
            <w:r>
              <w:rPr>
                <w:color w:val="auto"/>
                <w:sz w:val="20"/>
                <w:szCs w:val="20"/>
                <w:vertAlign w:val="subscript"/>
              </w:rPr>
              <w:t>2</w:t>
            </w:r>
            <w:r>
              <w:rPr>
                <w:color w:val="auto"/>
                <w:sz w:val="20"/>
                <w:szCs w:val="20"/>
              </w:rPr>
              <w:t>)x</w:t>
            </w:r>
          </w:p>
        </w:tc>
      </w:tr>
      <w:tr w:rsidR="00E06A19" w:rsidRPr="002F51BD" w14:paraId="30E44AAC" w14:textId="77777777" w:rsidTr="002F51BD">
        <w:tc>
          <w:tcPr>
            <w:tcW w:w="4428" w:type="dxa"/>
          </w:tcPr>
          <w:p w14:paraId="0B769160" w14:textId="77777777" w:rsidR="00E06A19" w:rsidRPr="005A257B" w:rsidRDefault="00E06A19" w:rsidP="003A70BC">
            <w:pPr>
              <w:pStyle w:val="Default"/>
              <w:spacing w:before="40"/>
              <w:ind w:left="360"/>
              <w:rPr>
                <w:b/>
                <w:color w:val="auto"/>
                <w:sz w:val="20"/>
                <w:szCs w:val="20"/>
              </w:rPr>
            </w:pPr>
            <w:r w:rsidRPr="005A257B">
              <w:rPr>
                <w:b/>
                <w:sz w:val="20"/>
                <w:szCs w:val="20"/>
              </w:rPr>
              <w:t>Molar Mass (g/</w:t>
            </w:r>
            <w:proofErr w:type="spellStart"/>
            <w:r w:rsidRPr="005A257B">
              <w:rPr>
                <w:b/>
                <w:sz w:val="20"/>
                <w:szCs w:val="20"/>
              </w:rPr>
              <w:t>mol</w:t>
            </w:r>
            <w:proofErr w:type="spellEnd"/>
            <w:r w:rsidRPr="005A257B">
              <w:rPr>
                <w:b/>
                <w:sz w:val="20"/>
                <w:szCs w:val="20"/>
              </w:rPr>
              <w:t>):</w:t>
            </w:r>
          </w:p>
        </w:tc>
        <w:tc>
          <w:tcPr>
            <w:tcW w:w="4050" w:type="dxa"/>
          </w:tcPr>
          <w:p w14:paraId="5EB3C047" w14:textId="77777777" w:rsidR="00E06A19" w:rsidRPr="005A257B" w:rsidRDefault="003A70BC" w:rsidP="003A70BC">
            <w:pPr>
              <w:pStyle w:val="Default"/>
              <w:spacing w:before="40"/>
              <w:ind w:left="432"/>
              <w:rPr>
                <w:color w:val="auto"/>
                <w:sz w:val="20"/>
                <w:szCs w:val="20"/>
              </w:rPr>
            </w:pPr>
            <w:r>
              <w:rPr>
                <w:color w:val="auto"/>
                <w:sz w:val="20"/>
                <w:szCs w:val="20"/>
              </w:rPr>
              <w:t>n</w:t>
            </w:r>
            <w:r w:rsidR="00590E21" w:rsidRPr="005A257B">
              <w:rPr>
                <w:color w:val="auto"/>
                <w:sz w:val="20"/>
                <w:szCs w:val="20"/>
              </w:rPr>
              <w:t xml:space="preserve">ot </w:t>
            </w:r>
            <w:r w:rsidR="00CA42D2">
              <w:rPr>
                <w:color w:val="auto"/>
                <w:sz w:val="20"/>
                <w:szCs w:val="20"/>
              </w:rPr>
              <w:t>applicable</w:t>
            </w:r>
          </w:p>
        </w:tc>
      </w:tr>
      <w:tr w:rsidR="00E06A19" w:rsidRPr="002F51BD" w14:paraId="3D2D830C" w14:textId="77777777" w:rsidTr="002F51BD">
        <w:tc>
          <w:tcPr>
            <w:tcW w:w="4428" w:type="dxa"/>
          </w:tcPr>
          <w:p w14:paraId="41116B05" w14:textId="77777777" w:rsidR="00E06A19" w:rsidRPr="005A257B" w:rsidRDefault="00E06A19" w:rsidP="003A70BC">
            <w:pPr>
              <w:pStyle w:val="Default"/>
              <w:spacing w:before="40"/>
              <w:ind w:left="360"/>
              <w:rPr>
                <w:b/>
                <w:color w:val="auto"/>
                <w:sz w:val="20"/>
                <w:szCs w:val="20"/>
              </w:rPr>
            </w:pPr>
            <w:r w:rsidRPr="005A257B">
              <w:rPr>
                <w:b/>
                <w:color w:val="auto"/>
                <w:sz w:val="20"/>
                <w:szCs w:val="20"/>
              </w:rPr>
              <w:t>Odor:</w:t>
            </w:r>
          </w:p>
        </w:tc>
        <w:tc>
          <w:tcPr>
            <w:tcW w:w="4050" w:type="dxa"/>
          </w:tcPr>
          <w:p w14:paraId="5443840B"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available</w:t>
            </w:r>
          </w:p>
        </w:tc>
      </w:tr>
      <w:tr w:rsidR="00E06A19" w:rsidRPr="002F51BD" w14:paraId="297547F1" w14:textId="77777777" w:rsidTr="002F51BD">
        <w:tc>
          <w:tcPr>
            <w:tcW w:w="4428" w:type="dxa"/>
          </w:tcPr>
          <w:p w14:paraId="1609302A" w14:textId="77777777" w:rsidR="00E06A19" w:rsidRPr="005A257B" w:rsidRDefault="00E06A19" w:rsidP="003A70BC">
            <w:pPr>
              <w:pStyle w:val="Default"/>
              <w:spacing w:before="40"/>
              <w:ind w:left="360"/>
              <w:rPr>
                <w:b/>
                <w:color w:val="auto"/>
                <w:sz w:val="20"/>
                <w:szCs w:val="20"/>
              </w:rPr>
            </w:pPr>
            <w:r w:rsidRPr="005A257B">
              <w:rPr>
                <w:b/>
                <w:color w:val="auto"/>
                <w:sz w:val="20"/>
                <w:szCs w:val="20"/>
              </w:rPr>
              <w:t>Odor threshold:</w:t>
            </w:r>
          </w:p>
        </w:tc>
        <w:tc>
          <w:tcPr>
            <w:tcW w:w="4050" w:type="dxa"/>
          </w:tcPr>
          <w:p w14:paraId="798975B3" w14:textId="77777777" w:rsidR="00E06A19" w:rsidRPr="005A257B" w:rsidRDefault="003A70BC" w:rsidP="003A70BC">
            <w:pPr>
              <w:pStyle w:val="Default"/>
              <w:spacing w:before="40"/>
              <w:ind w:left="432"/>
              <w:rPr>
                <w:b/>
                <w:color w:val="auto"/>
                <w:sz w:val="20"/>
                <w:szCs w:val="20"/>
              </w:rPr>
            </w:pPr>
            <w:r>
              <w:rPr>
                <w:color w:val="auto"/>
                <w:sz w:val="20"/>
                <w:szCs w:val="20"/>
              </w:rPr>
              <w:t>n</w:t>
            </w:r>
            <w:r w:rsidR="00E06A19" w:rsidRPr="005A257B">
              <w:rPr>
                <w:color w:val="auto"/>
                <w:sz w:val="20"/>
                <w:szCs w:val="20"/>
              </w:rPr>
              <w:t>ot available</w:t>
            </w:r>
          </w:p>
        </w:tc>
      </w:tr>
      <w:tr w:rsidR="00E06A19" w:rsidRPr="002F51BD" w14:paraId="514A0164" w14:textId="77777777" w:rsidTr="002F51BD">
        <w:tc>
          <w:tcPr>
            <w:tcW w:w="4428" w:type="dxa"/>
          </w:tcPr>
          <w:p w14:paraId="1355C265" w14:textId="77777777" w:rsidR="00E06A19" w:rsidRPr="005A257B" w:rsidRDefault="00E06A19" w:rsidP="003A70BC">
            <w:pPr>
              <w:pStyle w:val="Default"/>
              <w:spacing w:before="40"/>
              <w:ind w:left="360"/>
              <w:rPr>
                <w:b/>
                <w:color w:val="auto"/>
                <w:sz w:val="20"/>
                <w:szCs w:val="20"/>
              </w:rPr>
            </w:pPr>
            <w:r w:rsidRPr="005A257B">
              <w:rPr>
                <w:b/>
                <w:color w:val="auto"/>
                <w:sz w:val="20"/>
                <w:szCs w:val="20"/>
              </w:rPr>
              <w:t>pH:</w:t>
            </w:r>
          </w:p>
        </w:tc>
        <w:tc>
          <w:tcPr>
            <w:tcW w:w="4050" w:type="dxa"/>
          </w:tcPr>
          <w:p w14:paraId="5C0F4800"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available</w:t>
            </w:r>
          </w:p>
        </w:tc>
      </w:tr>
      <w:tr w:rsidR="00E06A19" w:rsidRPr="002F51BD" w14:paraId="427A5B95" w14:textId="77777777" w:rsidTr="002F51BD">
        <w:tc>
          <w:tcPr>
            <w:tcW w:w="4428" w:type="dxa"/>
          </w:tcPr>
          <w:p w14:paraId="1F24278E" w14:textId="77777777" w:rsidR="00E06A19" w:rsidRPr="005A257B" w:rsidRDefault="00E06A19" w:rsidP="003A70BC">
            <w:pPr>
              <w:pStyle w:val="Default"/>
              <w:spacing w:before="40"/>
              <w:ind w:left="360"/>
              <w:rPr>
                <w:b/>
                <w:color w:val="auto"/>
                <w:sz w:val="20"/>
                <w:szCs w:val="20"/>
              </w:rPr>
            </w:pPr>
            <w:r w:rsidRPr="005A257B">
              <w:rPr>
                <w:b/>
                <w:color w:val="auto"/>
                <w:sz w:val="20"/>
                <w:szCs w:val="20"/>
              </w:rPr>
              <w:t>Evaporation rate:</w:t>
            </w:r>
          </w:p>
        </w:tc>
        <w:tc>
          <w:tcPr>
            <w:tcW w:w="4050" w:type="dxa"/>
          </w:tcPr>
          <w:p w14:paraId="490E3E57"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applicable</w:t>
            </w:r>
          </w:p>
        </w:tc>
      </w:tr>
      <w:tr w:rsidR="00E06A19" w:rsidRPr="002F51BD" w14:paraId="23C26551" w14:textId="77777777" w:rsidTr="002F51BD">
        <w:tc>
          <w:tcPr>
            <w:tcW w:w="4428" w:type="dxa"/>
          </w:tcPr>
          <w:p w14:paraId="6B184402" w14:textId="77777777" w:rsidR="00E06A19" w:rsidRPr="005A257B" w:rsidRDefault="00E06A19" w:rsidP="003A70BC">
            <w:pPr>
              <w:pStyle w:val="Default"/>
              <w:spacing w:before="40"/>
              <w:ind w:left="360"/>
              <w:rPr>
                <w:b/>
                <w:color w:val="auto"/>
                <w:sz w:val="20"/>
                <w:szCs w:val="20"/>
              </w:rPr>
            </w:pPr>
            <w:r w:rsidRPr="005A257B">
              <w:rPr>
                <w:b/>
                <w:color w:val="auto"/>
                <w:sz w:val="20"/>
                <w:szCs w:val="20"/>
              </w:rPr>
              <w:t>Melting point/freezing point (ºC):</w:t>
            </w:r>
          </w:p>
        </w:tc>
        <w:tc>
          <w:tcPr>
            <w:tcW w:w="4050" w:type="dxa"/>
          </w:tcPr>
          <w:p w14:paraId="1CF5FB9D" w14:textId="5020AFEB" w:rsidR="00E06A19" w:rsidRPr="005A257B" w:rsidRDefault="00A02B97" w:rsidP="003A70BC">
            <w:pPr>
              <w:pStyle w:val="Default"/>
              <w:spacing w:before="40"/>
              <w:ind w:left="432"/>
              <w:rPr>
                <w:b/>
                <w:color w:val="auto"/>
                <w:sz w:val="20"/>
                <w:szCs w:val="20"/>
              </w:rPr>
            </w:pPr>
            <w:r>
              <w:rPr>
                <w:color w:val="auto"/>
                <w:sz w:val="20"/>
                <w:szCs w:val="20"/>
              </w:rPr>
              <w:t>240 (464 </w:t>
            </w:r>
            <w:r w:rsidRPr="000607AA">
              <w:rPr>
                <w:color w:val="auto"/>
                <w:sz w:val="20"/>
                <w:szCs w:val="20"/>
              </w:rPr>
              <w:t>º</w:t>
            </w:r>
            <w:r>
              <w:rPr>
                <w:color w:val="auto"/>
                <w:sz w:val="20"/>
                <w:szCs w:val="20"/>
              </w:rPr>
              <w:t>F)</w:t>
            </w:r>
          </w:p>
        </w:tc>
      </w:tr>
      <w:tr w:rsidR="00E06A19" w:rsidRPr="002F51BD" w14:paraId="4DAF17E1" w14:textId="77777777" w:rsidTr="002F51BD">
        <w:tc>
          <w:tcPr>
            <w:tcW w:w="4428" w:type="dxa"/>
          </w:tcPr>
          <w:p w14:paraId="73B59F80" w14:textId="77777777" w:rsidR="00E06A19" w:rsidRPr="005A257B" w:rsidRDefault="00E06A19" w:rsidP="003F186E">
            <w:pPr>
              <w:pStyle w:val="Default"/>
              <w:spacing w:before="40"/>
              <w:ind w:left="360"/>
              <w:rPr>
                <w:b/>
                <w:color w:val="auto"/>
                <w:sz w:val="20"/>
                <w:szCs w:val="20"/>
              </w:rPr>
            </w:pPr>
            <w:r w:rsidRPr="005A257B">
              <w:rPr>
                <w:b/>
                <w:color w:val="auto"/>
                <w:sz w:val="20"/>
                <w:szCs w:val="20"/>
              </w:rPr>
              <w:t>Relative Density (</w:t>
            </w:r>
            <w:r w:rsidR="003F186E">
              <w:rPr>
                <w:b/>
                <w:color w:val="auto"/>
                <w:sz w:val="20"/>
                <w:szCs w:val="20"/>
              </w:rPr>
              <w:t>water = 1</w:t>
            </w:r>
            <w:r w:rsidRPr="005A257B">
              <w:rPr>
                <w:b/>
                <w:color w:val="auto"/>
                <w:sz w:val="20"/>
                <w:szCs w:val="20"/>
              </w:rPr>
              <w:t>):</w:t>
            </w:r>
          </w:p>
        </w:tc>
        <w:tc>
          <w:tcPr>
            <w:tcW w:w="4050" w:type="dxa"/>
          </w:tcPr>
          <w:p w14:paraId="19B4F1DB" w14:textId="77777777" w:rsidR="00E06A19" w:rsidRPr="00213013" w:rsidRDefault="003F186E" w:rsidP="00B672F3">
            <w:pPr>
              <w:pStyle w:val="Default"/>
              <w:spacing w:before="40"/>
              <w:ind w:left="432"/>
              <w:rPr>
                <w:b/>
                <w:color w:val="auto"/>
                <w:sz w:val="20"/>
                <w:szCs w:val="20"/>
              </w:rPr>
            </w:pPr>
            <w:r>
              <w:rPr>
                <w:color w:val="auto"/>
                <w:sz w:val="20"/>
                <w:szCs w:val="20"/>
              </w:rPr>
              <w:t>1.0</w:t>
            </w:r>
            <w:r w:rsidR="00213013">
              <w:rPr>
                <w:color w:val="auto"/>
                <w:sz w:val="20"/>
                <w:szCs w:val="20"/>
              </w:rPr>
              <w:t>4 to 1.13</w:t>
            </w:r>
          </w:p>
        </w:tc>
      </w:tr>
      <w:tr w:rsidR="00E06A19" w:rsidRPr="002F51BD" w14:paraId="6B5B0D97" w14:textId="77777777" w:rsidTr="002F51BD">
        <w:tc>
          <w:tcPr>
            <w:tcW w:w="4428" w:type="dxa"/>
          </w:tcPr>
          <w:p w14:paraId="5133EADA" w14:textId="77777777" w:rsidR="00E06A19" w:rsidRPr="005A257B" w:rsidRDefault="00E06A19" w:rsidP="003A70BC">
            <w:pPr>
              <w:pStyle w:val="Default"/>
              <w:spacing w:before="40"/>
              <w:ind w:left="360"/>
              <w:rPr>
                <w:b/>
                <w:color w:val="auto"/>
                <w:sz w:val="20"/>
                <w:szCs w:val="20"/>
              </w:rPr>
            </w:pPr>
            <w:r w:rsidRPr="005A257B">
              <w:rPr>
                <w:b/>
                <w:color w:val="auto"/>
                <w:sz w:val="20"/>
                <w:szCs w:val="20"/>
              </w:rPr>
              <w:t>Vapor Pressure (mmHg):</w:t>
            </w:r>
          </w:p>
        </w:tc>
        <w:tc>
          <w:tcPr>
            <w:tcW w:w="4050" w:type="dxa"/>
          </w:tcPr>
          <w:p w14:paraId="4FC59E69"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applicable</w:t>
            </w:r>
          </w:p>
        </w:tc>
      </w:tr>
      <w:tr w:rsidR="00E06A19" w:rsidRPr="002F51BD" w14:paraId="0B95870C" w14:textId="77777777" w:rsidTr="002F51BD">
        <w:tc>
          <w:tcPr>
            <w:tcW w:w="4428" w:type="dxa"/>
          </w:tcPr>
          <w:p w14:paraId="1F2545D4" w14:textId="77777777" w:rsidR="00E06A19" w:rsidRPr="005A257B" w:rsidRDefault="00E06A19" w:rsidP="003A70BC">
            <w:pPr>
              <w:pStyle w:val="Default"/>
              <w:spacing w:before="40"/>
              <w:ind w:left="360"/>
              <w:rPr>
                <w:b/>
                <w:color w:val="auto"/>
                <w:sz w:val="20"/>
                <w:szCs w:val="20"/>
              </w:rPr>
            </w:pPr>
            <w:r w:rsidRPr="005A257B">
              <w:rPr>
                <w:b/>
                <w:color w:val="auto"/>
                <w:sz w:val="20"/>
                <w:szCs w:val="20"/>
              </w:rPr>
              <w:t>Vapor Density (air = 1):</w:t>
            </w:r>
          </w:p>
        </w:tc>
        <w:tc>
          <w:tcPr>
            <w:tcW w:w="4050" w:type="dxa"/>
          </w:tcPr>
          <w:p w14:paraId="73F4A61C"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applicable</w:t>
            </w:r>
          </w:p>
        </w:tc>
      </w:tr>
      <w:tr w:rsidR="00E06A19" w:rsidRPr="002F51BD" w14:paraId="510B9F86" w14:textId="77777777" w:rsidTr="002F51BD">
        <w:tc>
          <w:tcPr>
            <w:tcW w:w="4428" w:type="dxa"/>
          </w:tcPr>
          <w:p w14:paraId="026A890A" w14:textId="77777777" w:rsidR="00E06A19" w:rsidRPr="005A257B" w:rsidRDefault="00E06A19" w:rsidP="003A70BC">
            <w:pPr>
              <w:pStyle w:val="Default"/>
              <w:spacing w:before="40"/>
              <w:ind w:left="360"/>
              <w:rPr>
                <w:b/>
                <w:color w:val="auto"/>
                <w:sz w:val="20"/>
                <w:szCs w:val="20"/>
              </w:rPr>
            </w:pPr>
            <w:r w:rsidRPr="005A257B">
              <w:rPr>
                <w:b/>
                <w:color w:val="auto"/>
                <w:sz w:val="20"/>
                <w:szCs w:val="20"/>
              </w:rPr>
              <w:t>Viscosity (</w:t>
            </w:r>
            <w:proofErr w:type="spellStart"/>
            <w:r w:rsidRPr="005A257B">
              <w:rPr>
                <w:b/>
                <w:color w:val="auto"/>
                <w:sz w:val="20"/>
                <w:szCs w:val="20"/>
              </w:rPr>
              <w:t>cP</w:t>
            </w:r>
            <w:proofErr w:type="spellEnd"/>
            <w:r w:rsidRPr="005A257B">
              <w:rPr>
                <w:b/>
                <w:color w:val="auto"/>
                <w:sz w:val="20"/>
                <w:szCs w:val="20"/>
              </w:rPr>
              <w:t>):</w:t>
            </w:r>
          </w:p>
        </w:tc>
        <w:tc>
          <w:tcPr>
            <w:tcW w:w="4050" w:type="dxa"/>
          </w:tcPr>
          <w:p w14:paraId="4C180884"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applicable</w:t>
            </w:r>
          </w:p>
        </w:tc>
      </w:tr>
      <w:tr w:rsidR="00E06A19" w:rsidRPr="002F51BD" w14:paraId="00425BCE" w14:textId="77777777" w:rsidTr="002F51BD">
        <w:tc>
          <w:tcPr>
            <w:tcW w:w="4428" w:type="dxa"/>
          </w:tcPr>
          <w:p w14:paraId="45F3B3EB" w14:textId="77777777" w:rsidR="00E06A19" w:rsidRPr="005A257B" w:rsidRDefault="00E06A19" w:rsidP="003A70BC">
            <w:pPr>
              <w:pStyle w:val="Default"/>
              <w:spacing w:before="40"/>
              <w:ind w:left="360"/>
              <w:rPr>
                <w:b/>
                <w:color w:val="auto"/>
                <w:sz w:val="20"/>
                <w:szCs w:val="20"/>
              </w:rPr>
            </w:pPr>
            <w:r w:rsidRPr="005A257B">
              <w:rPr>
                <w:b/>
                <w:color w:val="auto"/>
                <w:sz w:val="20"/>
                <w:szCs w:val="20"/>
              </w:rPr>
              <w:t>Solubility(</w:t>
            </w:r>
            <w:proofErr w:type="spellStart"/>
            <w:r w:rsidRPr="005A257B">
              <w:rPr>
                <w:b/>
                <w:color w:val="auto"/>
                <w:sz w:val="20"/>
                <w:szCs w:val="20"/>
              </w:rPr>
              <w:t>ies</w:t>
            </w:r>
            <w:proofErr w:type="spellEnd"/>
            <w:r w:rsidRPr="005A257B">
              <w:rPr>
                <w:b/>
                <w:color w:val="auto"/>
                <w:sz w:val="20"/>
                <w:szCs w:val="20"/>
              </w:rPr>
              <w:t>):</w:t>
            </w:r>
          </w:p>
        </w:tc>
        <w:tc>
          <w:tcPr>
            <w:tcW w:w="4050" w:type="dxa"/>
          </w:tcPr>
          <w:p w14:paraId="314A08DA" w14:textId="042ACA49" w:rsidR="00E06A19" w:rsidRPr="005A257B" w:rsidRDefault="002F51BD" w:rsidP="00DD126C">
            <w:pPr>
              <w:pStyle w:val="Default"/>
              <w:spacing w:before="40"/>
              <w:ind w:left="432"/>
              <w:rPr>
                <w:b/>
                <w:color w:val="auto"/>
                <w:sz w:val="20"/>
                <w:szCs w:val="20"/>
              </w:rPr>
            </w:pPr>
            <w:r>
              <w:rPr>
                <w:color w:val="auto"/>
                <w:sz w:val="20"/>
                <w:szCs w:val="20"/>
              </w:rPr>
              <w:t>insoluble in water;</w:t>
            </w:r>
            <w:r w:rsidR="00DD126C">
              <w:rPr>
                <w:color w:val="auto"/>
                <w:sz w:val="20"/>
                <w:szCs w:val="20"/>
              </w:rPr>
              <w:t xml:space="preserve"> insoluble in alcohols, alkali, </w:t>
            </w:r>
            <w:proofErr w:type="spellStart"/>
            <w:r w:rsidR="00DD126C">
              <w:rPr>
                <w:color w:val="auto"/>
                <w:sz w:val="20"/>
                <w:szCs w:val="20"/>
              </w:rPr>
              <w:t>nonoxidizying</w:t>
            </w:r>
            <w:proofErr w:type="spellEnd"/>
            <w:r w:rsidR="00DD126C">
              <w:rPr>
                <w:color w:val="auto"/>
                <w:sz w:val="20"/>
                <w:szCs w:val="20"/>
              </w:rPr>
              <w:t xml:space="preserve"> acids, phenol, and acetone; </w:t>
            </w:r>
            <w:r>
              <w:rPr>
                <w:color w:val="auto"/>
                <w:sz w:val="20"/>
                <w:szCs w:val="20"/>
              </w:rPr>
              <w:t>soluble in ethyl benzene, methyl isobutyl keton</w:t>
            </w:r>
            <w:r w:rsidR="004F7294">
              <w:rPr>
                <w:color w:val="auto"/>
                <w:sz w:val="20"/>
                <w:szCs w:val="20"/>
              </w:rPr>
              <w:t>e</w:t>
            </w:r>
            <w:r>
              <w:rPr>
                <w:color w:val="auto"/>
                <w:sz w:val="20"/>
                <w:szCs w:val="20"/>
              </w:rPr>
              <w:t xml:space="preserve">, </w:t>
            </w:r>
            <w:proofErr w:type="spellStart"/>
            <w:r>
              <w:rPr>
                <w:color w:val="auto"/>
                <w:sz w:val="20"/>
                <w:szCs w:val="20"/>
              </w:rPr>
              <w:t>tetrahydrofuran</w:t>
            </w:r>
            <w:proofErr w:type="spellEnd"/>
            <w:r>
              <w:rPr>
                <w:color w:val="auto"/>
                <w:sz w:val="20"/>
                <w:szCs w:val="20"/>
              </w:rPr>
              <w:t>, benzene, toluene, dichloromethane, pyridines</w:t>
            </w:r>
          </w:p>
        </w:tc>
      </w:tr>
      <w:tr w:rsidR="00E06A19" w:rsidRPr="002F51BD" w14:paraId="10836485" w14:textId="77777777" w:rsidTr="002F51BD">
        <w:trPr>
          <w:trHeight w:val="324"/>
        </w:trPr>
        <w:tc>
          <w:tcPr>
            <w:tcW w:w="4428" w:type="dxa"/>
          </w:tcPr>
          <w:p w14:paraId="0CC8A1B1" w14:textId="77777777" w:rsidR="00E06A19" w:rsidRPr="005A257B" w:rsidRDefault="00E06A19" w:rsidP="003A70BC">
            <w:pPr>
              <w:pStyle w:val="Default"/>
              <w:spacing w:before="40"/>
              <w:ind w:left="360"/>
              <w:rPr>
                <w:b/>
                <w:color w:val="auto"/>
                <w:sz w:val="20"/>
                <w:szCs w:val="20"/>
              </w:rPr>
            </w:pPr>
            <w:r w:rsidRPr="005A257B">
              <w:rPr>
                <w:b/>
                <w:color w:val="auto"/>
                <w:sz w:val="20"/>
                <w:szCs w:val="20"/>
              </w:rPr>
              <w:t>Partition coefficient (n-</w:t>
            </w:r>
            <w:proofErr w:type="spellStart"/>
            <w:r w:rsidRPr="005A257B">
              <w:rPr>
                <w:b/>
                <w:color w:val="auto"/>
                <w:sz w:val="20"/>
                <w:szCs w:val="20"/>
              </w:rPr>
              <w:t>octanol</w:t>
            </w:r>
            <w:proofErr w:type="spellEnd"/>
            <w:r w:rsidRPr="005A257B">
              <w:rPr>
                <w:b/>
                <w:color w:val="auto"/>
                <w:sz w:val="20"/>
                <w:szCs w:val="20"/>
              </w:rPr>
              <w:t>/water):</w:t>
            </w:r>
          </w:p>
        </w:tc>
        <w:tc>
          <w:tcPr>
            <w:tcW w:w="4050" w:type="dxa"/>
          </w:tcPr>
          <w:p w14:paraId="07EFAB18" w14:textId="77777777" w:rsidR="00E06A19" w:rsidRPr="005A257B" w:rsidRDefault="003A70BC" w:rsidP="003A70BC">
            <w:pPr>
              <w:pStyle w:val="Default"/>
              <w:spacing w:before="40"/>
              <w:ind w:left="432"/>
              <w:rPr>
                <w:b/>
                <w:color w:val="auto"/>
                <w:sz w:val="20"/>
                <w:szCs w:val="20"/>
              </w:rPr>
            </w:pPr>
            <w:r>
              <w:rPr>
                <w:color w:val="auto"/>
                <w:sz w:val="20"/>
                <w:szCs w:val="20"/>
              </w:rPr>
              <w:t>n</w:t>
            </w:r>
            <w:r w:rsidR="00E06A19" w:rsidRPr="005A257B">
              <w:rPr>
                <w:color w:val="auto"/>
                <w:sz w:val="20"/>
                <w:szCs w:val="20"/>
              </w:rPr>
              <w:t>ot available</w:t>
            </w:r>
          </w:p>
        </w:tc>
      </w:tr>
      <w:tr w:rsidR="00E06A19" w:rsidRPr="002F51BD" w14:paraId="10C2537E" w14:textId="77777777" w:rsidTr="002F51BD">
        <w:tc>
          <w:tcPr>
            <w:tcW w:w="4428" w:type="dxa"/>
          </w:tcPr>
          <w:p w14:paraId="1BB3FE5D" w14:textId="77777777" w:rsidR="00E06A19" w:rsidRPr="005A257B" w:rsidRDefault="00E06A19" w:rsidP="003A70BC">
            <w:pPr>
              <w:pStyle w:val="Default"/>
              <w:spacing w:before="40"/>
              <w:ind w:left="360"/>
              <w:rPr>
                <w:b/>
                <w:color w:val="auto"/>
                <w:sz w:val="20"/>
                <w:szCs w:val="20"/>
              </w:rPr>
            </w:pPr>
            <w:r w:rsidRPr="005A257B">
              <w:rPr>
                <w:b/>
                <w:color w:val="auto"/>
                <w:sz w:val="20"/>
                <w:szCs w:val="20"/>
              </w:rPr>
              <w:t>Particle Size (if relevant)</w:t>
            </w:r>
          </w:p>
        </w:tc>
        <w:tc>
          <w:tcPr>
            <w:tcW w:w="4050" w:type="dxa"/>
          </w:tcPr>
          <w:p w14:paraId="633203A2" w14:textId="77777777" w:rsidR="00E06A19" w:rsidRPr="005A257B" w:rsidRDefault="003A70BC" w:rsidP="003A70BC">
            <w:pPr>
              <w:pStyle w:val="Default"/>
              <w:spacing w:before="40"/>
              <w:ind w:left="432"/>
              <w:rPr>
                <w:color w:val="auto"/>
                <w:sz w:val="20"/>
                <w:szCs w:val="20"/>
              </w:rPr>
            </w:pPr>
            <w:r>
              <w:rPr>
                <w:color w:val="auto"/>
                <w:sz w:val="20"/>
                <w:szCs w:val="20"/>
              </w:rPr>
              <w:t>n</w:t>
            </w:r>
            <w:r w:rsidR="00590E21" w:rsidRPr="005A257B">
              <w:rPr>
                <w:color w:val="auto"/>
                <w:sz w:val="20"/>
                <w:szCs w:val="20"/>
              </w:rPr>
              <w:t>ot available</w:t>
            </w:r>
          </w:p>
        </w:tc>
      </w:tr>
      <w:tr w:rsidR="00E06A19" w:rsidRPr="002F51BD" w14:paraId="5FF5D548" w14:textId="77777777" w:rsidTr="002F51BD">
        <w:tc>
          <w:tcPr>
            <w:tcW w:w="4428" w:type="dxa"/>
          </w:tcPr>
          <w:p w14:paraId="0A09C2FF" w14:textId="77777777" w:rsidR="00E06A19" w:rsidRPr="005A257B" w:rsidRDefault="00E06A19" w:rsidP="003A70BC">
            <w:pPr>
              <w:pStyle w:val="Default"/>
              <w:keepNext/>
              <w:spacing w:before="120"/>
              <w:rPr>
                <w:b/>
                <w:color w:val="auto"/>
                <w:sz w:val="20"/>
                <w:szCs w:val="20"/>
              </w:rPr>
            </w:pPr>
            <w:r w:rsidRPr="005A257B">
              <w:rPr>
                <w:b/>
                <w:color w:val="auto"/>
                <w:sz w:val="20"/>
                <w:szCs w:val="20"/>
              </w:rPr>
              <w:t>Thermal Stability Properties:</w:t>
            </w:r>
          </w:p>
        </w:tc>
        <w:tc>
          <w:tcPr>
            <w:tcW w:w="4050" w:type="dxa"/>
          </w:tcPr>
          <w:p w14:paraId="338A6949" w14:textId="77777777" w:rsidR="00E06A19" w:rsidRPr="005A257B" w:rsidRDefault="00E06A19" w:rsidP="003A70BC">
            <w:pPr>
              <w:pStyle w:val="Default"/>
              <w:spacing w:before="40"/>
              <w:ind w:left="432"/>
              <w:rPr>
                <w:b/>
                <w:color w:val="auto"/>
                <w:sz w:val="20"/>
                <w:szCs w:val="20"/>
              </w:rPr>
            </w:pPr>
          </w:p>
        </w:tc>
      </w:tr>
      <w:tr w:rsidR="00E06A19" w:rsidRPr="002F51BD" w14:paraId="7611C1E8" w14:textId="77777777" w:rsidTr="002F51BD">
        <w:trPr>
          <w:trHeight w:val="332"/>
        </w:trPr>
        <w:tc>
          <w:tcPr>
            <w:tcW w:w="4428" w:type="dxa"/>
          </w:tcPr>
          <w:p w14:paraId="75041B19" w14:textId="77777777" w:rsidR="00E06A19" w:rsidRPr="005A257B" w:rsidRDefault="00E06A19" w:rsidP="003A70BC">
            <w:pPr>
              <w:pStyle w:val="Default"/>
              <w:keepNext/>
              <w:spacing w:before="40"/>
              <w:ind w:left="360"/>
              <w:rPr>
                <w:b/>
                <w:color w:val="auto"/>
                <w:sz w:val="20"/>
                <w:szCs w:val="20"/>
              </w:rPr>
            </w:pPr>
            <w:proofErr w:type="spellStart"/>
            <w:r w:rsidRPr="005A257B">
              <w:rPr>
                <w:b/>
                <w:color w:val="auto"/>
                <w:sz w:val="20"/>
                <w:szCs w:val="20"/>
              </w:rPr>
              <w:t>Autoignition</w:t>
            </w:r>
            <w:proofErr w:type="spellEnd"/>
            <w:r w:rsidRPr="005A257B">
              <w:rPr>
                <w:b/>
                <w:color w:val="auto"/>
                <w:sz w:val="20"/>
                <w:szCs w:val="20"/>
              </w:rPr>
              <w:t xml:space="preserve"> Temperature (ºC):</w:t>
            </w:r>
          </w:p>
        </w:tc>
        <w:tc>
          <w:tcPr>
            <w:tcW w:w="4050" w:type="dxa"/>
          </w:tcPr>
          <w:p w14:paraId="39907628" w14:textId="77777777" w:rsidR="00E06A19" w:rsidRPr="005A257B" w:rsidRDefault="000849A9" w:rsidP="003A70BC">
            <w:pPr>
              <w:pStyle w:val="Default"/>
              <w:spacing w:before="40"/>
              <w:ind w:left="432"/>
              <w:rPr>
                <w:b/>
                <w:color w:val="auto"/>
                <w:sz w:val="20"/>
                <w:szCs w:val="20"/>
              </w:rPr>
            </w:pPr>
            <w:r>
              <w:rPr>
                <w:color w:val="auto"/>
                <w:sz w:val="20"/>
                <w:szCs w:val="20"/>
              </w:rPr>
              <w:t>488 to 496 (</w:t>
            </w:r>
            <w:r w:rsidR="00744511">
              <w:rPr>
                <w:color w:val="auto"/>
                <w:sz w:val="20"/>
                <w:szCs w:val="20"/>
              </w:rPr>
              <w:t>910 to 925 </w:t>
            </w:r>
            <w:r w:rsidRPr="000607AA">
              <w:rPr>
                <w:color w:val="auto"/>
                <w:sz w:val="20"/>
                <w:szCs w:val="20"/>
              </w:rPr>
              <w:t>º</w:t>
            </w:r>
            <w:r>
              <w:rPr>
                <w:color w:val="auto"/>
                <w:sz w:val="20"/>
                <w:szCs w:val="20"/>
              </w:rPr>
              <w:t>F</w:t>
            </w:r>
            <w:r w:rsidRPr="000607AA">
              <w:rPr>
                <w:color w:val="auto"/>
                <w:sz w:val="20"/>
                <w:szCs w:val="20"/>
              </w:rPr>
              <w:t>)</w:t>
            </w:r>
          </w:p>
        </w:tc>
      </w:tr>
      <w:tr w:rsidR="00E06A19" w:rsidRPr="002F51BD" w14:paraId="3B3542AF" w14:textId="77777777" w:rsidTr="002F51BD">
        <w:trPr>
          <w:trHeight w:val="350"/>
        </w:trPr>
        <w:tc>
          <w:tcPr>
            <w:tcW w:w="4428" w:type="dxa"/>
          </w:tcPr>
          <w:p w14:paraId="2248D845" w14:textId="77777777" w:rsidR="00E06A19" w:rsidRPr="005A257B" w:rsidRDefault="00E06A19" w:rsidP="003A70BC">
            <w:pPr>
              <w:pStyle w:val="Default"/>
              <w:keepNext/>
              <w:spacing w:before="40"/>
              <w:ind w:left="360"/>
              <w:rPr>
                <w:b/>
                <w:color w:val="auto"/>
                <w:sz w:val="20"/>
                <w:szCs w:val="20"/>
              </w:rPr>
            </w:pPr>
            <w:r w:rsidRPr="005A257B">
              <w:rPr>
                <w:b/>
                <w:color w:val="auto"/>
                <w:sz w:val="20"/>
                <w:szCs w:val="20"/>
              </w:rPr>
              <w:t>Thermal Decomposition (ºC):</w:t>
            </w:r>
          </w:p>
        </w:tc>
        <w:tc>
          <w:tcPr>
            <w:tcW w:w="4050" w:type="dxa"/>
          </w:tcPr>
          <w:p w14:paraId="5F9D93A0" w14:textId="77777777" w:rsidR="00E06A19" w:rsidRPr="005A257B" w:rsidRDefault="003A70BC" w:rsidP="002F51BD">
            <w:pPr>
              <w:pStyle w:val="Default"/>
              <w:spacing w:before="40"/>
              <w:ind w:left="432"/>
              <w:rPr>
                <w:b/>
                <w:color w:val="auto"/>
                <w:sz w:val="20"/>
                <w:szCs w:val="20"/>
              </w:rPr>
            </w:pPr>
            <w:r>
              <w:rPr>
                <w:color w:val="auto"/>
                <w:sz w:val="20"/>
                <w:szCs w:val="20"/>
              </w:rPr>
              <w:t>n</w:t>
            </w:r>
            <w:r w:rsidR="00590E21" w:rsidRPr="005A257B">
              <w:rPr>
                <w:color w:val="auto"/>
                <w:sz w:val="20"/>
                <w:szCs w:val="20"/>
              </w:rPr>
              <w:t>ot available</w:t>
            </w:r>
          </w:p>
        </w:tc>
      </w:tr>
      <w:tr w:rsidR="00E06A19" w:rsidRPr="002F51BD" w14:paraId="15919F50" w14:textId="77777777" w:rsidTr="002F51BD">
        <w:tc>
          <w:tcPr>
            <w:tcW w:w="4428" w:type="dxa"/>
          </w:tcPr>
          <w:p w14:paraId="054BFA16" w14:textId="77777777" w:rsidR="00E06A19" w:rsidRPr="005A257B" w:rsidRDefault="00E06A19" w:rsidP="003A70BC">
            <w:pPr>
              <w:pStyle w:val="Default"/>
              <w:keepNext/>
              <w:spacing w:before="40"/>
              <w:ind w:left="360"/>
              <w:rPr>
                <w:b/>
                <w:color w:val="auto"/>
                <w:sz w:val="20"/>
                <w:szCs w:val="20"/>
              </w:rPr>
            </w:pPr>
            <w:r w:rsidRPr="005A257B">
              <w:rPr>
                <w:b/>
                <w:color w:val="auto"/>
                <w:sz w:val="20"/>
                <w:szCs w:val="20"/>
              </w:rPr>
              <w:t>Initial boiling point and boiling range (ºC):</w:t>
            </w:r>
          </w:p>
        </w:tc>
        <w:tc>
          <w:tcPr>
            <w:tcW w:w="4050" w:type="dxa"/>
          </w:tcPr>
          <w:p w14:paraId="4EC5CE8C"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available</w:t>
            </w:r>
          </w:p>
        </w:tc>
      </w:tr>
      <w:tr w:rsidR="00E06A19" w:rsidRPr="002F51BD" w14:paraId="2F9ACA47" w14:textId="77777777" w:rsidTr="002F51BD">
        <w:tc>
          <w:tcPr>
            <w:tcW w:w="4428" w:type="dxa"/>
          </w:tcPr>
          <w:p w14:paraId="0E997A5C" w14:textId="77777777" w:rsidR="00E06A19" w:rsidRPr="005A257B" w:rsidRDefault="00E06A19" w:rsidP="003A70BC">
            <w:pPr>
              <w:pStyle w:val="Default"/>
              <w:keepNext/>
              <w:spacing w:before="40"/>
              <w:ind w:left="360"/>
              <w:rPr>
                <w:b/>
                <w:color w:val="auto"/>
                <w:sz w:val="20"/>
                <w:szCs w:val="20"/>
              </w:rPr>
            </w:pPr>
            <w:r w:rsidRPr="005A257B">
              <w:rPr>
                <w:b/>
                <w:color w:val="auto"/>
                <w:sz w:val="20"/>
                <w:szCs w:val="20"/>
              </w:rPr>
              <w:t>Explosive Limits, LEL (Volume %):</w:t>
            </w:r>
          </w:p>
        </w:tc>
        <w:tc>
          <w:tcPr>
            <w:tcW w:w="4050" w:type="dxa"/>
          </w:tcPr>
          <w:p w14:paraId="30F7DB0A"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available</w:t>
            </w:r>
          </w:p>
        </w:tc>
      </w:tr>
      <w:tr w:rsidR="00E06A19" w:rsidRPr="002F51BD" w14:paraId="606B0C3F" w14:textId="77777777" w:rsidTr="002F51BD">
        <w:tc>
          <w:tcPr>
            <w:tcW w:w="4428" w:type="dxa"/>
          </w:tcPr>
          <w:p w14:paraId="604ECFBF" w14:textId="77777777" w:rsidR="00E06A19" w:rsidRPr="005A257B" w:rsidRDefault="00E06A19" w:rsidP="003A70BC">
            <w:pPr>
              <w:pStyle w:val="Default"/>
              <w:keepNext/>
              <w:spacing w:before="40"/>
              <w:ind w:left="360"/>
              <w:rPr>
                <w:b/>
                <w:color w:val="auto"/>
                <w:sz w:val="20"/>
                <w:szCs w:val="20"/>
              </w:rPr>
            </w:pPr>
            <w:r w:rsidRPr="005A257B">
              <w:rPr>
                <w:b/>
                <w:color w:val="auto"/>
                <w:sz w:val="20"/>
                <w:szCs w:val="20"/>
              </w:rPr>
              <w:t>Explosive Limits, UEL (Volume %):</w:t>
            </w:r>
          </w:p>
        </w:tc>
        <w:tc>
          <w:tcPr>
            <w:tcW w:w="4050" w:type="dxa"/>
          </w:tcPr>
          <w:p w14:paraId="4A84B6F1" w14:textId="77777777" w:rsidR="00E06A19" w:rsidRPr="005A257B" w:rsidRDefault="003A70BC" w:rsidP="003A70BC">
            <w:pPr>
              <w:pStyle w:val="Default"/>
              <w:spacing w:before="40"/>
              <w:ind w:left="432"/>
              <w:rPr>
                <w:b/>
                <w:color w:val="auto"/>
                <w:sz w:val="20"/>
                <w:szCs w:val="20"/>
              </w:rPr>
            </w:pPr>
            <w:r>
              <w:rPr>
                <w:color w:val="auto"/>
                <w:sz w:val="20"/>
                <w:szCs w:val="20"/>
              </w:rPr>
              <w:t>n</w:t>
            </w:r>
            <w:r w:rsidR="00590E21" w:rsidRPr="005A257B">
              <w:rPr>
                <w:color w:val="auto"/>
                <w:sz w:val="20"/>
                <w:szCs w:val="20"/>
              </w:rPr>
              <w:t>ot available</w:t>
            </w:r>
          </w:p>
        </w:tc>
      </w:tr>
      <w:tr w:rsidR="00E06A19" w:rsidRPr="002F51BD" w14:paraId="20088DD1" w14:textId="77777777" w:rsidTr="002F51BD">
        <w:trPr>
          <w:trHeight w:val="332"/>
        </w:trPr>
        <w:tc>
          <w:tcPr>
            <w:tcW w:w="4428" w:type="dxa"/>
          </w:tcPr>
          <w:p w14:paraId="05C1BEC8" w14:textId="77777777" w:rsidR="00E06A19" w:rsidRPr="005A257B" w:rsidRDefault="00E06A19" w:rsidP="003A70BC">
            <w:pPr>
              <w:pStyle w:val="Default"/>
              <w:keepNext/>
              <w:spacing w:before="40"/>
              <w:ind w:left="360"/>
              <w:rPr>
                <w:b/>
                <w:color w:val="auto"/>
                <w:sz w:val="20"/>
                <w:szCs w:val="20"/>
              </w:rPr>
            </w:pPr>
            <w:r w:rsidRPr="005A257B">
              <w:rPr>
                <w:b/>
                <w:color w:val="auto"/>
                <w:sz w:val="20"/>
                <w:szCs w:val="20"/>
              </w:rPr>
              <w:t>Flash Point (ºC)</w:t>
            </w:r>
          </w:p>
        </w:tc>
        <w:tc>
          <w:tcPr>
            <w:tcW w:w="4050" w:type="dxa"/>
          </w:tcPr>
          <w:p w14:paraId="74C0B5BA" w14:textId="77777777" w:rsidR="00E06A19" w:rsidRPr="005A257B" w:rsidRDefault="000849A9" w:rsidP="000849A9">
            <w:pPr>
              <w:pStyle w:val="Default"/>
              <w:spacing w:before="40"/>
              <w:ind w:left="432"/>
              <w:rPr>
                <w:b/>
                <w:color w:val="auto"/>
                <w:sz w:val="20"/>
                <w:szCs w:val="20"/>
              </w:rPr>
            </w:pPr>
            <w:r>
              <w:rPr>
                <w:color w:val="auto"/>
                <w:sz w:val="20"/>
                <w:szCs w:val="20"/>
              </w:rPr>
              <w:t>345 to 360 (</w:t>
            </w:r>
            <w:r w:rsidR="00744511">
              <w:rPr>
                <w:color w:val="auto"/>
                <w:sz w:val="20"/>
                <w:szCs w:val="20"/>
              </w:rPr>
              <w:t>653 to 680 </w:t>
            </w:r>
            <w:r w:rsidRPr="00041D7D">
              <w:rPr>
                <w:color w:val="auto"/>
                <w:sz w:val="20"/>
                <w:szCs w:val="20"/>
              </w:rPr>
              <w:t>º</w:t>
            </w:r>
            <w:r>
              <w:rPr>
                <w:color w:val="auto"/>
                <w:sz w:val="20"/>
                <w:szCs w:val="20"/>
              </w:rPr>
              <w:t>F</w:t>
            </w:r>
            <w:r w:rsidRPr="00041D7D">
              <w:rPr>
                <w:color w:val="auto"/>
                <w:sz w:val="20"/>
                <w:szCs w:val="20"/>
              </w:rPr>
              <w:t>)</w:t>
            </w:r>
          </w:p>
        </w:tc>
      </w:tr>
      <w:tr w:rsidR="00E06A19" w:rsidRPr="002F51BD" w14:paraId="19469FF4" w14:textId="77777777" w:rsidTr="002F51BD">
        <w:trPr>
          <w:trHeight w:val="269"/>
        </w:trPr>
        <w:tc>
          <w:tcPr>
            <w:tcW w:w="4428" w:type="dxa"/>
          </w:tcPr>
          <w:p w14:paraId="03355E7A" w14:textId="77777777" w:rsidR="00E06A19" w:rsidRPr="005A257B" w:rsidRDefault="00E06A19" w:rsidP="003A70BC">
            <w:pPr>
              <w:pStyle w:val="Default"/>
              <w:spacing w:before="40"/>
              <w:ind w:left="360"/>
              <w:rPr>
                <w:b/>
                <w:color w:val="auto"/>
                <w:sz w:val="20"/>
                <w:szCs w:val="20"/>
              </w:rPr>
            </w:pPr>
            <w:r w:rsidRPr="005A257B">
              <w:rPr>
                <w:b/>
                <w:color w:val="auto"/>
                <w:sz w:val="20"/>
                <w:szCs w:val="20"/>
              </w:rPr>
              <w:t>Flammability (solid, gas):</w:t>
            </w:r>
          </w:p>
        </w:tc>
        <w:tc>
          <w:tcPr>
            <w:tcW w:w="4050" w:type="dxa"/>
          </w:tcPr>
          <w:p w14:paraId="31760FBD" w14:textId="77777777" w:rsidR="00E06A19" w:rsidRPr="005A257B" w:rsidRDefault="003A70BC" w:rsidP="003A70BC">
            <w:pPr>
              <w:pStyle w:val="Default"/>
              <w:spacing w:before="40" w:after="120"/>
              <w:ind w:left="432"/>
              <w:rPr>
                <w:b/>
                <w:color w:val="auto"/>
                <w:sz w:val="20"/>
                <w:szCs w:val="20"/>
              </w:rPr>
            </w:pPr>
            <w:r>
              <w:rPr>
                <w:color w:val="auto"/>
                <w:sz w:val="20"/>
                <w:szCs w:val="20"/>
              </w:rPr>
              <w:t>n</w:t>
            </w:r>
            <w:r w:rsidR="00590E21" w:rsidRPr="005A257B">
              <w:rPr>
                <w:color w:val="auto"/>
                <w:sz w:val="20"/>
                <w:szCs w:val="20"/>
              </w:rPr>
              <w:t>ot available</w:t>
            </w:r>
          </w:p>
        </w:tc>
      </w:tr>
    </w:tbl>
    <w:p w14:paraId="45731966" w14:textId="77777777" w:rsidR="003045F2" w:rsidRPr="003045F2" w:rsidRDefault="003045F2" w:rsidP="003A70BC">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49E536C0" w14:textId="77777777" w:rsidTr="00D25DBF">
        <w:trPr>
          <w:trHeight w:hRule="exact" w:val="360"/>
        </w:trPr>
        <w:tc>
          <w:tcPr>
            <w:tcW w:w="9576" w:type="dxa"/>
            <w:tcBorders>
              <w:left w:val="nil"/>
              <w:right w:val="nil"/>
            </w:tcBorders>
            <w:vAlign w:val="center"/>
          </w:tcPr>
          <w:p w14:paraId="6BA23C03" w14:textId="77777777" w:rsidR="003045F2" w:rsidRPr="003045F2" w:rsidRDefault="003045F2" w:rsidP="003A70BC">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797240BC" w14:textId="77777777" w:rsidR="00F4046F" w:rsidRPr="004A6E3F" w:rsidRDefault="00F4046F" w:rsidP="003A70BC">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EE0427A" w14:textId="77777777" w:rsidTr="00EB5E4A">
        <w:tc>
          <w:tcPr>
            <w:tcW w:w="1440" w:type="dxa"/>
            <w:vAlign w:val="center"/>
          </w:tcPr>
          <w:p w14:paraId="2F2A5619" w14:textId="77777777" w:rsidR="00F4046F" w:rsidRPr="00F4046F" w:rsidRDefault="00F4046F" w:rsidP="003A70BC">
            <w:pPr>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0635C2D8" w14:textId="77777777" w:rsidR="00F4046F" w:rsidRDefault="00A14B09" w:rsidP="003A70BC">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7809010" w14:textId="77777777" w:rsidR="00F4046F" w:rsidRDefault="00F4046F" w:rsidP="003A70BC">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7A23AD78" w14:textId="77777777" w:rsidR="00F4046F" w:rsidRDefault="00F4046F" w:rsidP="003A70BC">
            <w:pPr>
              <w:widowControl/>
              <w:spacing w:after="0" w:line="240" w:lineRule="auto"/>
              <w:jc w:val="center"/>
              <w:rPr>
                <w:rFonts w:ascii="Times New Roman" w:hAnsi="Times New Roman"/>
                <w:sz w:val="20"/>
                <w:szCs w:val="20"/>
              </w:rPr>
            </w:pPr>
          </w:p>
        </w:tc>
        <w:tc>
          <w:tcPr>
            <w:tcW w:w="1296" w:type="dxa"/>
            <w:vAlign w:val="center"/>
          </w:tcPr>
          <w:p w14:paraId="45C2D7DE" w14:textId="77777777" w:rsidR="00F4046F" w:rsidRDefault="00F4046F" w:rsidP="003A70BC">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5C633290" w14:textId="77777777" w:rsidR="00D2295A" w:rsidRPr="00A00A2B" w:rsidRDefault="00D2295A" w:rsidP="003A70BC">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64979BE5" w14:textId="77777777" w:rsidR="006821C7" w:rsidRPr="006821C7" w:rsidRDefault="006821C7" w:rsidP="003A70B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 xml:space="preserve">Avoid generating dust.  </w:t>
      </w:r>
      <w:r w:rsidR="00005D5A" w:rsidRPr="00005D5A">
        <w:rPr>
          <w:rFonts w:ascii="Times New Roman" w:eastAsia="Times New Roman" w:hAnsi="Times New Roman"/>
          <w:bCs/>
          <w:sz w:val="20"/>
          <w:szCs w:val="20"/>
        </w:rPr>
        <w:t xml:space="preserve">Avoid heat, flames, sparks and other sources of ignition. </w:t>
      </w:r>
      <w:r w:rsidR="00005D5A">
        <w:rPr>
          <w:rFonts w:ascii="Times New Roman" w:eastAsia="Times New Roman" w:hAnsi="Times New Roman"/>
          <w:bCs/>
          <w:sz w:val="20"/>
          <w:szCs w:val="20"/>
        </w:rPr>
        <w:t xml:space="preserve"> </w:t>
      </w:r>
      <w:r w:rsidR="00005D5A" w:rsidRPr="00005D5A">
        <w:rPr>
          <w:rFonts w:ascii="Times New Roman" w:eastAsia="Times New Roman" w:hAnsi="Times New Roman"/>
          <w:bCs/>
          <w:sz w:val="20"/>
          <w:szCs w:val="20"/>
        </w:rPr>
        <w:t>Avoid contact with incompatible materials.</w:t>
      </w:r>
    </w:p>
    <w:p w14:paraId="27449B60" w14:textId="77777777" w:rsidR="006821C7" w:rsidRPr="006821C7" w:rsidRDefault="006821C7" w:rsidP="003A70B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005D5A">
        <w:rPr>
          <w:rFonts w:ascii="Times New Roman" w:eastAsia="Times New Roman" w:hAnsi="Times New Roman"/>
          <w:bCs/>
          <w:sz w:val="20"/>
          <w:szCs w:val="20"/>
        </w:rPr>
        <w:t>Oxidizing</w:t>
      </w:r>
      <w:r w:rsidR="00450AD0" w:rsidRPr="00FE152A">
        <w:rPr>
          <w:rFonts w:ascii="Times New Roman" w:eastAsia="Times New Roman" w:hAnsi="Times New Roman"/>
          <w:bCs/>
          <w:sz w:val="20"/>
          <w:szCs w:val="20"/>
        </w:rPr>
        <w:t xml:space="preserve"> materials</w:t>
      </w:r>
      <w:r w:rsidR="002532FF">
        <w:rPr>
          <w:rFonts w:ascii="Times New Roman" w:eastAsia="Times New Roman" w:hAnsi="Times New Roman"/>
          <w:bCs/>
          <w:sz w:val="20"/>
          <w:szCs w:val="20"/>
        </w:rPr>
        <w:t>, combustible materials</w:t>
      </w:r>
      <w:r w:rsidR="004F1C1D" w:rsidRPr="00FE152A">
        <w:rPr>
          <w:rFonts w:ascii="Times New Roman" w:eastAsia="Times New Roman" w:hAnsi="Times New Roman"/>
          <w:bCs/>
          <w:sz w:val="20"/>
          <w:szCs w:val="20"/>
        </w:rPr>
        <w:t>.</w:t>
      </w:r>
    </w:p>
    <w:p w14:paraId="0E097D08" w14:textId="77777777" w:rsidR="006821C7" w:rsidRDefault="006821C7" w:rsidP="003A70B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1D0E5681" w14:textId="77777777" w:rsidR="005A257B" w:rsidRPr="005A257B" w:rsidRDefault="005A257B" w:rsidP="003A70B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w:t>
      </w:r>
      <w:r w:rsidR="002532FF">
        <w:rPr>
          <w:rFonts w:ascii="Times New Roman" w:eastAsia="Times New Roman" w:hAnsi="Times New Roman"/>
          <w:bCs/>
          <w:sz w:val="20"/>
          <w:szCs w:val="20"/>
        </w:rPr>
        <w:t>O</w:t>
      </w:r>
      <w:r w:rsidRPr="005A257B">
        <w:rPr>
          <w:rFonts w:ascii="Times New Roman" w:eastAsia="Times New Roman" w:hAnsi="Times New Roman"/>
          <w:bCs/>
          <w:sz w:val="20"/>
          <w:szCs w:val="20"/>
        </w:rPr>
        <w:t>xides of carbon</w:t>
      </w:r>
      <w:r w:rsidR="002532FF">
        <w:rPr>
          <w:rFonts w:ascii="Times New Roman" w:eastAsia="Times New Roman" w:hAnsi="Times New Roman"/>
          <w:bCs/>
          <w:sz w:val="20"/>
          <w:szCs w:val="20"/>
        </w:rPr>
        <w:t xml:space="preserve"> and styrene</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2555B77E" w14:textId="77777777" w:rsidTr="005A257B">
        <w:tc>
          <w:tcPr>
            <w:tcW w:w="2592" w:type="dxa"/>
            <w:vAlign w:val="center"/>
          </w:tcPr>
          <w:p w14:paraId="4A1947FD" w14:textId="77777777" w:rsidR="005A257B" w:rsidRPr="005A257B" w:rsidRDefault="005A257B" w:rsidP="003A70BC">
            <w:pPr>
              <w:widowControl/>
              <w:spacing w:after="0" w:line="240" w:lineRule="auto"/>
              <w:ind w:right="-187"/>
              <w:rPr>
                <w:rFonts w:ascii="Times New Roman" w:hAnsi="Times New Roman"/>
                <w:b/>
                <w:sz w:val="20"/>
                <w:szCs w:val="20"/>
              </w:rPr>
            </w:pPr>
            <w:r w:rsidRPr="005A257B">
              <w:rPr>
                <w:rFonts w:ascii="Times New Roman" w:eastAsia="Times New Roman" w:hAnsi="Times New Roman"/>
                <w:b/>
                <w:bCs/>
                <w:position w:val="-1"/>
                <w:sz w:val="20"/>
                <w:szCs w:val="20"/>
              </w:rPr>
              <w:lastRenderedPageBreak/>
              <w:t>Hazardous Polymerization:</w:t>
            </w:r>
          </w:p>
        </w:tc>
        <w:tc>
          <w:tcPr>
            <w:tcW w:w="576" w:type="dxa"/>
            <w:tcBorders>
              <w:bottom w:val="single" w:sz="6" w:space="0" w:color="auto"/>
            </w:tcBorders>
            <w:vAlign w:val="bottom"/>
          </w:tcPr>
          <w:p w14:paraId="46EB866F" w14:textId="77777777" w:rsidR="005A257B" w:rsidRPr="005A257B" w:rsidRDefault="005A257B" w:rsidP="003A70BC">
            <w:pPr>
              <w:widowControl/>
              <w:spacing w:after="0" w:line="240" w:lineRule="auto"/>
              <w:jc w:val="center"/>
              <w:rPr>
                <w:rFonts w:ascii="Times New Roman" w:hAnsi="Times New Roman"/>
                <w:sz w:val="20"/>
                <w:szCs w:val="20"/>
              </w:rPr>
            </w:pPr>
          </w:p>
        </w:tc>
        <w:tc>
          <w:tcPr>
            <w:tcW w:w="1440" w:type="dxa"/>
            <w:vAlign w:val="bottom"/>
          </w:tcPr>
          <w:p w14:paraId="54911BC7" w14:textId="77777777" w:rsidR="005A257B" w:rsidRPr="005A257B" w:rsidRDefault="005A257B" w:rsidP="003A70BC">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5DE377C2" w14:textId="77777777" w:rsidR="005A257B" w:rsidRPr="005A257B" w:rsidRDefault="005A257B" w:rsidP="003A70BC">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7A763ED7" w14:textId="77777777" w:rsidR="005A257B" w:rsidRPr="005A257B" w:rsidRDefault="005A257B" w:rsidP="003A70BC">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646D1A23" w14:textId="77777777" w:rsidR="005A257B" w:rsidRPr="005A257B" w:rsidRDefault="005A257B" w:rsidP="003A70BC">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708428B0" w14:textId="77777777" w:rsidTr="005A257B">
        <w:trPr>
          <w:trHeight w:hRule="exact" w:val="360"/>
        </w:trPr>
        <w:tc>
          <w:tcPr>
            <w:tcW w:w="9576" w:type="dxa"/>
            <w:vAlign w:val="center"/>
          </w:tcPr>
          <w:p w14:paraId="4890A7DA" w14:textId="77777777" w:rsidR="005A257B" w:rsidRPr="005A257B" w:rsidRDefault="005A257B" w:rsidP="003A70BC">
            <w:pPr>
              <w:keepNext/>
              <w:keepLines/>
              <w:widowControl/>
              <w:spacing w:after="0" w:line="240" w:lineRule="auto"/>
              <w:rPr>
                <w:rFonts w:ascii="Times New Roman" w:eastAsia="Times New Roman" w:hAnsi="Times New Roman"/>
                <w:bCs/>
                <w:sz w:val="20"/>
                <w:szCs w:val="20"/>
              </w:rPr>
            </w:pPr>
            <w:r w:rsidRPr="005A257B">
              <w:rPr>
                <w:rFonts w:ascii="Times New Roman" w:eastAsia="Times New Roman" w:hAnsi="Times New Roman"/>
                <w:b/>
                <w:bCs/>
                <w:position w:val="-1"/>
                <w:sz w:val="24"/>
                <w:szCs w:val="24"/>
              </w:rPr>
              <w:t>11.</w:t>
            </w:r>
            <w:r w:rsidRPr="005A257B">
              <w:rPr>
                <w:rFonts w:ascii="Times New Roman" w:eastAsia="Times New Roman" w:hAnsi="Times New Roman"/>
                <w:b/>
                <w:bCs/>
                <w:spacing w:val="36"/>
                <w:position w:val="-1"/>
                <w:sz w:val="24"/>
                <w:szCs w:val="24"/>
              </w:rPr>
              <w:t xml:space="preserve"> </w:t>
            </w:r>
            <w:r w:rsidRPr="005A257B">
              <w:rPr>
                <w:rFonts w:ascii="Times New Roman" w:eastAsia="Times New Roman" w:hAnsi="Times New Roman"/>
                <w:b/>
                <w:bCs/>
                <w:spacing w:val="1"/>
                <w:position w:val="-1"/>
                <w:sz w:val="24"/>
                <w:szCs w:val="24"/>
              </w:rPr>
              <w:t>T</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2"/>
                <w:position w:val="-1"/>
                <w:sz w:val="19"/>
                <w:szCs w:val="19"/>
              </w:rPr>
              <w:t>X</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1"/>
                <w:position w:val="-1"/>
                <w:sz w:val="19"/>
                <w:szCs w:val="19"/>
              </w:rPr>
              <w:t>L</w:t>
            </w:r>
            <w:r w:rsidRPr="005A257B">
              <w:rPr>
                <w:rFonts w:ascii="Times New Roman" w:eastAsia="Times New Roman" w:hAnsi="Times New Roman"/>
                <w:b/>
                <w:bCs/>
                <w:spacing w:val="-1"/>
                <w:position w:val="-1"/>
                <w:sz w:val="19"/>
                <w:szCs w:val="19"/>
              </w:rPr>
              <w:t>OG</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CAL</w:t>
            </w:r>
            <w:r w:rsidRPr="005A257B">
              <w:rPr>
                <w:rFonts w:ascii="Times New Roman" w:eastAsia="Times New Roman" w:hAnsi="Times New Roman"/>
                <w:b/>
                <w:bCs/>
                <w:spacing w:val="-13"/>
                <w:position w:val="-1"/>
                <w:sz w:val="19"/>
                <w:szCs w:val="19"/>
              </w:rPr>
              <w:t xml:space="preserve"> </w:t>
            </w:r>
            <w:r w:rsidRPr="005A257B">
              <w:rPr>
                <w:rFonts w:ascii="Times New Roman" w:eastAsia="Times New Roman" w:hAnsi="Times New Roman"/>
                <w:b/>
                <w:bCs/>
                <w:position w:val="-1"/>
                <w:sz w:val="24"/>
                <w:szCs w:val="24"/>
              </w:rPr>
              <w:t>I</w:t>
            </w:r>
            <w:r w:rsidRPr="005A257B">
              <w:rPr>
                <w:rFonts w:ascii="Times New Roman" w:eastAsia="Times New Roman" w:hAnsi="Times New Roman"/>
                <w:b/>
                <w:bCs/>
                <w:position w:val="-1"/>
                <w:sz w:val="19"/>
                <w:szCs w:val="19"/>
              </w:rPr>
              <w:t>N</w:t>
            </w:r>
            <w:r w:rsidRPr="005A257B">
              <w:rPr>
                <w:rFonts w:ascii="Times New Roman" w:eastAsia="Times New Roman" w:hAnsi="Times New Roman"/>
                <w:b/>
                <w:bCs/>
                <w:spacing w:val="-1"/>
                <w:position w:val="-1"/>
                <w:sz w:val="19"/>
                <w:szCs w:val="19"/>
              </w:rPr>
              <w:t>FO</w:t>
            </w:r>
            <w:r w:rsidRPr="005A257B">
              <w:rPr>
                <w:rFonts w:ascii="Times New Roman" w:eastAsia="Times New Roman" w:hAnsi="Times New Roman"/>
                <w:b/>
                <w:bCs/>
                <w:position w:val="-1"/>
                <w:sz w:val="19"/>
                <w:szCs w:val="19"/>
              </w:rPr>
              <w:t>R</w:t>
            </w:r>
            <w:r w:rsidRPr="005A257B">
              <w:rPr>
                <w:rFonts w:ascii="Times New Roman" w:eastAsia="Times New Roman" w:hAnsi="Times New Roman"/>
                <w:b/>
                <w:bCs/>
                <w:spacing w:val="1"/>
                <w:position w:val="-1"/>
                <w:sz w:val="19"/>
                <w:szCs w:val="19"/>
              </w:rPr>
              <w:t>M</w:t>
            </w:r>
            <w:r w:rsidRPr="005A257B">
              <w:rPr>
                <w:rFonts w:ascii="Times New Roman" w:eastAsia="Times New Roman" w:hAnsi="Times New Roman"/>
                <w:b/>
                <w:bCs/>
                <w:position w:val="-1"/>
                <w:sz w:val="19"/>
                <w:szCs w:val="19"/>
              </w:rPr>
              <w:t>A</w:t>
            </w:r>
            <w:r w:rsidRPr="005A257B">
              <w:rPr>
                <w:rFonts w:ascii="Times New Roman" w:eastAsia="Times New Roman" w:hAnsi="Times New Roman"/>
                <w:b/>
                <w:bCs/>
                <w:spacing w:val="1"/>
                <w:position w:val="-1"/>
                <w:sz w:val="19"/>
                <w:szCs w:val="19"/>
              </w:rPr>
              <w:t>TI</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position w:val="-1"/>
                <w:sz w:val="19"/>
                <w:szCs w:val="19"/>
              </w:rPr>
              <w:t>N</w:t>
            </w:r>
          </w:p>
        </w:tc>
      </w:tr>
    </w:tbl>
    <w:p w14:paraId="1919E79E" w14:textId="77777777" w:rsidR="000062AB" w:rsidRPr="002F28B5" w:rsidRDefault="000062AB" w:rsidP="003A70BC">
      <w:pPr>
        <w:keepNext/>
        <w:keepLines/>
        <w:widowControl/>
        <w:spacing w:after="0"/>
        <w:rPr>
          <w:rFonts w:ascii="Times New Roman" w:hAnsi="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14:paraId="792DDA7A" w14:textId="77777777" w:rsidTr="004E7C12">
        <w:tc>
          <w:tcPr>
            <w:tcW w:w="2016" w:type="dxa"/>
            <w:vAlign w:val="center"/>
          </w:tcPr>
          <w:p w14:paraId="11D75FA9" w14:textId="77777777" w:rsidR="00EB5E4A" w:rsidRPr="00F4046F" w:rsidRDefault="00EB5E4A" w:rsidP="003A70BC">
            <w:pPr>
              <w:keepNext/>
              <w:keepLines/>
              <w:widowControl/>
              <w:spacing w:before="120" w:after="0" w:line="240" w:lineRule="auto"/>
              <w:rPr>
                <w:rFonts w:ascii="Times New Roman" w:hAnsi="Times New Roman"/>
                <w:b/>
                <w:sz w:val="20"/>
                <w:szCs w:val="20"/>
              </w:rPr>
            </w:pPr>
            <w:r>
              <w:rPr>
                <w:rFonts w:ascii="Times New Roman" w:eastAsia="Times New Roman" w:hAnsi="Times New Roman"/>
                <w:b/>
                <w:bCs/>
                <w:position w:val="-1"/>
                <w:sz w:val="20"/>
                <w:szCs w:val="20"/>
              </w:rPr>
              <w:t>R</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e</w:t>
            </w:r>
            <w:r>
              <w:rPr>
                <w:rFonts w:ascii="Times New Roman" w:eastAsia="Times New Roman" w:hAnsi="Times New Roman"/>
                <w:b/>
                <w:bCs/>
                <w:spacing w:val="-4"/>
                <w:position w:val="-1"/>
                <w:sz w:val="20"/>
                <w:szCs w:val="20"/>
              </w:rPr>
              <w:t xml:space="preserve"> </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f</w:t>
            </w:r>
            <w:r>
              <w:rPr>
                <w:rFonts w:ascii="Times New Roman" w:eastAsia="Times New Roman" w:hAnsi="Times New Roman"/>
                <w:b/>
                <w:bCs/>
                <w:spacing w:val="-1"/>
                <w:position w:val="-1"/>
                <w:sz w:val="20"/>
                <w:szCs w:val="20"/>
              </w:rPr>
              <w:t xml:space="preserve"> </w:t>
            </w:r>
            <w:r w:rsidR="00957B26">
              <w:rPr>
                <w:rFonts w:ascii="Times New Roman" w:eastAsia="Times New Roman" w:hAnsi="Times New Roman"/>
                <w:b/>
                <w:bCs/>
                <w:spacing w:val="-1"/>
                <w:position w:val="-1"/>
                <w:sz w:val="20"/>
                <w:szCs w:val="20"/>
              </w:rPr>
              <w:t>Exposure</w:t>
            </w:r>
            <w:r>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0E7D7FE8" w14:textId="77777777" w:rsidR="00EB5E4A" w:rsidRDefault="006C412A" w:rsidP="003A70BC">
            <w:pPr>
              <w:keepNext/>
              <w:keepLines/>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7FA0B2E1" w14:textId="77777777" w:rsidR="00EB5E4A" w:rsidRDefault="00EB5E4A" w:rsidP="003A70BC">
            <w:pPr>
              <w:keepNext/>
              <w:keepLines/>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nh</w:t>
            </w:r>
            <w:r>
              <w:rPr>
                <w:rFonts w:ascii="Times New Roman" w:eastAsia="Times New Roman" w:hAnsi="Times New Roman"/>
                <w:sz w:val="20"/>
                <w:szCs w:val="20"/>
              </w:rPr>
              <w:t>alati</w:t>
            </w:r>
            <w:r>
              <w:rPr>
                <w:rFonts w:ascii="Times New Roman" w:eastAsia="Times New Roman" w:hAnsi="Times New Roman"/>
                <w:spacing w:val="1"/>
                <w:sz w:val="20"/>
                <w:szCs w:val="20"/>
              </w:rPr>
              <w:t>o</w:t>
            </w:r>
            <w:r>
              <w:rPr>
                <w:rFonts w:ascii="Times New Roman" w:eastAsia="Times New Roman" w:hAnsi="Times New Roman"/>
                <w:sz w:val="20"/>
                <w:szCs w:val="20"/>
              </w:rPr>
              <w:t>n</w:t>
            </w:r>
          </w:p>
        </w:tc>
        <w:tc>
          <w:tcPr>
            <w:tcW w:w="576" w:type="dxa"/>
            <w:tcBorders>
              <w:bottom w:val="single" w:sz="6" w:space="0" w:color="auto"/>
            </w:tcBorders>
            <w:vAlign w:val="bottom"/>
          </w:tcPr>
          <w:p w14:paraId="52FB6C81" w14:textId="77777777" w:rsidR="00EB5E4A" w:rsidRDefault="00D25DBF" w:rsidP="003A70BC">
            <w:pPr>
              <w:keepNext/>
              <w:keepLines/>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127E79FE" w14:textId="77777777" w:rsidR="00EB5E4A" w:rsidRDefault="00EB5E4A" w:rsidP="003A70BC">
            <w:pPr>
              <w:keepNext/>
              <w:keepLines/>
              <w:widowControl/>
              <w:spacing w:after="0" w:line="240" w:lineRule="auto"/>
              <w:rPr>
                <w:rFonts w:ascii="Times New Roman" w:hAnsi="Times New Roman"/>
                <w:sz w:val="20"/>
                <w:szCs w:val="20"/>
              </w:rPr>
            </w:pPr>
            <w:r>
              <w:rPr>
                <w:rFonts w:ascii="Times New Roman" w:eastAsia="Times New Roman" w:hAnsi="Times New Roman"/>
                <w:sz w:val="20"/>
                <w:szCs w:val="20"/>
              </w:rPr>
              <w:t>S</w:t>
            </w:r>
            <w:r>
              <w:rPr>
                <w:rFonts w:ascii="Times New Roman" w:eastAsia="Times New Roman" w:hAnsi="Times New Roman"/>
                <w:spacing w:val="-1"/>
                <w:sz w:val="20"/>
                <w:szCs w:val="20"/>
              </w:rPr>
              <w:t>k</w:t>
            </w:r>
            <w:r>
              <w:rPr>
                <w:rFonts w:ascii="Times New Roman" w:eastAsia="Times New Roman" w:hAnsi="Times New Roman"/>
                <w:sz w:val="20"/>
                <w:szCs w:val="20"/>
              </w:rPr>
              <w:t>in</w:t>
            </w:r>
          </w:p>
        </w:tc>
        <w:tc>
          <w:tcPr>
            <w:tcW w:w="576" w:type="dxa"/>
            <w:tcBorders>
              <w:bottom w:val="single" w:sz="6" w:space="0" w:color="auto"/>
            </w:tcBorders>
            <w:vAlign w:val="bottom"/>
          </w:tcPr>
          <w:p w14:paraId="191AB2AF" w14:textId="77777777" w:rsidR="00EB5E4A" w:rsidRDefault="00D25DBF" w:rsidP="003A70BC">
            <w:pPr>
              <w:keepNext/>
              <w:keepLines/>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304599E6" w14:textId="77777777" w:rsidR="00EB5E4A" w:rsidRDefault="00EB5E4A" w:rsidP="003A70BC">
            <w:pPr>
              <w:keepNext/>
              <w:keepLines/>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ng</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z w:val="20"/>
                <w:szCs w:val="20"/>
              </w:rPr>
              <w:t>ti</w:t>
            </w:r>
            <w:r>
              <w:rPr>
                <w:rFonts w:ascii="Times New Roman" w:eastAsia="Times New Roman" w:hAnsi="Times New Roman"/>
                <w:spacing w:val="1"/>
                <w:sz w:val="20"/>
                <w:szCs w:val="20"/>
              </w:rPr>
              <w:t>o</w:t>
            </w:r>
            <w:r>
              <w:rPr>
                <w:rFonts w:ascii="Times New Roman" w:eastAsia="Times New Roman" w:hAnsi="Times New Roman"/>
                <w:sz w:val="20"/>
                <w:szCs w:val="20"/>
              </w:rPr>
              <w:t>n</w:t>
            </w:r>
          </w:p>
        </w:tc>
      </w:tr>
    </w:tbl>
    <w:p w14:paraId="6F2376EC" w14:textId="77777777" w:rsidR="00E014A4" w:rsidRPr="005A257B" w:rsidRDefault="00E014A4" w:rsidP="003A70BC">
      <w:pPr>
        <w:keepLines/>
        <w:widowControl/>
        <w:spacing w:before="120" w:after="0" w:line="240" w:lineRule="auto"/>
        <w:jc w:val="both"/>
        <w:rPr>
          <w:rFonts w:ascii="Times New Roman" w:eastAsia="Times New Roman" w:hAnsi="Times New Roman"/>
          <w:bCs/>
          <w:sz w:val="20"/>
          <w:szCs w:val="20"/>
        </w:rPr>
      </w:pPr>
      <w:r w:rsidRPr="005A257B">
        <w:rPr>
          <w:rFonts w:ascii="Times New Roman" w:eastAsia="Times New Roman" w:hAnsi="Times New Roman"/>
          <w:b/>
          <w:bCs/>
          <w:sz w:val="20"/>
          <w:szCs w:val="20"/>
        </w:rPr>
        <w:t>Symptoms Related to the Physical, Chemical and Toxicological Characteristics:</w:t>
      </w:r>
      <w:r w:rsidRPr="005A257B">
        <w:rPr>
          <w:rFonts w:ascii="Times New Roman" w:eastAsia="Times New Roman" w:hAnsi="Times New Roman"/>
          <w:bCs/>
          <w:sz w:val="20"/>
          <w:szCs w:val="20"/>
        </w:rPr>
        <w:t xml:space="preserve">  </w:t>
      </w:r>
      <w:r w:rsidR="00B54B62">
        <w:rPr>
          <w:rFonts w:ascii="Times New Roman" w:eastAsia="Times New Roman" w:hAnsi="Times New Roman"/>
          <w:bCs/>
          <w:sz w:val="20"/>
          <w:szCs w:val="20"/>
        </w:rPr>
        <w:t>No data available</w:t>
      </w:r>
      <w:r w:rsidR="005A73FE" w:rsidRPr="005A257B">
        <w:rPr>
          <w:rFonts w:ascii="Times New Roman" w:eastAsia="Times New Roman" w:hAnsi="Times New Roman"/>
          <w:bCs/>
          <w:sz w:val="20"/>
          <w:szCs w:val="20"/>
        </w:rPr>
        <w:t>.</w:t>
      </w:r>
    </w:p>
    <w:p w14:paraId="3E963EA2" w14:textId="77777777" w:rsidR="00A00A2B" w:rsidRPr="005A257B" w:rsidRDefault="00EB5E4A" w:rsidP="003A70BC">
      <w:pPr>
        <w:widowControl/>
        <w:spacing w:before="120" w:after="0" w:line="240" w:lineRule="auto"/>
        <w:jc w:val="both"/>
        <w:rPr>
          <w:rFonts w:ascii="Times New Roman" w:eastAsia="Times New Roman" w:hAnsi="Times New Roman"/>
          <w:b/>
          <w:bCs/>
          <w:sz w:val="20"/>
          <w:szCs w:val="20"/>
        </w:rPr>
      </w:pPr>
      <w:r w:rsidRPr="005A257B">
        <w:rPr>
          <w:rFonts w:ascii="Times New Roman" w:eastAsia="Times New Roman" w:hAnsi="Times New Roman"/>
          <w:b/>
          <w:bCs/>
          <w:sz w:val="20"/>
          <w:szCs w:val="20"/>
        </w:rPr>
        <w:t>Potential Health Effects (Acute</w:t>
      </w:r>
      <w:r w:rsidR="00957B26" w:rsidRPr="005A257B">
        <w:rPr>
          <w:rFonts w:ascii="Times New Roman" w:eastAsia="Times New Roman" w:hAnsi="Times New Roman"/>
          <w:b/>
          <w:bCs/>
          <w:sz w:val="20"/>
          <w:szCs w:val="20"/>
        </w:rPr>
        <w:t>,</w:t>
      </w:r>
      <w:r w:rsidRPr="005A257B">
        <w:rPr>
          <w:rFonts w:ascii="Times New Roman" w:eastAsia="Times New Roman" w:hAnsi="Times New Roman"/>
          <w:b/>
          <w:bCs/>
          <w:sz w:val="20"/>
          <w:szCs w:val="20"/>
        </w:rPr>
        <w:t xml:space="preserve"> </w:t>
      </w:r>
      <w:r w:rsidR="00957B26" w:rsidRPr="005A257B">
        <w:rPr>
          <w:rFonts w:ascii="Times New Roman" w:eastAsia="Times New Roman" w:hAnsi="Times New Roman"/>
          <w:b/>
          <w:bCs/>
          <w:sz w:val="20"/>
          <w:szCs w:val="20"/>
        </w:rPr>
        <w:t>C</w:t>
      </w:r>
      <w:r w:rsidRPr="005A257B">
        <w:rPr>
          <w:rFonts w:ascii="Times New Roman" w:eastAsia="Times New Roman" w:hAnsi="Times New Roman"/>
          <w:b/>
          <w:bCs/>
          <w:sz w:val="20"/>
          <w:szCs w:val="20"/>
        </w:rPr>
        <w:t>hronic</w:t>
      </w:r>
      <w:r w:rsidR="00957B26" w:rsidRPr="005A257B">
        <w:rPr>
          <w:rFonts w:ascii="Times New Roman" w:eastAsia="Times New Roman" w:hAnsi="Times New Roman"/>
          <w:b/>
          <w:bCs/>
          <w:sz w:val="20"/>
          <w:szCs w:val="20"/>
        </w:rPr>
        <w:t xml:space="preserve"> and Delayed</w:t>
      </w:r>
      <w:r w:rsidRPr="005A257B">
        <w:rPr>
          <w:rFonts w:ascii="Times New Roman" w:eastAsia="Times New Roman" w:hAnsi="Times New Roman"/>
          <w:b/>
          <w:bCs/>
          <w:sz w:val="20"/>
          <w:szCs w:val="20"/>
        </w:rPr>
        <w:t>)</w:t>
      </w:r>
      <w:r w:rsidR="004E7C12" w:rsidRPr="005A257B">
        <w:rPr>
          <w:rFonts w:ascii="Times New Roman" w:eastAsia="Times New Roman" w:hAnsi="Times New Roman"/>
          <w:b/>
          <w:bCs/>
          <w:sz w:val="20"/>
          <w:szCs w:val="20"/>
        </w:rPr>
        <w:t>:</w:t>
      </w:r>
    </w:p>
    <w:p w14:paraId="24EDB348" w14:textId="77777777" w:rsidR="00A00A2B" w:rsidRPr="005A257B" w:rsidRDefault="00EB5E4A" w:rsidP="003A70BC">
      <w:pPr>
        <w:widowControl/>
        <w:spacing w:before="120" w:after="0" w:line="240" w:lineRule="auto"/>
        <w:ind w:left="360"/>
        <w:jc w:val="both"/>
        <w:rPr>
          <w:rFonts w:ascii="Times New Roman" w:eastAsia="Times New Roman" w:hAnsi="Times New Roman"/>
          <w:bCs/>
          <w:sz w:val="20"/>
          <w:szCs w:val="20"/>
        </w:rPr>
      </w:pPr>
      <w:r w:rsidRPr="005A257B">
        <w:rPr>
          <w:rFonts w:ascii="Times New Roman" w:eastAsia="Times New Roman" w:hAnsi="Times New Roman"/>
          <w:b/>
          <w:bCs/>
          <w:sz w:val="20"/>
          <w:szCs w:val="20"/>
        </w:rPr>
        <w:t>Inhalation:</w:t>
      </w:r>
      <w:r w:rsidRPr="005A257B">
        <w:rPr>
          <w:rFonts w:ascii="Times New Roman" w:eastAsia="Times New Roman" w:hAnsi="Times New Roman"/>
          <w:bCs/>
          <w:sz w:val="20"/>
          <w:szCs w:val="20"/>
        </w:rPr>
        <w:t xml:space="preserve">  </w:t>
      </w:r>
      <w:r w:rsidR="002532FF">
        <w:rPr>
          <w:rFonts w:ascii="Times New Roman" w:eastAsia="Times New Roman" w:hAnsi="Times New Roman"/>
          <w:bCs/>
          <w:sz w:val="20"/>
          <w:szCs w:val="20"/>
        </w:rPr>
        <w:t>High concentrations of dust may cause irritation</w:t>
      </w:r>
      <w:r w:rsidR="00C66C97">
        <w:rPr>
          <w:rFonts w:ascii="Times New Roman" w:eastAsia="Times New Roman" w:hAnsi="Times New Roman"/>
          <w:bCs/>
          <w:sz w:val="20"/>
          <w:szCs w:val="20"/>
        </w:rPr>
        <w:t>.</w:t>
      </w:r>
      <w:r w:rsidR="002532FF">
        <w:rPr>
          <w:rFonts w:ascii="Times New Roman" w:eastAsia="Times New Roman" w:hAnsi="Times New Roman"/>
          <w:bCs/>
          <w:sz w:val="20"/>
          <w:szCs w:val="20"/>
        </w:rPr>
        <w:t xml:space="preserve">  Fumes from heated of burning polystyrene may cause irritation of the nose, throat and lungs.</w:t>
      </w:r>
    </w:p>
    <w:p w14:paraId="4E03903F" w14:textId="77777777" w:rsidR="00EB5E4A" w:rsidRPr="005A257B" w:rsidRDefault="00EB5E4A" w:rsidP="003A70BC">
      <w:pPr>
        <w:widowControl/>
        <w:spacing w:before="120" w:after="0" w:line="240" w:lineRule="auto"/>
        <w:ind w:left="360"/>
        <w:jc w:val="both"/>
        <w:rPr>
          <w:rFonts w:ascii="Times New Roman" w:eastAsia="Times New Roman" w:hAnsi="Times New Roman"/>
          <w:bCs/>
          <w:sz w:val="20"/>
          <w:szCs w:val="20"/>
        </w:rPr>
      </w:pPr>
      <w:r w:rsidRPr="005A257B">
        <w:rPr>
          <w:rFonts w:ascii="Times New Roman" w:eastAsia="Times New Roman" w:hAnsi="Times New Roman"/>
          <w:b/>
          <w:bCs/>
          <w:sz w:val="20"/>
          <w:szCs w:val="20"/>
        </w:rPr>
        <w:t>Skin Contact:</w:t>
      </w:r>
      <w:r w:rsidRPr="005A257B">
        <w:rPr>
          <w:rFonts w:ascii="Times New Roman" w:eastAsia="Times New Roman" w:hAnsi="Times New Roman"/>
          <w:bCs/>
          <w:sz w:val="20"/>
          <w:szCs w:val="20"/>
        </w:rPr>
        <w:t xml:space="preserve">  </w:t>
      </w:r>
      <w:r w:rsidR="002532FF">
        <w:rPr>
          <w:rFonts w:ascii="Times New Roman" w:eastAsia="Times New Roman" w:hAnsi="Times New Roman"/>
          <w:bCs/>
          <w:sz w:val="20"/>
          <w:szCs w:val="20"/>
        </w:rPr>
        <w:t>S</w:t>
      </w:r>
      <w:r w:rsidR="00622909">
        <w:rPr>
          <w:rFonts w:ascii="Times New Roman" w:eastAsia="Times New Roman" w:hAnsi="Times New Roman"/>
          <w:bCs/>
          <w:sz w:val="20"/>
          <w:szCs w:val="20"/>
        </w:rPr>
        <w:t>kin e</w:t>
      </w:r>
      <w:r w:rsidR="005A257B" w:rsidRPr="005A257B">
        <w:rPr>
          <w:rFonts w:ascii="Times New Roman" w:eastAsia="Times New Roman" w:hAnsi="Times New Roman"/>
          <w:sz w:val="20"/>
          <w:szCs w:val="20"/>
        </w:rPr>
        <w:t xml:space="preserve">xposure may </w:t>
      </w:r>
      <w:r w:rsidR="00622909">
        <w:rPr>
          <w:rFonts w:ascii="Times New Roman" w:eastAsia="Times New Roman" w:hAnsi="Times New Roman"/>
          <w:sz w:val="20"/>
          <w:szCs w:val="20"/>
        </w:rPr>
        <w:t>result in</w:t>
      </w:r>
      <w:r w:rsidR="005A257B" w:rsidRPr="005A257B">
        <w:rPr>
          <w:rFonts w:ascii="Times New Roman" w:eastAsia="Times New Roman" w:hAnsi="Times New Roman"/>
          <w:sz w:val="20"/>
          <w:szCs w:val="20"/>
        </w:rPr>
        <w:t xml:space="preserve"> </w:t>
      </w:r>
      <w:r w:rsidR="00622909">
        <w:rPr>
          <w:rFonts w:ascii="Times New Roman" w:eastAsia="Times New Roman" w:hAnsi="Times New Roman"/>
          <w:sz w:val="20"/>
          <w:szCs w:val="20"/>
        </w:rPr>
        <w:t>mechanical</w:t>
      </w:r>
      <w:r w:rsidR="005A257B" w:rsidRPr="005A257B">
        <w:rPr>
          <w:rFonts w:ascii="Times New Roman" w:eastAsia="Times New Roman" w:hAnsi="Times New Roman"/>
          <w:sz w:val="20"/>
          <w:szCs w:val="20"/>
        </w:rPr>
        <w:t xml:space="preserve"> irritation</w:t>
      </w:r>
      <w:r w:rsidR="00D25DBF" w:rsidRPr="005A257B">
        <w:rPr>
          <w:rFonts w:ascii="Times New Roman" w:eastAsia="Times New Roman" w:hAnsi="Times New Roman"/>
          <w:sz w:val="20"/>
          <w:szCs w:val="20"/>
        </w:rPr>
        <w:t>.</w:t>
      </w:r>
    </w:p>
    <w:p w14:paraId="79C1987A" w14:textId="77777777" w:rsidR="00383F47" w:rsidRPr="005A257B" w:rsidRDefault="00EB5E4A" w:rsidP="003A70BC">
      <w:pPr>
        <w:widowControl/>
        <w:spacing w:before="120" w:after="0" w:line="240" w:lineRule="auto"/>
        <w:ind w:left="360"/>
        <w:jc w:val="both"/>
        <w:rPr>
          <w:rFonts w:ascii="Times New Roman" w:eastAsia="Times New Roman" w:hAnsi="Times New Roman"/>
          <w:bCs/>
          <w:sz w:val="20"/>
          <w:szCs w:val="20"/>
        </w:rPr>
      </w:pPr>
      <w:r w:rsidRPr="005A257B">
        <w:rPr>
          <w:rFonts w:ascii="Times New Roman" w:eastAsia="Times New Roman" w:hAnsi="Times New Roman"/>
          <w:b/>
          <w:bCs/>
          <w:sz w:val="20"/>
          <w:szCs w:val="20"/>
        </w:rPr>
        <w:t>Eye Contact:</w:t>
      </w:r>
      <w:r w:rsidRPr="005A257B">
        <w:rPr>
          <w:rFonts w:ascii="Times New Roman" w:eastAsia="Times New Roman" w:hAnsi="Times New Roman"/>
          <w:bCs/>
          <w:sz w:val="20"/>
          <w:szCs w:val="20"/>
        </w:rPr>
        <w:t xml:space="preserve">  </w:t>
      </w:r>
      <w:r w:rsidR="002532FF">
        <w:rPr>
          <w:rFonts w:ascii="Times New Roman" w:eastAsia="Times New Roman" w:hAnsi="Times New Roman"/>
          <w:bCs/>
          <w:sz w:val="20"/>
          <w:szCs w:val="20"/>
        </w:rPr>
        <w:t>Dust</w:t>
      </w:r>
      <w:r w:rsidR="00B54B62">
        <w:rPr>
          <w:rFonts w:ascii="Times New Roman" w:eastAsia="Times New Roman" w:hAnsi="Times New Roman"/>
          <w:bCs/>
          <w:sz w:val="20"/>
          <w:szCs w:val="20"/>
        </w:rPr>
        <w:t xml:space="preserve"> </w:t>
      </w:r>
      <w:r w:rsidR="00622909" w:rsidRPr="005A257B">
        <w:rPr>
          <w:rFonts w:ascii="Times New Roman" w:eastAsia="Times New Roman" w:hAnsi="Times New Roman"/>
          <w:sz w:val="20"/>
          <w:szCs w:val="20"/>
        </w:rPr>
        <w:t xml:space="preserve">may cause </w:t>
      </w:r>
      <w:r w:rsidR="00622909">
        <w:rPr>
          <w:rFonts w:ascii="Times New Roman" w:eastAsia="Times New Roman" w:hAnsi="Times New Roman"/>
          <w:sz w:val="20"/>
          <w:szCs w:val="20"/>
        </w:rPr>
        <w:t>mechanical</w:t>
      </w:r>
      <w:r w:rsidR="00622909" w:rsidRPr="005A257B">
        <w:rPr>
          <w:rFonts w:ascii="Times New Roman" w:eastAsia="Times New Roman" w:hAnsi="Times New Roman"/>
          <w:sz w:val="20"/>
          <w:szCs w:val="20"/>
        </w:rPr>
        <w:t xml:space="preserve"> irritation</w:t>
      </w:r>
      <w:r w:rsidR="00D25DBF" w:rsidRPr="005A257B">
        <w:rPr>
          <w:rFonts w:ascii="Times New Roman" w:eastAsia="Times New Roman" w:hAnsi="Times New Roman"/>
          <w:bCs/>
          <w:sz w:val="20"/>
          <w:szCs w:val="20"/>
        </w:rPr>
        <w:t>.</w:t>
      </w:r>
      <w:r w:rsidR="002532FF" w:rsidRPr="002532FF">
        <w:rPr>
          <w:rFonts w:ascii="Times New Roman" w:eastAsia="Times New Roman" w:hAnsi="Times New Roman"/>
          <w:bCs/>
          <w:sz w:val="20"/>
          <w:szCs w:val="20"/>
        </w:rPr>
        <w:t xml:space="preserve"> </w:t>
      </w:r>
      <w:r w:rsidR="002532FF">
        <w:rPr>
          <w:rFonts w:ascii="Times New Roman" w:eastAsia="Times New Roman" w:hAnsi="Times New Roman"/>
          <w:bCs/>
          <w:sz w:val="20"/>
          <w:szCs w:val="20"/>
        </w:rPr>
        <w:t xml:space="preserve"> Fumes from heated of burning polystyrene may cause irritation and tearing.</w:t>
      </w:r>
    </w:p>
    <w:p w14:paraId="13036720" w14:textId="77777777" w:rsidR="00F656A2" w:rsidRDefault="00EB5E4A" w:rsidP="003A70BC">
      <w:pPr>
        <w:widowControl/>
        <w:spacing w:before="120" w:after="120" w:line="240" w:lineRule="auto"/>
        <w:ind w:left="360"/>
        <w:jc w:val="both"/>
        <w:rPr>
          <w:rFonts w:ascii="Times New Roman" w:eastAsia="Times New Roman" w:hAnsi="Times New Roman"/>
          <w:b/>
          <w:bCs/>
          <w:sz w:val="20"/>
          <w:szCs w:val="20"/>
        </w:rPr>
      </w:pPr>
      <w:r w:rsidRPr="005A257B">
        <w:rPr>
          <w:rFonts w:ascii="Times New Roman" w:eastAsia="Times New Roman" w:hAnsi="Times New Roman"/>
          <w:b/>
          <w:bCs/>
          <w:sz w:val="20"/>
          <w:szCs w:val="20"/>
        </w:rPr>
        <w:t>Ingestion:</w:t>
      </w:r>
      <w:r w:rsidRPr="005A257B">
        <w:rPr>
          <w:rFonts w:ascii="Times New Roman" w:eastAsia="Times New Roman" w:hAnsi="Times New Roman"/>
          <w:bCs/>
          <w:sz w:val="20"/>
          <w:szCs w:val="20"/>
        </w:rPr>
        <w:t xml:space="preserve">  </w:t>
      </w:r>
      <w:r w:rsidR="00B54B62" w:rsidRPr="00B54B62">
        <w:rPr>
          <w:rFonts w:ascii="Times New Roman" w:eastAsia="Times New Roman" w:hAnsi="Times New Roman"/>
          <w:bCs/>
          <w:sz w:val="20"/>
          <w:szCs w:val="20"/>
        </w:rPr>
        <w:t>No data available</w:t>
      </w:r>
      <w:r w:rsidR="006662F0">
        <w:rPr>
          <w:rFonts w:ascii="Times New Roman" w:eastAsia="Times New Roman" w:hAnsi="Times New Roman"/>
          <w:bCs/>
          <w:sz w:val="20"/>
          <w:szCs w:val="20"/>
        </w:rPr>
        <w:t>.</w:t>
      </w:r>
    </w:p>
    <w:p w14:paraId="0497F232" w14:textId="77777777" w:rsidR="006D24D9" w:rsidRPr="006E61C7" w:rsidRDefault="00EB5E4A" w:rsidP="003A70BC">
      <w:pPr>
        <w:widowControl/>
        <w:spacing w:after="120" w:line="240" w:lineRule="auto"/>
        <w:jc w:val="both"/>
        <w:rPr>
          <w:rFonts w:ascii="Times New Roman" w:eastAsia="Times New Roman" w:hAnsi="Times New Roman"/>
          <w:bCs/>
          <w:sz w:val="20"/>
          <w:szCs w:val="20"/>
        </w:rPr>
      </w:pPr>
      <w:r w:rsidRPr="006E61C7">
        <w:rPr>
          <w:rFonts w:ascii="Times New Roman" w:eastAsia="Times New Roman" w:hAnsi="Times New Roman"/>
          <w:b/>
          <w:bCs/>
          <w:sz w:val="20"/>
          <w:szCs w:val="20"/>
        </w:rPr>
        <w:t>Numerical Measures of Toxicity:</w:t>
      </w:r>
    </w:p>
    <w:p w14:paraId="54332B26" w14:textId="12C8193D" w:rsidR="00743478" w:rsidRDefault="008E1A8B" w:rsidP="00EF5026">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Acute Toxicity:</w:t>
      </w:r>
      <w:r w:rsidR="00942D37" w:rsidRPr="00005D5A">
        <w:rPr>
          <w:rFonts w:ascii="Times New Roman" w:eastAsia="Times New Roman" w:hAnsi="Times New Roman"/>
          <w:bCs/>
          <w:sz w:val="20"/>
          <w:szCs w:val="20"/>
        </w:rPr>
        <w:t xml:space="preserve">  </w:t>
      </w:r>
      <w:r w:rsidR="003375EA" w:rsidRPr="00015F8E">
        <w:rPr>
          <w:rFonts w:ascii="Times New Roman" w:eastAsia="Times New Roman" w:hAnsi="Times New Roman"/>
          <w:bCs/>
          <w:sz w:val="20"/>
          <w:szCs w:val="20"/>
        </w:rPr>
        <w:t>Not classified</w:t>
      </w:r>
      <w:r w:rsidR="00743478" w:rsidRPr="00015F8E">
        <w:rPr>
          <w:rFonts w:ascii="Times New Roman" w:eastAsia="Times New Roman" w:hAnsi="Times New Roman"/>
          <w:bCs/>
          <w:sz w:val="20"/>
          <w:szCs w:val="20"/>
        </w:rPr>
        <w:t>.</w:t>
      </w:r>
    </w:p>
    <w:p w14:paraId="217CF34F" w14:textId="19CF8EE9" w:rsidR="00EF5026" w:rsidRPr="00EF5026" w:rsidRDefault="00EF5026" w:rsidP="003A70BC">
      <w:pPr>
        <w:widowControl/>
        <w:spacing w:after="12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ab/>
      </w:r>
      <w:r w:rsidRPr="00EF5026">
        <w:rPr>
          <w:rFonts w:ascii="Times New Roman" w:eastAsia="Times New Roman" w:hAnsi="Times New Roman"/>
          <w:bCs/>
          <w:sz w:val="20"/>
          <w:szCs w:val="20"/>
        </w:rPr>
        <w:t>Rat, Inhalation LC50:</w:t>
      </w:r>
      <w:r>
        <w:rPr>
          <w:rFonts w:ascii="Times New Roman" w:eastAsia="Times New Roman" w:hAnsi="Times New Roman"/>
          <w:bCs/>
          <w:sz w:val="20"/>
          <w:szCs w:val="20"/>
        </w:rPr>
        <w:t xml:space="preserve"> 56.6 g/m</w:t>
      </w:r>
      <w:r>
        <w:rPr>
          <w:rFonts w:ascii="Times New Roman" w:eastAsia="Times New Roman" w:hAnsi="Times New Roman"/>
          <w:bCs/>
          <w:sz w:val="20"/>
          <w:szCs w:val="20"/>
          <w:vertAlign w:val="superscript"/>
        </w:rPr>
        <w:t>3</w:t>
      </w:r>
      <w:r>
        <w:rPr>
          <w:rFonts w:ascii="Times New Roman" w:eastAsia="Times New Roman" w:hAnsi="Times New Roman"/>
          <w:bCs/>
          <w:sz w:val="20"/>
          <w:szCs w:val="20"/>
        </w:rPr>
        <w:t xml:space="preserve"> 30 minutes</w:t>
      </w:r>
    </w:p>
    <w:p w14:paraId="4A0B397B" w14:textId="77777777" w:rsidR="00EE1F37" w:rsidRPr="00015F8E" w:rsidRDefault="00EE1F37" w:rsidP="003A70BC">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Skin </w:t>
      </w:r>
      <w:r w:rsidR="005A73FE" w:rsidRPr="00015F8E">
        <w:rPr>
          <w:rFonts w:ascii="Times New Roman" w:eastAsia="Times New Roman" w:hAnsi="Times New Roman"/>
          <w:b/>
          <w:bCs/>
          <w:sz w:val="20"/>
          <w:szCs w:val="20"/>
        </w:rPr>
        <w:t>C</w:t>
      </w:r>
      <w:r w:rsidRPr="00015F8E">
        <w:rPr>
          <w:rFonts w:ascii="Times New Roman" w:eastAsia="Times New Roman" w:hAnsi="Times New Roman"/>
          <w:b/>
          <w:bCs/>
          <w:sz w:val="20"/>
          <w:szCs w:val="20"/>
        </w:rPr>
        <w:t>orrosion/</w:t>
      </w:r>
      <w:r w:rsidR="005A73FE" w:rsidRPr="00015F8E">
        <w:rPr>
          <w:rFonts w:ascii="Times New Roman" w:eastAsia="Times New Roman" w:hAnsi="Times New Roman"/>
          <w:b/>
          <w:bCs/>
          <w:sz w:val="20"/>
          <w:szCs w:val="20"/>
        </w:rPr>
        <w:t>I</w:t>
      </w:r>
      <w:r w:rsidRPr="00015F8E">
        <w:rPr>
          <w:rFonts w:ascii="Times New Roman" w:eastAsia="Times New Roman" w:hAnsi="Times New Roman"/>
          <w:b/>
          <w:bCs/>
          <w:sz w:val="20"/>
          <w:szCs w:val="20"/>
        </w:rPr>
        <w:t>rritation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C27D84" w:rsidRPr="00015F8E">
        <w:rPr>
          <w:rFonts w:ascii="Times New Roman" w:eastAsia="Times New Roman" w:hAnsi="Times New Roman"/>
          <w:bCs/>
          <w:sz w:val="20"/>
          <w:szCs w:val="20"/>
        </w:rPr>
        <w:t>.</w:t>
      </w:r>
    </w:p>
    <w:p w14:paraId="2BA8F402" w14:textId="77777777" w:rsidR="00EE1F37" w:rsidRPr="00015F8E" w:rsidRDefault="00EE1F37" w:rsidP="003A70BC">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Serious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 xml:space="preserve">ye damage/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ye irritation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C27D84" w:rsidRPr="00015F8E">
        <w:rPr>
          <w:rFonts w:ascii="Times New Roman" w:eastAsia="Times New Roman" w:hAnsi="Times New Roman"/>
          <w:bCs/>
          <w:sz w:val="20"/>
          <w:szCs w:val="20"/>
        </w:rPr>
        <w:t>.</w:t>
      </w:r>
    </w:p>
    <w:p w14:paraId="0BA5BFC8" w14:textId="77777777" w:rsidR="00EE1F37" w:rsidRPr="00015F8E" w:rsidRDefault="00EE1F37" w:rsidP="003A70BC">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Respiratory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ensitization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70BB00F8" w14:textId="77777777" w:rsidR="00EE1F37" w:rsidRPr="00015F8E" w:rsidRDefault="00EE1F37" w:rsidP="003A70BC">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Skin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ensitization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51211577" w14:textId="77777777" w:rsidR="00EE1F37" w:rsidRPr="00015F8E" w:rsidRDefault="00EE1F37" w:rsidP="003A70BC">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Germ Cell Mutagenicity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E620ED" w:rsidRPr="00015F8E">
        <w:rPr>
          <w:rFonts w:ascii="Times New Roman" w:eastAsia="Times New Roman" w:hAnsi="Times New Roman"/>
          <w:bCs/>
          <w:sz w:val="20"/>
          <w:szCs w:val="20"/>
        </w:rPr>
        <w:t>.</w:t>
      </w:r>
    </w:p>
    <w:p w14:paraId="7D415B4E" w14:textId="77777777" w:rsidR="005A73FE" w:rsidRPr="00C66C97" w:rsidRDefault="005A73FE" w:rsidP="003A70BC">
      <w:pPr>
        <w:widowControl/>
        <w:spacing w:after="6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Carcinogenicity:</w:t>
      </w:r>
      <w:r w:rsidRPr="00005D5A">
        <w:rPr>
          <w:rFonts w:ascii="Times New Roman" w:eastAsia="Times New Roman" w:hAnsi="Times New Roman"/>
          <w:bCs/>
          <w:sz w:val="20"/>
          <w:szCs w:val="20"/>
        </w:rPr>
        <w:t xml:space="preserve">  </w:t>
      </w:r>
      <w:r w:rsidR="003375EA" w:rsidRPr="00015F8E">
        <w:rPr>
          <w:rFonts w:ascii="Times New Roman" w:eastAsia="Times New Roman" w:hAnsi="Times New Roman"/>
          <w:bCs/>
          <w:sz w:val="20"/>
          <w:szCs w:val="20"/>
        </w:rPr>
        <w:t>Not classified</w:t>
      </w:r>
      <w:r w:rsidRPr="00015F8E">
        <w:rPr>
          <w:rFonts w:ascii="Times New Roman" w:eastAsia="Times New Roman" w:hAnsi="Times New Roman"/>
          <w:bCs/>
          <w:sz w:val="20"/>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0110A" w:rsidRPr="00015F8E" w14:paraId="07C5112D" w14:textId="77777777" w:rsidTr="000C0534">
        <w:trPr>
          <w:trHeight w:val="60"/>
        </w:trPr>
        <w:tc>
          <w:tcPr>
            <w:tcW w:w="5028" w:type="dxa"/>
            <w:vAlign w:val="center"/>
          </w:tcPr>
          <w:p w14:paraId="4F58C0D0" w14:textId="77777777" w:rsidR="005A73FE" w:rsidRPr="00015F8E" w:rsidRDefault="005A73FE" w:rsidP="003A70BC">
            <w:pPr>
              <w:widowControl/>
              <w:spacing w:after="0" w:line="240" w:lineRule="auto"/>
              <w:ind w:left="240"/>
              <w:rPr>
                <w:rFonts w:ascii="Times New Roman" w:hAnsi="Times New Roman"/>
                <w:b/>
                <w:sz w:val="20"/>
                <w:szCs w:val="20"/>
              </w:rPr>
            </w:pPr>
            <w:r w:rsidRPr="00015F8E">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bottom"/>
          </w:tcPr>
          <w:p w14:paraId="1AE9C09C" w14:textId="77777777" w:rsidR="005A73FE" w:rsidRPr="00015F8E" w:rsidRDefault="005A73FE" w:rsidP="003A70BC">
            <w:pPr>
              <w:widowControl/>
              <w:spacing w:after="0" w:line="240" w:lineRule="auto"/>
              <w:ind w:left="720"/>
              <w:jc w:val="center"/>
              <w:rPr>
                <w:rFonts w:ascii="Times New Roman" w:hAnsi="Times New Roman"/>
                <w:szCs w:val="20"/>
              </w:rPr>
            </w:pPr>
          </w:p>
        </w:tc>
        <w:tc>
          <w:tcPr>
            <w:tcW w:w="1224" w:type="dxa"/>
            <w:vAlign w:val="center"/>
          </w:tcPr>
          <w:p w14:paraId="148EDA5F" w14:textId="77777777" w:rsidR="005A73FE" w:rsidRPr="00015F8E" w:rsidRDefault="005A73FE" w:rsidP="003A70BC">
            <w:pPr>
              <w:widowControl/>
              <w:spacing w:after="0" w:line="240" w:lineRule="auto"/>
              <w:rPr>
                <w:rFonts w:ascii="Times New Roman" w:hAnsi="Times New Roman"/>
                <w:sz w:val="20"/>
                <w:szCs w:val="20"/>
              </w:rPr>
            </w:pPr>
            <w:r w:rsidRPr="00015F8E">
              <w:rPr>
                <w:rFonts w:ascii="Times New Roman" w:eastAsia="Times New Roman" w:hAnsi="Times New Roman"/>
                <w:spacing w:val="2"/>
                <w:sz w:val="20"/>
                <w:szCs w:val="20"/>
              </w:rPr>
              <w:t>Yes</w:t>
            </w:r>
          </w:p>
        </w:tc>
        <w:tc>
          <w:tcPr>
            <w:tcW w:w="576" w:type="dxa"/>
            <w:tcBorders>
              <w:bottom w:val="single" w:sz="4" w:space="0" w:color="auto"/>
            </w:tcBorders>
            <w:vAlign w:val="center"/>
          </w:tcPr>
          <w:p w14:paraId="475C1CBE" w14:textId="77777777" w:rsidR="005A73FE" w:rsidRPr="00015F8E" w:rsidRDefault="005A73FE" w:rsidP="003A70BC">
            <w:pPr>
              <w:widowControl/>
              <w:spacing w:after="0" w:line="240" w:lineRule="auto"/>
              <w:jc w:val="center"/>
              <w:rPr>
                <w:rFonts w:ascii="Times New Roman" w:hAnsi="Times New Roman"/>
                <w:sz w:val="20"/>
                <w:szCs w:val="20"/>
              </w:rPr>
            </w:pPr>
            <w:r w:rsidRPr="00015F8E">
              <w:rPr>
                <w:rFonts w:ascii="Times New Roman" w:hAnsi="Times New Roman"/>
                <w:sz w:val="20"/>
                <w:szCs w:val="20"/>
              </w:rPr>
              <w:t>X</w:t>
            </w:r>
          </w:p>
        </w:tc>
        <w:tc>
          <w:tcPr>
            <w:tcW w:w="634" w:type="dxa"/>
            <w:vAlign w:val="center"/>
          </w:tcPr>
          <w:p w14:paraId="33C781A3" w14:textId="77777777" w:rsidR="005A73FE" w:rsidRPr="00015F8E" w:rsidRDefault="005A73FE" w:rsidP="003A70BC">
            <w:pPr>
              <w:widowControl/>
              <w:spacing w:after="0" w:line="240" w:lineRule="auto"/>
              <w:rPr>
                <w:rFonts w:ascii="Times New Roman" w:hAnsi="Times New Roman"/>
                <w:sz w:val="20"/>
                <w:szCs w:val="20"/>
              </w:rPr>
            </w:pPr>
            <w:r w:rsidRPr="00015F8E">
              <w:rPr>
                <w:rFonts w:ascii="Times New Roman" w:eastAsia="Times New Roman" w:hAnsi="Times New Roman"/>
                <w:spacing w:val="2"/>
                <w:sz w:val="20"/>
                <w:szCs w:val="20"/>
              </w:rPr>
              <w:t>No</w:t>
            </w:r>
          </w:p>
        </w:tc>
      </w:tr>
    </w:tbl>
    <w:p w14:paraId="2E309F59" w14:textId="77777777" w:rsidR="00C84E3B" w:rsidRPr="00015F8E" w:rsidRDefault="000849A9" w:rsidP="003A70BC">
      <w:pPr>
        <w:widowControl/>
        <w:tabs>
          <w:tab w:val="left" w:pos="720"/>
        </w:tabs>
        <w:spacing w:after="0" w:line="240" w:lineRule="auto"/>
        <w:ind w:left="720"/>
        <w:rPr>
          <w:rFonts w:ascii="Times New Roman" w:eastAsia="Times New Roman" w:hAnsi="Times New Roman"/>
          <w:bCs/>
          <w:spacing w:val="-1"/>
          <w:sz w:val="20"/>
          <w:szCs w:val="20"/>
        </w:rPr>
      </w:pPr>
      <w:r>
        <w:rPr>
          <w:rFonts w:ascii="Times New Roman" w:eastAsia="Times New Roman" w:hAnsi="Times New Roman"/>
          <w:bCs/>
          <w:spacing w:val="-1"/>
          <w:sz w:val="20"/>
          <w:szCs w:val="20"/>
        </w:rPr>
        <w:t xml:space="preserve">Polystyrene </w:t>
      </w:r>
      <w:r w:rsidR="00C84E3B" w:rsidRPr="00015F8E">
        <w:rPr>
          <w:rFonts w:ascii="Times New Roman" w:eastAsia="Times New Roman" w:hAnsi="Times New Roman"/>
          <w:bCs/>
          <w:spacing w:val="-1"/>
          <w:sz w:val="20"/>
          <w:szCs w:val="20"/>
        </w:rPr>
        <w:t xml:space="preserve">is not listed </w:t>
      </w:r>
      <w:r w:rsidR="00FD6E3E">
        <w:rPr>
          <w:rFonts w:ascii="Times New Roman" w:eastAsia="Times New Roman" w:hAnsi="Times New Roman"/>
          <w:bCs/>
          <w:spacing w:val="-1"/>
          <w:sz w:val="20"/>
          <w:szCs w:val="20"/>
        </w:rPr>
        <w:t>by</w:t>
      </w:r>
      <w:r w:rsidR="00FD6E3E" w:rsidRPr="00015F8E">
        <w:rPr>
          <w:rFonts w:ascii="Times New Roman" w:eastAsia="Times New Roman" w:hAnsi="Times New Roman"/>
          <w:bCs/>
          <w:spacing w:val="-1"/>
          <w:sz w:val="20"/>
          <w:szCs w:val="20"/>
        </w:rPr>
        <w:t xml:space="preserve"> </w:t>
      </w:r>
      <w:r w:rsidR="00C84E3B" w:rsidRPr="00015F8E">
        <w:rPr>
          <w:rFonts w:ascii="Times New Roman" w:eastAsia="Times New Roman" w:hAnsi="Times New Roman"/>
          <w:bCs/>
          <w:spacing w:val="-1"/>
          <w:sz w:val="20"/>
          <w:szCs w:val="20"/>
        </w:rPr>
        <w:t>NTP, IARC or OSHA as a carcinogen.</w:t>
      </w:r>
    </w:p>
    <w:p w14:paraId="1A5DF56C" w14:textId="77777777" w:rsidR="00EE1F37" w:rsidRPr="00015F8E" w:rsidRDefault="00EE1F37" w:rsidP="003A70BC">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Reproductive Toxicity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C84E3B" w:rsidRPr="00015F8E">
        <w:rPr>
          <w:rFonts w:ascii="Times New Roman" w:eastAsia="Times New Roman" w:hAnsi="Times New Roman"/>
          <w:bCs/>
          <w:sz w:val="20"/>
          <w:szCs w:val="20"/>
        </w:rPr>
        <w:t>.</w:t>
      </w:r>
    </w:p>
    <w:p w14:paraId="219CECC7" w14:textId="77777777" w:rsidR="00EE1F37" w:rsidRPr="00015F8E" w:rsidRDefault="00EE1F37" w:rsidP="003A70BC">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1C345F25" w14:textId="77777777" w:rsidR="00EE1F37" w:rsidRPr="00015F8E" w:rsidRDefault="00EE1F37" w:rsidP="003A70BC">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2032C18B" w14:textId="77777777" w:rsidR="004521E9" w:rsidRPr="004528A1" w:rsidRDefault="00EE1F37" w:rsidP="003A70BC">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4CE3BEF" w14:textId="77777777" w:rsidTr="004521E9">
        <w:trPr>
          <w:trHeight w:hRule="exact" w:val="360"/>
        </w:trPr>
        <w:tc>
          <w:tcPr>
            <w:tcW w:w="9576" w:type="dxa"/>
            <w:vAlign w:val="center"/>
          </w:tcPr>
          <w:p w14:paraId="5637C6B0" w14:textId="77777777" w:rsidR="004521E9" w:rsidRDefault="004521E9" w:rsidP="003A70B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6DE0C2D" w14:textId="77777777" w:rsidR="004521E9" w:rsidRPr="006E61C7" w:rsidRDefault="004521E9" w:rsidP="00E74426">
      <w:pPr>
        <w:widowControl/>
        <w:spacing w:before="120" w:after="0" w:line="240" w:lineRule="auto"/>
        <w:jc w:val="both"/>
        <w:rPr>
          <w:rFonts w:ascii="Times New Roman" w:eastAsia="Times New Roman" w:hAnsi="Times New Roman"/>
          <w:sz w:val="20"/>
          <w:szCs w:val="20"/>
        </w:rPr>
      </w:pPr>
      <w:proofErr w:type="spellStart"/>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proofErr w:type="spellEnd"/>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005D5A" w:rsidRPr="00005D5A">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w:t>
      </w:r>
      <w:r w:rsidR="00005D5A">
        <w:rPr>
          <w:rFonts w:ascii="Times New Roman" w:eastAsia="Times New Roman" w:hAnsi="Times New Roman"/>
          <w:bCs/>
          <w:sz w:val="20"/>
          <w:szCs w:val="20"/>
        </w:rPr>
        <w:t xml:space="preserve"> data available</w:t>
      </w:r>
    </w:p>
    <w:p w14:paraId="6F85F7B5" w14:textId="77777777" w:rsidR="004521E9" w:rsidRPr="00005D5A" w:rsidRDefault="004521E9" w:rsidP="00E74426">
      <w:pPr>
        <w:widowControl/>
        <w:spacing w:before="120" w:after="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17CC109" w14:textId="77777777" w:rsidR="004521E9" w:rsidRPr="00005D5A" w:rsidRDefault="004521E9" w:rsidP="00E74426">
      <w:pPr>
        <w:widowControl/>
        <w:spacing w:before="120" w:after="0" w:line="240" w:lineRule="auto"/>
        <w:jc w:val="both"/>
        <w:rPr>
          <w:rFonts w:ascii="Times New Roman" w:eastAsia="Times New Roman" w:hAnsi="Times New Roman"/>
          <w:bCs/>
          <w:spacing w:val="-1"/>
          <w:sz w:val="20"/>
          <w:szCs w:val="20"/>
        </w:rPr>
      </w:pPr>
      <w:proofErr w:type="spellStart"/>
      <w:r w:rsidRPr="006E61C7">
        <w:rPr>
          <w:rFonts w:ascii="Times New Roman" w:eastAsia="Times New Roman" w:hAnsi="Times New Roman"/>
          <w:b/>
          <w:bCs/>
          <w:spacing w:val="-1"/>
          <w:sz w:val="20"/>
          <w:szCs w:val="20"/>
        </w:rPr>
        <w:t>Bioaccumulative</w:t>
      </w:r>
      <w:proofErr w:type="spellEnd"/>
      <w:r w:rsidRPr="006E61C7">
        <w:rPr>
          <w:rFonts w:ascii="Times New Roman" w:eastAsia="Times New Roman" w:hAnsi="Times New Roman"/>
          <w:b/>
          <w:bCs/>
          <w:spacing w:val="-1"/>
          <w:sz w:val="20"/>
          <w:szCs w:val="20"/>
        </w:rPr>
        <w:t xml:space="preser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A062780" w14:textId="77777777" w:rsidR="004521E9" w:rsidRPr="00005D5A" w:rsidRDefault="004521E9" w:rsidP="00E74426">
      <w:pPr>
        <w:widowControl/>
        <w:spacing w:before="120" w:after="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92619F0" w14:textId="77777777" w:rsidR="004521E9" w:rsidRDefault="004521E9" w:rsidP="00684EF3">
      <w:pPr>
        <w:widowControl/>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41E1A6E" w14:textId="77777777" w:rsidTr="004521E9">
        <w:trPr>
          <w:trHeight w:hRule="exact" w:val="360"/>
        </w:trPr>
        <w:tc>
          <w:tcPr>
            <w:tcW w:w="9576" w:type="dxa"/>
            <w:vAlign w:val="center"/>
          </w:tcPr>
          <w:p w14:paraId="55BDF99F" w14:textId="77777777" w:rsidR="004521E9" w:rsidRDefault="004521E9" w:rsidP="003A70B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41E8EDB7" w14:textId="77777777" w:rsidR="00D536DB" w:rsidRPr="00D536DB" w:rsidRDefault="004521E9" w:rsidP="003A70BC">
      <w:pPr>
        <w:widowControl/>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B3EF260" w14:textId="77777777" w:rsidTr="004521E9">
        <w:trPr>
          <w:trHeight w:hRule="exact" w:val="360"/>
        </w:trPr>
        <w:tc>
          <w:tcPr>
            <w:tcW w:w="9576" w:type="dxa"/>
            <w:vAlign w:val="center"/>
          </w:tcPr>
          <w:p w14:paraId="1FF453C8" w14:textId="77777777" w:rsidR="004521E9" w:rsidRDefault="004521E9" w:rsidP="003A70B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38E53B18" w14:textId="77777777" w:rsidR="00A13A72" w:rsidRPr="00821095" w:rsidRDefault="004521E9" w:rsidP="00E74426">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U</w:t>
      </w:r>
      <w:r>
        <w:rPr>
          <w:rFonts w:ascii="Times New Roman" w:eastAsia="Times New Roman" w:hAnsi="Times New Roman"/>
          <w:b/>
          <w:bCs/>
          <w:spacing w:val="1"/>
          <w:sz w:val="20"/>
          <w:szCs w:val="20"/>
        </w:rPr>
        <w:t>.</w:t>
      </w:r>
      <w:r>
        <w:rPr>
          <w:rFonts w:ascii="Times New Roman" w:eastAsia="Times New Roman" w:hAnsi="Times New Roman"/>
          <w:b/>
          <w:bCs/>
          <w:sz w:val="20"/>
          <w:szCs w:val="20"/>
        </w:rPr>
        <w:t>S.</w:t>
      </w:r>
      <w:r>
        <w:rPr>
          <w:rFonts w:ascii="Times New Roman" w:eastAsia="Times New Roman" w:hAnsi="Times New Roman"/>
          <w:b/>
          <w:bCs/>
          <w:spacing w:val="4"/>
          <w:sz w:val="20"/>
          <w:szCs w:val="20"/>
        </w:rPr>
        <w:t xml:space="preserve"> </w:t>
      </w:r>
      <w:r>
        <w:rPr>
          <w:rFonts w:ascii="Times New Roman" w:eastAsia="Times New Roman" w:hAnsi="Times New Roman"/>
          <w:b/>
          <w:bCs/>
          <w:sz w:val="20"/>
          <w:szCs w:val="20"/>
        </w:rPr>
        <w:t>D</w:t>
      </w:r>
      <w:r>
        <w:rPr>
          <w:rFonts w:ascii="Times New Roman" w:eastAsia="Times New Roman" w:hAnsi="Times New Roman"/>
          <w:b/>
          <w:bCs/>
          <w:spacing w:val="1"/>
          <w:sz w:val="20"/>
          <w:szCs w:val="20"/>
        </w:rPr>
        <w:t>O</w:t>
      </w:r>
      <w:r>
        <w:rPr>
          <w:rFonts w:ascii="Times New Roman" w:eastAsia="Times New Roman" w:hAnsi="Times New Roman"/>
          <w:b/>
          <w:bCs/>
          <w:sz w:val="20"/>
          <w:szCs w:val="20"/>
        </w:rPr>
        <w:t>T</w:t>
      </w:r>
      <w:r>
        <w:rPr>
          <w:rFonts w:ascii="Times New Roman" w:eastAsia="Times New Roman" w:hAnsi="Times New Roman"/>
          <w:b/>
          <w:bCs/>
          <w:spacing w:val="3"/>
          <w:sz w:val="20"/>
          <w:szCs w:val="20"/>
        </w:rPr>
        <w:t xml:space="preserve"> </w:t>
      </w:r>
      <w:r>
        <w:rPr>
          <w:rFonts w:ascii="Times New Roman" w:eastAsia="Times New Roman" w:hAnsi="Times New Roman"/>
          <w:b/>
          <w:bCs/>
          <w:spacing w:val="1"/>
          <w:sz w:val="20"/>
          <w:szCs w:val="20"/>
        </w:rPr>
        <w:t>a</w:t>
      </w:r>
      <w:r>
        <w:rPr>
          <w:rFonts w:ascii="Times New Roman" w:eastAsia="Times New Roman" w:hAnsi="Times New Roman"/>
          <w:b/>
          <w:bCs/>
          <w:sz w:val="20"/>
          <w:szCs w:val="20"/>
        </w:rPr>
        <w:t>nd</w:t>
      </w:r>
      <w:r>
        <w:rPr>
          <w:rFonts w:ascii="Times New Roman" w:eastAsia="Times New Roman" w:hAnsi="Times New Roman"/>
          <w:b/>
          <w:bCs/>
          <w:spacing w:val="4"/>
          <w:sz w:val="20"/>
          <w:szCs w:val="20"/>
        </w:rPr>
        <w:t xml:space="preserve"> </w:t>
      </w:r>
      <w:r>
        <w:rPr>
          <w:rFonts w:ascii="Times New Roman" w:eastAsia="Times New Roman" w:hAnsi="Times New Roman"/>
          <w:b/>
          <w:bCs/>
          <w:spacing w:val="-1"/>
          <w:sz w:val="20"/>
          <w:szCs w:val="20"/>
        </w:rPr>
        <w:t>I</w:t>
      </w:r>
      <w:r>
        <w:rPr>
          <w:rFonts w:ascii="Times New Roman" w:eastAsia="Times New Roman" w:hAnsi="Times New Roman"/>
          <w:b/>
          <w:bCs/>
          <w:sz w:val="20"/>
          <w:szCs w:val="20"/>
        </w:rPr>
        <w:t>A</w:t>
      </w:r>
      <w:r>
        <w:rPr>
          <w:rFonts w:ascii="Times New Roman" w:eastAsia="Times New Roman" w:hAnsi="Times New Roman"/>
          <w:b/>
          <w:bCs/>
          <w:spacing w:val="-1"/>
          <w:sz w:val="20"/>
          <w:szCs w:val="20"/>
        </w:rPr>
        <w:t>T</w:t>
      </w:r>
      <w:r>
        <w:rPr>
          <w:rFonts w:ascii="Times New Roman" w:eastAsia="Times New Roman" w:hAnsi="Times New Roman"/>
          <w:b/>
          <w:bCs/>
          <w:sz w:val="20"/>
          <w:szCs w:val="20"/>
        </w:rPr>
        <w:t>A:</w:t>
      </w:r>
      <w:r w:rsidRPr="00005D5A">
        <w:rPr>
          <w:rFonts w:ascii="Times New Roman" w:eastAsia="Times New Roman" w:hAnsi="Times New Roman"/>
          <w:bCs/>
          <w:sz w:val="20"/>
          <w:szCs w:val="20"/>
        </w:rPr>
        <w:t xml:space="preserve"> </w:t>
      </w:r>
      <w:r w:rsidRPr="00005D5A">
        <w:rPr>
          <w:rFonts w:ascii="Times New Roman" w:eastAsia="Times New Roman" w:hAnsi="Times New Roman"/>
          <w:bCs/>
          <w:spacing w:val="10"/>
          <w:sz w:val="20"/>
          <w:szCs w:val="20"/>
        </w:rPr>
        <w:t xml:space="preserve"> </w:t>
      </w:r>
      <w:r w:rsidR="00005D5A">
        <w:rPr>
          <w:rFonts w:ascii="Times New Roman" w:eastAsia="Times New Roman" w:hAnsi="Times New Roman"/>
          <w:bCs/>
          <w:spacing w:val="10"/>
          <w:sz w:val="20"/>
          <w:szCs w:val="20"/>
        </w:rPr>
        <w:t>Not regulated by DOT or IATA</w:t>
      </w:r>
      <w:r w:rsidR="00015F8E">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FB16FB0" w14:textId="77777777" w:rsidTr="003D5857">
        <w:trPr>
          <w:trHeight w:hRule="exact" w:val="360"/>
        </w:trPr>
        <w:tc>
          <w:tcPr>
            <w:tcW w:w="9576" w:type="dxa"/>
            <w:vAlign w:val="center"/>
          </w:tcPr>
          <w:p w14:paraId="4D18E90D" w14:textId="77777777" w:rsidR="003D5857" w:rsidRDefault="003D5857" w:rsidP="003A70B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169637" w14:textId="77777777" w:rsidR="00D536DB" w:rsidRPr="00D536DB" w:rsidRDefault="00D536DB" w:rsidP="003A70BC">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2E8DAFAC" w14:textId="77777777" w:rsidR="00D536DB" w:rsidRPr="00521CB4" w:rsidRDefault="00D536DB" w:rsidP="003A70B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0C991E59" w14:textId="77777777" w:rsidR="00005D5A" w:rsidRPr="00521CB4" w:rsidRDefault="00D536DB" w:rsidP="003A70B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lastRenderedPageBreak/>
        <w:t xml:space="preserve">SARA Title III Section 302 (40 CFR 355.30):  </w:t>
      </w:r>
      <w:r w:rsidR="00005D5A">
        <w:rPr>
          <w:rFonts w:ascii="Times New Roman" w:eastAsia="Times New Roman" w:hAnsi="Times New Roman"/>
          <w:bCs/>
          <w:sz w:val="20"/>
          <w:szCs w:val="20"/>
        </w:rPr>
        <w:t>Not regulated.</w:t>
      </w:r>
    </w:p>
    <w:p w14:paraId="692DED09" w14:textId="77777777" w:rsidR="00005D5A" w:rsidRPr="00521CB4" w:rsidRDefault="00D536DB" w:rsidP="003A70B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21EB4EA9" w14:textId="77777777" w:rsidR="00005D5A" w:rsidRPr="00521CB4" w:rsidRDefault="00D536DB" w:rsidP="003A70B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313 (40 CFR 372.65):  </w:t>
      </w:r>
      <w:r w:rsidR="00005D5A">
        <w:rPr>
          <w:rFonts w:ascii="Times New Roman" w:eastAsia="Times New Roman" w:hAnsi="Times New Roman"/>
          <w:bCs/>
          <w:sz w:val="20"/>
          <w:szCs w:val="20"/>
        </w:rPr>
        <w:t>Not regulated.</w:t>
      </w:r>
    </w:p>
    <w:p w14:paraId="5B355B72" w14:textId="77777777" w:rsidR="00005D5A" w:rsidRPr="00521CB4" w:rsidRDefault="00D536DB" w:rsidP="003A70B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29020B24" w14:textId="77777777" w:rsidR="00D536DB" w:rsidRPr="002B2021" w:rsidRDefault="00D536DB" w:rsidP="00E74426">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4E723F0A" w14:textId="77777777" w:rsidR="00D536DB" w:rsidRPr="002B2021" w:rsidRDefault="00D536DB" w:rsidP="00684EF3">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0FE9501B"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04B2DDC0"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t>No.</w:t>
      </w:r>
    </w:p>
    <w:p w14:paraId="5CF1BC3B"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40CF0717"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614FC728" w14:textId="77777777" w:rsidR="00D536DB" w:rsidRPr="002B2021" w:rsidRDefault="00D536DB" w:rsidP="003A70BC">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4C984683" w14:textId="77777777" w:rsidR="00D536DB" w:rsidRPr="002B2021" w:rsidRDefault="00D536DB" w:rsidP="003A70BC">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BB14A2">
        <w:rPr>
          <w:rFonts w:ascii="Times New Roman" w:eastAsia="Times New Roman" w:hAnsi="Times New Roman"/>
          <w:sz w:val="20"/>
          <w:szCs w:val="20"/>
        </w:rPr>
        <w:t xml:space="preserve">Not </w:t>
      </w:r>
      <w:r w:rsidR="009F6B0C">
        <w:rPr>
          <w:rFonts w:ascii="Times New Roman" w:eastAsia="Times New Roman" w:hAnsi="Times New Roman"/>
          <w:sz w:val="20"/>
          <w:szCs w:val="20"/>
        </w:rPr>
        <w:t>listed</w:t>
      </w:r>
      <w:r w:rsidRPr="002B2021">
        <w:rPr>
          <w:rFonts w:ascii="Times New Roman" w:eastAsia="Times New Roman" w:hAnsi="Times New Roman"/>
          <w:sz w:val="20"/>
          <w:szCs w:val="20"/>
        </w:rPr>
        <w:t>.</w:t>
      </w:r>
    </w:p>
    <w:p w14:paraId="08D5E889" w14:textId="77777777" w:rsidR="004521E9" w:rsidRPr="00521CB4" w:rsidRDefault="008E1B26" w:rsidP="003A70BC">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6113C2">
        <w:rPr>
          <w:rFonts w:ascii="Times New Roman" w:eastAsia="Times New Roman" w:hAnsi="Times New Roman"/>
          <w:bCs/>
          <w:sz w:val="20"/>
          <w:szCs w:val="20"/>
        </w:rPr>
        <w:t>Polystyrene is</w:t>
      </w:r>
      <w:r w:rsidR="006113C2" w:rsidRPr="002B2021">
        <w:rPr>
          <w:rFonts w:ascii="Times New Roman" w:eastAsia="Times New Roman" w:hAnsi="Times New Roman"/>
          <w:bCs/>
          <w:sz w:val="20"/>
          <w:szCs w:val="20"/>
        </w:rPr>
        <w:t xml:space="preserve"> listed.</w:t>
      </w:r>
    </w:p>
    <w:p w14:paraId="11467430" w14:textId="77777777" w:rsidR="003D5857" w:rsidRPr="00521CB4" w:rsidRDefault="003D5857" w:rsidP="003A70BC">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6113C2">
        <w:rPr>
          <w:rFonts w:ascii="Times New Roman" w:eastAsia="Times New Roman" w:hAnsi="Times New Roman"/>
          <w:bCs/>
          <w:sz w:val="20"/>
          <w:szCs w:val="20"/>
        </w:rPr>
        <w:t>Not listed</w:t>
      </w:r>
      <w:r w:rsidR="006113C2" w:rsidRPr="002B2021">
        <w:rPr>
          <w:rFonts w:ascii="Times New Roman" w:eastAsia="Times New Roman" w:hAnsi="Times New Roman"/>
          <w:bCs/>
          <w:sz w:val="20"/>
          <w:szCs w:val="20"/>
        </w:rPr>
        <w:t>.</w:t>
      </w:r>
    </w:p>
    <w:p w14:paraId="56E4138D" w14:textId="77777777" w:rsidR="003D5857" w:rsidRPr="002B2021" w:rsidRDefault="003D5857" w:rsidP="003A70BC">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14:paraId="06CEF852" w14:textId="77777777" w:rsidR="00632690" w:rsidRDefault="003D5857" w:rsidP="003A70BC">
      <w:pPr>
        <w:widowControl/>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54CAB4F6" w14:textId="77777777" w:rsidTr="0067534E">
        <w:trPr>
          <w:trHeight w:hRule="exact" w:val="360"/>
        </w:trPr>
        <w:tc>
          <w:tcPr>
            <w:tcW w:w="9576" w:type="dxa"/>
            <w:vAlign w:val="center"/>
          </w:tcPr>
          <w:p w14:paraId="4D190B13" w14:textId="77777777" w:rsidR="0067534E" w:rsidRDefault="0067534E" w:rsidP="003A70B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7F8D3221" w14:textId="57732F0C" w:rsidR="00622AE4" w:rsidRPr="00684EF3" w:rsidRDefault="00622AE4" w:rsidP="003A70BC">
      <w:pPr>
        <w:widowControl/>
        <w:spacing w:before="120" w:after="0" w:line="240" w:lineRule="auto"/>
        <w:jc w:val="both"/>
        <w:rPr>
          <w:rFonts w:ascii="Times New Roman" w:eastAsia="Times New Roman" w:hAnsi="Times New Roman"/>
          <w:bCs/>
          <w:sz w:val="20"/>
          <w:szCs w:val="20"/>
        </w:rPr>
      </w:pPr>
      <w:r w:rsidRPr="00684EF3">
        <w:rPr>
          <w:rFonts w:ascii="Times New Roman" w:eastAsia="Times New Roman" w:hAnsi="Times New Roman"/>
          <w:b/>
          <w:bCs/>
          <w:sz w:val="20"/>
          <w:szCs w:val="20"/>
        </w:rPr>
        <w:t>Issue Date:</w:t>
      </w:r>
      <w:r w:rsidRPr="00684EF3">
        <w:rPr>
          <w:rFonts w:ascii="Times New Roman" w:eastAsia="Times New Roman" w:hAnsi="Times New Roman"/>
          <w:bCs/>
          <w:sz w:val="20"/>
          <w:szCs w:val="20"/>
        </w:rPr>
        <w:t xml:space="preserve">  </w:t>
      </w:r>
      <w:r w:rsidR="00B513EC">
        <w:rPr>
          <w:rFonts w:ascii="Times New Roman" w:eastAsia="Times New Roman" w:hAnsi="Times New Roman"/>
          <w:bCs/>
          <w:sz w:val="20"/>
          <w:szCs w:val="20"/>
        </w:rPr>
        <w:t>18</w:t>
      </w:r>
      <w:r w:rsidR="00B513EC" w:rsidRPr="00E45DB8">
        <w:rPr>
          <w:rFonts w:ascii="Times New Roman" w:eastAsia="Times New Roman" w:hAnsi="Times New Roman"/>
          <w:bCs/>
          <w:sz w:val="20"/>
          <w:szCs w:val="20"/>
        </w:rPr>
        <w:t> </w:t>
      </w:r>
      <w:r w:rsidR="007A6CE6">
        <w:rPr>
          <w:rFonts w:ascii="Times New Roman" w:eastAsia="Times New Roman" w:hAnsi="Times New Roman"/>
          <w:bCs/>
          <w:sz w:val="20"/>
          <w:szCs w:val="20"/>
        </w:rPr>
        <w:t>May</w:t>
      </w:r>
      <w:r w:rsidR="005F36B6" w:rsidRPr="00E45DB8">
        <w:rPr>
          <w:rFonts w:ascii="Times New Roman" w:eastAsia="Times New Roman" w:hAnsi="Times New Roman"/>
          <w:bCs/>
          <w:sz w:val="20"/>
          <w:szCs w:val="20"/>
        </w:rPr>
        <w:t> </w:t>
      </w:r>
      <w:r w:rsidR="00130CC0" w:rsidRPr="00787B87">
        <w:rPr>
          <w:rFonts w:ascii="Times New Roman" w:eastAsia="Times New Roman" w:hAnsi="Times New Roman"/>
          <w:bCs/>
          <w:sz w:val="20"/>
          <w:szCs w:val="20"/>
        </w:rPr>
        <w:t>201</w:t>
      </w:r>
      <w:r w:rsidR="007A6CE6">
        <w:rPr>
          <w:rFonts w:ascii="Times New Roman" w:eastAsia="Times New Roman" w:hAnsi="Times New Roman"/>
          <w:bCs/>
          <w:sz w:val="20"/>
          <w:szCs w:val="20"/>
        </w:rPr>
        <w:t>5</w:t>
      </w:r>
    </w:p>
    <w:p w14:paraId="66C92A5A" w14:textId="78E0BD9E" w:rsidR="002532FF" w:rsidRDefault="00622AE4" w:rsidP="00331C80">
      <w:pPr>
        <w:widowControl/>
        <w:tabs>
          <w:tab w:val="left" w:pos="1080"/>
        </w:tabs>
        <w:spacing w:before="120" w:after="120"/>
        <w:ind w:left="1080" w:hanging="1080"/>
        <w:jc w:val="both"/>
        <w:rPr>
          <w:rFonts w:ascii="Times New Roman" w:eastAsia="Times New Roman" w:hAnsi="Times New Roman"/>
          <w:bCs/>
          <w:spacing w:val="1"/>
          <w:position w:val="-1"/>
          <w:sz w:val="20"/>
          <w:szCs w:val="20"/>
        </w:rPr>
      </w:pPr>
      <w:r w:rsidRPr="00684EF3">
        <w:rPr>
          <w:rFonts w:ascii="Times New Roman" w:eastAsia="Times New Roman" w:hAnsi="Times New Roman"/>
          <w:b/>
          <w:bCs/>
          <w:spacing w:val="1"/>
          <w:position w:val="-1"/>
          <w:sz w:val="20"/>
          <w:szCs w:val="20"/>
        </w:rPr>
        <w:t>Sources:</w:t>
      </w:r>
      <w:r w:rsidR="00537670" w:rsidRPr="00684EF3">
        <w:rPr>
          <w:rFonts w:ascii="Times New Roman" w:eastAsia="Times New Roman" w:hAnsi="Times New Roman"/>
          <w:bCs/>
          <w:spacing w:val="1"/>
          <w:position w:val="-1"/>
          <w:sz w:val="20"/>
          <w:szCs w:val="20"/>
        </w:rPr>
        <w:tab/>
      </w:r>
      <w:proofErr w:type="spellStart"/>
      <w:r w:rsidR="004D4C2B">
        <w:rPr>
          <w:rFonts w:ascii="Times New Roman" w:eastAsia="Times New Roman" w:hAnsi="Times New Roman"/>
          <w:bCs/>
          <w:spacing w:val="1"/>
          <w:position w:val="-1"/>
          <w:sz w:val="20"/>
          <w:szCs w:val="20"/>
        </w:rPr>
        <w:t>ChemADVISOR</w:t>
      </w:r>
      <w:proofErr w:type="spellEnd"/>
      <w:r w:rsidR="004D4C2B">
        <w:rPr>
          <w:rFonts w:ascii="Times New Roman" w:eastAsia="Times New Roman" w:hAnsi="Times New Roman"/>
          <w:bCs/>
          <w:spacing w:val="1"/>
          <w:position w:val="-1"/>
          <w:sz w:val="20"/>
          <w:szCs w:val="20"/>
        </w:rPr>
        <w:t xml:space="preserve">, Inc., SDS </w:t>
      </w:r>
      <w:r w:rsidR="004D4C2B">
        <w:rPr>
          <w:rFonts w:ascii="Times New Roman" w:eastAsia="Times New Roman" w:hAnsi="Times New Roman"/>
          <w:bCs/>
          <w:i/>
          <w:spacing w:val="1"/>
          <w:position w:val="-1"/>
          <w:sz w:val="20"/>
          <w:szCs w:val="20"/>
        </w:rPr>
        <w:t>Polystyrene</w:t>
      </w:r>
      <w:r w:rsidR="004D4C2B">
        <w:rPr>
          <w:rFonts w:ascii="Times New Roman" w:eastAsia="Times New Roman" w:hAnsi="Times New Roman"/>
          <w:bCs/>
          <w:spacing w:val="1"/>
          <w:position w:val="-1"/>
          <w:sz w:val="20"/>
          <w:szCs w:val="20"/>
        </w:rPr>
        <w:t>, </w:t>
      </w:r>
      <w:r w:rsidR="000E4CC9">
        <w:rPr>
          <w:rFonts w:ascii="Times New Roman" w:eastAsia="Times New Roman" w:hAnsi="Times New Roman"/>
          <w:bCs/>
          <w:spacing w:val="1"/>
          <w:position w:val="-1"/>
          <w:sz w:val="20"/>
          <w:szCs w:val="20"/>
        </w:rPr>
        <w:t>20 </w:t>
      </w:r>
      <w:r w:rsidR="004D4C2B">
        <w:rPr>
          <w:rFonts w:ascii="Times New Roman" w:eastAsia="Times New Roman" w:hAnsi="Times New Roman"/>
          <w:bCs/>
          <w:spacing w:val="1"/>
          <w:position w:val="-1"/>
          <w:sz w:val="20"/>
          <w:szCs w:val="20"/>
        </w:rPr>
        <w:t>March 2015</w:t>
      </w:r>
    </w:p>
    <w:p w14:paraId="4E6A9D08" w14:textId="3D48048B" w:rsidR="00A61AAA" w:rsidRPr="00787B87" w:rsidRDefault="002532FF" w:rsidP="00331C80">
      <w:pPr>
        <w:widowControl/>
        <w:tabs>
          <w:tab w:val="left" w:pos="1080"/>
        </w:tabs>
        <w:spacing w:before="120" w:after="120"/>
        <w:ind w:left="1080" w:hanging="1080"/>
        <w:jc w:val="both"/>
        <w:rPr>
          <w:rFonts w:ascii="Times New Roman" w:eastAsia="Times New Roman" w:hAnsi="Times New Roman"/>
          <w:sz w:val="20"/>
          <w:szCs w:val="20"/>
        </w:rPr>
      </w:pPr>
      <w:r>
        <w:rPr>
          <w:rFonts w:ascii="Times New Roman" w:eastAsia="Times New Roman" w:hAnsi="Times New Roman"/>
          <w:bCs/>
          <w:spacing w:val="1"/>
          <w:position w:val="-1"/>
          <w:sz w:val="20"/>
          <w:szCs w:val="20"/>
        </w:rPr>
        <w:tab/>
      </w:r>
      <w:r w:rsidR="00A61AAA" w:rsidRPr="00684EF3">
        <w:rPr>
          <w:rFonts w:ascii="Times New Roman" w:eastAsia="Times New Roman" w:hAnsi="Times New Roman"/>
          <w:sz w:val="20"/>
          <w:szCs w:val="20"/>
        </w:rPr>
        <w:t>CDC; NIOSH;</w:t>
      </w:r>
      <w:r w:rsidR="00A61AAA" w:rsidRPr="00684EF3">
        <w:rPr>
          <w:rFonts w:ascii="Times New Roman" w:eastAsia="Times New Roman" w:hAnsi="Times New Roman"/>
          <w:b/>
          <w:sz w:val="20"/>
          <w:szCs w:val="20"/>
        </w:rPr>
        <w:t xml:space="preserve"> </w:t>
      </w:r>
      <w:r w:rsidR="00A61AAA" w:rsidRPr="00684EF3">
        <w:rPr>
          <w:rFonts w:ascii="Times New Roman" w:eastAsia="Times New Roman" w:hAnsi="Times New Roman"/>
          <w:i/>
          <w:sz w:val="20"/>
          <w:szCs w:val="20"/>
        </w:rPr>
        <w:t>NIOSH Pocket Guide to Chemical Hazards</w:t>
      </w:r>
      <w:r w:rsidR="00A61AAA" w:rsidRPr="00684EF3">
        <w:rPr>
          <w:rFonts w:ascii="Times New Roman" w:eastAsia="Times New Roman" w:hAnsi="Times New Roman"/>
          <w:sz w:val="20"/>
          <w:szCs w:val="20"/>
        </w:rPr>
        <w:t>; Department of Health and Human Services (DHHS), Centers for Disease Control and Prevention (CDC), National Institute for Safety and Health;</w:t>
      </w:r>
      <w:r w:rsidR="00331C80" w:rsidRPr="00684EF3">
        <w:rPr>
          <w:rFonts w:ascii="Times New Roman" w:eastAsia="Times New Roman" w:hAnsi="Times New Roman"/>
          <w:sz w:val="20"/>
          <w:szCs w:val="20"/>
        </w:rPr>
        <w:t> </w:t>
      </w:r>
      <w:r w:rsidR="00A61AAA" w:rsidRPr="00684EF3">
        <w:rPr>
          <w:rFonts w:ascii="Times New Roman" w:eastAsia="Times New Roman" w:hAnsi="Times New Roman"/>
          <w:i/>
          <w:sz w:val="20"/>
          <w:szCs w:val="20"/>
        </w:rPr>
        <w:t>Particulates</w:t>
      </w:r>
      <w:r w:rsidR="00331C80" w:rsidRPr="00684EF3">
        <w:rPr>
          <w:rFonts w:ascii="Times New Roman" w:eastAsia="Times New Roman" w:hAnsi="Times New Roman"/>
          <w:i/>
          <w:sz w:val="20"/>
          <w:szCs w:val="20"/>
        </w:rPr>
        <w:t> </w:t>
      </w:r>
      <w:r w:rsidR="00A61AAA" w:rsidRPr="00684EF3">
        <w:rPr>
          <w:rFonts w:ascii="Times New Roman" w:eastAsia="Times New Roman" w:hAnsi="Times New Roman"/>
          <w:i/>
          <w:sz w:val="20"/>
          <w:szCs w:val="20"/>
        </w:rPr>
        <w:t>not</w:t>
      </w:r>
      <w:r w:rsidR="00331C80" w:rsidRPr="00684EF3">
        <w:rPr>
          <w:rFonts w:ascii="Times New Roman" w:eastAsia="Times New Roman" w:hAnsi="Times New Roman"/>
          <w:i/>
          <w:sz w:val="20"/>
          <w:szCs w:val="20"/>
        </w:rPr>
        <w:t> </w:t>
      </w:r>
      <w:r w:rsidR="00A61AAA" w:rsidRPr="00684EF3">
        <w:rPr>
          <w:rFonts w:ascii="Times New Roman" w:eastAsia="Times New Roman" w:hAnsi="Times New Roman"/>
          <w:i/>
          <w:sz w:val="20"/>
          <w:szCs w:val="20"/>
        </w:rPr>
        <w:t>otherwise</w:t>
      </w:r>
      <w:r w:rsidR="00331C80" w:rsidRPr="00684EF3">
        <w:rPr>
          <w:rFonts w:ascii="Times New Roman" w:eastAsia="Times New Roman" w:hAnsi="Times New Roman"/>
          <w:i/>
          <w:sz w:val="20"/>
          <w:szCs w:val="20"/>
        </w:rPr>
        <w:t> </w:t>
      </w:r>
      <w:r w:rsidR="00A61AAA" w:rsidRPr="00684EF3">
        <w:rPr>
          <w:rFonts w:ascii="Times New Roman" w:eastAsia="Times New Roman" w:hAnsi="Times New Roman"/>
          <w:i/>
          <w:sz w:val="20"/>
          <w:szCs w:val="20"/>
        </w:rPr>
        <w:t>regulated</w:t>
      </w:r>
      <w:r w:rsidR="00A61AAA" w:rsidRPr="00684EF3">
        <w:rPr>
          <w:rFonts w:ascii="Times New Roman" w:eastAsia="Times New Roman" w:hAnsi="Times New Roman"/>
          <w:sz w:val="20"/>
          <w:szCs w:val="20"/>
        </w:rPr>
        <w:t>,</w:t>
      </w:r>
      <w:r w:rsidR="00331C80" w:rsidRPr="00684EF3">
        <w:rPr>
          <w:rFonts w:ascii="Times New Roman" w:eastAsia="Times New Roman" w:hAnsi="Times New Roman"/>
          <w:sz w:val="20"/>
          <w:szCs w:val="20"/>
        </w:rPr>
        <w:t> </w:t>
      </w:r>
      <w:r w:rsidR="00A61AAA" w:rsidRPr="00684EF3">
        <w:rPr>
          <w:rFonts w:ascii="Times New Roman" w:eastAsia="Times New Roman" w:hAnsi="Times New Roman"/>
          <w:sz w:val="20"/>
          <w:szCs w:val="20"/>
        </w:rPr>
        <w:t>4 April 2011;</w:t>
      </w:r>
      <w:r w:rsidR="00331C80" w:rsidRPr="00684EF3">
        <w:rPr>
          <w:rFonts w:ascii="Times New Roman" w:eastAsia="Times New Roman" w:hAnsi="Times New Roman"/>
          <w:sz w:val="20"/>
          <w:szCs w:val="20"/>
        </w:rPr>
        <w:t> </w:t>
      </w:r>
      <w:r w:rsidR="00A61AAA" w:rsidRPr="00684EF3">
        <w:rPr>
          <w:rFonts w:ascii="Times New Roman" w:eastAsia="Times New Roman" w:hAnsi="Times New Roman"/>
          <w:sz w:val="20"/>
          <w:szCs w:val="20"/>
        </w:rPr>
        <w:t>available</w:t>
      </w:r>
      <w:r w:rsidR="00331C80" w:rsidRPr="00684EF3">
        <w:rPr>
          <w:rFonts w:ascii="Times New Roman" w:eastAsia="Times New Roman" w:hAnsi="Times New Roman"/>
          <w:sz w:val="20"/>
          <w:szCs w:val="20"/>
        </w:rPr>
        <w:t> </w:t>
      </w:r>
      <w:r w:rsidR="00A61AAA" w:rsidRPr="00684EF3">
        <w:rPr>
          <w:rFonts w:ascii="Times New Roman" w:eastAsia="Times New Roman" w:hAnsi="Times New Roman"/>
          <w:sz w:val="20"/>
          <w:szCs w:val="20"/>
        </w:rPr>
        <w:t xml:space="preserve">at </w:t>
      </w:r>
      <w:hyperlink r:id="rId11" w:history="1">
        <w:r w:rsidR="00A61AAA" w:rsidRPr="00684EF3">
          <w:rPr>
            <w:rFonts w:ascii="Times New Roman" w:eastAsia="Times New Roman" w:hAnsi="Times New Roman"/>
            <w:color w:val="000000"/>
            <w:sz w:val="20"/>
            <w:szCs w:val="20"/>
          </w:rPr>
          <w:t>http://www.cdc.gov/niosh/npg/npgd0480.html</w:t>
        </w:r>
      </w:hyperlink>
      <w:r w:rsidR="00A61AAA" w:rsidRPr="00684EF3">
        <w:rPr>
          <w:rFonts w:ascii="Times New Roman" w:eastAsia="Times New Roman" w:hAnsi="Times New Roman"/>
          <w:sz w:val="20"/>
          <w:szCs w:val="20"/>
        </w:rPr>
        <w:t xml:space="preserve"> (accessed </w:t>
      </w:r>
      <w:r w:rsidR="004D4C2B">
        <w:rPr>
          <w:rFonts w:ascii="Times New Roman" w:eastAsia="Times New Roman" w:hAnsi="Times New Roman"/>
          <w:sz w:val="20"/>
          <w:szCs w:val="20"/>
        </w:rPr>
        <w:t>May</w:t>
      </w:r>
      <w:r w:rsidR="004D4C2B" w:rsidRPr="00E45DB8">
        <w:rPr>
          <w:rFonts w:ascii="Times New Roman" w:eastAsia="Times New Roman" w:hAnsi="Times New Roman"/>
          <w:sz w:val="20"/>
          <w:szCs w:val="20"/>
        </w:rPr>
        <w:t> </w:t>
      </w:r>
      <w:r w:rsidR="000E4CC9" w:rsidRPr="00E45DB8">
        <w:rPr>
          <w:rFonts w:ascii="Times New Roman" w:eastAsia="Times New Roman" w:hAnsi="Times New Roman"/>
          <w:sz w:val="20"/>
          <w:szCs w:val="20"/>
        </w:rPr>
        <w:t>20</w:t>
      </w:r>
      <w:r w:rsidR="000E4CC9">
        <w:rPr>
          <w:rFonts w:ascii="Times New Roman" w:eastAsia="Times New Roman" w:hAnsi="Times New Roman"/>
          <w:sz w:val="20"/>
          <w:szCs w:val="20"/>
        </w:rPr>
        <w:t>15</w:t>
      </w:r>
      <w:r w:rsidR="00A61AAA" w:rsidRPr="00E45DB8">
        <w:rPr>
          <w:rFonts w:ascii="Times New Roman" w:eastAsia="Times New Roman" w:hAnsi="Times New Roman"/>
          <w:sz w:val="20"/>
          <w:szCs w:val="20"/>
        </w:rPr>
        <w:t>).</w:t>
      </w:r>
    </w:p>
    <w:p w14:paraId="6DDB46E1" w14:textId="77777777" w:rsidR="003A70BC" w:rsidRPr="00005D5A" w:rsidRDefault="003A70BC" w:rsidP="00D008C6">
      <w:pPr>
        <w:widowControl/>
        <w:tabs>
          <w:tab w:val="left" w:pos="1080"/>
        </w:tabs>
        <w:spacing w:after="0"/>
        <w:ind w:left="1080" w:hanging="1080"/>
        <w:jc w:val="both"/>
        <w:rPr>
          <w:rFonts w:ascii="Times New Roman" w:eastAsia="Times New Roman" w:hAnsi="Times New Roman"/>
          <w:bCs/>
          <w:spacing w:val="1"/>
          <w:position w:val="-1"/>
          <w:sz w:val="20"/>
          <w:szCs w:val="20"/>
        </w:rPr>
      </w:pPr>
    </w:p>
    <w:p w14:paraId="103B0A85" w14:textId="77777777" w:rsidR="00296E4D" w:rsidRDefault="002732BD" w:rsidP="00D008C6">
      <w:pPr>
        <w:widowControl/>
        <w:tabs>
          <w:tab w:val="left" w:pos="900"/>
          <w:tab w:val="left" w:pos="2900"/>
          <w:tab w:val="left" w:pos="3360"/>
          <w:tab w:val="left" w:pos="4780"/>
          <w:tab w:val="left" w:pos="5340"/>
        </w:tabs>
        <w:spacing w:after="120" w:line="240" w:lineRule="auto"/>
        <w:jc w:val="both"/>
        <w:rPr>
          <w:rFonts w:ascii="Times New Roman" w:hAnsi="Times New Roman"/>
          <w:bCs/>
          <w:sz w:val="20"/>
          <w:szCs w:val="20"/>
        </w:rPr>
      </w:pPr>
      <w:r w:rsidRPr="005E4F60">
        <w:rPr>
          <w:rFonts w:ascii="Times New Roman" w:hAnsi="Times New Roman"/>
          <w:b/>
          <w:sz w:val="20"/>
          <w:szCs w:val="20"/>
        </w:rPr>
        <w:t>Key of</w:t>
      </w:r>
      <w:bookmarkStart w:id="0" w:name="_GoBack"/>
      <w:bookmarkEnd w:id="0"/>
      <w:r w:rsidRPr="005E4F60">
        <w:rPr>
          <w:rFonts w:ascii="Times New Roman" w:hAnsi="Times New Roman"/>
          <w:b/>
          <w:sz w:val="20"/>
          <w:szCs w:val="20"/>
        </w:rPr>
        <w:t xml:space="preserve">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C84E3B" w:rsidRPr="00C84E3B" w14:paraId="533640BB" w14:textId="77777777" w:rsidTr="00B448C3">
        <w:trPr>
          <w:trHeight w:val="197"/>
        </w:trPr>
        <w:tc>
          <w:tcPr>
            <w:tcW w:w="1024" w:type="dxa"/>
          </w:tcPr>
          <w:p w14:paraId="440F4FA2" w14:textId="77777777" w:rsidR="00C84E3B" w:rsidRPr="00C84E3B" w:rsidRDefault="00C84E3B" w:rsidP="003A70BC">
            <w:pPr>
              <w:widowControl/>
              <w:spacing w:after="0" w:line="240" w:lineRule="auto"/>
              <w:ind w:right="-86"/>
              <w:contextualSpacing/>
              <w:rPr>
                <w:sz w:val="16"/>
                <w:szCs w:val="16"/>
              </w:rPr>
            </w:pPr>
            <w:r w:rsidRPr="00C84E3B">
              <w:rPr>
                <w:sz w:val="16"/>
                <w:szCs w:val="16"/>
              </w:rPr>
              <w:t>ACGIH</w:t>
            </w:r>
          </w:p>
        </w:tc>
        <w:tc>
          <w:tcPr>
            <w:tcW w:w="3584" w:type="dxa"/>
          </w:tcPr>
          <w:p w14:paraId="1A6EBFFD" w14:textId="77777777" w:rsidR="00C84E3B" w:rsidRPr="00C84E3B" w:rsidRDefault="00C84E3B" w:rsidP="003A70BC">
            <w:pPr>
              <w:widowControl/>
              <w:spacing w:after="0" w:line="240" w:lineRule="auto"/>
              <w:ind w:right="-86"/>
              <w:contextualSpacing/>
              <w:rPr>
                <w:sz w:val="16"/>
                <w:szCs w:val="16"/>
              </w:rPr>
            </w:pPr>
            <w:r w:rsidRPr="00C84E3B">
              <w:rPr>
                <w:sz w:val="16"/>
                <w:szCs w:val="16"/>
              </w:rPr>
              <w:t>American Conference of Government</w:t>
            </w:r>
            <w:r w:rsidR="000E3B6D">
              <w:rPr>
                <w:sz w:val="16"/>
                <w:szCs w:val="16"/>
              </w:rPr>
              <w:t>al</w:t>
            </w:r>
            <w:r w:rsidRPr="00C84E3B">
              <w:rPr>
                <w:sz w:val="16"/>
                <w:szCs w:val="16"/>
              </w:rPr>
              <w:t xml:space="preserve"> Industrial Hygienists</w:t>
            </w:r>
          </w:p>
        </w:tc>
        <w:tc>
          <w:tcPr>
            <w:tcW w:w="1051" w:type="dxa"/>
          </w:tcPr>
          <w:p w14:paraId="25C800FD" w14:textId="77777777" w:rsidR="00C84E3B" w:rsidRPr="00C84E3B" w:rsidRDefault="00C84E3B" w:rsidP="003A70BC">
            <w:pPr>
              <w:widowControl/>
              <w:spacing w:after="0" w:line="240" w:lineRule="auto"/>
              <w:ind w:right="-86"/>
              <w:contextualSpacing/>
              <w:rPr>
                <w:sz w:val="16"/>
                <w:szCs w:val="16"/>
              </w:rPr>
            </w:pPr>
            <w:r w:rsidRPr="00C84E3B">
              <w:rPr>
                <w:sz w:val="16"/>
                <w:szCs w:val="16"/>
              </w:rPr>
              <w:t>NRC</w:t>
            </w:r>
          </w:p>
        </w:tc>
        <w:tc>
          <w:tcPr>
            <w:tcW w:w="3542" w:type="dxa"/>
          </w:tcPr>
          <w:p w14:paraId="04DAA69B" w14:textId="77777777" w:rsidR="00C84E3B" w:rsidRPr="00C84E3B" w:rsidRDefault="00C84E3B" w:rsidP="003A70BC">
            <w:pPr>
              <w:widowControl/>
              <w:spacing w:after="0" w:line="240" w:lineRule="auto"/>
              <w:ind w:right="-86"/>
              <w:contextualSpacing/>
              <w:rPr>
                <w:sz w:val="16"/>
                <w:szCs w:val="16"/>
              </w:rPr>
            </w:pPr>
            <w:r w:rsidRPr="00C84E3B">
              <w:rPr>
                <w:sz w:val="16"/>
                <w:szCs w:val="16"/>
              </w:rPr>
              <w:t>Nuclear Regulatory Commission</w:t>
            </w:r>
          </w:p>
        </w:tc>
      </w:tr>
      <w:tr w:rsidR="00C84E3B" w:rsidRPr="00C84E3B" w14:paraId="107429EA" w14:textId="77777777" w:rsidTr="00B448C3">
        <w:trPr>
          <w:trHeight w:val="144"/>
        </w:trPr>
        <w:tc>
          <w:tcPr>
            <w:tcW w:w="1024" w:type="dxa"/>
          </w:tcPr>
          <w:p w14:paraId="635E1727" w14:textId="77777777" w:rsidR="00C84E3B" w:rsidRPr="00C84E3B" w:rsidRDefault="00C84E3B" w:rsidP="003A70BC">
            <w:pPr>
              <w:widowControl/>
              <w:spacing w:after="0" w:line="240" w:lineRule="auto"/>
              <w:ind w:right="-86"/>
              <w:contextualSpacing/>
              <w:rPr>
                <w:sz w:val="16"/>
                <w:szCs w:val="16"/>
              </w:rPr>
            </w:pPr>
            <w:r w:rsidRPr="00C84E3B">
              <w:rPr>
                <w:sz w:val="16"/>
                <w:szCs w:val="16"/>
              </w:rPr>
              <w:t>ALI</w:t>
            </w:r>
          </w:p>
        </w:tc>
        <w:tc>
          <w:tcPr>
            <w:tcW w:w="3584" w:type="dxa"/>
          </w:tcPr>
          <w:p w14:paraId="2BAB2F7A" w14:textId="77777777" w:rsidR="00C84E3B" w:rsidRPr="00C84E3B" w:rsidRDefault="00C84E3B" w:rsidP="003A70BC">
            <w:pPr>
              <w:widowControl/>
              <w:spacing w:after="0" w:line="240" w:lineRule="auto"/>
              <w:ind w:right="-86"/>
              <w:contextualSpacing/>
              <w:rPr>
                <w:sz w:val="16"/>
                <w:szCs w:val="16"/>
              </w:rPr>
            </w:pPr>
            <w:r w:rsidRPr="00C84E3B">
              <w:rPr>
                <w:sz w:val="16"/>
                <w:szCs w:val="16"/>
              </w:rPr>
              <w:t>Annual Limit on Intake</w:t>
            </w:r>
          </w:p>
        </w:tc>
        <w:tc>
          <w:tcPr>
            <w:tcW w:w="1051" w:type="dxa"/>
          </w:tcPr>
          <w:p w14:paraId="61491BE8" w14:textId="77777777" w:rsidR="00C84E3B" w:rsidRPr="00C84E3B" w:rsidRDefault="00C84E3B" w:rsidP="003A70BC">
            <w:pPr>
              <w:widowControl/>
              <w:spacing w:after="0" w:line="240" w:lineRule="auto"/>
              <w:ind w:right="-86"/>
              <w:contextualSpacing/>
              <w:rPr>
                <w:sz w:val="16"/>
                <w:szCs w:val="16"/>
              </w:rPr>
            </w:pPr>
            <w:r w:rsidRPr="00C84E3B">
              <w:rPr>
                <w:sz w:val="16"/>
                <w:szCs w:val="16"/>
              </w:rPr>
              <w:t>NTP</w:t>
            </w:r>
            <w:r w:rsidRPr="00C84E3B" w:rsidDel="00D91361">
              <w:rPr>
                <w:sz w:val="16"/>
                <w:szCs w:val="16"/>
              </w:rPr>
              <w:t xml:space="preserve"> </w:t>
            </w:r>
          </w:p>
        </w:tc>
        <w:tc>
          <w:tcPr>
            <w:tcW w:w="3542" w:type="dxa"/>
          </w:tcPr>
          <w:p w14:paraId="4CC08326" w14:textId="77777777" w:rsidR="00C84E3B" w:rsidRPr="00C84E3B" w:rsidRDefault="00C84E3B" w:rsidP="003A70BC">
            <w:pPr>
              <w:widowControl/>
              <w:spacing w:after="0" w:line="240" w:lineRule="auto"/>
              <w:ind w:right="-86"/>
              <w:contextualSpacing/>
              <w:rPr>
                <w:sz w:val="16"/>
                <w:szCs w:val="16"/>
              </w:rPr>
            </w:pPr>
            <w:r w:rsidRPr="00C84E3B">
              <w:rPr>
                <w:sz w:val="16"/>
                <w:szCs w:val="16"/>
              </w:rPr>
              <w:t>National Toxicology Program</w:t>
            </w:r>
          </w:p>
        </w:tc>
      </w:tr>
      <w:tr w:rsidR="00C84E3B" w:rsidRPr="00C84E3B" w14:paraId="42368DAF" w14:textId="77777777" w:rsidTr="00B448C3">
        <w:trPr>
          <w:trHeight w:val="144"/>
        </w:trPr>
        <w:tc>
          <w:tcPr>
            <w:tcW w:w="1024" w:type="dxa"/>
          </w:tcPr>
          <w:p w14:paraId="5378B911" w14:textId="77777777" w:rsidR="00C84E3B" w:rsidRPr="00C84E3B" w:rsidRDefault="00C84E3B" w:rsidP="003A70BC">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584" w:type="dxa"/>
          </w:tcPr>
          <w:p w14:paraId="5960B0D1" w14:textId="77777777" w:rsidR="00C84E3B" w:rsidRPr="00C84E3B" w:rsidRDefault="00C84E3B" w:rsidP="003A70BC">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1051" w:type="dxa"/>
          </w:tcPr>
          <w:p w14:paraId="6D6C347D" w14:textId="77777777" w:rsidR="00C84E3B" w:rsidRPr="00C84E3B" w:rsidRDefault="00C84E3B" w:rsidP="003A70BC">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542" w:type="dxa"/>
          </w:tcPr>
          <w:p w14:paraId="6B269532" w14:textId="77777777" w:rsidR="00C84E3B" w:rsidRPr="00C84E3B" w:rsidRDefault="00C84E3B" w:rsidP="003A70BC">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C84E3B" w:rsidRPr="00C84E3B" w14:paraId="3F35B07A" w14:textId="77777777" w:rsidTr="00B448C3">
        <w:trPr>
          <w:trHeight w:val="144"/>
        </w:trPr>
        <w:tc>
          <w:tcPr>
            <w:tcW w:w="1024" w:type="dxa"/>
          </w:tcPr>
          <w:p w14:paraId="41E6496B" w14:textId="77777777" w:rsidR="00C84E3B" w:rsidRPr="00C84E3B" w:rsidRDefault="00C84E3B" w:rsidP="003A70BC">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584" w:type="dxa"/>
          </w:tcPr>
          <w:p w14:paraId="3A9B555A" w14:textId="77777777" w:rsidR="00C84E3B" w:rsidRPr="00C84E3B" w:rsidRDefault="00C84E3B" w:rsidP="003A70BC">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14:paraId="74264279" w14:textId="77777777" w:rsidR="00C84E3B" w:rsidRPr="00C84E3B" w:rsidRDefault="00C84E3B" w:rsidP="003A70BC">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542" w:type="dxa"/>
          </w:tcPr>
          <w:p w14:paraId="7AD1018E" w14:textId="77777777" w:rsidR="00C84E3B" w:rsidRPr="00C84E3B" w:rsidRDefault="00C84E3B" w:rsidP="007A6CE6">
            <w:pPr>
              <w:widowControl/>
              <w:spacing w:after="0" w:line="240" w:lineRule="auto"/>
              <w:ind w:right="-90"/>
              <w:contextualSpacing/>
              <w:rPr>
                <w:sz w:val="16"/>
                <w:szCs w:val="16"/>
              </w:rPr>
            </w:pPr>
            <w:r w:rsidRPr="00C84E3B">
              <w:rPr>
                <w:sz w:val="16"/>
                <w:szCs w:val="16"/>
              </w:rPr>
              <w:t xml:space="preserve">Permissible Exposure </w:t>
            </w:r>
            <w:r w:rsidR="005F36B6" w:rsidRPr="00C84E3B">
              <w:rPr>
                <w:sz w:val="16"/>
                <w:szCs w:val="16"/>
              </w:rPr>
              <w:t>L</w:t>
            </w:r>
            <w:r w:rsidR="005F36B6">
              <w:rPr>
                <w:sz w:val="16"/>
                <w:szCs w:val="16"/>
              </w:rPr>
              <w:t>imit</w:t>
            </w:r>
          </w:p>
        </w:tc>
      </w:tr>
      <w:tr w:rsidR="00C84E3B" w:rsidRPr="00C84E3B" w14:paraId="374778C9" w14:textId="77777777" w:rsidTr="00B448C3">
        <w:trPr>
          <w:trHeight w:val="144"/>
        </w:trPr>
        <w:tc>
          <w:tcPr>
            <w:tcW w:w="1024" w:type="dxa"/>
          </w:tcPr>
          <w:p w14:paraId="09C016F5" w14:textId="77777777" w:rsidR="00C84E3B" w:rsidRPr="00C84E3B" w:rsidRDefault="00C84E3B" w:rsidP="003A70BC">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584" w:type="dxa"/>
          </w:tcPr>
          <w:p w14:paraId="293D784B" w14:textId="77777777" w:rsidR="00C84E3B" w:rsidRPr="00C84E3B" w:rsidRDefault="00C84E3B" w:rsidP="003A70BC">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1051" w:type="dxa"/>
          </w:tcPr>
          <w:p w14:paraId="363C8D12" w14:textId="77777777" w:rsidR="00C84E3B" w:rsidRPr="00C84E3B" w:rsidRDefault="00C84E3B" w:rsidP="003A70BC">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542" w:type="dxa"/>
          </w:tcPr>
          <w:p w14:paraId="4BFCAB61" w14:textId="77777777" w:rsidR="00C84E3B" w:rsidRPr="00C84E3B" w:rsidRDefault="00C84E3B" w:rsidP="003A70BC">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C84E3B" w:rsidRPr="00C84E3B" w14:paraId="7A25A91E" w14:textId="77777777" w:rsidTr="00B448C3">
        <w:trPr>
          <w:trHeight w:val="144"/>
        </w:trPr>
        <w:tc>
          <w:tcPr>
            <w:tcW w:w="1024" w:type="dxa"/>
          </w:tcPr>
          <w:p w14:paraId="4BF19AF9" w14:textId="77777777" w:rsidR="00C84E3B" w:rsidRPr="00C84E3B" w:rsidRDefault="00C84E3B" w:rsidP="003A70BC">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584" w:type="dxa"/>
          </w:tcPr>
          <w:p w14:paraId="0ED32823" w14:textId="77777777" w:rsidR="00C84E3B" w:rsidRPr="00C84E3B" w:rsidRDefault="00C84E3B" w:rsidP="003A70BC">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1051" w:type="dxa"/>
          </w:tcPr>
          <w:p w14:paraId="55B78CD9" w14:textId="77777777" w:rsidR="00C84E3B" w:rsidRPr="00C84E3B" w:rsidRDefault="00C84E3B" w:rsidP="003A70BC">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542" w:type="dxa"/>
          </w:tcPr>
          <w:p w14:paraId="7DA33B44" w14:textId="77777777" w:rsidR="00C84E3B" w:rsidRPr="00C84E3B" w:rsidRDefault="00C84E3B" w:rsidP="003A70BC">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C84E3B" w:rsidRPr="00C84E3B" w14:paraId="04FF8339" w14:textId="77777777" w:rsidTr="00B448C3">
        <w:trPr>
          <w:trHeight w:val="144"/>
        </w:trPr>
        <w:tc>
          <w:tcPr>
            <w:tcW w:w="1024" w:type="dxa"/>
          </w:tcPr>
          <w:p w14:paraId="11D5E933" w14:textId="77777777" w:rsidR="00C84E3B" w:rsidRPr="00C84E3B" w:rsidRDefault="00C84E3B" w:rsidP="003A70BC">
            <w:pPr>
              <w:widowControl/>
              <w:spacing w:after="0" w:line="240" w:lineRule="auto"/>
              <w:ind w:right="-90"/>
              <w:contextualSpacing/>
              <w:rPr>
                <w:sz w:val="16"/>
                <w:szCs w:val="16"/>
              </w:rPr>
            </w:pPr>
            <w:r w:rsidRPr="00C84E3B">
              <w:rPr>
                <w:sz w:val="16"/>
                <w:szCs w:val="16"/>
              </w:rPr>
              <w:t>EC50</w:t>
            </w:r>
          </w:p>
        </w:tc>
        <w:tc>
          <w:tcPr>
            <w:tcW w:w="3584" w:type="dxa"/>
          </w:tcPr>
          <w:p w14:paraId="56600266" w14:textId="77777777" w:rsidR="00C84E3B" w:rsidRPr="00C84E3B" w:rsidRDefault="00C84E3B" w:rsidP="003A70BC">
            <w:pPr>
              <w:widowControl/>
              <w:spacing w:after="0" w:line="240" w:lineRule="auto"/>
              <w:ind w:right="-90"/>
              <w:contextualSpacing/>
              <w:rPr>
                <w:sz w:val="16"/>
                <w:szCs w:val="16"/>
              </w:rPr>
            </w:pPr>
            <w:r w:rsidRPr="00C84E3B">
              <w:rPr>
                <w:sz w:val="16"/>
                <w:szCs w:val="16"/>
              </w:rPr>
              <w:t>Effective Concentration, 50</w:t>
            </w:r>
            <w:r w:rsidR="004563C5">
              <w:rPr>
                <w:sz w:val="16"/>
                <w:szCs w:val="16"/>
              </w:rPr>
              <w:t> </w:t>
            </w:r>
            <w:r w:rsidRPr="00C84E3B">
              <w:rPr>
                <w:sz w:val="16"/>
                <w:szCs w:val="16"/>
              </w:rPr>
              <w:t>%</w:t>
            </w:r>
          </w:p>
        </w:tc>
        <w:tc>
          <w:tcPr>
            <w:tcW w:w="1051" w:type="dxa"/>
          </w:tcPr>
          <w:p w14:paraId="3C48D7B9" w14:textId="77777777" w:rsidR="00C84E3B" w:rsidRPr="00C84E3B" w:rsidRDefault="00C84E3B" w:rsidP="003A70BC">
            <w:pPr>
              <w:widowControl/>
              <w:spacing w:after="0" w:line="240" w:lineRule="auto"/>
              <w:ind w:right="-90"/>
              <w:contextualSpacing/>
              <w:rPr>
                <w:sz w:val="16"/>
                <w:szCs w:val="16"/>
              </w:rPr>
            </w:pPr>
            <w:r w:rsidRPr="00C84E3B">
              <w:rPr>
                <w:sz w:val="16"/>
                <w:szCs w:val="16"/>
              </w:rPr>
              <w:t>RM</w:t>
            </w:r>
          </w:p>
        </w:tc>
        <w:tc>
          <w:tcPr>
            <w:tcW w:w="3542" w:type="dxa"/>
          </w:tcPr>
          <w:p w14:paraId="5188B7C9" w14:textId="77777777" w:rsidR="00C84E3B" w:rsidRPr="00C84E3B" w:rsidRDefault="00C84E3B" w:rsidP="003A70BC">
            <w:pPr>
              <w:widowControl/>
              <w:spacing w:after="0" w:line="240" w:lineRule="auto"/>
              <w:ind w:right="-90"/>
              <w:contextualSpacing/>
              <w:rPr>
                <w:sz w:val="16"/>
                <w:szCs w:val="16"/>
              </w:rPr>
            </w:pPr>
            <w:r w:rsidRPr="00C84E3B">
              <w:rPr>
                <w:sz w:val="16"/>
                <w:szCs w:val="16"/>
              </w:rPr>
              <w:t>Reference Material</w:t>
            </w:r>
          </w:p>
        </w:tc>
      </w:tr>
      <w:tr w:rsidR="00C84E3B" w:rsidRPr="00C84E3B" w14:paraId="2C5B5B80" w14:textId="77777777" w:rsidTr="00B448C3">
        <w:trPr>
          <w:trHeight w:val="144"/>
        </w:trPr>
        <w:tc>
          <w:tcPr>
            <w:tcW w:w="1024" w:type="dxa"/>
          </w:tcPr>
          <w:p w14:paraId="5959D615" w14:textId="77777777" w:rsidR="00C84E3B" w:rsidRPr="00C84E3B" w:rsidRDefault="00C84E3B" w:rsidP="003A70BC">
            <w:pPr>
              <w:widowControl/>
              <w:spacing w:after="0" w:line="240" w:lineRule="auto"/>
              <w:ind w:right="-90"/>
              <w:contextualSpacing/>
              <w:rPr>
                <w:sz w:val="16"/>
                <w:szCs w:val="16"/>
              </w:rPr>
            </w:pPr>
            <w:r w:rsidRPr="00C84E3B">
              <w:rPr>
                <w:sz w:val="16"/>
                <w:szCs w:val="16"/>
              </w:rPr>
              <w:t>EINECS</w:t>
            </w:r>
          </w:p>
        </w:tc>
        <w:tc>
          <w:tcPr>
            <w:tcW w:w="3584" w:type="dxa"/>
          </w:tcPr>
          <w:p w14:paraId="6676BC31" w14:textId="77777777" w:rsidR="00C84E3B" w:rsidRPr="00C84E3B" w:rsidRDefault="00C84E3B" w:rsidP="003A70BC">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14:paraId="741E9876" w14:textId="77777777" w:rsidR="00C84E3B" w:rsidRPr="00C84E3B" w:rsidRDefault="00C84E3B" w:rsidP="003A70BC">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542" w:type="dxa"/>
          </w:tcPr>
          <w:p w14:paraId="54CBDFF3" w14:textId="77777777" w:rsidR="00C84E3B" w:rsidRPr="00C84E3B" w:rsidRDefault="00C84E3B" w:rsidP="003A70BC">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C84E3B" w:rsidRPr="00C84E3B" w14:paraId="5721EA54" w14:textId="77777777" w:rsidTr="00B448C3">
        <w:trPr>
          <w:trHeight w:val="144"/>
        </w:trPr>
        <w:tc>
          <w:tcPr>
            <w:tcW w:w="1024" w:type="dxa"/>
          </w:tcPr>
          <w:p w14:paraId="47D1F865" w14:textId="77777777" w:rsidR="00C84E3B" w:rsidRPr="00C84E3B" w:rsidRDefault="00C84E3B" w:rsidP="003A70BC">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584" w:type="dxa"/>
          </w:tcPr>
          <w:p w14:paraId="5D330BB0" w14:textId="77777777" w:rsidR="00C84E3B" w:rsidRPr="00C84E3B" w:rsidRDefault="00C84E3B" w:rsidP="003A70BC">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14:paraId="0A544658" w14:textId="77777777" w:rsidR="00C84E3B" w:rsidRPr="00C84E3B" w:rsidRDefault="00C84E3B" w:rsidP="003A70BC">
            <w:pPr>
              <w:widowControl/>
              <w:spacing w:after="0" w:line="240" w:lineRule="auto"/>
              <w:ind w:right="-90"/>
              <w:contextualSpacing/>
              <w:rPr>
                <w:sz w:val="16"/>
                <w:szCs w:val="16"/>
              </w:rPr>
            </w:pPr>
            <w:r w:rsidRPr="00C84E3B">
              <w:rPr>
                <w:sz w:val="16"/>
                <w:szCs w:val="16"/>
              </w:rPr>
              <w:t>RTECS</w:t>
            </w:r>
          </w:p>
        </w:tc>
        <w:tc>
          <w:tcPr>
            <w:tcW w:w="3542" w:type="dxa"/>
          </w:tcPr>
          <w:p w14:paraId="5E1B448E" w14:textId="77777777" w:rsidR="00C84E3B" w:rsidRPr="00C84E3B" w:rsidRDefault="00C84E3B" w:rsidP="003A70BC">
            <w:pPr>
              <w:widowControl/>
              <w:spacing w:after="0" w:line="240" w:lineRule="auto"/>
              <w:ind w:right="-90"/>
              <w:contextualSpacing/>
              <w:rPr>
                <w:sz w:val="16"/>
                <w:szCs w:val="16"/>
              </w:rPr>
            </w:pPr>
            <w:r w:rsidRPr="00C84E3B">
              <w:rPr>
                <w:sz w:val="16"/>
                <w:szCs w:val="16"/>
              </w:rPr>
              <w:t>Registry of Toxic Effects of Chemical Substances</w:t>
            </w:r>
          </w:p>
        </w:tc>
      </w:tr>
      <w:tr w:rsidR="00C84E3B" w:rsidRPr="00C84E3B" w14:paraId="04F381D1" w14:textId="77777777" w:rsidTr="00B448C3">
        <w:trPr>
          <w:trHeight w:val="144"/>
        </w:trPr>
        <w:tc>
          <w:tcPr>
            <w:tcW w:w="1024" w:type="dxa"/>
          </w:tcPr>
          <w:p w14:paraId="4B278430" w14:textId="77777777" w:rsidR="00C84E3B" w:rsidRPr="00C84E3B" w:rsidRDefault="00C84E3B" w:rsidP="003A70BC">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584" w:type="dxa"/>
          </w:tcPr>
          <w:p w14:paraId="4606FFF3" w14:textId="77777777" w:rsidR="00C84E3B" w:rsidRPr="00C84E3B" w:rsidRDefault="00C84E3B" w:rsidP="003A70BC">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14:paraId="1595F74E" w14:textId="77777777" w:rsidR="00C84E3B" w:rsidRPr="00C84E3B" w:rsidRDefault="00C84E3B" w:rsidP="003A70BC">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542" w:type="dxa"/>
          </w:tcPr>
          <w:p w14:paraId="353D1FA3" w14:textId="77777777" w:rsidR="00C84E3B" w:rsidRPr="00C84E3B" w:rsidRDefault="00C84E3B" w:rsidP="003A70BC">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C84E3B" w:rsidRPr="00C84E3B" w14:paraId="13C84C43" w14:textId="77777777" w:rsidTr="00B448C3">
        <w:trPr>
          <w:trHeight w:val="144"/>
        </w:trPr>
        <w:tc>
          <w:tcPr>
            <w:tcW w:w="1024" w:type="dxa"/>
          </w:tcPr>
          <w:p w14:paraId="0CC7DAFD" w14:textId="77777777" w:rsidR="00C84E3B" w:rsidRPr="00C84E3B" w:rsidRDefault="00C84E3B" w:rsidP="003A70BC">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584" w:type="dxa"/>
          </w:tcPr>
          <w:p w14:paraId="6A28C7E4" w14:textId="77777777" w:rsidR="00C84E3B" w:rsidRPr="00C84E3B" w:rsidRDefault="00C84E3B" w:rsidP="003A70BC">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1051" w:type="dxa"/>
          </w:tcPr>
          <w:p w14:paraId="39896792" w14:textId="77777777" w:rsidR="00C84E3B" w:rsidRPr="00C84E3B" w:rsidRDefault="00C84E3B" w:rsidP="003A70BC">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542" w:type="dxa"/>
          </w:tcPr>
          <w:p w14:paraId="67571B89" w14:textId="77777777" w:rsidR="00C84E3B" w:rsidRPr="00C84E3B" w:rsidRDefault="00C84E3B" w:rsidP="003A70BC">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C84E3B" w:rsidRPr="00C84E3B" w14:paraId="32D4D5C6" w14:textId="77777777" w:rsidTr="00B448C3">
        <w:trPr>
          <w:trHeight w:val="144"/>
        </w:trPr>
        <w:tc>
          <w:tcPr>
            <w:tcW w:w="1024" w:type="dxa"/>
          </w:tcPr>
          <w:p w14:paraId="062252A0" w14:textId="77777777" w:rsidR="00C84E3B" w:rsidRPr="00C84E3B" w:rsidRDefault="00C84E3B" w:rsidP="003A70BC">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584" w:type="dxa"/>
          </w:tcPr>
          <w:p w14:paraId="6DC88503" w14:textId="77777777" w:rsidR="00C84E3B" w:rsidRPr="00C84E3B" w:rsidRDefault="00C84E3B" w:rsidP="003A70BC">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14:paraId="40A3A978" w14:textId="77777777" w:rsidR="00C84E3B" w:rsidRPr="00C84E3B" w:rsidRDefault="00C84E3B" w:rsidP="003A70BC">
            <w:pPr>
              <w:widowControl/>
              <w:spacing w:after="0" w:line="240" w:lineRule="auto"/>
              <w:ind w:right="-90"/>
              <w:contextualSpacing/>
              <w:rPr>
                <w:sz w:val="16"/>
                <w:szCs w:val="16"/>
              </w:rPr>
            </w:pPr>
            <w:r w:rsidRPr="00C84E3B">
              <w:rPr>
                <w:sz w:val="16"/>
                <w:szCs w:val="16"/>
              </w:rPr>
              <w:t>SRM</w:t>
            </w:r>
            <w:r w:rsidRPr="00C84E3B" w:rsidDel="00D91361">
              <w:rPr>
                <w:sz w:val="16"/>
                <w:szCs w:val="16"/>
              </w:rPr>
              <w:t xml:space="preserve"> </w:t>
            </w:r>
          </w:p>
        </w:tc>
        <w:tc>
          <w:tcPr>
            <w:tcW w:w="3542" w:type="dxa"/>
          </w:tcPr>
          <w:p w14:paraId="61A9314A" w14:textId="77777777" w:rsidR="00C84E3B" w:rsidRPr="00C84E3B" w:rsidRDefault="00C84E3B" w:rsidP="003A70BC">
            <w:pPr>
              <w:widowControl/>
              <w:spacing w:after="0" w:line="240" w:lineRule="auto"/>
              <w:ind w:right="-90"/>
              <w:contextualSpacing/>
              <w:rPr>
                <w:sz w:val="16"/>
                <w:szCs w:val="16"/>
              </w:rPr>
            </w:pPr>
            <w:r w:rsidRPr="00C84E3B">
              <w:rPr>
                <w:sz w:val="16"/>
                <w:szCs w:val="16"/>
              </w:rPr>
              <w:t>Standard Reference Material</w:t>
            </w:r>
            <w:r w:rsidRPr="00C84E3B" w:rsidDel="00D91361">
              <w:rPr>
                <w:sz w:val="16"/>
                <w:szCs w:val="16"/>
              </w:rPr>
              <w:t xml:space="preserve"> </w:t>
            </w:r>
          </w:p>
        </w:tc>
      </w:tr>
      <w:tr w:rsidR="00C84E3B" w:rsidRPr="00C84E3B" w14:paraId="5C9B5A3D" w14:textId="77777777" w:rsidTr="00B448C3">
        <w:trPr>
          <w:trHeight w:val="144"/>
        </w:trPr>
        <w:tc>
          <w:tcPr>
            <w:tcW w:w="1024" w:type="dxa"/>
          </w:tcPr>
          <w:p w14:paraId="2A19EA5E" w14:textId="77777777" w:rsidR="00C84E3B" w:rsidRPr="00C84E3B" w:rsidRDefault="00C84E3B" w:rsidP="003A70BC">
            <w:pPr>
              <w:widowControl/>
              <w:spacing w:after="0" w:line="240" w:lineRule="auto"/>
              <w:ind w:right="-90"/>
              <w:contextualSpacing/>
              <w:rPr>
                <w:sz w:val="16"/>
                <w:szCs w:val="16"/>
              </w:rPr>
            </w:pPr>
            <w:r w:rsidRPr="00C84E3B">
              <w:rPr>
                <w:sz w:val="16"/>
                <w:szCs w:val="16"/>
              </w:rPr>
              <w:t>LC50</w:t>
            </w:r>
          </w:p>
        </w:tc>
        <w:tc>
          <w:tcPr>
            <w:tcW w:w="3584" w:type="dxa"/>
          </w:tcPr>
          <w:p w14:paraId="3F40DF08" w14:textId="77777777" w:rsidR="00C84E3B" w:rsidRPr="00C84E3B" w:rsidRDefault="00C84E3B" w:rsidP="003A70BC">
            <w:pPr>
              <w:widowControl/>
              <w:spacing w:after="0" w:line="240" w:lineRule="auto"/>
              <w:ind w:right="-90"/>
              <w:contextualSpacing/>
              <w:rPr>
                <w:sz w:val="16"/>
                <w:szCs w:val="16"/>
              </w:rPr>
            </w:pPr>
            <w:r w:rsidRPr="00C84E3B">
              <w:rPr>
                <w:sz w:val="16"/>
                <w:szCs w:val="16"/>
              </w:rPr>
              <w:t>Lethal Concentration, 50</w:t>
            </w:r>
            <w:r w:rsidR="000E3B6D">
              <w:rPr>
                <w:sz w:val="16"/>
                <w:szCs w:val="16"/>
              </w:rPr>
              <w:t> </w:t>
            </w:r>
            <w:r w:rsidRPr="00C84E3B">
              <w:rPr>
                <w:sz w:val="16"/>
                <w:szCs w:val="16"/>
              </w:rPr>
              <w:t>%</w:t>
            </w:r>
            <w:r w:rsidRPr="00C84E3B" w:rsidDel="00D91361">
              <w:rPr>
                <w:sz w:val="16"/>
                <w:szCs w:val="16"/>
              </w:rPr>
              <w:t xml:space="preserve"> </w:t>
            </w:r>
          </w:p>
        </w:tc>
        <w:tc>
          <w:tcPr>
            <w:tcW w:w="1051" w:type="dxa"/>
          </w:tcPr>
          <w:p w14:paraId="36B9094D" w14:textId="77777777" w:rsidR="00C84E3B" w:rsidRPr="00C84E3B" w:rsidRDefault="00C84E3B" w:rsidP="003A70BC">
            <w:pPr>
              <w:widowControl/>
              <w:spacing w:after="0" w:line="240" w:lineRule="auto"/>
              <w:ind w:right="-90"/>
              <w:contextualSpacing/>
              <w:rPr>
                <w:sz w:val="16"/>
                <w:szCs w:val="16"/>
              </w:rPr>
            </w:pPr>
            <w:r w:rsidRPr="00C84E3B">
              <w:rPr>
                <w:sz w:val="16"/>
                <w:szCs w:val="16"/>
              </w:rPr>
              <w:t>STEL</w:t>
            </w:r>
            <w:r w:rsidRPr="00C84E3B" w:rsidDel="00D91361">
              <w:rPr>
                <w:sz w:val="16"/>
                <w:szCs w:val="16"/>
              </w:rPr>
              <w:t xml:space="preserve"> </w:t>
            </w:r>
          </w:p>
        </w:tc>
        <w:tc>
          <w:tcPr>
            <w:tcW w:w="3542" w:type="dxa"/>
          </w:tcPr>
          <w:p w14:paraId="73A6AF2E" w14:textId="77777777" w:rsidR="00C84E3B" w:rsidRPr="00C84E3B" w:rsidRDefault="00C84E3B" w:rsidP="003A70BC">
            <w:pPr>
              <w:widowControl/>
              <w:spacing w:after="0" w:line="240" w:lineRule="auto"/>
              <w:ind w:right="-90"/>
              <w:contextualSpacing/>
              <w:rPr>
                <w:sz w:val="16"/>
                <w:szCs w:val="16"/>
              </w:rPr>
            </w:pPr>
            <w:r w:rsidRPr="00C84E3B">
              <w:rPr>
                <w:sz w:val="16"/>
                <w:szCs w:val="16"/>
              </w:rPr>
              <w:t xml:space="preserve">Short Term Exposure </w:t>
            </w:r>
            <w:r w:rsidR="005F36B6">
              <w:rPr>
                <w:sz w:val="16"/>
                <w:szCs w:val="16"/>
              </w:rPr>
              <w:t>Limit</w:t>
            </w:r>
            <w:r w:rsidR="005F36B6" w:rsidRPr="00C84E3B" w:rsidDel="00D91361">
              <w:rPr>
                <w:sz w:val="16"/>
                <w:szCs w:val="16"/>
              </w:rPr>
              <w:t xml:space="preserve"> </w:t>
            </w:r>
          </w:p>
        </w:tc>
      </w:tr>
      <w:tr w:rsidR="00C84E3B" w:rsidRPr="00C84E3B" w14:paraId="38D7290F" w14:textId="77777777" w:rsidTr="00B448C3">
        <w:trPr>
          <w:trHeight w:val="144"/>
        </w:trPr>
        <w:tc>
          <w:tcPr>
            <w:tcW w:w="1024" w:type="dxa"/>
          </w:tcPr>
          <w:p w14:paraId="4EE1D0F8" w14:textId="77777777" w:rsidR="00C84E3B" w:rsidRPr="00C84E3B" w:rsidRDefault="00C84E3B" w:rsidP="003A70BC">
            <w:pPr>
              <w:widowControl/>
              <w:spacing w:after="0" w:line="240" w:lineRule="auto"/>
              <w:ind w:right="-90"/>
              <w:contextualSpacing/>
              <w:rPr>
                <w:sz w:val="16"/>
                <w:szCs w:val="16"/>
              </w:rPr>
            </w:pPr>
            <w:r w:rsidRPr="00C84E3B">
              <w:rPr>
                <w:sz w:val="16"/>
                <w:szCs w:val="16"/>
              </w:rPr>
              <w:t>LD50</w:t>
            </w:r>
          </w:p>
        </w:tc>
        <w:tc>
          <w:tcPr>
            <w:tcW w:w="3584" w:type="dxa"/>
          </w:tcPr>
          <w:p w14:paraId="481A88C5" w14:textId="77777777" w:rsidR="00C84E3B" w:rsidRPr="00C84E3B" w:rsidRDefault="00C84E3B" w:rsidP="003A70BC">
            <w:pPr>
              <w:widowControl/>
              <w:spacing w:after="0" w:line="240" w:lineRule="auto"/>
              <w:ind w:right="-90"/>
              <w:contextualSpacing/>
              <w:rPr>
                <w:sz w:val="16"/>
                <w:szCs w:val="16"/>
              </w:rPr>
            </w:pPr>
            <w:r w:rsidRPr="00C84E3B">
              <w:rPr>
                <w:sz w:val="16"/>
                <w:szCs w:val="16"/>
              </w:rPr>
              <w:t>Lethal Dose, 50 %</w:t>
            </w:r>
          </w:p>
        </w:tc>
        <w:tc>
          <w:tcPr>
            <w:tcW w:w="1051" w:type="dxa"/>
          </w:tcPr>
          <w:p w14:paraId="3CFDBCC4" w14:textId="77777777" w:rsidR="00C84E3B" w:rsidRPr="00C84E3B" w:rsidRDefault="00C84E3B" w:rsidP="003A70BC">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542" w:type="dxa"/>
          </w:tcPr>
          <w:p w14:paraId="6D3F84D1" w14:textId="77777777" w:rsidR="00C84E3B" w:rsidRPr="00C84E3B" w:rsidRDefault="00C84E3B" w:rsidP="003A70BC">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C84E3B" w:rsidRPr="00C84E3B" w14:paraId="6B398D39" w14:textId="77777777" w:rsidTr="00B448C3">
        <w:trPr>
          <w:trHeight w:val="144"/>
        </w:trPr>
        <w:tc>
          <w:tcPr>
            <w:tcW w:w="1024" w:type="dxa"/>
          </w:tcPr>
          <w:p w14:paraId="314EE3EA" w14:textId="77777777" w:rsidR="00C84E3B" w:rsidRPr="00C84E3B" w:rsidRDefault="00C84E3B" w:rsidP="003A70BC">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584" w:type="dxa"/>
          </w:tcPr>
          <w:p w14:paraId="3A8A5C14" w14:textId="77777777" w:rsidR="00C84E3B" w:rsidRPr="00C84E3B" w:rsidRDefault="00C84E3B" w:rsidP="003A70BC">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1051" w:type="dxa"/>
          </w:tcPr>
          <w:p w14:paraId="68FB3D76" w14:textId="77777777" w:rsidR="00C84E3B" w:rsidRPr="00C84E3B" w:rsidRDefault="00C84E3B" w:rsidP="003A70BC">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542" w:type="dxa"/>
          </w:tcPr>
          <w:p w14:paraId="0971BBAD" w14:textId="77777777" w:rsidR="00C84E3B" w:rsidRPr="00C84E3B" w:rsidRDefault="00C84E3B" w:rsidP="003A70BC">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C84E3B" w:rsidRPr="00C84E3B" w14:paraId="7FB9FEDE" w14:textId="77777777" w:rsidTr="00B448C3">
        <w:trPr>
          <w:trHeight w:val="144"/>
        </w:trPr>
        <w:tc>
          <w:tcPr>
            <w:tcW w:w="1024" w:type="dxa"/>
          </w:tcPr>
          <w:p w14:paraId="19EBB873" w14:textId="77777777" w:rsidR="00C84E3B" w:rsidRPr="00C84E3B" w:rsidRDefault="00C84E3B" w:rsidP="003A70BC">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584" w:type="dxa"/>
          </w:tcPr>
          <w:p w14:paraId="030FC742" w14:textId="77777777" w:rsidR="00C84E3B" w:rsidRPr="00C84E3B" w:rsidRDefault="00C84E3B" w:rsidP="003A70BC">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1051" w:type="dxa"/>
          </w:tcPr>
          <w:p w14:paraId="0F5BDA4A" w14:textId="77777777" w:rsidR="00C84E3B" w:rsidRPr="00C84E3B" w:rsidRDefault="00C84E3B" w:rsidP="003A70BC">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542" w:type="dxa"/>
          </w:tcPr>
          <w:p w14:paraId="51D1FBE9" w14:textId="77777777" w:rsidR="00C84E3B" w:rsidRPr="00C84E3B" w:rsidRDefault="00C84E3B" w:rsidP="003A70BC">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C84E3B" w:rsidRPr="00C84E3B" w14:paraId="28EF88BB" w14:textId="77777777" w:rsidTr="00B448C3">
        <w:trPr>
          <w:trHeight w:val="144"/>
        </w:trPr>
        <w:tc>
          <w:tcPr>
            <w:tcW w:w="1024" w:type="dxa"/>
          </w:tcPr>
          <w:p w14:paraId="1D739A10" w14:textId="77777777" w:rsidR="00C84E3B" w:rsidRPr="00C84E3B" w:rsidRDefault="00C84E3B" w:rsidP="003A70BC">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584" w:type="dxa"/>
          </w:tcPr>
          <w:p w14:paraId="76EA24C3" w14:textId="77777777" w:rsidR="00C84E3B" w:rsidRPr="00C84E3B" w:rsidRDefault="00C84E3B" w:rsidP="003A70BC">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14:paraId="0F913B96" w14:textId="77777777" w:rsidR="00C84E3B" w:rsidRPr="00C84E3B" w:rsidRDefault="00C84E3B" w:rsidP="003A70BC">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542" w:type="dxa"/>
          </w:tcPr>
          <w:p w14:paraId="51A7AEF3" w14:textId="77777777" w:rsidR="00C84E3B" w:rsidRPr="00C84E3B" w:rsidRDefault="00C84E3B" w:rsidP="003A70BC">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C84E3B" w:rsidRPr="00C84E3B" w14:paraId="6509E167" w14:textId="77777777" w:rsidTr="00B448C3">
        <w:trPr>
          <w:trHeight w:val="144"/>
        </w:trPr>
        <w:tc>
          <w:tcPr>
            <w:tcW w:w="1024" w:type="dxa"/>
          </w:tcPr>
          <w:p w14:paraId="085D295B" w14:textId="77777777" w:rsidR="00C84E3B" w:rsidRPr="00C84E3B" w:rsidRDefault="00C84E3B" w:rsidP="003A70BC">
            <w:pPr>
              <w:widowControl/>
              <w:spacing w:after="0" w:line="240" w:lineRule="auto"/>
              <w:ind w:right="-90"/>
              <w:contextualSpacing/>
              <w:rPr>
                <w:sz w:val="16"/>
                <w:szCs w:val="16"/>
              </w:rPr>
            </w:pPr>
            <w:r w:rsidRPr="00C84E3B">
              <w:rPr>
                <w:sz w:val="16"/>
                <w:szCs w:val="16"/>
              </w:rPr>
              <w:t>NIOSH</w:t>
            </w:r>
            <w:r w:rsidRPr="00C84E3B" w:rsidDel="00D91361">
              <w:rPr>
                <w:sz w:val="16"/>
                <w:szCs w:val="16"/>
              </w:rPr>
              <w:t xml:space="preserve"> </w:t>
            </w:r>
          </w:p>
        </w:tc>
        <w:tc>
          <w:tcPr>
            <w:tcW w:w="3584" w:type="dxa"/>
          </w:tcPr>
          <w:p w14:paraId="79083D1B" w14:textId="77777777" w:rsidR="00C84E3B" w:rsidRPr="00C84E3B" w:rsidRDefault="00C84E3B" w:rsidP="003A70BC">
            <w:pPr>
              <w:widowControl/>
              <w:spacing w:after="0" w:line="240" w:lineRule="auto"/>
              <w:ind w:right="-90"/>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14:paraId="4C1D25BA" w14:textId="77777777" w:rsidR="00C84E3B" w:rsidRPr="00C84E3B" w:rsidRDefault="00C84E3B" w:rsidP="003A70BC">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542" w:type="dxa"/>
          </w:tcPr>
          <w:p w14:paraId="153D2039" w14:textId="77777777" w:rsidR="00C84E3B" w:rsidRPr="00C84E3B" w:rsidRDefault="00C84E3B" w:rsidP="003A70BC">
            <w:pPr>
              <w:widowControl/>
              <w:spacing w:after="0" w:line="240" w:lineRule="auto"/>
              <w:ind w:right="-90"/>
              <w:contextualSpacing/>
              <w:rPr>
                <w:sz w:val="16"/>
                <w:szCs w:val="16"/>
              </w:rPr>
            </w:pPr>
            <w:r w:rsidRPr="00C84E3B">
              <w:rPr>
                <w:sz w:val="16"/>
                <w:szCs w:val="16"/>
              </w:rPr>
              <w:t>Upper Explosive Limit</w:t>
            </w:r>
            <w:r w:rsidRPr="00C84E3B" w:rsidDel="00D91361">
              <w:rPr>
                <w:sz w:val="16"/>
                <w:szCs w:val="16"/>
              </w:rPr>
              <w:t xml:space="preserve"> </w:t>
            </w:r>
          </w:p>
        </w:tc>
      </w:tr>
      <w:tr w:rsidR="00C84E3B" w:rsidRPr="00C84E3B" w14:paraId="42C8677E" w14:textId="77777777" w:rsidTr="00B448C3">
        <w:trPr>
          <w:trHeight w:val="144"/>
        </w:trPr>
        <w:tc>
          <w:tcPr>
            <w:tcW w:w="1024" w:type="dxa"/>
          </w:tcPr>
          <w:p w14:paraId="47191D2F" w14:textId="77777777" w:rsidR="00C84E3B" w:rsidRPr="00C84E3B" w:rsidRDefault="00C84E3B" w:rsidP="003A70BC">
            <w:pPr>
              <w:widowControl/>
              <w:spacing w:after="0" w:line="240" w:lineRule="auto"/>
              <w:ind w:right="-90"/>
              <w:contextualSpacing/>
              <w:rPr>
                <w:sz w:val="16"/>
                <w:szCs w:val="16"/>
              </w:rPr>
            </w:pPr>
            <w:r w:rsidRPr="00C84E3B">
              <w:rPr>
                <w:sz w:val="16"/>
                <w:szCs w:val="16"/>
              </w:rPr>
              <w:t>NIST</w:t>
            </w:r>
          </w:p>
        </w:tc>
        <w:tc>
          <w:tcPr>
            <w:tcW w:w="3584" w:type="dxa"/>
          </w:tcPr>
          <w:p w14:paraId="29817C14" w14:textId="77777777" w:rsidR="00C84E3B" w:rsidRPr="00C84E3B" w:rsidRDefault="00C84E3B" w:rsidP="003A70BC">
            <w:pPr>
              <w:widowControl/>
              <w:spacing w:after="0" w:line="240" w:lineRule="auto"/>
              <w:ind w:right="-90"/>
              <w:contextualSpacing/>
              <w:rPr>
                <w:sz w:val="16"/>
                <w:szCs w:val="16"/>
              </w:rPr>
            </w:pPr>
            <w:r w:rsidRPr="00C84E3B">
              <w:rPr>
                <w:sz w:val="16"/>
                <w:szCs w:val="16"/>
              </w:rPr>
              <w:t>National Institute of Standards and Technology</w:t>
            </w:r>
          </w:p>
        </w:tc>
        <w:tc>
          <w:tcPr>
            <w:tcW w:w="1051" w:type="dxa"/>
          </w:tcPr>
          <w:p w14:paraId="6781C33C" w14:textId="77777777" w:rsidR="00C84E3B" w:rsidRPr="00C84E3B" w:rsidRDefault="00C84E3B" w:rsidP="003A70BC">
            <w:pPr>
              <w:widowControl/>
              <w:spacing w:after="0" w:line="240" w:lineRule="auto"/>
              <w:ind w:right="-90"/>
              <w:contextualSpacing/>
              <w:rPr>
                <w:sz w:val="16"/>
                <w:szCs w:val="16"/>
              </w:rPr>
            </w:pPr>
            <w:r w:rsidRPr="00C84E3B">
              <w:rPr>
                <w:sz w:val="16"/>
                <w:szCs w:val="16"/>
              </w:rPr>
              <w:t>WHMIS</w:t>
            </w:r>
          </w:p>
        </w:tc>
        <w:tc>
          <w:tcPr>
            <w:tcW w:w="3542" w:type="dxa"/>
          </w:tcPr>
          <w:p w14:paraId="782BC8EF" w14:textId="77777777" w:rsidR="00C84E3B" w:rsidRPr="00C84E3B" w:rsidRDefault="00C84E3B" w:rsidP="003A70BC">
            <w:pPr>
              <w:widowControl/>
              <w:spacing w:after="0" w:line="240" w:lineRule="auto"/>
              <w:ind w:right="-90"/>
              <w:contextualSpacing/>
              <w:rPr>
                <w:sz w:val="16"/>
                <w:szCs w:val="16"/>
              </w:rPr>
            </w:pPr>
            <w:r w:rsidRPr="00C84E3B">
              <w:rPr>
                <w:sz w:val="16"/>
                <w:szCs w:val="16"/>
              </w:rPr>
              <w:t>Workplace Hazardous Materials Information System</w:t>
            </w:r>
          </w:p>
        </w:tc>
      </w:tr>
    </w:tbl>
    <w:p w14:paraId="1D37318E" w14:textId="77777777" w:rsidR="00015F8E" w:rsidRDefault="00015F8E" w:rsidP="003A70BC">
      <w:pPr>
        <w:widowControl/>
        <w:spacing w:before="120" w:after="0" w:line="240" w:lineRule="auto"/>
        <w:jc w:val="both"/>
        <w:rPr>
          <w:rFonts w:ascii="Times New Roman" w:eastAsia="Times New Roman" w:hAnsi="Times New Roman"/>
          <w:bCs/>
          <w:sz w:val="20"/>
          <w:szCs w:val="20"/>
        </w:rPr>
      </w:pPr>
    </w:p>
    <w:p w14:paraId="6974D3D3" w14:textId="77777777" w:rsidR="00537670" w:rsidRDefault="00BF5DD9" w:rsidP="003A70BC">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F36B6">
        <w:rPr>
          <w:rFonts w:ascii="Times New Roman" w:eastAsia="Times New Roman" w:hAnsi="Times New Roman"/>
          <w:sz w:val="20"/>
          <w:szCs w:val="20"/>
        </w:rPr>
        <w:t xml:space="preserve"> </w:t>
      </w:r>
      <w:r w:rsidR="00537670">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1EF2B2E" w14:textId="77777777" w:rsidR="00E24579" w:rsidRPr="00714D24" w:rsidRDefault="001948EA" w:rsidP="003A70BC">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sidR="00622909">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684EF3">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2C390" w14:textId="77777777" w:rsidR="005A257B" w:rsidRDefault="005A257B" w:rsidP="00E24579">
      <w:pPr>
        <w:spacing w:after="0" w:line="240" w:lineRule="auto"/>
      </w:pPr>
      <w:r>
        <w:separator/>
      </w:r>
    </w:p>
  </w:endnote>
  <w:endnote w:type="continuationSeparator" w:id="0">
    <w:p w14:paraId="5815E974" w14:textId="77777777" w:rsidR="005A257B" w:rsidRDefault="005A257B"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3A674" w14:textId="77777777" w:rsidR="005A257B" w:rsidRPr="005315D6" w:rsidRDefault="005A257B"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SRM</w:t>
    </w:r>
    <w:r w:rsidR="003A70BC">
      <w:rPr>
        <w:rFonts w:ascii="Times New Roman" w:hAnsi="Times New Roman"/>
        <w:sz w:val="20"/>
        <w:szCs w:val="20"/>
      </w:rPr>
      <w:t> </w:t>
    </w:r>
    <w:r w:rsidR="000849A9">
      <w:rPr>
        <w:rFonts w:ascii="Times New Roman" w:hAnsi="Times New Roman"/>
        <w:sz w:val="20"/>
        <w:szCs w:val="20"/>
      </w:rPr>
      <w:t>2881</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D008C6">
      <w:rPr>
        <w:rStyle w:val="PageNumber"/>
        <w:rFonts w:ascii="Times New Roman" w:hAnsi="Times New Roman"/>
        <w:noProof/>
        <w:sz w:val="20"/>
        <w:szCs w:val="20"/>
      </w:rPr>
      <w:t>4</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D008C6">
      <w:rPr>
        <w:rStyle w:val="PageNumber"/>
        <w:rFonts w:ascii="Times New Roman" w:hAnsi="Times New Roman"/>
        <w:noProof/>
        <w:sz w:val="20"/>
        <w:szCs w:val="20"/>
      </w:rPr>
      <w:t>5</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9C2B7" w14:textId="77777777" w:rsidR="005A257B" w:rsidRDefault="005A257B" w:rsidP="00E24579">
      <w:pPr>
        <w:spacing w:after="0" w:line="240" w:lineRule="auto"/>
      </w:pPr>
      <w:r>
        <w:separator/>
      </w:r>
    </w:p>
  </w:footnote>
  <w:footnote w:type="continuationSeparator" w:id="0">
    <w:p w14:paraId="74C74E95" w14:textId="77777777" w:rsidR="005A257B" w:rsidRDefault="005A257B"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trackRevisions/>
  <w:defaultTabStop w:val="720"/>
  <w:drawingGridHorizontalSpacing w:val="110"/>
  <w:displayHorizontalDrawingGridEvery w:val="2"/>
  <w:characterSpacingControl w:val="doNotCompress"/>
  <w:hdrShapeDefaults>
    <o:shapedefaults v:ext="edit" spidmax="257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D5A"/>
    <w:rsid w:val="000062AB"/>
    <w:rsid w:val="00011CAC"/>
    <w:rsid w:val="00015F8E"/>
    <w:rsid w:val="00025571"/>
    <w:rsid w:val="000338D3"/>
    <w:rsid w:val="00037080"/>
    <w:rsid w:val="00041D7D"/>
    <w:rsid w:val="000425F7"/>
    <w:rsid w:val="0005067D"/>
    <w:rsid w:val="00051FB5"/>
    <w:rsid w:val="00052A14"/>
    <w:rsid w:val="00054A71"/>
    <w:rsid w:val="0007601E"/>
    <w:rsid w:val="00081FFA"/>
    <w:rsid w:val="000849A9"/>
    <w:rsid w:val="00085816"/>
    <w:rsid w:val="00094BF8"/>
    <w:rsid w:val="00095044"/>
    <w:rsid w:val="000B79EB"/>
    <w:rsid w:val="000C0534"/>
    <w:rsid w:val="000D31BB"/>
    <w:rsid w:val="000E147E"/>
    <w:rsid w:val="000E1EBF"/>
    <w:rsid w:val="000E3B6D"/>
    <w:rsid w:val="000E4CC9"/>
    <w:rsid w:val="000E615A"/>
    <w:rsid w:val="000F1959"/>
    <w:rsid w:val="000F255D"/>
    <w:rsid w:val="00106E15"/>
    <w:rsid w:val="00112C69"/>
    <w:rsid w:val="001248AA"/>
    <w:rsid w:val="00125FD4"/>
    <w:rsid w:val="00130CC0"/>
    <w:rsid w:val="00144362"/>
    <w:rsid w:val="00144ADE"/>
    <w:rsid w:val="00145AD5"/>
    <w:rsid w:val="00150BAB"/>
    <w:rsid w:val="00152B7B"/>
    <w:rsid w:val="0015519D"/>
    <w:rsid w:val="00167AFD"/>
    <w:rsid w:val="00170F65"/>
    <w:rsid w:val="00172026"/>
    <w:rsid w:val="00175EFF"/>
    <w:rsid w:val="00176501"/>
    <w:rsid w:val="001862E9"/>
    <w:rsid w:val="001930E9"/>
    <w:rsid w:val="00193FA9"/>
    <w:rsid w:val="001948EA"/>
    <w:rsid w:val="00194A53"/>
    <w:rsid w:val="00195830"/>
    <w:rsid w:val="0019668F"/>
    <w:rsid w:val="001A19D3"/>
    <w:rsid w:val="001B78DF"/>
    <w:rsid w:val="001C4AA7"/>
    <w:rsid w:val="001C4F6D"/>
    <w:rsid w:val="001D0D6B"/>
    <w:rsid w:val="001D4ADF"/>
    <w:rsid w:val="001D7FE4"/>
    <w:rsid w:val="001E1EEB"/>
    <w:rsid w:val="001F4AA3"/>
    <w:rsid w:val="001F7438"/>
    <w:rsid w:val="00203853"/>
    <w:rsid w:val="00203A9F"/>
    <w:rsid w:val="00206AE7"/>
    <w:rsid w:val="00213013"/>
    <w:rsid w:val="002237B1"/>
    <w:rsid w:val="00224515"/>
    <w:rsid w:val="002326AE"/>
    <w:rsid w:val="00232FEE"/>
    <w:rsid w:val="00241552"/>
    <w:rsid w:val="002416D8"/>
    <w:rsid w:val="00242591"/>
    <w:rsid w:val="002532FF"/>
    <w:rsid w:val="002566D9"/>
    <w:rsid w:val="00266A81"/>
    <w:rsid w:val="00271910"/>
    <w:rsid w:val="002732BD"/>
    <w:rsid w:val="002762BE"/>
    <w:rsid w:val="0028318C"/>
    <w:rsid w:val="00295831"/>
    <w:rsid w:val="00296E4D"/>
    <w:rsid w:val="002A0775"/>
    <w:rsid w:val="002A3CAA"/>
    <w:rsid w:val="002B2021"/>
    <w:rsid w:val="002B22C8"/>
    <w:rsid w:val="002B3137"/>
    <w:rsid w:val="002B4306"/>
    <w:rsid w:val="002B60F0"/>
    <w:rsid w:val="002C5045"/>
    <w:rsid w:val="002D63F4"/>
    <w:rsid w:val="002F28B5"/>
    <w:rsid w:val="002F3AF7"/>
    <w:rsid w:val="002F51BD"/>
    <w:rsid w:val="003045F2"/>
    <w:rsid w:val="0030612C"/>
    <w:rsid w:val="003135B6"/>
    <w:rsid w:val="003156B0"/>
    <w:rsid w:val="0031663D"/>
    <w:rsid w:val="00326A67"/>
    <w:rsid w:val="00331C80"/>
    <w:rsid w:val="00335DD7"/>
    <w:rsid w:val="003375EA"/>
    <w:rsid w:val="00341E61"/>
    <w:rsid w:val="00343B25"/>
    <w:rsid w:val="00345BDB"/>
    <w:rsid w:val="003466CD"/>
    <w:rsid w:val="00350823"/>
    <w:rsid w:val="00371ED3"/>
    <w:rsid w:val="0037222D"/>
    <w:rsid w:val="003727AC"/>
    <w:rsid w:val="003738E1"/>
    <w:rsid w:val="00383F47"/>
    <w:rsid w:val="0039599D"/>
    <w:rsid w:val="0039690E"/>
    <w:rsid w:val="003A70BC"/>
    <w:rsid w:val="003B2C06"/>
    <w:rsid w:val="003B54FB"/>
    <w:rsid w:val="003C2659"/>
    <w:rsid w:val="003C76DF"/>
    <w:rsid w:val="003D5857"/>
    <w:rsid w:val="003D6279"/>
    <w:rsid w:val="003E2700"/>
    <w:rsid w:val="003E5A7F"/>
    <w:rsid w:val="003F186E"/>
    <w:rsid w:val="004021D2"/>
    <w:rsid w:val="00404335"/>
    <w:rsid w:val="00405269"/>
    <w:rsid w:val="004143CA"/>
    <w:rsid w:val="00424C7F"/>
    <w:rsid w:val="00427144"/>
    <w:rsid w:val="0043249C"/>
    <w:rsid w:val="0043380E"/>
    <w:rsid w:val="0044174A"/>
    <w:rsid w:val="0044226E"/>
    <w:rsid w:val="00444104"/>
    <w:rsid w:val="004457B0"/>
    <w:rsid w:val="00450AD0"/>
    <w:rsid w:val="004521E9"/>
    <w:rsid w:val="004528A1"/>
    <w:rsid w:val="00454319"/>
    <w:rsid w:val="00455695"/>
    <w:rsid w:val="004563C5"/>
    <w:rsid w:val="00466137"/>
    <w:rsid w:val="00474DF2"/>
    <w:rsid w:val="00476880"/>
    <w:rsid w:val="0048419A"/>
    <w:rsid w:val="00493484"/>
    <w:rsid w:val="004A6E3F"/>
    <w:rsid w:val="004D4C2B"/>
    <w:rsid w:val="004D5D98"/>
    <w:rsid w:val="004E06D8"/>
    <w:rsid w:val="004E54F3"/>
    <w:rsid w:val="004E5DB2"/>
    <w:rsid w:val="004E5DCE"/>
    <w:rsid w:val="004E734D"/>
    <w:rsid w:val="004E7C12"/>
    <w:rsid w:val="004E7CC2"/>
    <w:rsid w:val="004F1C1D"/>
    <w:rsid w:val="004F46FD"/>
    <w:rsid w:val="004F7294"/>
    <w:rsid w:val="004F76D5"/>
    <w:rsid w:val="0050110A"/>
    <w:rsid w:val="00510CBD"/>
    <w:rsid w:val="00510DFE"/>
    <w:rsid w:val="00517108"/>
    <w:rsid w:val="00521CB4"/>
    <w:rsid w:val="005302E6"/>
    <w:rsid w:val="005315D6"/>
    <w:rsid w:val="00534548"/>
    <w:rsid w:val="00537670"/>
    <w:rsid w:val="005401AD"/>
    <w:rsid w:val="0055271F"/>
    <w:rsid w:val="005550E0"/>
    <w:rsid w:val="00556719"/>
    <w:rsid w:val="00565AA3"/>
    <w:rsid w:val="005832A5"/>
    <w:rsid w:val="00584A22"/>
    <w:rsid w:val="00585970"/>
    <w:rsid w:val="00590E21"/>
    <w:rsid w:val="00592E01"/>
    <w:rsid w:val="005932F5"/>
    <w:rsid w:val="005A257B"/>
    <w:rsid w:val="005A73FE"/>
    <w:rsid w:val="005C7D28"/>
    <w:rsid w:val="005D0F87"/>
    <w:rsid w:val="005D3405"/>
    <w:rsid w:val="005D4139"/>
    <w:rsid w:val="005D632D"/>
    <w:rsid w:val="005E0A42"/>
    <w:rsid w:val="005E4F60"/>
    <w:rsid w:val="005F36B6"/>
    <w:rsid w:val="005F656F"/>
    <w:rsid w:val="005F7AEB"/>
    <w:rsid w:val="00600C7C"/>
    <w:rsid w:val="00603CC6"/>
    <w:rsid w:val="00606535"/>
    <w:rsid w:val="006113C2"/>
    <w:rsid w:val="00620718"/>
    <w:rsid w:val="00622909"/>
    <w:rsid w:val="00622AE4"/>
    <w:rsid w:val="00622BAB"/>
    <w:rsid w:val="00623C6E"/>
    <w:rsid w:val="006251CA"/>
    <w:rsid w:val="006255F3"/>
    <w:rsid w:val="0062748C"/>
    <w:rsid w:val="00632690"/>
    <w:rsid w:val="00632742"/>
    <w:rsid w:val="00633925"/>
    <w:rsid w:val="00643E10"/>
    <w:rsid w:val="0064486D"/>
    <w:rsid w:val="00645989"/>
    <w:rsid w:val="00655EC3"/>
    <w:rsid w:val="00661CCC"/>
    <w:rsid w:val="0066464E"/>
    <w:rsid w:val="006662F0"/>
    <w:rsid w:val="0067534E"/>
    <w:rsid w:val="00676966"/>
    <w:rsid w:val="006821C7"/>
    <w:rsid w:val="0068405F"/>
    <w:rsid w:val="00684EF3"/>
    <w:rsid w:val="00693E96"/>
    <w:rsid w:val="00695328"/>
    <w:rsid w:val="006A7CE0"/>
    <w:rsid w:val="006B276B"/>
    <w:rsid w:val="006B712E"/>
    <w:rsid w:val="006C412A"/>
    <w:rsid w:val="006D24D9"/>
    <w:rsid w:val="006E5E61"/>
    <w:rsid w:val="006E61C7"/>
    <w:rsid w:val="006F0F73"/>
    <w:rsid w:val="007036EB"/>
    <w:rsid w:val="00710FAA"/>
    <w:rsid w:val="00714D24"/>
    <w:rsid w:val="00717B98"/>
    <w:rsid w:val="0072264A"/>
    <w:rsid w:val="007237E2"/>
    <w:rsid w:val="00730686"/>
    <w:rsid w:val="0073150A"/>
    <w:rsid w:val="007315EF"/>
    <w:rsid w:val="00733B44"/>
    <w:rsid w:val="00743478"/>
    <w:rsid w:val="00744511"/>
    <w:rsid w:val="007502B5"/>
    <w:rsid w:val="00756C01"/>
    <w:rsid w:val="007574D4"/>
    <w:rsid w:val="0076543A"/>
    <w:rsid w:val="007666FB"/>
    <w:rsid w:val="00783F68"/>
    <w:rsid w:val="00784040"/>
    <w:rsid w:val="00787B87"/>
    <w:rsid w:val="00792487"/>
    <w:rsid w:val="007975C5"/>
    <w:rsid w:val="007A5D32"/>
    <w:rsid w:val="007A6CE6"/>
    <w:rsid w:val="007B56D0"/>
    <w:rsid w:val="007B734D"/>
    <w:rsid w:val="007C7F6E"/>
    <w:rsid w:val="007E107C"/>
    <w:rsid w:val="007E335A"/>
    <w:rsid w:val="007E6EDD"/>
    <w:rsid w:val="007F5046"/>
    <w:rsid w:val="007F5C40"/>
    <w:rsid w:val="007F660E"/>
    <w:rsid w:val="00814DE3"/>
    <w:rsid w:val="008154F9"/>
    <w:rsid w:val="00821095"/>
    <w:rsid w:val="00831DDA"/>
    <w:rsid w:val="00834BA4"/>
    <w:rsid w:val="008354ED"/>
    <w:rsid w:val="00836B33"/>
    <w:rsid w:val="00844575"/>
    <w:rsid w:val="00851D06"/>
    <w:rsid w:val="008660ED"/>
    <w:rsid w:val="008665F3"/>
    <w:rsid w:val="008707BD"/>
    <w:rsid w:val="00877B64"/>
    <w:rsid w:val="00881C3C"/>
    <w:rsid w:val="00886C5A"/>
    <w:rsid w:val="008925FA"/>
    <w:rsid w:val="00892672"/>
    <w:rsid w:val="00893F73"/>
    <w:rsid w:val="008A179D"/>
    <w:rsid w:val="008B70F0"/>
    <w:rsid w:val="008B7934"/>
    <w:rsid w:val="008C684F"/>
    <w:rsid w:val="008D16C4"/>
    <w:rsid w:val="008E0386"/>
    <w:rsid w:val="008E1A8B"/>
    <w:rsid w:val="008E1B26"/>
    <w:rsid w:val="008F646B"/>
    <w:rsid w:val="008F7B1B"/>
    <w:rsid w:val="00902F44"/>
    <w:rsid w:val="009037A7"/>
    <w:rsid w:val="0090699C"/>
    <w:rsid w:val="00910EA2"/>
    <w:rsid w:val="00911A75"/>
    <w:rsid w:val="009122D7"/>
    <w:rsid w:val="00915962"/>
    <w:rsid w:val="009175D1"/>
    <w:rsid w:val="00921C3E"/>
    <w:rsid w:val="00931BB0"/>
    <w:rsid w:val="00935858"/>
    <w:rsid w:val="00942D37"/>
    <w:rsid w:val="00942F77"/>
    <w:rsid w:val="00953EFC"/>
    <w:rsid w:val="009568A3"/>
    <w:rsid w:val="00957A04"/>
    <w:rsid w:val="00957B26"/>
    <w:rsid w:val="00971EDC"/>
    <w:rsid w:val="00977539"/>
    <w:rsid w:val="00981AAE"/>
    <w:rsid w:val="0098347B"/>
    <w:rsid w:val="0099292D"/>
    <w:rsid w:val="0099505F"/>
    <w:rsid w:val="009B7881"/>
    <w:rsid w:val="009C1029"/>
    <w:rsid w:val="009D2951"/>
    <w:rsid w:val="009D2B8E"/>
    <w:rsid w:val="009E0D2E"/>
    <w:rsid w:val="009E33CE"/>
    <w:rsid w:val="009E5BA8"/>
    <w:rsid w:val="009F18A8"/>
    <w:rsid w:val="009F3C46"/>
    <w:rsid w:val="009F49E7"/>
    <w:rsid w:val="009F5230"/>
    <w:rsid w:val="009F6B0C"/>
    <w:rsid w:val="00A00A2B"/>
    <w:rsid w:val="00A0266C"/>
    <w:rsid w:val="00A02B97"/>
    <w:rsid w:val="00A02D37"/>
    <w:rsid w:val="00A13A72"/>
    <w:rsid w:val="00A148AB"/>
    <w:rsid w:val="00A14B09"/>
    <w:rsid w:val="00A203EB"/>
    <w:rsid w:val="00A26DBF"/>
    <w:rsid w:val="00A33E0F"/>
    <w:rsid w:val="00A45A14"/>
    <w:rsid w:val="00A47B0A"/>
    <w:rsid w:val="00A5395F"/>
    <w:rsid w:val="00A54F76"/>
    <w:rsid w:val="00A56380"/>
    <w:rsid w:val="00A61AAA"/>
    <w:rsid w:val="00A61CD8"/>
    <w:rsid w:val="00A73159"/>
    <w:rsid w:val="00A911CD"/>
    <w:rsid w:val="00A91680"/>
    <w:rsid w:val="00AA6AC2"/>
    <w:rsid w:val="00AB4A6C"/>
    <w:rsid w:val="00AC1826"/>
    <w:rsid w:val="00AD050B"/>
    <w:rsid w:val="00AD6D0A"/>
    <w:rsid w:val="00AD718C"/>
    <w:rsid w:val="00AF488F"/>
    <w:rsid w:val="00AF7E1C"/>
    <w:rsid w:val="00B0155D"/>
    <w:rsid w:val="00B124D7"/>
    <w:rsid w:val="00B1513E"/>
    <w:rsid w:val="00B15A12"/>
    <w:rsid w:val="00B16840"/>
    <w:rsid w:val="00B173FB"/>
    <w:rsid w:val="00B177FF"/>
    <w:rsid w:val="00B26213"/>
    <w:rsid w:val="00B3185E"/>
    <w:rsid w:val="00B33652"/>
    <w:rsid w:val="00B448C3"/>
    <w:rsid w:val="00B45C19"/>
    <w:rsid w:val="00B4602F"/>
    <w:rsid w:val="00B513EC"/>
    <w:rsid w:val="00B546AD"/>
    <w:rsid w:val="00B54925"/>
    <w:rsid w:val="00B54B62"/>
    <w:rsid w:val="00B55CD5"/>
    <w:rsid w:val="00B56A4E"/>
    <w:rsid w:val="00B66E00"/>
    <w:rsid w:val="00B672F3"/>
    <w:rsid w:val="00B824E8"/>
    <w:rsid w:val="00B82E15"/>
    <w:rsid w:val="00B8718F"/>
    <w:rsid w:val="00B874FA"/>
    <w:rsid w:val="00B87CE3"/>
    <w:rsid w:val="00B91B33"/>
    <w:rsid w:val="00B97847"/>
    <w:rsid w:val="00BA67FC"/>
    <w:rsid w:val="00BB0995"/>
    <w:rsid w:val="00BB14A2"/>
    <w:rsid w:val="00BB55E8"/>
    <w:rsid w:val="00BC5C79"/>
    <w:rsid w:val="00BD0059"/>
    <w:rsid w:val="00BE09C9"/>
    <w:rsid w:val="00BF0592"/>
    <w:rsid w:val="00BF230B"/>
    <w:rsid w:val="00BF5DD9"/>
    <w:rsid w:val="00BF6022"/>
    <w:rsid w:val="00BF72CB"/>
    <w:rsid w:val="00C0190D"/>
    <w:rsid w:val="00C10B4B"/>
    <w:rsid w:val="00C10BCF"/>
    <w:rsid w:val="00C131D0"/>
    <w:rsid w:val="00C1391B"/>
    <w:rsid w:val="00C206D5"/>
    <w:rsid w:val="00C253FE"/>
    <w:rsid w:val="00C27D84"/>
    <w:rsid w:val="00C30FD3"/>
    <w:rsid w:val="00C40E05"/>
    <w:rsid w:val="00C508A0"/>
    <w:rsid w:val="00C63267"/>
    <w:rsid w:val="00C661E3"/>
    <w:rsid w:val="00C66C97"/>
    <w:rsid w:val="00C723CD"/>
    <w:rsid w:val="00C83E59"/>
    <w:rsid w:val="00C84E3B"/>
    <w:rsid w:val="00C87866"/>
    <w:rsid w:val="00C87FA4"/>
    <w:rsid w:val="00C91840"/>
    <w:rsid w:val="00CA2D25"/>
    <w:rsid w:val="00CA42D2"/>
    <w:rsid w:val="00CB4087"/>
    <w:rsid w:val="00CB5DAD"/>
    <w:rsid w:val="00CC65BE"/>
    <w:rsid w:val="00CC6C33"/>
    <w:rsid w:val="00CD0FFB"/>
    <w:rsid w:val="00CF6BA4"/>
    <w:rsid w:val="00D008C6"/>
    <w:rsid w:val="00D03028"/>
    <w:rsid w:val="00D03D0A"/>
    <w:rsid w:val="00D214A2"/>
    <w:rsid w:val="00D2295A"/>
    <w:rsid w:val="00D23B04"/>
    <w:rsid w:val="00D25DBF"/>
    <w:rsid w:val="00D3347C"/>
    <w:rsid w:val="00D34188"/>
    <w:rsid w:val="00D409AB"/>
    <w:rsid w:val="00D536DB"/>
    <w:rsid w:val="00D60A36"/>
    <w:rsid w:val="00D61695"/>
    <w:rsid w:val="00D70C8B"/>
    <w:rsid w:val="00D73BA0"/>
    <w:rsid w:val="00D754E5"/>
    <w:rsid w:val="00D77265"/>
    <w:rsid w:val="00D85E12"/>
    <w:rsid w:val="00D86CFF"/>
    <w:rsid w:val="00D90F89"/>
    <w:rsid w:val="00DA20AC"/>
    <w:rsid w:val="00DA4142"/>
    <w:rsid w:val="00DA4ACF"/>
    <w:rsid w:val="00DA5A17"/>
    <w:rsid w:val="00DB53D1"/>
    <w:rsid w:val="00DB72C0"/>
    <w:rsid w:val="00DB756D"/>
    <w:rsid w:val="00DC0227"/>
    <w:rsid w:val="00DC1232"/>
    <w:rsid w:val="00DC3629"/>
    <w:rsid w:val="00DC38A1"/>
    <w:rsid w:val="00DD126C"/>
    <w:rsid w:val="00DD38F6"/>
    <w:rsid w:val="00DD5D65"/>
    <w:rsid w:val="00DE31FD"/>
    <w:rsid w:val="00DE64B4"/>
    <w:rsid w:val="00DF36DB"/>
    <w:rsid w:val="00E014A4"/>
    <w:rsid w:val="00E01681"/>
    <w:rsid w:val="00E02297"/>
    <w:rsid w:val="00E02561"/>
    <w:rsid w:val="00E06A19"/>
    <w:rsid w:val="00E1552D"/>
    <w:rsid w:val="00E1672A"/>
    <w:rsid w:val="00E2314F"/>
    <w:rsid w:val="00E24579"/>
    <w:rsid w:val="00E31138"/>
    <w:rsid w:val="00E37538"/>
    <w:rsid w:val="00E41B6E"/>
    <w:rsid w:val="00E440AC"/>
    <w:rsid w:val="00E45DB8"/>
    <w:rsid w:val="00E523E6"/>
    <w:rsid w:val="00E620ED"/>
    <w:rsid w:val="00E7130C"/>
    <w:rsid w:val="00E74426"/>
    <w:rsid w:val="00E81BD0"/>
    <w:rsid w:val="00E82901"/>
    <w:rsid w:val="00E84BFE"/>
    <w:rsid w:val="00E87111"/>
    <w:rsid w:val="00E91344"/>
    <w:rsid w:val="00E93DD1"/>
    <w:rsid w:val="00EA4470"/>
    <w:rsid w:val="00EB5E4A"/>
    <w:rsid w:val="00EB7190"/>
    <w:rsid w:val="00EC2C72"/>
    <w:rsid w:val="00ED5B65"/>
    <w:rsid w:val="00EE1BE2"/>
    <w:rsid w:val="00EE1F37"/>
    <w:rsid w:val="00EF0F7C"/>
    <w:rsid w:val="00EF3786"/>
    <w:rsid w:val="00EF4006"/>
    <w:rsid w:val="00EF5026"/>
    <w:rsid w:val="00EF761A"/>
    <w:rsid w:val="00F0571F"/>
    <w:rsid w:val="00F057E8"/>
    <w:rsid w:val="00F16C1A"/>
    <w:rsid w:val="00F2490E"/>
    <w:rsid w:val="00F3381A"/>
    <w:rsid w:val="00F4046F"/>
    <w:rsid w:val="00F4079E"/>
    <w:rsid w:val="00F6032E"/>
    <w:rsid w:val="00F655EB"/>
    <w:rsid w:val="00F656A2"/>
    <w:rsid w:val="00F67CCA"/>
    <w:rsid w:val="00F7593E"/>
    <w:rsid w:val="00F92DAA"/>
    <w:rsid w:val="00F97149"/>
    <w:rsid w:val="00FA5DC8"/>
    <w:rsid w:val="00FA746E"/>
    <w:rsid w:val="00FB1952"/>
    <w:rsid w:val="00FB7719"/>
    <w:rsid w:val="00FC3C8B"/>
    <w:rsid w:val="00FC7D09"/>
    <w:rsid w:val="00FD5524"/>
    <w:rsid w:val="00FD6E3E"/>
    <w:rsid w:val="00FE152A"/>
    <w:rsid w:val="00FE783A"/>
    <w:rsid w:val="00FE7C81"/>
    <w:rsid w:val="00FF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7025"/>
    <o:shapelayout v:ext="edit">
      <o:idmap v:ext="edit" data="1"/>
    </o:shapelayout>
  </w:shapeDefaults>
  <w:decimalSymbol w:val="."/>
  <w:listSeparator w:val=","/>
  <w14:docId w14:val="026D6E2B"/>
  <w15:docId w15:val="{2DE6C4E3-A0C3-4A65-A6FF-AED771D5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niosh/npg/npgd0480.html" TargetMode="External"/><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EC6757-D60E-4575-8B48-68C88E89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1810</Words>
  <Characters>11388</Characters>
  <Application>Microsoft Office Word</Application>
  <DocSecurity>0</DocSecurity>
  <Lines>367</Lines>
  <Paragraphs>338</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12860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Shuggars, Thomas P.</cp:lastModifiedBy>
  <cp:revision>10</cp:revision>
  <cp:lastPrinted>2014-02-04T19:54:00Z</cp:lastPrinted>
  <dcterms:created xsi:type="dcterms:W3CDTF">2015-05-18T14:01:00Z</dcterms:created>
  <dcterms:modified xsi:type="dcterms:W3CDTF">2015-05-18T14:19:00Z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