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doc" ContentType="application/msword"/>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35CF" w:rsidRDefault="00FF201E">
      <w:pPr>
        <w:pStyle w:val="Title"/>
        <w:widowControl/>
        <w:rPr>
          <w:rFonts w:ascii="Linotext" w:hAnsi="Linotext"/>
        </w:rPr>
      </w:pPr>
      <w:r>
        <w:rPr>
          <w:rFonts w:ascii="Linotext" w:hAnsi="Linotext"/>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4.05pt;margin-top:-19.5pt;width:96pt;height:63.75pt;z-index:-251658752" o:allowincell="f" fillcolor="window">
            <v:imagedata r:id="rId8" o:title=""/>
          </v:shape>
          <o:OLEObject Type="Embed" ProgID="Word.Document.8" ShapeID="_x0000_s1026" DrawAspect="Content" ObjectID="_1386748533" r:id="rId9">
            <o:FieldCodes>\s</o:FieldCodes>
          </o:OLEObject>
        </w:pict>
      </w:r>
      <w:r w:rsidR="005D1F61">
        <w:rPr>
          <w:rFonts w:ascii="Linotext" w:hAnsi="Linotext"/>
        </w:rPr>
        <w:t>National Institute of Standards &amp; Technology</w:t>
      </w:r>
    </w:p>
    <w:p w:rsidR="0008329E" w:rsidRPr="00417F00" w:rsidRDefault="0008329E">
      <w:pPr>
        <w:jc w:val="center"/>
        <w:rPr>
          <w:rFonts w:ascii="Times New Roman" w:hAnsi="Times New Roman"/>
          <w:sz w:val="20"/>
        </w:rPr>
      </w:pPr>
    </w:p>
    <w:p w:rsidR="0008329E" w:rsidRDefault="005D1F61">
      <w:pPr>
        <w:pStyle w:val="Subtitle"/>
        <w:rPr>
          <w:rFonts w:ascii="Linotext" w:hAnsi="Linotext"/>
          <w:sz w:val="20"/>
        </w:rPr>
      </w:pPr>
      <w:r>
        <w:rPr>
          <w:rFonts w:ascii="Linotext" w:hAnsi="Linotext"/>
        </w:rPr>
        <w:t>Certificate of Analysis</w:t>
      </w:r>
    </w:p>
    <w:p w:rsidR="0008329E" w:rsidRPr="00417F00" w:rsidRDefault="0008329E">
      <w:pPr>
        <w:jc w:val="center"/>
        <w:rPr>
          <w:rFonts w:ascii="Times New Roman" w:hAnsi="Times New Roman"/>
          <w:sz w:val="20"/>
        </w:rPr>
      </w:pPr>
    </w:p>
    <w:p w:rsidR="0008329E" w:rsidRDefault="005D1F61">
      <w:pPr>
        <w:jc w:val="center"/>
        <w:rPr>
          <w:rFonts w:ascii="Times New Roman" w:hAnsi="Times New Roman"/>
          <w:sz w:val="28"/>
        </w:rPr>
      </w:pPr>
      <w:r>
        <w:rPr>
          <w:rFonts w:ascii="Times New Roman" w:hAnsi="Times New Roman"/>
          <w:sz w:val="36"/>
        </w:rPr>
        <w:t>Standard Reference Material</w:t>
      </w:r>
      <w:r>
        <w:rPr>
          <w:rFonts w:ascii="Times New Roman" w:hAnsi="Times New Roman"/>
          <w:sz w:val="36"/>
          <w:vertAlign w:val="superscript"/>
        </w:rPr>
        <w:sym w:font="Symbol" w:char="F0D2"/>
      </w:r>
      <w:r w:rsidR="006E5492">
        <w:rPr>
          <w:rFonts w:ascii="Times New Roman" w:hAnsi="Times New Roman"/>
          <w:sz w:val="36"/>
        </w:rPr>
        <w:t> </w:t>
      </w:r>
      <w:r>
        <w:rPr>
          <w:rFonts w:ascii="Times New Roman" w:hAnsi="Times New Roman"/>
          <w:sz w:val="36"/>
        </w:rPr>
        <w:t>1918</w:t>
      </w:r>
    </w:p>
    <w:p w:rsidR="0008329E" w:rsidRPr="00417F00" w:rsidRDefault="0008329E" w:rsidP="00417F00">
      <w:pPr>
        <w:jc w:val="center"/>
        <w:rPr>
          <w:rFonts w:ascii="Times New Roman" w:hAnsi="Times New Roman"/>
          <w:sz w:val="20"/>
        </w:rPr>
      </w:pPr>
    </w:p>
    <w:p w:rsidR="0008329E" w:rsidRDefault="005D1F61">
      <w:pPr>
        <w:pStyle w:val="Heading1"/>
      </w:pPr>
      <w:r>
        <w:t>Mercury Porosimeter Intrusion Standard</w:t>
      </w:r>
    </w:p>
    <w:p w:rsidR="0008329E" w:rsidRDefault="0008329E" w:rsidP="00417F00">
      <w:pPr>
        <w:jc w:val="both"/>
        <w:rPr>
          <w:rFonts w:ascii="Times New Roman" w:hAnsi="Times New Roman"/>
          <w:sz w:val="20"/>
        </w:rPr>
      </w:pPr>
    </w:p>
    <w:p w:rsidR="0008329E" w:rsidRDefault="005D1F61">
      <w:pPr>
        <w:pStyle w:val="BodyText"/>
      </w:pPr>
      <w:r>
        <w:t>This Standard Reference Material</w:t>
      </w:r>
      <w:r w:rsidR="00417F00">
        <w:t> </w:t>
      </w:r>
      <w:r>
        <w:t>(SRM) is intended for use in the calibration of mercury porosimeter intrusion analytical instruments.  A unit of SRM</w:t>
      </w:r>
      <w:r w:rsidR="00417F00">
        <w:t> </w:t>
      </w:r>
      <w:r>
        <w:t>1918 consists of one vial containing approximately 12</w:t>
      </w:r>
      <w:r w:rsidR="00417F00">
        <w:t> </w:t>
      </w:r>
      <w:r>
        <w:t>g of an extruded silica</w:t>
      </w:r>
      <w:r w:rsidR="00417F00">
        <w:noBreakHyphen/>
      </w:r>
      <w:r>
        <w:t>alumina compound.</w:t>
      </w:r>
    </w:p>
    <w:p w:rsidR="0008329E" w:rsidRDefault="0008329E">
      <w:pPr>
        <w:pStyle w:val="BodyText"/>
      </w:pPr>
    </w:p>
    <w:p w:rsidR="0008329E" w:rsidRDefault="005D1F61">
      <w:pPr>
        <w:pStyle w:val="BodyText"/>
      </w:pPr>
      <w:r>
        <w:rPr>
          <w:b/>
        </w:rPr>
        <w:t>Certified Value</w:t>
      </w:r>
      <w:r w:rsidR="00417F00">
        <w:rPr>
          <w:b/>
        </w:rPr>
        <w:t>s</w:t>
      </w:r>
      <w:r>
        <w:rPr>
          <w:b/>
        </w:rPr>
        <w:t>:</w:t>
      </w:r>
      <w:r>
        <w:t xml:space="preserve"> </w:t>
      </w:r>
      <w:r w:rsidR="009914E3">
        <w:t xml:space="preserve"> </w:t>
      </w:r>
      <w:r>
        <w:t xml:space="preserve">The results are expressed as the certified values </w:t>
      </w:r>
      <w:r w:rsidR="00417F00">
        <w:t>with</w:t>
      </w:r>
      <w:r>
        <w:t xml:space="preserve"> the expanded uncertainties (Table</w:t>
      </w:r>
      <w:r w:rsidR="00417F00">
        <w:t> </w:t>
      </w:r>
      <w:r>
        <w:t>1).  The certified values are weighted averages</w:t>
      </w:r>
      <w:r w:rsidR="00417F00">
        <w:t> </w:t>
      </w:r>
      <w:r>
        <w:t>[1] of measurements based on intrusion curves from six laboratories.  The expanded uncertainties, at the 95</w:t>
      </w:r>
      <w:r w:rsidR="00417F00">
        <w:t> </w:t>
      </w:r>
      <w:r>
        <w:t xml:space="preserve">% level of confidence are calculated as </w:t>
      </w:r>
      <w:r>
        <w:rPr>
          <w:i/>
        </w:rPr>
        <w:t>U</w:t>
      </w:r>
      <w:r w:rsidR="00417F00">
        <w:t> </w:t>
      </w:r>
      <w:r>
        <w:t>=</w:t>
      </w:r>
      <w:r w:rsidR="00417F00">
        <w:t> </w:t>
      </w:r>
      <w:r>
        <w:rPr>
          <w:i/>
        </w:rPr>
        <w:t>ku</w:t>
      </w:r>
      <w:r>
        <w:rPr>
          <w:vertAlign w:val="subscript"/>
        </w:rPr>
        <w:t>c</w:t>
      </w:r>
      <w:r>
        <w:t xml:space="preserve">, </w:t>
      </w:r>
      <w:r>
        <w:rPr>
          <w:vertAlign w:val="subscript"/>
        </w:rPr>
        <w:t xml:space="preserve"> </w:t>
      </w:r>
      <w:r>
        <w:t xml:space="preserve">where </w:t>
      </w:r>
      <w:r>
        <w:rPr>
          <w:i/>
        </w:rPr>
        <w:t>u</w:t>
      </w:r>
      <w:r>
        <w:rPr>
          <w:vertAlign w:val="subscript"/>
        </w:rPr>
        <w:t>c</w:t>
      </w:r>
      <w:r>
        <w:t xml:space="preserve"> is a combined standard uncertainty for the average, calculated according to the ISO Guide</w:t>
      </w:r>
      <w:r w:rsidR="00417F00">
        <w:t> </w:t>
      </w:r>
      <w:r>
        <w:t xml:space="preserve">[1,2], and </w:t>
      </w:r>
      <w:r>
        <w:rPr>
          <w:i/>
        </w:rPr>
        <w:t>k</w:t>
      </w:r>
      <w:r w:rsidR="00417F00">
        <w:t> </w:t>
      </w:r>
      <w:r>
        <w:t>=</w:t>
      </w:r>
      <w:r w:rsidR="00417F00">
        <w:t> </w:t>
      </w:r>
      <w:r>
        <w:t xml:space="preserve">2 is the coverage factor.  The value of </w:t>
      </w:r>
      <w:r>
        <w:rPr>
          <w:i/>
        </w:rPr>
        <w:t>u</w:t>
      </w:r>
      <w:r>
        <w:rPr>
          <w:vertAlign w:val="subscript"/>
        </w:rPr>
        <w:t>c</w:t>
      </w:r>
      <w:r>
        <w:t xml:space="preserve"> in each case includes both a combined estimate of the variation of the averages attributed to each source and an allowance for differences among those averages.</w:t>
      </w:r>
    </w:p>
    <w:p w:rsidR="0008329E" w:rsidRDefault="0008329E">
      <w:pPr>
        <w:pStyle w:val="BodyText"/>
      </w:pPr>
    </w:p>
    <w:p w:rsidR="00D95A05" w:rsidRDefault="00D95A05">
      <w:pPr>
        <w:pStyle w:val="BodyText"/>
      </w:pPr>
    </w:p>
    <w:p w:rsidR="0008329E" w:rsidRDefault="006C1D75">
      <w:pPr>
        <w:pStyle w:val="BodyText"/>
        <w:jc w:val="center"/>
      </w:pPr>
      <w:proofErr w:type="gramStart"/>
      <w:r>
        <w:t>Table </w:t>
      </w:r>
      <w:r w:rsidR="005D1F61">
        <w:t>1.</w:t>
      </w:r>
      <w:proofErr w:type="gramEnd"/>
      <w:r w:rsidR="005D1F61">
        <w:t xml:space="preserve">  Certified Values for </w:t>
      </w:r>
      <w:r>
        <w:t>SRM </w:t>
      </w:r>
      <w:r w:rsidR="005D1F61">
        <w:t>1918</w:t>
      </w:r>
    </w:p>
    <w:p w:rsidR="0008329E" w:rsidRDefault="0008329E" w:rsidP="00D95A05">
      <w:pPr>
        <w:pStyle w:val="BodyText"/>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43"/>
        <w:gridCol w:w="3920"/>
      </w:tblGrid>
      <w:tr w:rsidR="00D95A05" w:rsidTr="00D95A05">
        <w:trPr>
          <w:jc w:val="center"/>
        </w:trPr>
        <w:tc>
          <w:tcPr>
            <w:tcW w:w="2543" w:type="dxa"/>
          </w:tcPr>
          <w:p w:rsidR="00D95A05" w:rsidRDefault="00D95A05" w:rsidP="000D6699">
            <w:pPr>
              <w:pStyle w:val="BodyText"/>
              <w:spacing w:after="40"/>
              <w:jc w:val="left"/>
            </w:pPr>
            <w:r>
              <w:t>Mean Pore Diameter</w:t>
            </w:r>
          </w:p>
        </w:tc>
        <w:tc>
          <w:tcPr>
            <w:tcW w:w="3920" w:type="dxa"/>
          </w:tcPr>
          <w:p w:rsidR="00D95A05" w:rsidRDefault="00D95A05" w:rsidP="000D6699">
            <w:pPr>
              <w:pStyle w:val="BodyText"/>
              <w:tabs>
                <w:tab w:val="decimal" w:pos="550"/>
                <w:tab w:val="center" w:pos="1720"/>
                <w:tab w:val="decimal" w:pos="2170"/>
              </w:tabs>
              <w:spacing w:after="40"/>
              <w:jc w:val="left"/>
            </w:pPr>
            <w:r>
              <w:tab/>
              <w:t>8.847 nm</w:t>
            </w:r>
            <w:r>
              <w:tab/>
            </w:r>
            <w:r>
              <w:sym w:font="Symbol" w:char="F0B1"/>
            </w:r>
            <w:r>
              <w:tab/>
              <w:t>0.363 nm</w:t>
            </w:r>
          </w:p>
        </w:tc>
      </w:tr>
      <w:tr w:rsidR="00D95A05" w:rsidTr="00D95A05">
        <w:trPr>
          <w:jc w:val="center"/>
        </w:trPr>
        <w:tc>
          <w:tcPr>
            <w:tcW w:w="2543" w:type="dxa"/>
          </w:tcPr>
          <w:p w:rsidR="00D95A05" w:rsidRDefault="00D95A05" w:rsidP="000D6699">
            <w:pPr>
              <w:pStyle w:val="BodyText"/>
              <w:spacing w:after="40"/>
              <w:jc w:val="left"/>
            </w:pPr>
            <w:r>
              <w:t>Median Pore Diameter</w:t>
            </w:r>
          </w:p>
        </w:tc>
        <w:tc>
          <w:tcPr>
            <w:tcW w:w="3920" w:type="dxa"/>
          </w:tcPr>
          <w:p w:rsidR="00D95A05" w:rsidRDefault="00D95A05" w:rsidP="000D6699">
            <w:pPr>
              <w:pStyle w:val="BodyText"/>
              <w:tabs>
                <w:tab w:val="decimal" w:pos="550"/>
                <w:tab w:val="center" w:pos="1720"/>
                <w:tab w:val="decimal" w:pos="2170"/>
              </w:tabs>
              <w:spacing w:after="40"/>
              <w:jc w:val="left"/>
            </w:pPr>
            <w:r>
              <w:tab/>
              <w:t>8.503 nm</w:t>
            </w:r>
            <w:r>
              <w:tab/>
            </w:r>
            <w:r>
              <w:sym w:font="Symbol" w:char="F0B1"/>
            </w:r>
            <w:r>
              <w:tab/>
              <w:t>0.218 nm</w:t>
            </w:r>
          </w:p>
        </w:tc>
      </w:tr>
      <w:tr w:rsidR="00D95A05" w:rsidTr="00D95A05">
        <w:trPr>
          <w:jc w:val="center"/>
        </w:trPr>
        <w:tc>
          <w:tcPr>
            <w:tcW w:w="2543" w:type="dxa"/>
          </w:tcPr>
          <w:p w:rsidR="00D95A05" w:rsidRDefault="00D95A05" w:rsidP="00D95A05">
            <w:pPr>
              <w:pStyle w:val="BodyText"/>
              <w:jc w:val="left"/>
            </w:pPr>
            <w:r>
              <w:t>Total Intruded Volume</w:t>
            </w:r>
          </w:p>
        </w:tc>
        <w:tc>
          <w:tcPr>
            <w:tcW w:w="3920" w:type="dxa"/>
          </w:tcPr>
          <w:p w:rsidR="00D95A05" w:rsidRDefault="00D95A05" w:rsidP="00D95A05">
            <w:pPr>
              <w:pStyle w:val="BodyText"/>
              <w:tabs>
                <w:tab w:val="decimal" w:pos="550"/>
                <w:tab w:val="center" w:pos="1720"/>
                <w:tab w:val="decimal" w:pos="2170"/>
              </w:tabs>
              <w:jc w:val="left"/>
            </w:pPr>
            <w:r>
              <w:tab/>
              <w:t>0.547 mm</w:t>
            </w:r>
            <w:r w:rsidRPr="00417F00">
              <w:rPr>
                <w:vertAlign w:val="superscript"/>
              </w:rPr>
              <w:t>3</w:t>
            </w:r>
            <w:r>
              <w:t>/g</w:t>
            </w:r>
            <w:r>
              <w:tab/>
            </w:r>
            <w:r>
              <w:sym w:font="Symbol" w:char="F0B1"/>
            </w:r>
            <w:r>
              <w:tab/>
              <w:t>0.018 mm</w:t>
            </w:r>
            <w:r w:rsidRPr="00417F00">
              <w:rPr>
                <w:vertAlign w:val="superscript"/>
              </w:rPr>
              <w:t>3</w:t>
            </w:r>
            <w:r>
              <w:t>/g</w:t>
            </w:r>
          </w:p>
        </w:tc>
      </w:tr>
    </w:tbl>
    <w:p w:rsidR="00D95A05" w:rsidRDefault="00D95A05">
      <w:pPr>
        <w:pStyle w:val="BodyText"/>
      </w:pPr>
    </w:p>
    <w:p w:rsidR="0008329E" w:rsidRDefault="0008329E">
      <w:pPr>
        <w:pStyle w:val="BodyText"/>
      </w:pPr>
    </w:p>
    <w:p w:rsidR="0008329E" w:rsidRPr="00417F00" w:rsidRDefault="005D1F61">
      <w:pPr>
        <w:pStyle w:val="BodyText"/>
      </w:pPr>
      <w:r>
        <w:rPr>
          <w:b/>
        </w:rPr>
        <w:t xml:space="preserve">Expiration of Certification:  </w:t>
      </w:r>
      <w:r>
        <w:t xml:space="preserve">The certification of </w:t>
      </w:r>
      <w:r w:rsidRPr="00417F00">
        <w:rPr>
          <w:b/>
        </w:rPr>
        <w:t>SRM</w:t>
      </w:r>
      <w:r w:rsidR="00417F00">
        <w:rPr>
          <w:b/>
        </w:rPr>
        <w:t> 1918</w:t>
      </w:r>
      <w:r>
        <w:t xml:space="preserve"> is valid, within the </w:t>
      </w:r>
      <w:r w:rsidR="00EE26D3">
        <w:t xml:space="preserve">measurement </w:t>
      </w:r>
      <w:r>
        <w:t>uncertainty specified</w:t>
      </w:r>
      <w:r w:rsidR="00417F00">
        <w:t xml:space="preserve">, until </w:t>
      </w:r>
      <w:r w:rsidR="00417F00">
        <w:rPr>
          <w:b/>
        </w:rPr>
        <w:t>01 </w:t>
      </w:r>
      <w:r w:rsidR="00F901C9">
        <w:rPr>
          <w:b/>
        </w:rPr>
        <w:t>October </w:t>
      </w:r>
      <w:r w:rsidR="00417F00">
        <w:rPr>
          <w:b/>
        </w:rPr>
        <w:t>2020</w:t>
      </w:r>
      <w:r w:rsidR="00417F00">
        <w:t>,</w:t>
      </w:r>
      <w:r>
        <w:t xml:space="preserve"> provided that the SRM is handled and </w:t>
      </w:r>
      <w:r w:rsidR="00417F00">
        <w:t>stored</w:t>
      </w:r>
      <w:r>
        <w:t xml:space="preserve"> in accordance with</w:t>
      </w:r>
      <w:r w:rsidR="00417F00">
        <w:t xml:space="preserve"> i</w:t>
      </w:r>
      <w:r>
        <w:t xml:space="preserve">nstructions </w:t>
      </w:r>
      <w:r w:rsidR="00417F00">
        <w:t>given in this certificate (see “Instructions for Handling, Storage, and Use)</w:t>
      </w:r>
      <w:r>
        <w:t xml:space="preserve">.  The certification is nullified if the SRM is damaged, </w:t>
      </w:r>
      <w:r w:rsidRPr="00417F00">
        <w:t>contaminated, or otherwise modified.</w:t>
      </w:r>
    </w:p>
    <w:p w:rsidR="0008329E" w:rsidRPr="00417F00" w:rsidRDefault="0008329E">
      <w:pPr>
        <w:pStyle w:val="BodyText"/>
      </w:pPr>
    </w:p>
    <w:p w:rsidR="00417F00" w:rsidRPr="00417F00" w:rsidRDefault="00417F00" w:rsidP="00417F00">
      <w:pPr>
        <w:jc w:val="both"/>
        <w:rPr>
          <w:rFonts w:ascii="Times New Roman" w:hAnsi="Times New Roman"/>
          <w:sz w:val="20"/>
        </w:rPr>
      </w:pPr>
      <w:r w:rsidRPr="00417F00">
        <w:rPr>
          <w:rFonts w:ascii="Times New Roman" w:hAnsi="Times New Roman"/>
          <w:b/>
          <w:sz w:val="20"/>
        </w:rPr>
        <w:t>Maintenance of SRM Certification:</w:t>
      </w:r>
      <w:r w:rsidRPr="00417F00">
        <w:rPr>
          <w:rFonts w:ascii="Times New Roman" w:hAnsi="Times New Roman"/>
          <w:sz w:val="20"/>
        </w:rPr>
        <w:t xml:space="preserve">  NIST will monitor this SRM over the period of its certification.  If substantive technical changes occur that affect the certification before the expiration of this certificate, NIST will notify the purchaser.  Registration (see attached sheet) will facilitate notification.</w:t>
      </w:r>
    </w:p>
    <w:p w:rsidR="0008329E" w:rsidRDefault="0008329E">
      <w:pPr>
        <w:pStyle w:val="BodyText"/>
      </w:pPr>
    </w:p>
    <w:p w:rsidR="0008329E" w:rsidRDefault="005D1F61">
      <w:pPr>
        <w:pStyle w:val="BodyText"/>
      </w:pPr>
      <w:r>
        <w:t>Coordination of the technical measurements leading to the certification of this SRM was provided by S.</w:t>
      </w:r>
      <w:r w:rsidR="00417F00">
        <w:t> </w:t>
      </w:r>
      <w:r>
        <w:t>Jahanmir of the NIST Ceramics Division.</w:t>
      </w:r>
    </w:p>
    <w:p w:rsidR="0008329E" w:rsidRDefault="0008329E">
      <w:pPr>
        <w:jc w:val="both"/>
        <w:rPr>
          <w:rFonts w:ascii="Times New Roman" w:hAnsi="Times New Roman"/>
          <w:sz w:val="20"/>
        </w:rPr>
      </w:pPr>
    </w:p>
    <w:p w:rsidR="0008329E" w:rsidRDefault="005D1F61">
      <w:pPr>
        <w:pStyle w:val="BodyText"/>
      </w:pPr>
      <w:r>
        <w:t>Analytical measurements for the certification of this SRM w</w:t>
      </w:r>
      <w:r w:rsidR="00417F00">
        <w:t>ere</w:t>
      </w:r>
      <w:r>
        <w:t xml:space="preserve"> performed by D.B.</w:t>
      </w:r>
      <w:r w:rsidR="00417F00">
        <w:t> </w:t>
      </w:r>
      <w:r>
        <w:t>Minor of the NIST Ceramics Division.</w:t>
      </w:r>
    </w:p>
    <w:p w:rsidR="0008329E" w:rsidRDefault="0008329E">
      <w:pPr>
        <w:jc w:val="both"/>
        <w:rPr>
          <w:rFonts w:ascii="Times New Roman" w:hAnsi="Times New Roman"/>
          <w:sz w:val="20"/>
        </w:rPr>
      </w:pPr>
    </w:p>
    <w:p w:rsidR="0008329E" w:rsidRDefault="005D1F61">
      <w:pPr>
        <w:pStyle w:val="BodyText"/>
      </w:pPr>
      <w:r>
        <w:t>Statistical consultation for this SRM was provided by S.D.</w:t>
      </w:r>
      <w:r w:rsidR="00417F00">
        <w:t> </w:t>
      </w:r>
      <w:r>
        <w:t>Leigh of the NIST Statistical Engineering Division.</w:t>
      </w:r>
    </w:p>
    <w:p w:rsidR="0008329E" w:rsidRDefault="0008329E">
      <w:pPr>
        <w:pStyle w:val="BodyText"/>
      </w:pPr>
    </w:p>
    <w:p w:rsidR="0008329E" w:rsidRDefault="005D1F61">
      <w:pPr>
        <w:pStyle w:val="BodyText"/>
      </w:pPr>
      <w:r>
        <w:t>Support aspects in</w:t>
      </w:r>
      <w:r w:rsidR="00A77F54">
        <w:t>volved in the</w:t>
      </w:r>
      <w:r w:rsidR="006E5492">
        <w:t xml:space="preserve"> </w:t>
      </w:r>
      <w:r>
        <w:t xml:space="preserve">issuance of this SRM were coordinated through the NIST </w:t>
      </w:r>
      <w:r w:rsidR="00A77F54">
        <w:t>Measurement Services Division.</w:t>
      </w:r>
    </w:p>
    <w:p w:rsidR="0008329E" w:rsidRDefault="0008329E">
      <w:pPr>
        <w:widowControl w:val="0"/>
        <w:tabs>
          <w:tab w:val="left" w:pos="540"/>
          <w:tab w:val="left" w:pos="1980"/>
          <w:tab w:val="left" w:pos="3600"/>
          <w:tab w:val="left" w:pos="5220"/>
          <w:tab w:val="left" w:pos="6930"/>
          <w:tab w:val="right" w:pos="9360"/>
        </w:tabs>
        <w:rPr>
          <w:rFonts w:ascii="Times New Roman" w:hAnsi="Times New Roman"/>
          <w:sz w:val="20"/>
        </w:rPr>
      </w:pPr>
    </w:p>
    <w:p w:rsidR="00A77F54" w:rsidRDefault="00A77F54">
      <w:pPr>
        <w:widowControl w:val="0"/>
        <w:tabs>
          <w:tab w:val="left" w:pos="540"/>
          <w:tab w:val="left" w:pos="1980"/>
          <w:tab w:val="left" w:pos="3600"/>
          <w:tab w:val="left" w:pos="5220"/>
          <w:tab w:val="left" w:pos="6930"/>
          <w:tab w:val="right" w:pos="9360"/>
        </w:tabs>
        <w:rPr>
          <w:rFonts w:ascii="Times New Roman" w:hAnsi="Times New Roman"/>
          <w:sz w:val="20"/>
        </w:rPr>
      </w:pPr>
    </w:p>
    <w:p w:rsidR="00A77F54" w:rsidRDefault="00A77F54">
      <w:pPr>
        <w:widowControl w:val="0"/>
        <w:tabs>
          <w:tab w:val="left" w:pos="540"/>
          <w:tab w:val="left" w:pos="1980"/>
          <w:tab w:val="left" w:pos="3600"/>
          <w:tab w:val="left" w:pos="5220"/>
          <w:tab w:val="left" w:pos="6930"/>
          <w:tab w:val="right" w:pos="9360"/>
        </w:tabs>
        <w:rPr>
          <w:rFonts w:ascii="Times New Roman" w:hAnsi="Times New Roman"/>
          <w:sz w:val="20"/>
        </w:rPr>
      </w:pPr>
    </w:p>
    <w:p w:rsidR="0008329E" w:rsidRDefault="00A77F54" w:rsidP="00A77F54">
      <w:pPr>
        <w:widowControl w:val="0"/>
        <w:tabs>
          <w:tab w:val="left" w:pos="540"/>
          <w:tab w:val="left" w:pos="1980"/>
          <w:tab w:val="left" w:pos="3600"/>
          <w:tab w:val="left" w:pos="5220"/>
          <w:tab w:val="left" w:pos="6930"/>
          <w:tab w:val="right" w:pos="9360"/>
        </w:tabs>
        <w:jc w:val="right"/>
        <w:rPr>
          <w:rFonts w:ascii="Times New Roman" w:hAnsi="Times New Roman"/>
          <w:sz w:val="20"/>
        </w:rPr>
      </w:pPr>
      <w:r>
        <w:rPr>
          <w:rFonts w:ascii="Times New Roman" w:hAnsi="Times New Roman"/>
          <w:sz w:val="20"/>
        </w:rPr>
        <w:t>Debra L. Kaiser</w:t>
      </w:r>
      <w:r w:rsidR="005D1F61">
        <w:rPr>
          <w:rFonts w:ascii="Times New Roman" w:hAnsi="Times New Roman"/>
          <w:sz w:val="20"/>
        </w:rPr>
        <w:t>,</w:t>
      </w:r>
      <w:r>
        <w:rPr>
          <w:rFonts w:ascii="Times New Roman" w:hAnsi="Times New Roman"/>
          <w:sz w:val="20"/>
        </w:rPr>
        <w:t> </w:t>
      </w:r>
      <w:r w:rsidR="005D1F61">
        <w:rPr>
          <w:rFonts w:ascii="Times New Roman" w:hAnsi="Times New Roman"/>
          <w:sz w:val="20"/>
        </w:rPr>
        <w:t>Chief</w:t>
      </w:r>
    </w:p>
    <w:p w:rsidR="0008329E" w:rsidRDefault="005D1F61" w:rsidP="00A77F54">
      <w:pPr>
        <w:pStyle w:val="BodyText2"/>
        <w:tabs>
          <w:tab w:val="clear" w:pos="6930"/>
        </w:tabs>
        <w:jc w:val="right"/>
      </w:pPr>
      <w:r>
        <w:t>Ceramics Division</w:t>
      </w:r>
    </w:p>
    <w:p w:rsidR="0008329E" w:rsidRPr="00A77F54" w:rsidRDefault="0008329E">
      <w:pPr>
        <w:widowControl w:val="0"/>
        <w:tabs>
          <w:tab w:val="left" w:pos="540"/>
          <w:tab w:val="left" w:pos="1980"/>
          <w:tab w:val="left" w:pos="3600"/>
          <w:tab w:val="left" w:pos="5220"/>
          <w:tab w:val="left" w:pos="6930"/>
          <w:tab w:val="left" w:pos="8190"/>
        </w:tabs>
        <w:rPr>
          <w:rFonts w:ascii="Times New Roman" w:hAnsi="Times New Roman"/>
          <w:sz w:val="20"/>
        </w:rPr>
      </w:pPr>
    </w:p>
    <w:p w:rsidR="00A77F54" w:rsidRPr="00A77F54" w:rsidRDefault="00A77F54" w:rsidP="00A77F54">
      <w:pPr>
        <w:tabs>
          <w:tab w:val="right" w:pos="9360"/>
        </w:tabs>
        <w:jc w:val="both"/>
        <w:rPr>
          <w:rFonts w:ascii="Times New Roman" w:hAnsi="Times New Roman"/>
          <w:sz w:val="20"/>
        </w:rPr>
      </w:pPr>
      <w:r w:rsidRPr="00A77F54">
        <w:rPr>
          <w:rFonts w:ascii="Times New Roman" w:hAnsi="Times New Roman"/>
          <w:sz w:val="20"/>
        </w:rPr>
        <w:t>Gaithersburg, MD 20899</w:t>
      </w:r>
      <w:r w:rsidRPr="00A77F54">
        <w:rPr>
          <w:rFonts w:ascii="Times New Roman" w:hAnsi="Times New Roman"/>
          <w:sz w:val="20"/>
        </w:rPr>
        <w:tab/>
        <w:t>Robert L. Watters, Jr., Chief</w:t>
      </w:r>
    </w:p>
    <w:p w:rsidR="00A77F54" w:rsidRPr="00A77F54" w:rsidRDefault="00A77F54" w:rsidP="00A77F54">
      <w:pPr>
        <w:tabs>
          <w:tab w:val="right" w:pos="9360"/>
        </w:tabs>
        <w:jc w:val="both"/>
        <w:rPr>
          <w:rFonts w:ascii="Times New Roman" w:hAnsi="Times New Roman"/>
          <w:sz w:val="20"/>
        </w:rPr>
      </w:pPr>
      <w:r w:rsidRPr="00A77F54">
        <w:rPr>
          <w:rFonts w:ascii="Times New Roman" w:hAnsi="Times New Roman"/>
          <w:sz w:val="20"/>
        </w:rPr>
        <w:t xml:space="preserve">Certificate Issue Date:  </w:t>
      </w:r>
      <w:r w:rsidR="00626B20">
        <w:rPr>
          <w:rFonts w:ascii="Times New Roman" w:hAnsi="Times New Roman"/>
          <w:sz w:val="20"/>
        </w:rPr>
        <w:t>29</w:t>
      </w:r>
      <w:r w:rsidR="00626B20" w:rsidRPr="00A77F54">
        <w:rPr>
          <w:rFonts w:ascii="Times New Roman" w:hAnsi="Times New Roman"/>
          <w:sz w:val="20"/>
        </w:rPr>
        <w:t> </w:t>
      </w:r>
      <w:r w:rsidRPr="00A77F54">
        <w:rPr>
          <w:rFonts w:ascii="Times New Roman" w:hAnsi="Times New Roman"/>
          <w:sz w:val="20"/>
        </w:rPr>
        <w:t>December 2011</w:t>
      </w:r>
      <w:r w:rsidRPr="00A77F54">
        <w:rPr>
          <w:rFonts w:ascii="Times New Roman" w:hAnsi="Times New Roman"/>
          <w:sz w:val="20"/>
        </w:rPr>
        <w:tab/>
        <w:t>Measurement Services Division</w:t>
      </w:r>
    </w:p>
    <w:p w:rsidR="00A77F54" w:rsidRPr="00A77F54" w:rsidRDefault="00A77F54" w:rsidP="00A77F54">
      <w:pPr>
        <w:jc w:val="both"/>
        <w:rPr>
          <w:rFonts w:ascii="Times New Roman" w:hAnsi="Times New Roman"/>
          <w:i/>
          <w:sz w:val="16"/>
          <w:szCs w:val="16"/>
        </w:rPr>
      </w:pPr>
      <w:r w:rsidRPr="00A77F54">
        <w:rPr>
          <w:rFonts w:ascii="Times New Roman" w:hAnsi="Times New Roman"/>
          <w:i/>
          <w:sz w:val="16"/>
          <w:szCs w:val="16"/>
        </w:rPr>
        <w:t>Certificate Revision History on Last Page</w:t>
      </w:r>
    </w:p>
    <w:p w:rsidR="00A77F54" w:rsidRPr="00A77F54" w:rsidRDefault="00A77F54">
      <w:pPr>
        <w:rPr>
          <w:rFonts w:ascii="Times New Roman" w:hAnsi="Times New Roman"/>
          <w:b/>
          <w:sz w:val="20"/>
        </w:rPr>
      </w:pPr>
      <w:r w:rsidRPr="00A77F54">
        <w:rPr>
          <w:rFonts w:ascii="Times New Roman" w:hAnsi="Times New Roman"/>
          <w:b/>
        </w:rPr>
        <w:br w:type="page"/>
      </w:r>
    </w:p>
    <w:p w:rsidR="0008329E" w:rsidRDefault="005D1F61">
      <w:pPr>
        <w:pStyle w:val="BodyText"/>
        <w:rPr>
          <w:b/>
        </w:rPr>
      </w:pPr>
      <w:r>
        <w:rPr>
          <w:b/>
        </w:rPr>
        <w:lastRenderedPageBreak/>
        <w:t xml:space="preserve">INSTRUCTIONS FOR </w:t>
      </w:r>
      <w:r w:rsidR="00A77F54">
        <w:rPr>
          <w:b/>
        </w:rPr>
        <w:t xml:space="preserve">HANDLING, STORAGE, AND </w:t>
      </w:r>
      <w:r>
        <w:rPr>
          <w:b/>
        </w:rPr>
        <w:t>USE</w:t>
      </w:r>
    </w:p>
    <w:p w:rsidR="0008329E" w:rsidRDefault="0008329E">
      <w:pPr>
        <w:pStyle w:val="BodyText"/>
      </w:pPr>
    </w:p>
    <w:p w:rsidR="0008329E" w:rsidRDefault="005D1F61">
      <w:pPr>
        <w:jc w:val="both"/>
        <w:rPr>
          <w:rFonts w:ascii="Times New Roman" w:hAnsi="Times New Roman"/>
          <w:sz w:val="20"/>
        </w:rPr>
      </w:pPr>
      <w:r>
        <w:rPr>
          <w:rFonts w:ascii="Times New Roman" w:hAnsi="Times New Roman"/>
          <w:sz w:val="20"/>
        </w:rPr>
        <w:t>The following is the suggested procedure for preparation of this SRM prior to analysis; pre</w:t>
      </w:r>
      <w:r w:rsidR="00417F00">
        <w:rPr>
          <w:rFonts w:ascii="Times New Roman" w:hAnsi="Times New Roman"/>
          <w:sz w:val="20"/>
        </w:rPr>
        <w:noBreakHyphen/>
      </w:r>
      <w:r>
        <w:rPr>
          <w:rFonts w:ascii="Times New Roman" w:hAnsi="Times New Roman"/>
          <w:sz w:val="20"/>
        </w:rPr>
        <w:t>dry the sample in a vacuum oven at 100</w:t>
      </w:r>
      <w:r w:rsidR="00A77F54">
        <w:rPr>
          <w:rFonts w:ascii="Times New Roman" w:hAnsi="Times New Roman"/>
          <w:sz w:val="20"/>
        </w:rPr>
        <w:t> </w:t>
      </w:r>
      <w:r>
        <w:rPr>
          <w:rFonts w:ascii="Times New Roman" w:hAnsi="Times New Roman"/>
          <w:sz w:val="20"/>
        </w:rPr>
        <w:t>°C to 110</w:t>
      </w:r>
      <w:r w:rsidR="00A77F54">
        <w:rPr>
          <w:rFonts w:ascii="Times New Roman" w:hAnsi="Times New Roman"/>
          <w:sz w:val="20"/>
        </w:rPr>
        <w:t> </w:t>
      </w:r>
      <w:r>
        <w:rPr>
          <w:rFonts w:ascii="Times New Roman" w:hAnsi="Times New Roman"/>
          <w:sz w:val="20"/>
        </w:rPr>
        <w:sym w:font="Symbol" w:char="F0B0"/>
      </w:r>
      <w:r>
        <w:rPr>
          <w:rFonts w:ascii="Times New Roman" w:hAnsi="Times New Roman"/>
          <w:sz w:val="20"/>
        </w:rPr>
        <w:t>C under a vacuum of at least 100</w:t>
      </w:r>
      <w:r w:rsidR="00A77F54">
        <w:rPr>
          <w:rFonts w:ascii="Times New Roman" w:hAnsi="Times New Roman"/>
          <w:sz w:val="20"/>
        </w:rPr>
        <w:t> </w:t>
      </w:r>
      <w:r>
        <w:rPr>
          <w:rFonts w:ascii="Times New Roman" w:hAnsi="Times New Roman"/>
          <w:sz w:val="20"/>
        </w:rPr>
        <w:t>mTorr between 12</w:t>
      </w:r>
      <w:r w:rsidR="00A77F54">
        <w:rPr>
          <w:rFonts w:ascii="Times New Roman" w:hAnsi="Times New Roman"/>
          <w:sz w:val="20"/>
        </w:rPr>
        <w:t> </w:t>
      </w:r>
      <w:r>
        <w:rPr>
          <w:rFonts w:ascii="Times New Roman" w:hAnsi="Times New Roman"/>
          <w:sz w:val="20"/>
        </w:rPr>
        <w:t>hours to 18</w:t>
      </w:r>
      <w:r w:rsidR="00A77F54">
        <w:rPr>
          <w:rFonts w:ascii="Times New Roman" w:hAnsi="Times New Roman"/>
          <w:sz w:val="20"/>
        </w:rPr>
        <w:t> </w:t>
      </w:r>
      <w:r>
        <w:rPr>
          <w:rFonts w:ascii="Times New Roman" w:hAnsi="Times New Roman"/>
          <w:sz w:val="20"/>
        </w:rPr>
        <w:t>hours.  Cool the sample to ambient temperature while under vacuum.  Back fill the oven with dry nitrogen or argon and seal the sample immediately.  Transfer the sample to a 60</w:t>
      </w:r>
      <w:r w:rsidR="00A77F54">
        <w:rPr>
          <w:rFonts w:ascii="Times New Roman" w:hAnsi="Times New Roman"/>
          <w:sz w:val="20"/>
        </w:rPr>
        <w:t> </w:t>
      </w:r>
      <w:r>
        <w:rPr>
          <w:rFonts w:ascii="Times New Roman" w:hAnsi="Times New Roman"/>
          <w:sz w:val="20"/>
        </w:rPr>
        <w:sym w:font="Symbol" w:char="F0B0"/>
      </w:r>
      <w:r>
        <w:rPr>
          <w:rFonts w:ascii="Times New Roman" w:hAnsi="Times New Roman"/>
          <w:sz w:val="20"/>
        </w:rPr>
        <w:t xml:space="preserve">C </w:t>
      </w:r>
      <w:proofErr w:type="gramStart"/>
      <w:r>
        <w:rPr>
          <w:rFonts w:ascii="Times New Roman" w:hAnsi="Times New Roman"/>
          <w:sz w:val="20"/>
        </w:rPr>
        <w:t>oven</w:t>
      </w:r>
      <w:proofErr w:type="gramEnd"/>
      <w:r>
        <w:rPr>
          <w:rFonts w:ascii="Times New Roman" w:hAnsi="Times New Roman"/>
          <w:sz w:val="20"/>
        </w:rPr>
        <w:t xml:space="preserve"> or </w:t>
      </w:r>
      <w:r w:rsidR="00EE26D3">
        <w:rPr>
          <w:rFonts w:ascii="Times New Roman" w:hAnsi="Times New Roman"/>
          <w:sz w:val="20"/>
        </w:rPr>
        <w:t>desiccator</w:t>
      </w:r>
      <w:r>
        <w:rPr>
          <w:rFonts w:ascii="Times New Roman" w:hAnsi="Times New Roman"/>
          <w:sz w:val="20"/>
        </w:rPr>
        <w:t xml:space="preserve"> and leave until analysis.  Place approximately 0.25</w:t>
      </w:r>
      <w:r w:rsidR="00A77F54">
        <w:rPr>
          <w:rFonts w:ascii="Times New Roman" w:hAnsi="Times New Roman"/>
          <w:sz w:val="20"/>
        </w:rPr>
        <w:t> </w:t>
      </w:r>
      <w:r>
        <w:rPr>
          <w:rFonts w:ascii="Times New Roman" w:hAnsi="Times New Roman"/>
          <w:sz w:val="20"/>
        </w:rPr>
        <w:t>g of sample in a pre</w:t>
      </w:r>
      <w:r w:rsidR="00417F00">
        <w:rPr>
          <w:rFonts w:ascii="Times New Roman" w:hAnsi="Times New Roman"/>
          <w:sz w:val="20"/>
        </w:rPr>
        <w:noBreakHyphen/>
      </w:r>
      <w:r>
        <w:rPr>
          <w:rFonts w:ascii="Times New Roman" w:hAnsi="Times New Roman"/>
          <w:sz w:val="20"/>
        </w:rPr>
        <w:t>weighed sample holder and heat to 100</w:t>
      </w:r>
      <w:r w:rsidR="00A77F54">
        <w:rPr>
          <w:rFonts w:ascii="Times New Roman" w:hAnsi="Times New Roman"/>
          <w:sz w:val="20"/>
        </w:rPr>
        <w:t> </w:t>
      </w:r>
      <w:r>
        <w:rPr>
          <w:rFonts w:ascii="Times New Roman" w:hAnsi="Times New Roman"/>
          <w:sz w:val="20"/>
        </w:rPr>
        <w:sym w:font="Symbol" w:char="F0B0"/>
      </w:r>
      <w:r>
        <w:rPr>
          <w:rFonts w:ascii="Times New Roman" w:hAnsi="Times New Roman"/>
          <w:sz w:val="20"/>
        </w:rPr>
        <w:t>C for 30</w:t>
      </w:r>
      <w:r w:rsidR="00A77F54">
        <w:rPr>
          <w:rFonts w:ascii="Times New Roman" w:hAnsi="Times New Roman"/>
          <w:sz w:val="20"/>
        </w:rPr>
        <w:t> </w:t>
      </w:r>
      <w:r>
        <w:rPr>
          <w:rFonts w:ascii="Times New Roman" w:hAnsi="Times New Roman"/>
          <w:sz w:val="20"/>
        </w:rPr>
        <w:t>minutes while under a vacuum or at least 50</w:t>
      </w:r>
      <w:r w:rsidR="00A77F54">
        <w:rPr>
          <w:rFonts w:ascii="Times New Roman" w:hAnsi="Times New Roman"/>
          <w:sz w:val="20"/>
        </w:rPr>
        <w:t> </w:t>
      </w:r>
      <w:r>
        <w:rPr>
          <w:rFonts w:ascii="Times New Roman" w:hAnsi="Times New Roman"/>
          <w:sz w:val="20"/>
        </w:rPr>
        <w:t>mTorr.  Individual pieces of the sample may be broken to fit the sample holder.  After the heating source is removed, allow the sample to cool for 15</w:t>
      </w:r>
      <w:r w:rsidR="00A77F54">
        <w:rPr>
          <w:rFonts w:ascii="Times New Roman" w:hAnsi="Times New Roman"/>
          <w:sz w:val="20"/>
        </w:rPr>
        <w:t> </w:t>
      </w:r>
      <w:r>
        <w:rPr>
          <w:rFonts w:ascii="Times New Roman" w:hAnsi="Times New Roman"/>
          <w:sz w:val="20"/>
        </w:rPr>
        <w:t>minutes to ambient temperature.  Backfill the sample holder with dry nitrogen or argon and re</w:t>
      </w:r>
      <w:r w:rsidR="00417F00">
        <w:rPr>
          <w:rFonts w:ascii="Times New Roman" w:hAnsi="Times New Roman"/>
          <w:sz w:val="20"/>
        </w:rPr>
        <w:noBreakHyphen/>
      </w:r>
      <w:r>
        <w:rPr>
          <w:rFonts w:ascii="Times New Roman" w:hAnsi="Times New Roman"/>
          <w:sz w:val="20"/>
        </w:rPr>
        <w:t>weigh the assembly to determine the “dry” sample weight by difference.  Re</w:t>
      </w:r>
      <w:r w:rsidR="00417F00">
        <w:rPr>
          <w:rFonts w:ascii="Times New Roman" w:hAnsi="Times New Roman"/>
          <w:sz w:val="20"/>
        </w:rPr>
        <w:noBreakHyphen/>
      </w:r>
      <w:r>
        <w:rPr>
          <w:rFonts w:ascii="Times New Roman" w:hAnsi="Times New Roman"/>
          <w:sz w:val="20"/>
        </w:rPr>
        <w:t>evacuate the sample for a period of time necessary to achieve a vacuum of 50</w:t>
      </w:r>
      <w:r w:rsidR="00A77F54">
        <w:rPr>
          <w:rFonts w:ascii="Times New Roman" w:hAnsi="Times New Roman"/>
          <w:sz w:val="20"/>
        </w:rPr>
        <w:t> </w:t>
      </w:r>
      <w:r>
        <w:rPr>
          <w:rFonts w:ascii="Times New Roman" w:hAnsi="Times New Roman"/>
          <w:sz w:val="20"/>
        </w:rPr>
        <w:t>mTorr and back</w:t>
      </w:r>
      <w:r w:rsidR="00417F00">
        <w:rPr>
          <w:rFonts w:ascii="Times New Roman" w:hAnsi="Times New Roman"/>
          <w:sz w:val="20"/>
        </w:rPr>
        <w:noBreakHyphen/>
      </w:r>
      <w:r>
        <w:rPr>
          <w:rFonts w:ascii="Times New Roman" w:hAnsi="Times New Roman"/>
          <w:sz w:val="20"/>
        </w:rPr>
        <w:t>fill with mercury to ambient pressure over a period of 10</w:t>
      </w:r>
      <w:r w:rsidR="00A77F54">
        <w:rPr>
          <w:rFonts w:ascii="Times New Roman" w:hAnsi="Times New Roman"/>
          <w:sz w:val="20"/>
        </w:rPr>
        <w:t> </w:t>
      </w:r>
      <w:r>
        <w:rPr>
          <w:rFonts w:ascii="Times New Roman" w:hAnsi="Times New Roman"/>
          <w:sz w:val="20"/>
        </w:rPr>
        <w:t>minutes.  Perform the analysis in accordance with the instrument manufacturer instructions or the procedures of your laboratory.</w:t>
      </w:r>
    </w:p>
    <w:p w:rsidR="0008329E" w:rsidRDefault="0008329E">
      <w:pPr>
        <w:pStyle w:val="BodyText"/>
      </w:pPr>
    </w:p>
    <w:p w:rsidR="00A77F54" w:rsidRDefault="00A77F54">
      <w:pPr>
        <w:pStyle w:val="BodyText"/>
      </w:pPr>
    </w:p>
    <w:p w:rsidR="0008329E" w:rsidRDefault="005D1F61">
      <w:pPr>
        <w:pStyle w:val="BodyText"/>
        <w:jc w:val="left"/>
        <w:rPr>
          <w:b/>
          <w:bCs/>
        </w:rPr>
      </w:pPr>
      <w:r>
        <w:rPr>
          <w:b/>
          <w:bCs/>
        </w:rPr>
        <w:t>Participating Laboratories in the Round Robin</w:t>
      </w:r>
    </w:p>
    <w:p w:rsidR="0008329E" w:rsidRDefault="0008329E">
      <w:pPr>
        <w:pStyle w:val="BodyText"/>
        <w:jc w:val="center"/>
      </w:pPr>
    </w:p>
    <w:p w:rsidR="0008329E" w:rsidRDefault="005D1F61">
      <w:pPr>
        <w:jc w:val="both"/>
        <w:rPr>
          <w:rFonts w:ascii="Times New Roman" w:hAnsi="Times New Roman"/>
          <w:sz w:val="20"/>
        </w:rPr>
      </w:pPr>
      <w:r>
        <w:rPr>
          <w:rFonts w:ascii="Times New Roman" w:hAnsi="Times New Roman"/>
          <w:sz w:val="20"/>
        </w:rPr>
        <w:t>Quantachrome Corporation; Boynton Beach,</w:t>
      </w:r>
      <w:r w:rsidR="00150218">
        <w:rPr>
          <w:rFonts w:ascii="Times New Roman" w:hAnsi="Times New Roman"/>
          <w:sz w:val="20"/>
        </w:rPr>
        <w:t> </w:t>
      </w:r>
      <w:r>
        <w:rPr>
          <w:rFonts w:ascii="Times New Roman" w:hAnsi="Times New Roman"/>
          <w:sz w:val="20"/>
        </w:rPr>
        <w:t>FL</w:t>
      </w:r>
      <w:r w:rsidR="00150218">
        <w:rPr>
          <w:rFonts w:ascii="Times New Roman" w:hAnsi="Times New Roman"/>
          <w:sz w:val="20"/>
        </w:rPr>
        <w:t>.</w:t>
      </w:r>
    </w:p>
    <w:p w:rsidR="0008329E" w:rsidRDefault="005D1F61">
      <w:pPr>
        <w:pStyle w:val="HTMLBody"/>
        <w:rPr>
          <w:rFonts w:ascii="Times New Roman" w:hAnsi="Times New Roman"/>
          <w:sz w:val="20"/>
        </w:rPr>
      </w:pPr>
      <w:r>
        <w:rPr>
          <w:rFonts w:ascii="Times New Roman" w:hAnsi="Times New Roman"/>
          <w:sz w:val="20"/>
        </w:rPr>
        <w:t>Chevron Petroleum Technology Company; San Ramon,</w:t>
      </w:r>
      <w:r w:rsidR="00150218">
        <w:rPr>
          <w:rFonts w:ascii="Times New Roman" w:hAnsi="Times New Roman"/>
          <w:sz w:val="20"/>
        </w:rPr>
        <w:t> </w:t>
      </w:r>
      <w:r>
        <w:rPr>
          <w:rFonts w:ascii="Times New Roman" w:hAnsi="Times New Roman"/>
          <w:sz w:val="20"/>
        </w:rPr>
        <w:t>CA</w:t>
      </w:r>
      <w:r w:rsidR="00150218">
        <w:rPr>
          <w:rFonts w:ascii="Times New Roman" w:hAnsi="Times New Roman"/>
          <w:sz w:val="20"/>
        </w:rPr>
        <w:t>.</w:t>
      </w:r>
    </w:p>
    <w:p w:rsidR="0008329E" w:rsidRDefault="005D1F61">
      <w:pPr>
        <w:pStyle w:val="HTMLBody"/>
        <w:rPr>
          <w:rFonts w:ascii="Times New Roman" w:hAnsi="Times New Roman"/>
          <w:snapToGrid/>
          <w:sz w:val="20"/>
        </w:rPr>
      </w:pPr>
      <w:proofErr w:type="gramStart"/>
      <w:r>
        <w:rPr>
          <w:rFonts w:ascii="Times New Roman" w:hAnsi="Times New Roman"/>
          <w:sz w:val="20"/>
        </w:rPr>
        <w:t>Oil</w:t>
      </w:r>
      <w:r w:rsidR="00417F00">
        <w:rPr>
          <w:rFonts w:ascii="Times New Roman" w:hAnsi="Times New Roman"/>
          <w:sz w:val="20"/>
        </w:rPr>
        <w:noBreakHyphen/>
      </w:r>
      <w:r>
        <w:rPr>
          <w:rFonts w:ascii="Times New Roman" w:hAnsi="Times New Roman"/>
          <w:sz w:val="20"/>
        </w:rPr>
        <w:t xml:space="preserve">Dri Corporation of America, Research &amp; Development; </w:t>
      </w:r>
      <w:r>
        <w:rPr>
          <w:rFonts w:ascii="Times New Roman" w:hAnsi="Times New Roman"/>
          <w:snapToGrid/>
          <w:sz w:val="20"/>
        </w:rPr>
        <w:t>Vernon Hills,</w:t>
      </w:r>
      <w:r w:rsidR="006E5492">
        <w:rPr>
          <w:rFonts w:ascii="Times New Roman" w:hAnsi="Times New Roman"/>
          <w:snapToGrid/>
          <w:sz w:val="20"/>
        </w:rPr>
        <w:t> </w:t>
      </w:r>
      <w:r>
        <w:rPr>
          <w:rFonts w:ascii="Times New Roman" w:hAnsi="Times New Roman"/>
          <w:snapToGrid/>
          <w:sz w:val="20"/>
        </w:rPr>
        <w:t>IL</w:t>
      </w:r>
      <w:r w:rsidR="00150218">
        <w:rPr>
          <w:rFonts w:ascii="Times New Roman" w:hAnsi="Times New Roman"/>
          <w:snapToGrid/>
          <w:sz w:val="20"/>
        </w:rPr>
        <w:t>.</w:t>
      </w:r>
      <w:proofErr w:type="gramEnd"/>
    </w:p>
    <w:p w:rsidR="0008329E" w:rsidRDefault="005D1F61">
      <w:pPr>
        <w:pStyle w:val="HTMLBody"/>
        <w:rPr>
          <w:rFonts w:ascii="Times New Roman" w:hAnsi="Times New Roman"/>
          <w:sz w:val="20"/>
        </w:rPr>
      </w:pPr>
      <w:r>
        <w:rPr>
          <w:rFonts w:ascii="Times New Roman" w:hAnsi="Times New Roman"/>
          <w:sz w:val="20"/>
        </w:rPr>
        <w:t>Grace Davison Chemical, Analytical Services Center; Baltimore,</w:t>
      </w:r>
      <w:r w:rsidR="00150218">
        <w:rPr>
          <w:rFonts w:ascii="Times New Roman" w:hAnsi="Times New Roman"/>
          <w:sz w:val="20"/>
        </w:rPr>
        <w:t> </w:t>
      </w:r>
      <w:r>
        <w:rPr>
          <w:rFonts w:ascii="Times New Roman" w:hAnsi="Times New Roman"/>
          <w:sz w:val="20"/>
        </w:rPr>
        <w:t>MD</w:t>
      </w:r>
      <w:r w:rsidR="00150218">
        <w:rPr>
          <w:rFonts w:ascii="Times New Roman" w:hAnsi="Times New Roman"/>
          <w:sz w:val="20"/>
        </w:rPr>
        <w:t>.</w:t>
      </w:r>
    </w:p>
    <w:p w:rsidR="0008329E" w:rsidRDefault="005D1F61">
      <w:pPr>
        <w:pStyle w:val="HTMLBody"/>
        <w:rPr>
          <w:rFonts w:ascii="Times New Roman" w:hAnsi="Times New Roman"/>
          <w:sz w:val="20"/>
        </w:rPr>
      </w:pPr>
      <w:r>
        <w:rPr>
          <w:rFonts w:ascii="Times New Roman" w:hAnsi="Times New Roman"/>
          <w:sz w:val="20"/>
        </w:rPr>
        <w:t>Engelhard Corporation; Beachwood,</w:t>
      </w:r>
      <w:r w:rsidR="00150218">
        <w:rPr>
          <w:rFonts w:ascii="Times New Roman" w:hAnsi="Times New Roman"/>
          <w:sz w:val="20"/>
        </w:rPr>
        <w:t> </w:t>
      </w:r>
      <w:r>
        <w:rPr>
          <w:rFonts w:ascii="Times New Roman" w:hAnsi="Times New Roman"/>
          <w:sz w:val="20"/>
        </w:rPr>
        <w:t>OH</w:t>
      </w:r>
      <w:r w:rsidR="00150218">
        <w:rPr>
          <w:rFonts w:ascii="Times New Roman" w:hAnsi="Times New Roman"/>
          <w:sz w:val="20"/>
        </w:rPr>
        <w:t>.</w:t>
      </w:r>
    </w:p>
    <w:p w:rsidR="0008329E" w:rsidRDefault="005D1F61">
      <w:pPr>
        <w:jc w:val="both"/>
        <w:rPr>
          <w:rFonts w:ascii="Times New Roman" w:hAnsi="Times New Roman"/>
          <w:sz w:val="20"/>
        </w:rPr>
      </w:pPr>
      <w:r>
        <w:rPr>
          <w:rFonts w:ascii="Times New Roman" w:hAnsi="Times New Roman"/>
          <w:sz w:val="20"/>
        </w:rPr>
        <w:t>National Institute of Standards and Technology, Ceramics Division; Gaithersburg,</w:t>
      </w:r>
      <w:r w:rsidR="00150218">
        <w:rPr>
          <w:rFonts w:ascii="Times New Roman" w:hAnsi="Times New Roman"/>
          <w:sz w:val="20"/>
        </w:rPr>
        <w:t> </w:t>
      </w:r>
      <w:r>
        <w:rPr>
          <w:rFonts w:ascii="Times New Roman" w:hAnsi="Times New Roman"/>
          <w:sz w:val="20"/>
        </w:rPr>
        <w:t>MD</w:t>
      </w:r>
      <w:r w:rsidR="00150218">
        <w:rPr>
          <w:rFonts w:ascii="Times New Roman" w:hAnsi="Times New Roman"/>
          <w:sz w:val="20"/>
        </w:rPr>
        <w:t>.</w:t>
      </w:r>
    </w:p>
    <w:p w:rsidR="0008329E" w:rsidRDefault="0008329E">
      <w:pPr>
        <w:jc w:val="both"/>
        <w:rPr>
          <w:rFonts w:ascii="Times New Roman" w:hAnsi="Times New Roman"/>
          <w:sz w:val="20"/>
        </w:rPr>
      </w:pPr>
    </w:p>
    <w:p w:rsidR="00A77F54" w:rsidRDefault="00A77F54">
      <w:pPr>
        <w:jc w:val="both"/>
        <w:rPr>
          <w:rFonts w:ascii="Times New Roman" w:hAnsi="Times New Roman"/>
          <w:sz w:val="20"/>
        </w:rPr>
      </w:pPr>
    </w:p>
    <w:p w:rsidR="0008329E" w:rsidRDefault="005D1F61">
      <w:pPr>
        <w:pStyle w:val="BodyText"/>
        <w:jc w:val="center"/>
      </w:pPr>
      <w:r>
        <w:t>REFERENCES</w:t>
      </w:r>
    </w:p>
    <w:p w:rsidR="00CE35CF" w:rsidRDefault="00CE35CF">
      <w:pPr>
        <w:pStyle w:val="BodyText"/>
        <w:jc w:val="left"/>
      </w:pPr>
    </w:p>
    <w:p w:rsidR="0008329E" w:rsidRDefault="00321F71" w:rsidP="00321F71">
      <w:pPr>
        <w:pStyle w:val="BodyText"/>
        <w:ind w:left="360" w:hanging="360"/>
      </w:pPr>
      <w:r>
        <w:t>[1]</w:t>
      </w:r>
      <w:r>
        <w:tab/>
        <w:t xml:space="preserve">Taylor, B.N.; Kuyatt, C.E.; </w:t>
      </w:r>
      <w:r>
        <w:rPr>
          <w:i/>
          <w:iCs/>
        </w:rPr>
        <w:t>Guidelines for Evaluating and Expressing the Uncertainty of NIST Measurement Results</w:t>
      </w:r>
      <w:r>
        <w:t xml:space="preserve">; NIST Technical Note 1297; U.S. Government Printing Office: Washington, DC (1994); available </w:t>
      </w:r>
      <w:r>
        <w:rPr>
          <w:color w:val="000000"/>
        </w:rPr>
        <w:t xml:space="preserve">at </w:t>
      </w:r>
      <w:hyperlink w:history="1"/>
      <w:r>
        <w:rPr>
          <w:color w:val="000000"/>
        </w:rPr>
        <w:t xml:space="preserve"> </w:t>
      </w:r>
      <w:hyperlink r:id="rId10" w:history="1">
        <w:r w:rsidR="006E5492" w:rsidRPr="006E5492">
          <w:rPr>
            <w:rStyle w:val="Hyperlink"/>
          </w:rPr>
          <w:t>http://www.physics.nist.gov/Pubs</w:t>
        </w:r>
      </w:hyperlink>
      <w:r w:rsidR="006E5492" w:rsidRPr="006E5492">
        <w:t>/</w:t>
      </w:r>
      <w:r w:rsidR="006E5492">
        <w:t xml:space="preserve"> </w:t>
      </w:r>
      <w:r>
        <w:t>(accessed Dec 2011)</w:t>
      </w:r>
      <w:r>
        <w:rPr>
          <w:color w:val="000000"/>
        </w:rPr>
        <w:t>.</w:t>
      </w:r>
      <w:r w:rsidR="005D1F61">
        <w:t xml:space="preserve">  See also Heckert,</w:t>
      </w:r>
      <w:r>
        <w:t> </w:t>
      </w:r>
      <w:r w:rsidR="005D1F61">
        <w:t>A.; Filliben,</w:t>
      </w:r>
      <w:r>
        <w:t> </w:t>
      </w:r>
      <w:r w:rsidR="005D1F61">
        <w:t xml:space="preserve">J.J.; </w:t>
      </w:r>
      <w:r w:rsidR="005D1F61" w:rsidRPr="00321F71">
        <w:rPr>
          <w:i/>
        </w:rPr>
        <w:t>Dataplot Reference Manual</w:t>
      </w:r>
      <w:r w:rsidRPr="00321F71">
        <w:t xml:space="preserve">; available at </w:t>
      </w:r>
      <w:hyperlink r:id="rId11" w:history="1">
        <w:r w:rsidR="005D1F61">
          <w:rPr>
            <w:rStyle w:val="Hyperlink"/>
          </w:rPr>
          <w:t>http://www.itl.nist.gov/div898/software/dataplot/</w:t>
        </w:r>
      </w:hyperlink>
      <w:r w:rsidR="006E5492" w:rsidRPr="006E5492">
        <w:t xml:space="preserve"> </w:t>
      </w:r>
      <w:r w:rsidR="00642629">
        <w:t>(accessed Dec 2011).</w:t>
      </w:r>
    </w:p>
    <w:p w:rsidR="0008329E" w:rsidRDefault="005D1F61" w:rsidP="00321F71">
      <w:pPr>
        <w:pStyle w:val="BodyText"/>
        <w:ind w:left="360" w:hanging="360"/>
      </w:pPr>
      <w:r>
        <w:t>[2]</w:t>
      </w:r>
      <w:r>
        <w:tab/>
        <w:t>Rukhin,</w:t>
      </w:r>
      <w:r w:rsidR="006E5492">
        <w:t> </w:t>
      </w:r>
      <w:r>
        <w:t>A.L.; Vangel,</w:t>
      </w:r>
      <w:r w:rsidR="006E5492">
        <w:t> </w:t>
      </w:r>
      <w:r>
        <w:t xml:space="preserve">M.G.; </w:t>
      </w:r>
      <w:r>
        <w:rPr>
          <w:i/>
          <w:iCs/>
        </w:rPr>
        <w:t>Estimates of a Common Mean and Weighted Means Statistics</w:t>
      </w:r>
      <w:r>
        <w:t>, Journal of American Statistical Association, Vol. 93, No. 441, pp.</w:t>
      </w:r>
      <w:r w:rsidR="006E5492">
        <w:t> </w:t>
      </w:r>
      <w:r>
        <w:t>303</w:t>
      </w:r>
      <w:r w:rsidR="00417F00">
        <w:noBreakHyphen/>
      </w:r>
      <w:r>
        <w:t>308 (March</w:t>
      </w:r>
      <w:r w:rsidR="006E5492">
        <w:t> </w:t>
      </w:r>
      <w:r>
        <w:t>1998).</w:t>
      </w:r>
    </w:p>
    <w:p w:rsidR="0008329E" w:rsidRPr="00A77F54" w:rsidRDefault="0008329E">
      <w:pPr>
        <w:pStyle w:val="BodyText"/>
        <w:ind w:left="720" w:hanging="720"/>
      </w:pPr>
    </w:p>
    <w:p w:rsidR="0008329E" w:rsidRPr="00A77F54" w:rsidRDefault="0008329E">
      <w:pPr>
        <w:jc w:val="both"/>
        <w:rPr>
          <w:rFonts w:ascii="Times New Roman" w:hAnsi="Times New Roman"/>
          <w:sz w:val="20"/>
        </w:rPr>
      </w:pPr>
    </w:p>
    <w:p w:rsidR="0008329E" w:rsidRPr="00A77F54" w:rsidRDefault="0008329E">
      <w:pPr>
        <w:jc w:val="both"/>
        <w:rPr>
          <w:rFonts w:ascii="Times New Roman" w:hAnsi="Times New Roman"/>
          <w:sz w:val="20"/>
        </w:rPr>
      </w:pPr>
    </w:p>
    <w:p w:rsidR="00A77F54" w:rsidRPr="00A77F54" w:rsidRDefault="00A77F54" w:rsidP="00A77F54">
      <w:pPr>
        <w:pBdr>
          <w:top w:val="single" w:sz="4" w:space="1" w:color="auto"/>
          <w:left w:val="single" w:sz="4" w:space="4" w:color="auto"/>
          <w:bottom w:val="single" w:sz="4" w:space="1" w:color="auto"/>
          <w:right w:val="single" w:sz="4" w:space="4" w:color="auto"/>
        </w:pBdr>
        <w:jc w:val="both"/>
        <w:rPr>
          <w:rFonts w:ascii="Times New Roman" w:hAnsi="Times New Roman"/>
          <w:kern w:val="2"/>
          <w:sz w:val="16"/>
        </w:rPr>
      </w:pPr>
      <w:r w:rsidRPr="00A77F54">
        <w:rPr>
          <w:rFonts w:ascii="Times New Roman" w:hAnsi="Times New Roman"/>
          <w:b/>
          <w:kern w:val="2"/>
          <w:sz w:val="16"/>
        </w:rPr>
        <w:t>Certificate Revision History:</w:t>
      </w:r>
      <w:r w:rsidRPr="00A77F54">
        <w:rPr>
          <w:rFonts w:ascii="Times New Roman" w:hAnsi="Times New Roman"/>
          <w:kern w:val="2"/>
          <w:sz w:val="16"/>
        </w:rPr>
        <w:t xml:space="preserve">  </w:t>
      </w:r>
      <w:r w:rsidR="00132534">
        <w:rPr>
          <w:rFonts w:ascii="Times New Roman" w:hAnsi="Times New Roman"/>
          <w:kern w:val="2"/>
          <w:sz w:val="16"/>
        </w:rPr>
        <w:t>2</w:t>
      </w:r>
      <w:r w:rsidR="00132534">
        <w:rPr>
          <w:rFonts w:ascii="Times New Roman" w:hAnsi="Times New Roman"/>
          <w:kern w:val="2"/>
          <w:sz w:val="16"/>
        </w:rPr>
        <w:t>9</w:t>
      </w:r>
      <w:r w:rsidR="00132534" w:rsidRPr="00A77F54">
        <w:rPr>
          <w:rFonts w:ascii="Times New Roman" w:hAnsi="Times New Roman"/>
          <w:kern w:val="2"/>
          <w:sz w:val="16"/>
        </w:rPr>
        <w:t> </w:t>
      </w:r>
      <w:r w:rsidRPr="00A77F54">
        <w:rPr>
          <w:rFonts w:ascii="Times New Roman" w:hAnsi="Times New Roman"/>
          <w:kern w:val="2"/>
          <w:sz w:val="16"/>
        </w:rPr>
        <w:t>December 2011 (E</w:t>
      </w:r>
      <w:r>
        <w:rPr>
          <w:rFonts w:ascii="Times New Roman" w:hAnsi="Times New Roman"/>
          <w:kern w:val="2"/>
          <w:sz w:val="16"/>
        </w:rPr>
        <w:t>xtension of certification period and e</w:t>
      </w:r>
      <w:r w:rsidRPr="00A77F54">
        <w:rPr>
          <w:rFonts w:ascii="Times New Roman" w:hAnsi="Times New Roman"/>
          <w:kern w:val="2"/>
          <w:sz w:val="16"/>
        </w:rPr>
        <w:t xml:space="preserve">ditorial changes); </w:t>
      </w:r>
      <w:r w:rsidR="00876472">
        <w:rPr>
          <w:rFonts w:ascii="Times New Roman" w:hAnsi="Times New Roman"/>
          <w:kern w:val="2"/>
          <w:sz w:val="16"/>
        </w:rPr>
        <w:t>08</w:t>
      </w:r>
      <w:r w:rsidRPr="00A77F54">
        <w:rPr>
          <w:rFonts w:ascii="Times New Roman" w:hAnsi="Times New Roman"/>
          <w:kern w:val="2"/>
          <w:sz w:val="16"/>
        </w:rPr>
        <w:t> </w:t>
      </w:r>
      <w:r w:rsidR="00876472">
        <w:rPr>
          <w:rFonts w:ascii="Times New Roman" w:hAnsi="Times New Roman"/>
          <w:kern w:val="2"/>
          <w:sz w:val="16"/>
        </w:rPr>
        <w:t>July</w:t>
      </w:r>
      <w:r w:rsidRPr="00A77F54">
        <w:rPr>
          <w:rFonts w:ascii="Times New Roman" w:hAnsi="Times New Roman"/>
          <w:kern w:val="2"/>
          <w:sz w:val="16"/>
        </w:rPr>
        <w:t> 200</w:t>
      </w:r>
      <w:r>
        <w:rPr>
          <w:rFonts w:ascii="Times New Roman" w:hAnsi="Times New Roman"/>
          <w:kern w:val="2"/>
          <w:sz w:val="16"/>
        </w:rPr>
        <w:t>2</w:t>
      </w:r>
      <w:r w:rsidRPr="00A77F54">
        <w:rPr>
          <w:rFonts w:ascii="Times New Roman" w:hAnsi="Times New Roman"/>
          <w:kern w:val="2"/>
          <w:sz w:val="16"/>
        </w:rPr>
        <w:t xml:space="preserve"> (Original certificate date).</w:t>
      </w:r>
    </w:p>
    <w:p w:rsidR="00A77F54" w:rsidRPr="00A77F54" w:rsidRDefault="00A77F54" w:rsidP="00A77F54">
      <w:pPr>
        <w:ind w:left="720" w:hanging="720"/>
        <w:jc w:val="both"/>
        <w:rPr>
          <w:rFonts w:ascii="Times New Roman" w:hAnsi="Times New Roman"/>
          <w:sz w:val="20"/>
        </w:rPr>
      </w:pPr>
    </w:p>
    <w:p w:rsidR="00A77F54" w:rsidRPr="00A77F54" w:rsidRDefault="00A77F54" w:rsidP="00A77F54">
      <w:pPr>
        <w:ind w:left="720" w:hanging="720"/>
        <w:jc w:val="both"/>
        <w:rPr>
          <w:rFonts w:ascii="Times New Roman" w:hAnsi="Times New Roman"/>
          <w:sz w:val="20"/>
        </w:rPr>
      </w:pPr>
    </w:p>
    <w:p w:rsidR="00A77F54" w:rsidRPr="00A77F54" w:rsidRDefault="00A77F54" w:rsidP="00A77F54">
      <w:pPr>
        <w:ind w:left="720" w:hanging="720"/>
        <w:jc w:val="both"/>
        <w:rPr>
          <w:rFonts w:ascii="Times New Roman" w:hAnsi="Times New Roman"/>
          <w:sz w:val="20"/>
        </w:rPr>
      </w:pPr>
    </w:p>
    <w:p w:rsidR="00A77F54" w:rsidRPr="00A77F54" w:rsidRDefault="00A77F54" w:rsidP="00A77F54">
      <w:pPr>
        <w:ind w:left="720" w:hanging="720"/>
        <w:jc w:val="both"/>
        <w:rPr>
          <w:rFonts w:ascii="Times New Roman" w:hAnsi="Times New Roman"/>
          <w:sz w:val="20"/>
        </w:rPr>
      </w:pPr>
    </w:p>
    <w:p w:rsidR="00A77F54" w:rsidRDefault="00A77F54" w:rsidP="00A77F54">
      <w:pPr>
        <w:ind w:left="720" w:hanging="720"/>
        <w:jc w:val="both"/>
        <w:rPr>
          <w:rFonts w:ascii="Times New Roman" w:hAnsi="Times New Roman"/>
          <w:sz w:val="20"/>
        </w:rPr>
      </w:pPr>
    </w:p>
    <w:p w:rsidR="00CB09A8" w:rsidRDefault="00CB09A8" w:rsidP="00A77F54">
      <w:pPr>
        <w:ind w:left="720" w:hanging="720"/>
        <w:jc w:val="both"/>
        <w:rPr>
          <w:rFonts w:ascii="Times New Roman" w:hAnsi="Times New Roman"/>
          <w:sz w:val="20"/>
        </w:rPr>
      </w:pPr>
    </w:p>
    <w:p w:rsidR="00CB09A8" w:rsidRDefault="00CB09A8" w:rsidP="00A77F54">
      <w:pPr>
        <w:ind w:left="720" w:hanging="720"/>
        <w:jc w:val="both"/>
        <w:rPr>
          <w:rFonts w:ascii="Times New Roman" w:hAnsi="Times New Roman"/>
          <w:sz w:val="20"/>
        </w:rPr>
      </w:pPr>
    </w:p>
    <w:p w:rsidR="00CB09A8" w:rsidRDefault="00CB09A8" w:rsidP="00A77F54">
      <w:pPr>
        <w:ind w:left="720" w:hanging="720"/>
        <w:jc w:val="both"/>
        <w:rPr>
          <w:rFonts w:ascii="Times New Roman" w:hAnsi="Times New Roman"/>
          <w:sz w:val="20"/>
        </w:rPr>
      </w:pPr>
    </w:p>
    <w:p w:rsidR="00CB09A8" w:rsidRDefault="00CB09A8" w:rsidP="00A77F54">
      <w:pPr>
        <w:ind w:left="720" w:hanging="720"/>
        <w:jc w:val="both"/>
        <w:rPr>
          <w:rFonts w:ascii="Times New Roman" w:hAnsi="Times New Roman"/>
          <w:sz w:val="20"/>
        </w:rPr>
      </w:pPr>
    </w:p>
    <w:p w:rsidR="00CB09A8" w:rsidRDefault="00CB09A8" w:rsidP="00A77F54">
      <w:pPr>
        <w:ind w:left="720" w:hanging="720"/>
        <w:jc w:val="both"/>
        <w:rPr>
          <w:rFonts w:ascii="Times New Roman" w:hAnsi="Times New Roman"/>
          <w:sz w:val="20"/>
        </w:rPr>
      </w:pPr>
    </w:p>
    <w:p w:rsidR="00CB09A8" w:rsidRDefault="00CB09A8" w:rsidP="00A77F54">
      <w:pPr>
        <w:ind w:left="720" w:hanging="720"/>
        <w:jc w:val="both"/>
        <w:rPr>
          <w:rFonts w:ascii="Times New Roman" w:hAnsi="Times New Roman"/>
          <w:sz w:val="20"/>
        </w:rPr>
      </w:pPr>
    </w:p>
    <w:p w:rsidR="00CB09A8" w:rsidRPr="00A77F54" w:rsidRDefault="00CB09A8" w:rsidP="00A77F54">
      <w:pPr>
        <w:ind w:left="720" w:hanging="720"/>
        <w:jc w:val="both"/>
        <w:rPr>
          <w:rFonts w:ascii="Times New Roman" w:hAnsi="Times New Roman"/>
          <w:sz w:val="20"/>
        </w:rPr>
      </w:pPr>
    </w:p>
    <w:p w:rsidR="00A77F54" w:rsidRPr="00A77F54" w:rsidRDefault="00A77F54" w:rsidP="00A77F54">
      <w:pPr>
        <w:ind w:left="720" w:hanging="720"/>
        <w:jc w:val="both"/>
        <w:rPr>
          <w:rFonts w:ascii="Times New Roman" w:hAnsi="Times New Roman"/>
          <w:sz w:val="20"/>
        </w:rPr>
      </w:pPr>
    </w:p>
    <w:p w:rsidR="00A77F54" w:rsidRPr="00A77F54" w:rsidRDefault="00A77F54" w:rsidP="00A77F54">
      <w:pPr>
        <w:ind w:left="720" w:hanging="720"/>
        <w:jc w:val="both"/>
        <w:rPr>
          <w:rFonts w:ascii="Times New Roman" w:hAnsi="Times New Roman"/>
          <w:sz w:val="20"/>
        </w:rPr>
      </w:pPr>
    </w:p>
    <w:p w:rsidR="00A77F54" w:rsidRPr="00A77F54" w:rsidRDefault="00A77F54" w:rsidP="00A77F54">
      <w:pPr>
        <w:ind w:left="720" w:hanging="720"/>
        <w:jc w:val="both"/>
        <w:rPr>
          <w:rFonts w:ascii="Times New Roman" w:hAnsi="Times New Roman"/>
          <w:sz w:val="20"/>
        </w:rPr>
      </w:pPr>
    </w:p>
    <w:p w:rsidR="00A77F54" w:rsidRPr="00A77F54" w:rsidRDefault="00A77F54" w:rsidP="00A77F54">
      <w:pPr>
        <w:ind w:left="720" w:hanging="720"/>
        <w:jc w:val="both"/>
        <w:rPr>
          <w:rFonts w:ascii="Times New Roman" w:hAnsi="Times New Roman"/>
          <w:sz w:val="20"/>
        </w:rPr>
      </w:pPr>
    </w:p>
    <w:p w:rsidR="00A77F54" w:rsidRPr="00A77F54" w:rsidRDefault="00A77F54" w:rsidP="00A77F54">
      <w:pPr>
        <w:ind w:left="720" w:hanging="720"/>
        <w:jc w:val="both"/>
        <w:rPr>
          <w:rFonts w:ascii="Times New Roman" w:hAnsi="Times New Roman"/>
          <w:sz w:val="20"/>
        </w:rPr>
      </w:pPr>
    </w:p>
    <w:p w:rsidR="00A77F54" w:rsidRPr="00A77F54" w:rsidRDefault="00A77F54" w:rsidP="00A77F54">
      <w:pPr>
        <w:ind w:left="720" w:hanging="720"/>
        <w:jc w:val="both"/>
        <w:rPr>
          <w:rFonts w:ascii="Times New Roman" w:hAnsi="Times New Roman"/>
          <w:sz w:val="20"/>
        </w:rPr>
      </w:pPr>
    </w:p>
    <w:p w:rsidR="00A77F54" w:rsidRPr="00A77F54" w:rsidRDefault="00A77F54" w:rsidP="00A77F54">
      <w:pPr>
        <w:jc w:val="both"/>
        <w:rPr>
          <w:rFonts w:ascii="Times New Roman" w:hAnsi="Times New Roman"/>
          <w:sz w:val="20"/>
        </w:rPr>
      </w:pPr>
      <w:r w:rsidRPr="00A77F54">
        <w:rPr>
          <w:rFonts w:ascii="Times New Roman" w:hAnsi="Times New Roman"/>
          <w:i/>
          <w:color w:val="000000"/>
          <w:sz w:val="20"/>
        </w:rPr>
        <w:t>Users of this SRM should ensure that the Certificate of Analysis in their possession is current.  This can be accomplished by contacting the SRM Program:  telephone (301) 975</w:t>
      </w:r>
      <w:r w:rsidRPr="00A77F54">
        <w:rPr>
          <w:rFonts w:ascii="Times New Roman" w:hAnsi="Times New Roman"/>
          <w:i/>
          <w:color w:val="000000"/>
          <w:sz w:val="20"/>
        </w:rPr>
        <w:noBreakHyphen/>
        <w:t>2200; fax (301) 926</w:t>
      </w:r>
      <w:r w:rsidRPr="00A77F54">
        <w:rPr>
          <w:rFonts w:ascii="Times New Roman" w:hAnsi="Times New Roman"/>
          <w:i/>
          <w:color w:val="000000"/>
          <w:sz w:val="20"/>
        </w:rPr>
        <w:noBreakHyphen/>
        <w:t>4751; e</w:t>
      </w:r>
      <w:r w:rsidRPr="00A77F54">
        <w:rPr>
          <w:rFonts w:ascii="Times New Roman" w:hAnsi="Times New Roman"/>
          <w:i/>
          <w:color w:val="000000"/>
          <w:sz w:val="20"/>
        </w:rPr>
        <w:noBreakHyphen/>
        <w:t>mail </w:t>
      </w:r>
      <w:hyperlink r:id="rId12" w:history="1">
        <w:r w:rsidRPr="00A77F54">
          <w:rPr>
            <w:rStyle w:val="Hyperlink"/>
            <w:rFonts w:ascii="Times New Roman" w:hAnsi="Times New Roman"/>
            <w:i/>
            <w:color w:val="000000"/>
            <w:sz w:val="20"/>
          </w:rPr>
          <w:t>srminfo@nist.gov</w:t>
        </w:r>
      </w:hyperlink>
      <w:r w:rsidRPr="00A77F54">
        <w:rPr>
          <w:rFonts w:ascii="Times New Roman" w:hAnsi="Times New Roman"/>
          <w:i/>
          <w:color w:val="000000"/>
          <w:sz w:val="20"/>
        </w:rPr>
        <w:t xml:space="preserve">; or via the Internet at </w:t>
      </w:r>
      <w:hyperlink r:id="rId13" w:history="1">
        <w:r w:rsidRPr="00A77F54">
          <w:rPr>
            <w:rStyle w:val="Hyperlink"/>
            <w:rFonts w:ascii="Times New Roman" w:hAnsi="Times New Roman"/>
            <w:i/>
            <w:sz w:val="20"/>
          </w:rPr>
          <w:t>http://www.nist.gov/srm</w:t>
        </w:r>
      </w:hyperlink>
      <w:r w:rsidRPr="00A77F54">
        <w:rPr>
          <w:rFonts w:ascii="Times New Roman" w:hAnsi="Times New Roman"/>
          <w:i/>
          <w:color w:val="000000"/>
          <w:sz w:val="20"/>
        </w:rPr>
        <w:t>.</w:t>
      </w:r>
    </w:p>
    <w:p w:rsidR="0008329E" w:rsidRPr="00A77F54" w:rsidRDefault="0008329E" w:rsidP="00A77F54">
      <w:pPr>
        <w:jc w:val="both"/>
        <w:rPr>
          <w:rFonts w:ascii="Times New Roman" w:hAnsi="Times New Roman"/>
          <w:sz w:val="20"/>
        </w:rPr>
      </w:pPr>
    </w:p>
    <w:sectPr w:rsidR="0008329E" w:rsidRPr="00A77F54" w:rsidSect="00417F00">
      <w:footerReference w:type="default" r:id="rId14"/>
      <w:pgSz w:w="12240" w:h="15840"/>
      <w:pgMar w:top="720" w:right="1440" w:bottom="720" w:left="1440" w:header="720" w:footer="72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5A05" w:rsidRDefault="00D95A05">
      <w:r>
        <w:separator/>
      </w:r>
    </w:p>
  </w:endnote>
  <w:endnote w:type="continuationSeparator" w:id="0">
    <w:p w:rsidR="00D95A05" w:rsidRDefault="00D95A0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G Times">
    <w:panose1 w:val="02020603050405020304"/>
    <w:charset w:val="00"/>
    <w:family w:val="roman"/>
    <w:pitch w:val="variable"/>
    <w:sig w:usb0="00000007" w:usb1="00000000" w:usb2="00000000" w:usb3="00000000" w:csb0="00000093" w:csb1="00000000"/>
  </w:font>
  <w:font w:name="Lincoln">
    <w:altName w:val="Courier New"/>
    <w:charset w:val="00"/>
    <w:family w:val="swiss"/>
    <w:pitch w:val="variable"/>
    <w:sig w:usb0="00000003" w:usb1="00000000" w:usb2="00000000" w:usb3="00000000" w:csb0="00000001" w:csb1="00000000"/>
  </w:font>
  <w:font w:name="Times">
    <w:panose1 w:val="02020603050405020304"/>
    <w:charset w:val="00"/>
    <w:family w:val="roman"/>
    <w:pitch w:val="variable"/>
    <w:sig w:usb0="00000007" w:usb1="00000000" w:usb2="00000000" w:usb3="00000000" w:csb0="00000093" w:csb1="00000000"/>
  </w:font>
  <w:font w:name="Tahoma">
    <w:panose1 w:val="020B0604030504040204"/>
    <w:charset w:val="00"/>
    <w:family w:val="swiss"/>
    <w:pitch w:val="variable"/>
    <w:sig w:usb0="61002A87" w:usb1="80000000" w:usb2="00000008" w:usb3="00000000" w:csb0="000101FF" w:csb1="00000000"/>
  </w:font>
  <w:font w:name="Linotext">
    <w:panose1 w:val="00000500000000000000"/>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5A05" w:rsidRDefault="00D95A05">
    <w:pPr>
      <w:pStyle w:val="Footer"/>
      <w:tabs>
        <w:tab w:val="clear" w:pos="8640"/>
        <w:tab w:val="right" w:pos="9360"/>
      </w:tabs>
      <w:rPr>
        <w:rFonts w:ascii="Times New Roman" w:hAnsi="Times New Roman"/>
        <w:sz w:val="20"/>
      </w:rPr>
    </w:pPr>
    <w:r>
      <w:rPr>
        <w:rFonts w:ascii="Times New Roman" w:hAnsi="Times New Roman"/>
        <w:sz w:val="20"/>
      </w:rPr>
      <w:t>SRM 1918</w:t>
    </w:r>
    <w:r>
      <w:rPr>
        <w:rFonts w:ascii="Times New Roman" w:hAnsi="Times New Roman"/>
        <w:sz w:val="20"/>
      </w:rPr>
      <w:tab/>
    </w:r>
    <w:r>
      <w:rPr>
        <w:rFonts w:ascii="Times New Roman" w:hAnsi="Times New Roman"/>
        <w:sz w:val="20"/>
      </w:rPr>
      <w:tab/>
      <w:t xml:space="preserve">Page </w:t>
    </w:r>
    <w:r w:rsidR="00FF201E">
      <w:rPr>
        <w:rStyle w:val="PageNumber"/>
        <w:rFonts w:ascii="Times New Roman" w:hAnsi="Times New Roman"/>
        <w:sz w:val="20"/>
      </w:rPr>
      <w:fldChar w:fldCharType="begin"/>
    </w:r>
    <w:r>
      <w:rPr>
        <w:rStyle w:val="PageNumber"/>
        <w:rFonts w:ascii="Times New Roman" w:hAnsi="Times New Roman"/>
        <w:sz w:val="20"/>
      </w:rPr>
      <w:instrText xml:space="preserve"> PAGE </w:instrText>
    </w:r>
    <w:r w:rsidR="00FF201E">
      <w:rPr>
        <w:rStyle w:val="PageNumber"/>
        <w:rFonts w:ascii="Times New Roman" w:hAnsi="Times New Roman"/>
        <w:sz w:val="20"/>
      </w:rPr>
      <w:fldChar w:fldCharType="separate"/>
    </w:r>
    <w:r w:rsidR="00132534">
      <w:rPr>
        <w:rStyle w:val="PageNumber"/>
        <w:rFonts w:ascii="Times New Roman" w:hAnsi="Times New Roman"/>
        <w:noProof/>
        <w:sz w:val="20"/>
      </w:rPr>
      <w:t>1</w:t>
    </w:r>
    <w:r w:rsidR="00FF201E">
      <w:rPr>
        <w:rStyle w:val="PageNumber"/>
        <w:rFonts w:ascii="Times New Roman" w:hAnsi="Times New Roman"/>
        <w:sz w:val="20"/>
      </w:rPr>
      <w:fldChar w:fldCharType="end"/>
    </w:r>
    <w:r>
      <w:rPr>
        <w:rStyle w:val="PageNumber"/>
        <w:rFonts w:ascii="Times New Roman" w:hAnsi="Times New Roman"/>
        <w:sz w:val="20"/>
      </w:rPr>
      <w:t xml:space="preserve"> of 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5A05" w:rsidRDefault="00D95A05">
      <w:r>
        <w:separator/>
      </w:r>
    </w:p>
  </w:footnote>
  <w:footnote w:type="continuationSeparator" w:id="0">
    <w:p w:rsidR="00D95A05" w:rsidRDefault="00D95A0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D256DF"/>
    <w:multiLevelType w:val="singleLevel"/>
    <w:tmpl w:val="FCF4CB14"/>
    <w:lvl w:ilvl="0">
      <w:start w:val="1"/>
      <w:numFmt w:val="decimal"/>
      <w:lvlText w:val="%1)"/>
      <w:lvlJc w:val="left"/>
      <w:pPr>
        <w:tabs>
          <w:tab w:val="num" w:pos="720"/>
        </w:tabs>
        <w:ind w:left="720" w:hanging="720"/>
      </w:pPr>
      <w:rPr>
        <w:rFonts w:hint="default"/>
      </w:rPr>
    </w:lvl>
  </w:abstractNum>
  <w:abstractNum w:abstractNumId="1">
    <w:nsid w:val="3DD9008B"/>
    <w:multiLevelType w:val="singleLevel"/>
    <w:tmpl w:val="13C839D6"/>
    <w:lvl w:ilvl="0">
      <w:start w:val="1"/>
      <w:numFmt w:val="decimal"/>
      <w:lvlText w:val="[%1]"/>
      <w:lvlJc w:val="left"/>
      <w:pPr>
        <w:tabs>
          <w:tab w:val="num" w:pos="360"/>
        </w:tabs>
        <w:ind w:left="36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proofState w:spelling="clean" w:grammar="clean"/>
  <w:stylePaneFormatFilter w:val="1024"/>
  <w:trackRevisions/>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rsids>
    <w:rsidRoot w:val="005D1F61"/>
    <w:rsid w:val="0008329E"/>
    <w:rsid w:val="000C580F"/>
    <w:rsid w:val="000D6699"/>
    <w:rsid w:val="00106D33"/>
    <w:rsid w:val="00132534"/>
    <w:rsid w:val="00150218"/>
    <w:rsid w:val="00321F71"/>
    <w:rsid w:val="00354503"/>
    <w:rsid w:val="00365869"/>
    <w:rsid w:val="004101F3"/>
    <w:rsid w:val="00417F00"/>
    <w:rsid w:val="00491380"/>
    <w:rsid w:val="00503D70"/>
    <w:rsid w:val="00506F52"/>
    <w:rsid w:val="005D1F61"/>
    <w:rsid w:val="00626B20"/>
    <w:rsid w:val="00642629"/>
    <w:rsid w:val="006C1D75"/>
    <w:rsid w:val="006D2362"/>
    <w:rsid w:val="006E5492"/>
    <w:rsid w:val="007B1631"/>
    <w:rsid w:val="00876472"/>
    <w:rsid w:val="009914E3"/>
    <w:rsid w:val="0099577E"/>
    <w:rsid w:val="00A77F54"/>
    <w:rsid w:val="00BC5BB5"/>
    <w:rsid w:val="00CB09A8"/>
    <w:rsid w:val="00CB335E"/>
    <w:rsid w:val="00CE35CF"/>
    <w:rsid w:val="00D95A05"/>
    <w:rsid w:val="00EE26D3"/>
    <w:rsid w:val="00F901C9"/>
    <w:rsid w:val="00FF201E"/>
    <w:rsid w:val="00FF67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577E"/>
    <w:rPr>
      <w:rFonts w:ascii="Arial" w:hAnsi="Arial"/>
      <w:sz w:val="24"/>
    </w:rPr>
  </w:style>
  <w:style w:type="paragraph" w:styleId="Heading1">
    <w:name w:val="heading 1"/>
    <w:basedOn w:val="Normal"/>
    <w:next w:val="Normal"/>
    <w:qFormat/>
    <w:rsid w:val="0008329E"/>
    <w:pPr>
      <w:keepNext/>
      <w:jc w:val="center"/>
      <w:outlineLvl w:val="0"/>
    </w:pPr>
    <w:rPr>
      <w:rFonts w:ascii="Times New Roman" w:hAnsi="Times New Roman"/>
      <w:sz w:val="28"/>
    </w:rPr>
  </w:style>
  <w:style w:type="paragraph" w:styleId="Heading5">
    <w:name w:val="heading 5"/>
    <w:basedOn w:val="Normal"/>
    <w:next w:val="Normal"/>
    <w:qFormat/>
    <w:rsid w:val="0008329E"/>
    <w:pPr>
      <w:keepNext/>
      <w:jc w:val="center"/>
      <w:outlineLvl w:val="4"/>
    </w:pPr>
    <w:rPr>
      <w:rFonts w:ascii="CG Times" w:hAnsi="CG Time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qFormat/>
    <w:rsid w:val="0008329E"/>
    <w:pPr>
      <w:jc w:val="center"/>
    </w:pPr>
    <w:rPr>
      <w:rFonts w:ascii="Lincoln" w:hAnsi="Lincoln"/>
      <w:sz w:val="60"/>
    </w:rPr>
  </w:style>
  <w:style w:type="paragraph" w:styleId="BodyText">
    <w:name w:val="Body Text"/>
    <w:basedOn w:val="Normal"/>
    <w:link w:val="BodyTextChar"/>
    <w:semiHidden/>
    <w:rsid w:val="0008329E"/>
    <w:pPr>
      <w:widowControl w:val="0"/>
      <w:jc w:val="both"/>
    </w:pPr>
    <w:rPr>
      <w:rFonts w:ascii="Times New Roman" w:hAnsi="Times New Roman"/>
      <w:sz w:val="20"/>
    </w:rPr>
  </w:style>
  <w:style w:type="character" w:styleId="FootnoteReference">
    <w:name w:val="footnote reference"/>
    <w:basedOn w:val="DefaultParagraphFont"/>
    <w:semiHidden/>
    <w:rsid w:val="0008329E"/>
    <w:rPr>
      <w:position w:val="6"/>
      <w:sz w:val="16"/>
    </w:rPr>
  </w:style>
  <w:style w:type="paragraph" w:styleId="FootnoteText">
    <w:name w:val="footnote text"/>
    <w:basedOn w:val="Normal"/>
    <w:semiHidden/>
    <w:rsid w:val="0008329E"/>
    <w:rPr>
      <w:rFonts w:ascii="Times" w:hAnsi="Times"/>
      <w:shadow/>
      <w:noProof/>
      <w:sz w:val="20"/>
    </w:rPr>
  </w:style>
  <w:style w:type="paragraph" w:customStyle="1" w:styleId="HTMLBody">
    <w:name w:val="HTML Body"/>
    <w:rsid w:val="0008329E"/>
    <w:rPr>
      <w:rFonts w:ascii="Arial" w:hAnsi="Arial"/>
      <w:snapToGrid w:val="0"/>
      <w:sz w:val="24"/>
    </w:rPr>
  </w:style>
  <w:style w:type="character" w:styleId="Hyperlink">
    <w:name w:val="Hyperlink"/>
    <w:basedOn w:val="DefaultParagraphFont"/>
    <w:rsid w:val="00321F71"/>
    <w:rPr>
      <w:color w:val="auto"/>
      <w:u w:val="none"/>
    </w:rPr>
  </w:style>
  <w:style w:type="paragraph" w:styleId="DocumentMap">
    <w:name w:val="Document Map"/>
    <w:basedOn w:val="Normal"/>
    <w:semiHidden/>
    <w:rsid w:val="0008329E"/>
    <w:pPr>
      <w:shd w:val="clear" w:color="auto" w:fill="000080"/>
    </w:pPr>
    <w:rPr>
      <w:rFonts w:ascii="Tahoma" w:hAnsi="Tahoma"/>
    </w:rPr>
  </w:style>
  <w:style w:type="paragraph" w:styleId="Title">
    <w:name w:val="Title"/>
    <w:basedOn w:val="Normal"/>
    <w:qFormat/>
    <w:rsid w:val="0008329E"/>
    <w:pPr>
      <w:widowControl w:val="0"/>
      <w:tabs>
        <w:tab w:val="left" w:pos="900"/>
        <w:tab w:val="center" w:pos="4680"/>
      </w:tabs>
      <w:ind w:left="806" w:hanging="806"/>
      <w:jc w:val="center"/>
    </w:pPr>
    <w:rPr>
      <w:rFonts w:ascii="Lincoln" w:hAnsi="Lincoln"/>
      <w:sz w:val="44"/>
    </w:rPr>
  </w:style>
  <w:style w:type="paragraph" w:styleId="BodyText2">
    <w:name w:val="Body Text 2"/>
    <w:basedOn w:val="Normal"/>
    <w:semiHidden/>
    <w:rsid w:val="0008329E"/>
    <w:pPr>
      <w:widowControl w:val="0"/>
      <w:tabs>
        <w:tab w:val="left" w:pos="540"/>
        <w:tab w:val="left" w:pos="1980"/>
        <w:tab w:val="left" w:pos="3600"/>
        <w:tab w:val="left" w:pos="5220"/>
        <w:tab w:val="left" w:pos="6930"/>
        <w:tab w:val="right" w:pos="9360"/>
      </w:tabs>
    </w:pPr>
    <w:rPr>
      <w:rFonts w:ascii="Times New Roman" w:hAnsi="Times New Roman"/>
      <w:sz w:val="20"/>
    </w:rPr>
  </w:style>
  <w:style w:type="paragraph" w:styleId="Header">
    <w:name w:val="header"/>
    <w:basedOn w:val="Normal"/>
    <w:semiHidden/>
    <w:rsid w:val="0008329E"/>
    <w:pPr>
      <w:tabs>
        <w:tab w:val="center" w:pos="4320"/>
        <w:tab w:val="right" w:pos="8640"/>
      </w:tabs>
    </w:pPr>
  </w:style>
  <w:style w:type="paragraph" w:styleId="Footer">
    <w:name w:val="footer"/>
    <w:basedOn w:val="Normal"/>
    <w:semiHidden/>
    <w:rsid w:val="0008329E"/>
    <w:pPr>
      <w:tabs>
        <w:tab w:val="center" w:pos="4320"/>
        <w:tab w:val="right" w:pos="8640"/>
      </w:tabs>
    </w:pPr>
  </w:style>
  <w:style w:type="character" w:styleId="PageNumber">
    <w:name w:val="page number"/>
    <w:basedOn w:val="DefaultParagraphFont"/>
    <w:semiHidden/>
    <w:rsid w:val="0008329E"/>
  </w:style>
  <w:style w:type="character" w:styleId="FollowedHyperlink">
    <w:name w:val="FollowedHyperlink"/>
    <w:basedOn w:val="DefaultParagraphFont"/>
    <w:uiPriority w:val="99"/>
    <w:semiHidden/>
    <w:unhideWhenUsed/>
    <w:qFormat/>
    <w:rsid w:val="0099577E"/>
    <w:rPr>
      <w:color w:val="auto"/>
      <w:u w:val="none"/>
    </w:rPr>
  </w:style>
  <w:style w:type="character" w:customStyle="1" w:styleId="BodyTextChar">
    <w:name w:val="Body Text Char"/>
    <w:basedOn w:val="DefaultParagraphFont"/>
    <w:link w:val="BodyText"/>
    <w:semiHidden/>
    <w:rsid w:val="0099577E"/>
  </w:style>
  <w:style w:type="paragraph" w:styleId="BalloonText">
    <w:name w:val="Balloon Text"/>
    <w:basedOn w:val="Normal"/>
    <w:link w:val="BalloonTextChar"/>
    <w:uiPriority w:val="99"/>
    <w:semiHidden/>
    <w:unhideWhenUsed/>
    <w:rsid w:val="006E5492"/>
    <w:rPr>
      <w:rFonts w:ascii="Tahoma" w:hAnsi="Tahoma" w:cs="Tahoma"/>
      <w:sz w:val="16"/>
      <w:szCs w:val="16"/>
    </w:rPr>
  </w:style>
  <w:style w:type="character" w:customStyle="1" w:styleId="BalloonTextChar">
    <w:name w:val="Balloon Text Char"/>
    <w:basedOn w:val="DefaultParagraphFont"/>
    <w:link w:val="BalloonText"/>
    <w:uiPriority w:val="99"/>
    <w:semiHidden/>
    <w:rsid w:val="006E5492"/>
    <w:rPr>
      <w:rFonts w:ascii="Tahoma" w:hAnsi="Tahoma" w:cs="Tahoma"/>
      <w:sz w:val="16"/>
      <w:szCs w:val="16"/>
    </w:rPr>
  </w:style>
  <w:style w:type="table" w:styleId="TableGrid">
    <w:name w:val="Table Grid"/>
    <w:basedOn w:val="TableNormal"/>
    <w:uiPriority w:val="59"/>
    <w:rsid w:val="00D95A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CB335E"/>
    <w:rPr>
      <w:sz w:val="16"/>
      <w:szCs w:val="16"/>
    </w:rPr>
  </w:style>
  <w:style w:type="paragraph" w:styleId="CommentText">
    <w:name w:val="annotation text"/>
    <w:basedOn w:val="Normal"/>
    <w:link w:val="CommentTextChar"/>
    <w:uiPriority w:val="99"/>
    <w:semiHidden/>
    <w:unhideWhenUsed/>
    <w:rsid w:val="00CB335E"/>
    <w:rPr>
      <w:sz w:val="20"/>
    </w:rPr>
  </w:style>
  <w:style w:type="character" w:customStyle="1" w:styleId="CommentTextChar">
    <w:name w:val="Comment Text Char"/>
    <w:basedOn w:val="DefaultParagraphFont"/>
    <w:link w:val="CommentText"/>
    <w:uiPriority w:val="99"/>
    <w:semiHidden/>
    <w:rsid w:val="00CB335E"/>
    <w:rPr>
      <w:rFonts w:ascii="Arial" w:hAnsi="Arial"/>
    </w:rPr>
  </w:style>
  <w:style w:type="paragraph" w:styleId="CommentSubject">
    <w:name w:val="annotation subject"/>
    <w:basedOn w:val="CommentText"/>
    <w:next w:val="CommentText"/>
    <w:link w:val="CommentSubjectChar"/>
    <w:uiPriority w:val="99"/>
    <w:semiHidden/>
    <w:unhideWhenUsed/>
    <w:rsid w:val="00CB335E"/>
    <w:rPr>
      <w:b/>
      <w:bCs/>
    </w:rPr>
  </w:style>
  <w:style w:type="character" w:customStyle="1" w:styleId="CommentSubjectChar">
    <w:name w:val="Comment Subject Char"/>
    <w:basedOn w:val="CommentTextChar"/>
    <w:link w:val="CommentSubject"/>
    <w:uiPriority w:val="99"/>
    <w:semiHidden/>
    <w:rsid w:val="00CB335E"/>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www.nist.gov/sr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rminfo@nsit.gov"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tl.nist.gov/div898/software/dataplo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physics.nist.gov/Pubs/" TargetMode="External"/><Relationship Id="rId4" Type="http://schemas.openxmlformats.org/officeDocument/2006/relationships/settings" Target="settings.xml"/><Relationship Id="rId9" Type="http://schemas.openxmlformats.org/officeDocument/2006/relationships/oleObject" Target="embeddings/Microsoft_Office_Word_97_-_2003_Document1.doc"/><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EFAC45-B0EF-4119-A7D5-1893EBE3C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779</Words>
  <Characters>4708</Characters>
  <Application>Microsoft Office Word</Application>
  <DocSecurity>0</DocSecurity>
  <Lines>156</Lines>
  <Paragraphs>130</Paragraphs>
  <ScaleCrop>false</ScaleCrop>
  <HeadingPairs>
    <vt:vector size="2" baseType="variant">
      <vt:variant>
        <vt:lpstr>Title</vt:lpstr>
      </vt:variant>
      <vt:variant>
        <vt:i4>1</vt:i4>
      </vt:variant>
    </vt:vector>
  </HeadingPairs>
  <TitlesOfParts>
    <vt:vector size="1" baseType="lpstr">
      <vt:lpstr>Certificate of Analysis</vt:lpstr>
    </vt:vector>
  </TitlesOfParts>
  <Company>NIST</Company>
  <LinksUpToDate>false</LinksUpToDate>
  <CharactersWithSpaces>5357</CharactersWithSpaces>
  <SharedDoc>false</SharedDoc>
  <HLinks>
    <vt:vector size="6" baseType="variant">
      <vt:variant>
        <vt:i4>1245202</vt:i4>
      </vt:variant>
      <vt:variant>
        <vt:i4>0</vt:i4>
      </vt:variant>
      <vt:variant>
        <vt:i4>0</vt:i4>
      </vt:variant>
      <vt:variant>
        <vt:i4>5</vt:i4>
      </vt:variant>
      <vt:variant>
        <vt:lpwstr>http://www.itl.nist.gov/div898/software/dataplot/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Certificate of Analysis</dc:title>
  <dc:creator>Dennis Minor</dc:creator>
  <cp:lastModifiedBy>Jennifer Benkstein</cp:lastModifiedBy>
  <cp:revision>5</cp:revision>
  <cp:lastPrinted>2002-07-08T20:02:00Z</cp:lastPrinted>
  <dcterms:created xsi:type="dcterms:W3CDTF">2011-12-22T05:31:00Z</dcterms:created>
  <dcterms:modified xsi:type="dcterms:W3CDTF">2011-12-30T16:09:00Z</dcterms:modified>
</cp:coreProperties>
</file>