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5CC" w:rsidRDefault="00EE2324">
      <w:pPr>
        <w:pStyle w:val="Title"/>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20.55pt;width:96pt;height:63.75pt;z-index:-251658752" o:allowincell="f" fillcolor="window">
            <v:imagedata r:id="rId8" o:title=""/>
          </v:shape>
          <o:OLEObject Type="Embed" ProgID="Word.Document.8" ShapeID="_x0000_s1026" DrawAspect="Content" ObjectID="_1397386190" r:id="rId9">
            <o:FieldCodes>\s</o:FieldCodes>
          </o:OLEObject>
        </w:pict>
      </w:r>
      <w:r w:rsidR="00DF35CC">
        <w:rPr>
          <w:rFonts w:ascii="Linotext" w:hAnsi="Linotext"/>
        </w:rPr>
        <w:t>National Institute of Standards &amp; Technology</w:t>
      </w:r>
    </w:p>
    <w:p w:rsidR="00DF35CC" w:rsidRPr="00857CE8" w:rsidRDefault="00DF35CC">
      <w:pPr>
        <w:pStyle w:val="Subtitle"/>
        <w:rPr>
          <w:rFonts w:ascii="Linotext" w:hAnsi="Linotext"/>
          <w:sz w:val="20"/>
        </w:rPr>
      </w:pPr>
    </w:p>
    <w:p w:rsidR="00DF35CC" w:rsidRPr="00857CE8" w:rsidRDefault="00DF35CC">
      <w:pPr>
        <w:pStyle w:val="Subtitle"/>
        <w:rPr>
          <w:rFonts w:ascii="Linotext" w:hAnsi="Linotext"/>
          <w:szCs w:val="60"/>
        </w:rPr>
      </w:pPr>
      <w:r w:rsidRPr="00857CE8">
        <w:rPr>
          <w:rFonts w:ascii="Linotext" w:hAnsi="Linotext"/>
          <w:szCs w:val="60"/>
        </w:rPr>
        <w:t>Certificate of Analysis</w:t>
      </w:r>
    </w:p>
    <w:p w:rsidR="00DF35CC" w:rsidRDefault="00DF35CC">
      <w:pPr>
        <w:widowControl w:val="0"/>
        <w:jc w:val="center"/>
      </w:pPr>
    </w:p>
    <w:p w:rsidR="00DF35CC" w:rsidRDefault="00DF35CC">
      <w:pPr>
        <w:widowControl w:val="0"/>
        <w:jc w:val="center"/>
        <w:rPr>
          <w:sz w:val="24"/>
        </w:rPr>
      </w:pPr>
      <w:r>
        <w:rPr>
          <w:sz w:val="36"/>
        </w:rPr>
        <w:t>Standard Reference Material</w:t>
      </w:r>
      <w:r w:rsidR="00857CE8">
        <w:rPr>
          <w:sz w:val="36"/>
          <w:vertAlign w:val="superscript"/>
        </w:rPr>
        <w:t>®</w:t>
      </w:r>
      <w:r w:rsidR="00857CE8">
        <w:rPr>
          <w:sz w:val="36"/>
        </w:rPr>
        <w:t> </w:t>
      </w:r>
      <w:r w:rsidR="009255FD">
        <w:rPr>
          <w:sz w:val="36"/>
        </w:rPr>
        <w:t>61</w:t>
      </w:r>
      <w:r w:rsidR="00F62E87">
        <w:rPr>
          <w:sz w:val="36"/>
        </w:rPr>
        <w:t>5</w:t>
      </w:r>
    </w:p>
    <w:p w:rsidR="00DF35CC" w:rsidRDefault="00DF35CC">
      <w:pPr>
        <w:widowControl w:val="0"/>
        <w:jc w:val="center"/>
      </w:pPr>
    </w:p>
    <w:p w:rsidR="00DF35CC" w:rsidRDefault="000062F7">
      <w:pPr>
        <w:jc w:val="center"/>
        <w:rPr>
          <w:sz w:val="28"/>
        </w:rPr>
      </w:pPr>
      <w:r>
        <w:rPr>
          <w:sz w:val="28"/>
        </w:rPr>
        <w:t>Trace Elements in Glass</w:t>
      </w:r>
    </w:p>
    <w:p w:rsidR="00A24D97" w:rsidRDefault="00A24D97">
      <w:pPr>
        <w:pStyle w:val="BodyText"/>
      </w:pPr>
    </w:p>
    <w:p w:rsidR="00DF35CC" w:rsidRDefault="00DF35CC">
      <w:pPr>
        <w:pStyle w:val="BodyText"/>
      </w:pPr>
      <w:r>
        <w:t xml:space="preserve">This Standard Reference </w:t>
      </w:r>
      <w:r w:rsidR="00857CE8">
        <w:t>Material </w:t>
      </w:r>
      <w:r>
        <w:t xml:space="preserve">(SRM) </w:t>
      </w:r>
      <w:r w:rsidR="008F1C80">
        <w:t>is intended</w:t>
      </w:r>
      <w:r w:rsidR="000062F7">
        <w:t xml:space="preserve"> to facilitate development of chemical methods of analysis for trace elements</w:t>
      </w:r>
      <w:r w:rsidR="008F1C80">
        <w:t xml:space="preserve"> in glass</w:t>
      </w:r>
      <w:r w:rsidR="000062F7">
        <w:t xml:space="preserve">.  The nominal mass fractions of </w:t>
      </w:r>
      <w:r w:rsidR="00857CE8">
        <w:t>61 </w:t>
      </w:r>
      <w:r w:rsidR="000062F7">
        <w:t>elements added to the glass</w:t>
      </w:r>
      <w:r w:rsidR="009255FD">
        <w:t xml:space="preserve"> matrix are in the range of </w:t>
      </w:r>
      <w:r w:rsidR="0050479B">
        <w:t>0</w:t>
      </w:r>
      <w:r w:rsidR="009255FD">
        <w:t>.5</w:t>
      </w:r>
      <w:r w:rsidR="0050479B">
        <w:t> </w:t>
      </w:r>
      <w:r w:rsidR="000062F7">
        <w:t xml:space="preserve">mg/kg to </w:t>
      </w:r>
      <w:r w:rsidR="008F1C80">
        <w:t>50 </w:t>
      </w:r>
      <w:r w:rsidR="000062F7">
        <w:t xml:space="preserve">mg/kg.  A unit of </w:t>
      </w:r>
      <w:r w:rsidR="00857CE8">
        <w:t>SRM </w:t>
      </w:r>
      <w:r w:rsidR="00F62E87">
        <w:t>615</w:t>
      </w:r>
      <w:r w:rsidR="000062F7">
        <w:t xml:space="preserve"> consists of </w:t>
      </w:r>
      <w:r w:rsidR="002B2363">
        <w:t>four</w:t>
      </w:r>
      <w:r w:rsidR="00857CE8">
        <w:t> </w:t>
      </w:r>
      <w:r w:rsidR="000062F7">
        <w:t>wafers</w:t>
      </w:r>
      <w:r w:rsidR="007C366C">
        <w:t>,</w:t>
      </w:r>
      <w:r w:rsidR="000062F7">
        <w:t xml:space="preserve"> sliced to </w:t>
      </w:r>
      <w:r w:rsidR="00857CE8">
        <w:t>1 </w:t>
      </w:r>
      <w:r w:rsidR="000062F7">
        <w:t>mm thickness from a hand</w:t>
      </w:r>
      <w:r w:rsidR="00857CE8">
        <w:noBreakHyphen/>
      </w:r>
      <w:proofErr w:type="spellStart"/>
      <w:r w:rsidR="000062F7">
        <w:t>pulled</w:t>
      </w:r>
      <w:proofErr w:type="spellEnd"/>
      <w:r w:rsidR="000062F7">
        <w:t xml:space="preserve"> rod.  The wafers are of oval to circular cross</w:t>
      </w:r>
      <w:r w:rsidR="00857CE8">
        <w:noBreakHyphen/>
      </w:r>
      <w:r w:rsidR="000062F7">
        <w:t xml:space="preserve">section with nominal diameter of </w:t>
      </w:r>
      <w:r w:rsidR="006F4385">
        <w:t>12 </w:t>
      </w:r>
      <w:r w:rsidR="000062F7">
        <w:t xml:space="preserve">mm to </w:t>
      </w:r>
      <w:r w:rsidR="00857CE8">
        <w:t>14 </w:t>
      </w:r>
      <w:r w:rsidR="000062F7">
        <w:t>mm.</w:t>
      </w:r>
    </w:p>
    <w:p w:rsidR="00DF35CC" w:rsidRDefault="00DF35CC">
      <w:pPr>
        <w:pStyle w:val="BodyText"/>
      </w:pPr>
    </w:p>
    <w:p w:rsidR="004725C6" w:rsidRDefault="00364E6D" w:rsidP="00364E6D">
      <w:pPr>
        <w:pStyle w:val="BodyText"/>
      </w:pPr>
      <w:r w:rsidRPr="00051629">
        <w:rPr>
          <w:b/>
        </w:rPr>
        <w:t xml:space="preserve">Certified </w:t>
      </w:r>
      <w:r w:rsidR="007929B4">
        <w:rPr>
          <w:b/>
        </w:rPr>
        <w:t xml:space="preserve">Mass Fraction </w:t>
      </w:r>
      <w:r w:rsidRPr="00051629">
        <w:rPr>
          <w:b/>
        </w:rPr>
        <w:t>Values:</w:t>
      </w:r>
      <w:r w:rsidRPr="00051629">
        <w:t xml:space="preserve">  </w:t>
      </w:r>
      <w:r w:rsidR="00127501" w:rsidRPr="00051629">
        <w:t xml:space="preserve">Certified values for </w:t>
      </w:r>
      <w:r w:rsidR="009255FD">
        <w:t>eight</w:t>
      </w:r>
      <w:r w:rsidR="00127501" w:rsidRPr="00051629">
        <w:t xml:space="preserve"> </w:t>
      </w:r>
      <w:r w:rsidR="00857CE8">
        <w:t>elements</w:t>
      </w:r>
      <w:r w:rsidR="00857CE8" w:rsidRPr="00051629">
        <w:t xml:space="preserve"> </w:t>
      </w:r>
      <w:r w:rsidR="00127501">
        <w:t>of</w:t>
      </w:r>
      <w:r w:rsidR="00127501" w:rsidRPr="00051629">
        <w:t xml:space="preserve"> </w:t>
      </w:r>
      <w:r w:rsidR="00857CE8" w:rsidRPr="00051629">
        <w:t>SRM</w:t>
      </w:r>
      <w:r w:rsidR="00857CE8">
        <w:t> </w:t>
      </w:r>
      <w:r w:rsidR="00F62E87">
        <w:t>615</w:t>
      </w:r>
      <w:r w:rsidR="00127501" w:rsidRPr="00051629">
        <w:t xml:space="preserve"> are </w:t>
      </w:r>
      <w:r w:rsidR="00127501">
        <w:t>reported</w:t>
      </w:r>
      <w:r w:rsidR="00127501" w:rsidRPr="00051629">
        <w:t xml:space="preserve"> in </w:t>
      </w:r>
      <w:r w:rsidR="00857CE8" w:rsidRPr="00051629">
        <w:t>Table</w:t>
      </w:r>
      <w:r w:rsidR="00857CE8">
        <w:t> </w:t>
      </w:r>
      <w:r w:rsidR="00127501" w:rsidRPr="00051629">
        <w:t>1</w:t>
      </w:r>
      <w:r w:rsidR="004725C6">
        <w:t xml:space="preserve"> as mass </w:t>
      </w:r>
      <w:r w:rsidR="00857CE8">
        <w:t>fractions </w:t>
      </w:r>
      <w:r w:rsidR="004725C6">
        <w:t xml:space="preserve">[1]. </w:t>
      </w:r>
      <w:r w:rsidR="00127501" w:rsidRPr="00051629">
        <w:t xml:space="preserve"> </w:t>
      </w:r>
      <w:r w:rsidR="00AE520E" w:rsidRPr="00AE520E">
        <w:t xml:space="preserve">A NIST certified value is a value for which NIST has the highest confidence in its accuracy in that all known or suspected sources of bias have been investigated or taken into </w:t>
      </w:r>
      <w:r w:rsidR="006F4385" w:rsidRPr="00AE520E">
        <w:t>account</w:t>
      </w:r>
      <w:r w:rsidR="006F4385">
        <w:t> </w:t>
      </w:r>
      <w:r w:rsidR="00E53589">
        <w:t>[2]</w:t>
      </w:r>
      <w:r w:rsidR="00C52CB5">
        <w:t>.</w:t>
      </w:r>
    </w:p>
    <w:p w:rsidR="00364E6D" w:rsidRDefault="00364E6D" w:rsidP="00364E6D">
      <w:pPr>
        <w:pStyle w:val="BodyText"/>
      </w:pPr>
    </w:p>
    <w:p w:rsidR="00364E6D" w:rsidRPr="00857CE8" w:rsidRDefault="00364E6D" w:rsidP="00364E6D">
      <w:pPr>
        <w:pStyle w:val="BodyText"/>
        <w:rPr>
          <w:kern w:val="2"/>
        </w:rPr>
      </w:pPr>
      <w:r>
        <w:rPr>
          <w:b/>
          <w:bCs/>
        </w:rPr>
        <w:t>Reference Values:</w:t>
      </w:r>
      <w:r>
        <w:t xml:space="preserve">  </w:t>
      </w:r>
      <w:r w:rsidR="007D7B8C">
        <w:t>R</w:t>
      </w:r>
      <w:r w:rsidR="00127501">
        <w:t>eference</w:t>
      </w:r>
      <w:r w:rsidR="00D8746B">
        <w:t xml:space="preserve"> value</w:t>
      </w:r>
      <w:r w:rsidR="007D7B8C">
        <w:t>s</w:t>
      </w:r>
      <w:r w:rsidR="00D8746B">
        <w:t xml:space="preserve"> for </w:t>
      </w:r>
      <w:r w:rsidR="00857CE8">
        <w:t>eight elements</w:t>
      </w:r>
      <w:r w:rsidR="006A133F" w:rsidRPr="006A133F">
        <w:t xml:space="preserve"> </w:t>
      </w:r>
      <w:r w:rsidR="006A133F">
        <w:t xml:space="preserve">are reported in </w:t>
      </w:r>
      <w:r w:rsidR="006F4385">
        <w:t>Table </w:t>
      </w:r>
      <w:r w:rsidR="006A133F">
        <w:t xml:space="preserve">2 as mass </w:t>
      </w:r>
      <w:r w:rsidR="006F4385">
        <w:t>fractions </w:t>
      </w:r>
      <w:r w:rsidR="00274D75">
        <w:t>[1]</w:t>
      </w:r>
      <w:r w:rsidR="006A133F">
        <w:t xml:space="preserve">.  </w:t>
      </w:r>
      <w:r w:rsidR="00857CE8">
        <w:t>The normalized isotope atom ratio for strontium is also reported</w:t>
      </w:r>
      <w:r w:rsidR="00127501">
        <w:t xml:space="preserve">.  </w:t>
      </w:r>
      <w:proofErr w:type="gramStart"/>
      <w:r w:rsidR="00857CE8">
        <w:t>Reference values are non</w:t>
      </w:r>
      <w:r w:rsidR="00857CE8">
        <w:noBreakHyphen/>
      </w:r>
      <w:proofErr w:type="spellStart"/>
      <w:r w:rsidR="00857CE8">
        <w:t>certified</w:t>
      </w:r>
      <w:proofErr w:type="spellEnd"/>
      <w:r w:rsidR="00857CE8">
        <w:t xml:space="preserve"> values that are </w:t>
      </w:r>
      <w:r w:rsidR="00857CE8">
        <w:rPr>
          <w:kern w:val="2"/>
        </w:rPr>
        <w:t>the best estimate</w:t>
      </w:r>
      <w:r w:rsidR="00BE5DB7">
        <w:rPr>
          <w:kern w:val="2"/>
        </w:rPr>
        <w:t>s</w:t>
      </w:r>
      <w:r w:rsidR="00857CE8">
        <w:rPr>
          <w:kern w:val="2"/>
        </w:rPr>
        <w:t xml:space="preserve"> of the true values based on available data; however, the values do not meet the NIST criteria for certification [2] and are provided with associated uncertainties that may reflect only measurement reproducibility, may not include all sources of uncertainty, or may reflect a lack of sufficient statistical agreement among multiple analytical methods.</w:t>
      </w:r>
      <w:proofErr w:type="gramEnd"/>
    </w:p>
    <w:p w:rsidR="00364E6D" w:rsidRPr="00364E6D" w:rsidRDefault="00364E6D" w:rsidP="00364E6D">
      <w:pPr>
        <w:pStyle w:val="BodyText"/>
      </w:pPr>
    </w:p>
    <w:p w:rsidR="00364E6D" w:rsidRPr="00364E6D" w:rsidRDefault="00364E6D" w:rsidP="00364E6D">
      <w:pPr>
        <w:pStyle w:val="HTMLBody"/>
        <w:jc w:val="both"/>
        <w:rPr>
          <w:rFonts w:ascii="Times New Roman" w:hAnsi="Times New Roman"/>
        </w:rPr>
      </w:pPr>
      <w:r w:rsidRPr="00364E6D">
        <w:rPr>
          <w:rFonts w:ascii="Times New Roman" w:hAnsi="Times New Roman"/>
          <w:b/>
        </w:rPr>
        <w:t>Information Values</w:t>
      </w:r>
      <w:r w:rsidRPr="00127501">
        <w:rPr>
          <w:rFonts w:ascii="Times New Roman" w:hAnsi="Times New Roman"/>
          <w:b/>
        </w:rPr>
        <w:t>:</w:t>
      </w:r>
      <w:r w:rsidRPr="00127501">
        <w:rPr>
          <w:rFonts w:ascii="Times New Roman" w:hAnsi="Times New Roman"/>
        </w:rPr>
        <w:t xml:space="preserve">  </w:t>
      </w:r>
      <w:r w:rsidR="00F032C7">
        <w:rPr>
          <w:rFonts w:ascii="Times New Roman" w:hAnsi="Times New Roman"/>
        </w:rPr>
        <w:t xml:space="preserve">Information values for </w:t>
      </w:r>
      <w:r w:rsidR="009255FD">
        <w:rPr>
          <w:rFonts w:ascii="Times New Roman" w:hAnsi="Times New Roman"/>
        </w:rPr>
        <w:t>five</w:t>
      </w:r>
      <w:r w:rsidR="00127501" w:rsidRPr="00127501">
        <w:rPr>
          <w:rFonts w:ascii="Times New Roman" w:hAnsi="Times New Roman"/>
        </w:rPr>
        <w:t xml:space="preserve"> </w:t>
      </w:r>
      <w:r w:rsidR="00857CE8">
        <w:rPr>
          <w:rFonts w:ascii="Times New Roman" w:hAnsi="Times New Roman"/>
        </w:rPr>
        <w:t>element</w:t>
      </w:r>
      <w:r w:rsidR="00857CE8" w:rsidRPr="00127501">
        <w:rPr>
          <w:rFonts w:ascii="Times New Roman" w:hAnsi="Times New Roman"/>
        </w:rPr>
        <w:t xml:space="preserve">s </w:t>
      </w:r>
      <w:r w:rsidR="00264E77">
        <w:rPr>
          <w:rFonts w:ascii="Times New Roman" w:hAnsi="Times New Roman"/>
        </w:rPr>
        <w:t>are</w:t>
      </w:r>
      <w:r w:rsidR="00127501" w:rsidRPr="00127501">
        <w:rPr>
          <w:rFonts w:ascii="Times New Roman" w:hAnsi="Times New Roman"/>
        </w:rPr>
        <w:t xml:space="preserve"> reported in </w:t>
      </w:r>
      <w:r w:rsidR="00857CE8" w:rsidRPr="00127501">
        <w:rPr>
          <w:rFonts w:ascii="Times New Roman" w:hAnsi="Times New Roman"/>
        </w:rPr>
        <w:t>Table</w:t>
      </w:r>
      <w:r w:rsidR="00857CE8">
        <w:rPr>
          <w:rFonts w:ascii="Times New Roman" w:hAnsi="Times New Roman"/>
        </w:rPr>
        <w:t> </w:t>
      </w:r>
      <w:r w:rsidR="00127501" w:rsidRPr="00127501">
        <w:rPr>
          <w:rFonts w:ascii="Times New Roman" w:hAnsi="Times New Roman"/>
        </w:rPr>
        <w:t>3</w:t>
      </w:r>
      <w:r w:rsidR="006A133F">
        <w:rPr>
          <w:rFonts w:ascii="Times New Roman" w:hAnsi="Times New Roman"/>
        </w:rPr>
        <w:t xml:space="preserve"> as mass fractions</w:t>
      </w:r>
      <w:r w:rsidR="00127501" w:rsidRPr="00127501">
        <w:rPr>
          <w:rFonts w:ascii="Times New Roman" w:hAnsi="Times New Roman"/>
        </w:rPr>
        <w:t xml:space="preserve">.  </w:t>
      </w:r>
      <w:r w:rsidR="006A133F" w:rsidRPr="006A133F">
        <w:rPr>
          <w:rFonts w:ascii="Times New Roman" w:hAnsi="Times New Roman"/>
        </w:rPr>
        <w:t>Also reported is the atom fraction of uranium</w:t>
      </w:r>
      <w:r w:rsidR="00857CE8">
        <w:rPr>
          <w:rFonts w:ascii="Times New Roman" w:hAnsi="Times New Roman"/>
        </w:rPr>
        <w:noBreakHyphen/>
      </w:r>
      <w:r w:rsidR="006A133F" w:rsidRPr="006A133F">
        <w:rPr>
          <w:rFonts w:ascii="Times New Roman" w:hAnsi="Times New Roman"/>
        </w:rPr>
        <w:t>235.</w:t>
      </w:r>
      <w:r w:rsidR="006A133F">
        <w:rPr>
          <w:rFonts w:ascii="Times New Roman" w:hAnsi="Times New Roman"/>
        </w:rPr>
        <w:t xml:space="preserve">  </w:t>
      </w:r>
      <w:r w:rsidRPr="00127501">
        <w:rPr>
          <w:rFonts w:ascii="Times New Roman" w:hAnsi="Times New Roman"/>
        </w:rPr>
        <w:t>An</w:t>
      </w:r>
      <w:r w:rsidRPr="00364E6D">
        <w:rPr>
          <w:rFonts w:ascii="Times New Roman" w:hAnsi="Times New Roman"/>
        </w:rPr>
        <w:t xml:space="preserve"> information value is considered a value that will be of interest to the SRM user, but insufficient information is available to assess the uncertainty associated with the </w:t>
      </w:r>
      <w:r w:rsidR="00857CE8" w:rsidRPr="00364E6D">
        <w:rPr>
          <w:rFonts w:ascii="Times New Roman" w:hAnsi="Times New Roman"/>
        </w:rPr>
        <w:t>value</w:t>
      </w:r>
      <w:r w:rsidR="00857CE8">
        <w:rPr>
          <w:rFonts w:ascii="Times New Roman" w:hAnsi="Times New Roman"/>
        </w:rPr>
        <w:t> </w:t>
      </w:r>
      <w:r w:rsidR="00C32DC1">
        <w:rPr>
          <w:rFonts w:ascii="Times New Roman" w:hAnsi="Times New Roman"/>
        </w:rPr>
        <w:t>[2]</w:t>
      </w:r>
      <w:r w:rsidRPr="00364E6D">
        <w:rPr>
          <w:rFonts w:ascii="Times New Roman" w:hAnsi="Times New Roman"/>
        </w:rPr>
        <w:t>.</w:t>
      </w:r>
    </w:p>
    <w:p w:rsidR="00364E6D" w:rsidRDefault="00364E6D" w:rsidP="00364E6D">
      <w:pPr>
        <w:pStyle w:val="HTMLBody"/>
        <w:jc w:val="both"/>
        <w:rPr>
          <w:rFonts w:ascii="Times New Roman" w:hAnsi="Times New Roman"/>
        </w:rPr>
      </w:pPr>
    </w:p>
    <w:p w:rsidR="00857CE8" w:rsidRPr="00AE520E" w:rsidRDefault="00C32DC1" w:rsidP="00857CE8">
      <w:pPr>
        <w:pStyle w:val="BodyText"/>
      </w:pPr>
      <w:r>
        <w:rPr>
          <w:b/>
        </w:rPr>
        <w:t>Expiration of Certification:</w:t>
      </w:r>
      <w:r>
        <w:t xml:space="preserve"> </w:t>
      </w:r>
      <w:r w:rsidR="003D6298">
        <w:t xml:space="preserve"> </w:t>
      </w:r>
      <w:r w:rsidR="00AE520E" w:rsidRPr="00AE520E">
        <w:t xml:space="preserve">The certification of </w:t>
      </w:r>
      <w:r w:rsidR="00857CE8" w:rsidRPr="00AE520E">
        <w:rPr>
          <w:b/>
        </w:rPr>
        <w:t>SRM</w:t>
      </w:r>
      <w:r w:rsidR="00857CE8">
        <w:rPr>
          <w:b/>
        </w:rPr>
        <w:t> </w:t>
      </w:r>
      <w:r w:rsidR="009255FD">
        <w:rPr>
          <w:b/>
        </w:rPr>
        <w:t>61</w:t>
      </w:r>
      <w:r w:rsidR="00F62E87">
        <w:rPr>
          <w:b/>
        </w:rPr>
        <w:t>5</w:t>
      </w:r>
      <w:r w:rsidR="00857CE8" w:rsidRPr="00AE520E">
        <w:t xml:space="preserve"> is valid indefinitely, within the measurement uncertainties specified, provided the </w:t>
      </w:r>
      <w:smartTag w:uri="urn:schemas-microsoft-com:office:smarttags" w:element="stockticker">
        <w:r w:rsidR="00857CE8" w:rsidRPr="00AE520E">
          <w:t>SRM</w:t>
        </w:r>
      </w:smartTag>
      <w:r w:rsidR="00857CE8" w:rsidRPr="00AE520E">
        <w:t xml:space="preserve"> is handled and stored in accordance with the instructions given in this certificate (see </w:t>
      </w:r>
      <w:r w:rsidR="00857CE8">
        <w:t>“</w:t>
      </w:r>
      <w:r w:rsidR="00857CE8" w:rsidRPr="00AE520E">
        <w:t xml:space="preserve">Instructions for </w:t>
      </w:r>
      <w:r w:rsidR="00857CE8">
        <w:t xml:space="preserve">Handling, Storage, and </w:t>
      </w:r>
      <w:r w:rsidR="00857CE8" w:rsidRPr="00AE520E">
        <w:t>Use</w:t>
      </w:r>
      <w:r w:rsidR="00857CE8">
        <w:t>”</w:t>
      </w:r>
      <w:r w:rsidR="00857CE8" w:rsidRPr="00AE520E">
        <w:t>).</w:t>
      </w:r>
      <w:r w:rsidR="007C366C" w:rsidRPr="00AE520E">
        <w:t xml:space="preserve"> </w:t>
      </w:r>
      <w:r w:rsidR="007C366C" w:rsidRPr="005A3EE5">
        <w:t xml:space="preserve"> </w:t>
      </w:r>
      <w:r w:rsidR="007C366C">
        <w:t>Accordingly, p</w:t>
      </w:r>
      <w:r w:rsidR="007C366C" w:rsidRPr="00F26CC1">
        <w:t>eriodic recalibration or recertification of this SRM is not required.</w:t>
      </w:r>
      <w:r w:rsidR="00857CE8" w:rsidRPr="00AE520E">
        <w:t xml:space="preserve">  </w:t>
      </w:r>
      <w:r w:rsidR="00857CE8">
        <w:t>T</w:t>
      </w:r>
      <w:r w:rsidR="00857CE8" w:rsidRPr="00AE520E">
        <w:t xml:space="preserve">he certification is nullified if the </w:t>
      </w:r>
      <w:smartTag w:uri="urn:schemas-microsoft-com:office:smarttags" w:element="stockticker">
        <w:r w:rsidR="00857CE8" w:rsidRPr="00AE520E">
          <w:t>SRM</w:t>
        </w:r>
      </w:smartTag>
      <w:r w:rsidR="00857CE8" w:rsidRPr="00AE520E">
        <w:t xml:space="preserve"> is damaged, contaminated</w:t>
      </w:r>
      <w:r w:rsidR="00857CE8">
        <w:t>,</w:t>
      </w:r>
      <w:r w:rsidR="00857CE8" w:rsidRPr="00AE520E">
        <w:t xml:space="preserve"> or otherwise modified.</w:t>
      </w:r>
    </w:p>
    <w:p w:rsidR="00857CE8" w:rsidRPr="00364E6D" w:rsidRDefault="00857CE8" w:rsidP="00857CE8">
      <w:pPr>
        <w:pStyle w:val="HTMLBody"/>
        <w:jc w:val="both"/>
        <w:rPr>
          <w:rFonts w:ascii="Times New Roman" w:hAnsi="Times New Roman"/>
        </w:rPr>
      </w:pPr>
    </w:p>
    <w:p w:rsidR="00857CE8" w:rsidRPr="008A4682" w:rsidRDefault="00857CE8" w:rsidP="00857CE8">
      <w:pPr>
        <w:pStyle w:val="BodyText"/>
        <w:rPr>
          <w:b/>
        </w:rPr>
      </w:pPr>
      <w:r w:rsidRPr="008A4682">
        <w:rPr>
          <w:b/>
        </w:rPr>
        <w:t xml:space="preserve">Maintenance of </w:t>
      </w:r>
      <w:smartTag w:uri="urn:schemas-microsoft-com:office:smarttags" w:element="stockticker">
        <w:r w:rsidRPr="008A4682">
          <w:rPr>
            <w:b/>
          </w:rPr>
          <w:t>SRM</w:t>
        </w:r>
      </w:smartTag>
      <w:r w:rsidRPr="008A4682">
        <w:rPr>
          <w:b/>
        </w:rPr>
        <w:t xml:space="preserve"> Certification:  </w:t>
      </w:r>
      <w:r w:rsidRPr="008A4682">
        <w:t>NIST will monitor this material over the period of its certification.  If substantive technical changes occur that affect the certification, NIST will notify the purchaser.</w:t>
      </w:r>
      <w:r>
        <w:t xml:space="preserve"> </w:t>
      </w:r>
      <w:r w:rsidRPr="008A4682">
        <w:t xml:space="preserve"> Registration</w:t>
      </w:r>
      <w:r>
        <w:t xml:space="preserve"> </w:t>
      </w:r>
      <w:r w:rsidRPr="008A4682">
        <w:t>(see</w:t>
      </w:r>
      <w:r>
        <w:t xml:space="preserve"> </w:t>
      </w:r>
      <w:r w:rsidRPr="008A4682">
        <w:t>attached sheet) will facilitate notification.</w:t>
      </w:r>
    </w:p>
    <w:p w:rsidR="00857CE8" w:rsidRDefault="00857CE8" w:rsidP="00857CE8">
      <w:pPr>
        <w:pStyle w:val="BodyText"/>
      </w:pPr>
    </w:p>
    <w:p w:rsidR="00857CE8" w:rsidRDefault="00857CE8" w:rsidP="00857CE8">
      <w:pPr>
        <w:pStyle w:val="BodyText"/>
      </w:pPr>
      <w:r w:rsidRPr="00934D0C">
        <w:t xml:space="preserve">Coordination of technical measurements for certification of </w:t>
      </w:r>
      <w:smartTag w:uri="urn:schemas-microsoft-com:office:smarttags" w:element="stockticker">
        <w:r w:rsidRPr="00934D0C">
          <w:t>SRM</w:t>
        </w:r>
        <w:r>
          <w:t> </w:t>
        </w:r>
      </w:smartTag>
      <w:r>
        <w:t>615</w:t>
      </w:r>
      <w:r w:rsidRPr="00934D0C">
        <w:t xml:space="preserve"> was performed by </w:t>
      </w:r>
      <w:r>
        <w:t xml:space="preserve">W.R. Shields of what is now the NIST </w:t>
      </w:r>
      <w:r w:rsidR="00295C81">
        <w:t>Analytical Chemistry</w:t>
      </w:r>
      <w:r>
        <w:t xml:space="preserve"> Division.  </w:t>
      </w:r>
      <w:r w:rsidRPr="00A82A8D">
        <w:t>Coordination of technical measurements for updates of values was performed by W.C. Davis and J.R. Sieber of the NIST Analytical Chemistry Division.</w:t>
      </w:r>
    </w:p>
    <w:p w:rsidR="00857CE8" w:rsidRPr="00D42DB3" w:rsidRDefault="00857CE8" w:rsidP="00857CE8">
      <w:pPr>
        <w:pStyle w:val="BodyText"/>
      </w:pPr>
    </w:p>
    <w:p w:rsidR="00857CE8" w:rsidRDefault="00857CE8" w:rsidP="00857CE8">
      <w:pPr>
        <w:pStyle w:val="BodyText"/>
        <w:widowControl/>
      </w:pPr>
      <w:r w:rsidRPr="00A82A8D">
        <w:t>Analyses for the original characterization were performed by R.W. Burke, T.E. Gills, E.J. Maienthal, L.W. Masters, T.C. Rains, and B.A. Thompson of what is now the NIST Analytical Chemistry Division.</w:t>
      </w:r>
      <w:r>
        <w:t xml:space="preserve">  Analyses for the initial update of values were performed by E.L. Garner, J.W. Gramlich, L.A. Machlan, J.R. Moody, L.J. Moore, T.J. Murphy, P.J. Paulsen, and K.M. Sappenfield </w:t>
      </w:r>
      <w:r w:rsidRPr="00A82A8D">
        <w:t>of what is now</w:t>
      </w:r>
      <w:r>
        <w:t xml:space="preserve"> the </w:t>
      </w:r>
      <w:r w:rsidRPr="00934D0C">
        <w:t>NIST Analytical Chemistry Division</w:t>
      </w:r>
      <w:r>
        <w:t xml:space="preserve">.  Analyses for the current update of values were performed by W.C. Davis and J.R. Sieber of the </w:t>
      </w:r>
      <w:r w:rsidRPr="00934D0C">
        <w:t>NIST Analytical Chemistry Division</w:t>
      </w:r>
      <w:r>
        <w:t>.</w:t>
      </w:r>
    </w:p>
    <w:p w:rsidR="00857CE8" w:rsidRDefault="00857CE8" w:rsidP="00857CE8">
      <w:pPr>
        <w:pStyle w:val="BodyText"/>
        <w:widowControl/>
      </w:pPr>
    </w:p>
    <w:p w:rsidR="00D2380E" w:rsidRDefault="00D2380E" w:rsidP="00857CE8">
      <w:pPr>
        <w:pStyle w:val="BodyText"/>
      </w:pPr>
    </w:p>
    <w:p w:rsidR="00857CE8" w:rsidRDefault="00857CE8" w:rsidP="00857CE8">
      <w:pPr>
        <w:pStyle w:val="BodyText"/>
      </w:pPr>
    </w:p>
    <w:p w:rsidR="00857CE8" w:rsidRDefault="00857CE8" w:rsidP="00857CE8">
      <w:pPr>
        <w:pStyle w:val="BodyText"/>
        <w:tabs>
          <w:tab w:val="right" w:pos="9360"/>
        </w:tabs>
      </w:pPr>
      <w:r>
        <w:tab/>
        <w:t>Stephen A. Wise, Chief</w:t>
      </w:r>
    </w:p>
    <w:p w:rsidR="00857CE8" w:rsidRDefault="00857CE8" w:rsidP="00857CE8">
      <w:pPr>
        <w:pStyle w:val="BodyText"/>
        <w:tabs>
          <w:tab w:val="right" w:pos="9360"/>
        </w:tabs>
      </w:pPr>
      <w:r>
        <w:tab/>
        <w:t>Analytical Chemistry Division</w:t>
      </w:r>
    </w:p>
    <w:p w:rsidR="00857CE8" w:rsidRPr="009E06AF" w:rsidRDefault="00857CE8" w:rsidP="00857CE8">
      <w:pPr>
        <w:pStyle w:val="BodyText"/>
        <w:tabs>
          <w:tab w:val="right" w:pos="9360"/>
        </w:tabs>
      </w:pPr>
    </w:p>
    <w:p w:rsidR="00857CE8" w:rsidRDefault="00857CE8" w:rsidP="00857CE8">
      <w:pPr>
        <w:pStyle w:val="BodyText"/>
        <w:tabs>
          <w:tab w:val="right" w:pos="9360"/>
        </w:tabs>
      </w:pPr>
      <w:r>
        <w:t>Gaithersburg, MD 20899</w:t>
      </w:r>
      <w:r>
        <w:tab/>
        <w:t>Robert L. Watters, Jr., Chief</w:t>
      </w:r>
    </w:p>
    <w:p w:rsidR="00857CE8" w:rsidRDefault="00857CE8" w:rsidP="00857CE8">
      <w:pPr>
        <w:pStyle w:val="BodyText"/>
        <w:tabs>
          <w:tab w:val="right" w:pos="9360"/>
        </w:tabs>
      </w:pPr>
      <w:r>
        <w:t xml:space="preserve">Certificate Issue Date:  </w:t>
      </w:r>
      <w:r w:rsidR="00610792">
        <w:t>06 </w:t>
      </w:r>
      <w:r w:rsidR="007C3EDD">
        <w:t>April</w:t>
      </w:r>
      <w:r w:rsidR="00D2380E">
        <w:t> </w:t>
      </w:r>
      <w:r>
        <w:t>2012</w:t>
      </w:r>
      <w:r>
        <w:tab/>
        <w:t>Measurement Services Division</w:t>
      </w:r>
    </w:p>
    <w:p w:rsidR="007C366C" w:rsidRDefault="00857CE8" w:rsidP="007C366C">
      <w:pPr>
        <w:jc w:val="both"/>
        <w:rPr>
          <w:i/>
          <w:sz w:val="16"/>
          <w:szCs w:val="16"/>
        </w:rPr>
      </w:pPr>
      <w:r w:rsidRPr="005F1B4D">
        <w:rPr>
          <w:i/>
          <w:sz w:val="16"/>
          <w:szCs w:val="16"/>
        </w:rPr>
        <w:t>Certificate Revision History on Last Page</w:t>
      </w:r>
    </w:p>
    <w:p w:rsidR="007C366C" w:rsidRDefault="00857CE8" w:rsidP="007C366C">
      <w:pPr>
        <w:jc w:val="both"/>
      </w:pPr>
      <w:r>
        <w:rPr>
          <w:b/>
        </w:rPr>
        <w:br w:type="page"/>
      </w:r>
      <w:r w:rsidR="00D2380E">
        <w:lastRenderedPageBreak/>
        <w:t>Analyses for the original characterization were performed by the following collaborating laboratories and analysts:  United States Geological Survey, Denver, CO, C. Hedge and M. Tatsumoto; Australian National University, Canberra, ACT, Australia, W. Compston; and University of Ghent, Ghent, Belgium, F. Bellemans.</w:t>
      </w:r>
    </w:p>
    <w:p w:rsidR="00D2380E" w:rsidRDefault="00D2380E" w:rsidP="007C366C">
      <w:pPr>
        <w:jc w:val="both"/>
      </w:pPr>
    </w:p>
    <w:p w:rsidR="00D2380E" w:rsidRDefault="00D2380E" w:rsidP="007C366C">
      <w:pPr>
        <w:jc w:val="both"/>
      </w:pPr>
      <w:r>
        <w:t>Statistical consultation for this SRM was provided by S.D. Leigh, A.L. Pintar, and A.M.</w:t>
      </w:r>
      <w:r w:rsidR="007C366C">
        <w:t> </w:t>
      </w:r>
      <w:r>
        <w:t>Possolo of the NIST Statistical Engineering Division.</w:t>
      </w:r>
    </w:p>
    <w:p w:rsidR="00330E03" w:rsidRDefault="00330E03" w:rsidP="00330E03">
      <w:pPr>
        <w:pStyle w:val="BodyText"/>
        <w:tabs>
          <w:tab w:val="right" w:pos="9360"/>
        </w:tabs>
      </w:pPr>
    </w:p>
    <w:p w:rsidR="00330E03" w:rsidRDefault="00330E03" w:rsidP="00330E03">
      <w:pPr>
        <w:pStyle w:val="BodyText"/>
        <w:tabs>
          <w:tab w:val="right" w:pos="9360"/>
        </w:tabs>
      </w:pPr>
      <w:r>
        <w:t>Support aspects involved in the issuance of this SRM were coordinated through the NIST Measurement Services Division.</w:t>
      </w:r>
    </w:p>
    <w:p w:rsidR="00857CE8" w:rsidRDefault="00857CE8" w:rsidP="00857CE8">
      <w:pPr>
        <w:pStyle w:val="BodyText"/>
      </w:pPr>
    </w:p>
    <w:p w:rsidR="00DF0D9A" w:rsidRDefault="00DF0D9A" w:rsidP="00857CE8">
      <w:pPr>
        <w:pStyle w:val="BodyText"/>
        <w:rPr>
          <w:b/>
        </w:rPr>
      </w:pPr>
      <w:r>
        <w:rPr>
          <w:b/>
        </w:rPr>
        <w:t xml:space="preserve">INSTRUCTIONS FOR </w:t>
      </w:r>
      <w:r w:rsidR="00857CE8">
        <w:rPr>
          <w:b/>
        </w:rPr>
        <w:t xml:space="preserve">HANDLING, STORAGE, AND </w:t>
      </w:r>
      <w:r>
        <w:rPr>
          <w:b/>
        </w:rPr>
        <w:t>USE</w:t>
      </w:r>
    </w:p>
    <w:p w:rsidR="007C366C" w:rsidRDefault="007C366C" w:rsidP="00857CE8">
      <w:pPr>
        <w:pStyle w:val="BodyText"/>
        <w:rPr>
          <w:bCs/>
        </w:rPr>
      </w:pPr>
    </w:p>
    <w:p w:rsidR="00857CE8" w:rsidRPr="006571E7" w:rsidRDefault="00857CE8" w:rsidP="00857CE8">
      <w:pPr>
        <w:pStyle w:val="BodyText"/>
        <w:rPr>
          <w:bCs/>
        </w:rPr>
      </w:pPr>
      <w:r w:rsidRPr="006571E7">
        <w:rPr>
          <w:bCs/>
        </w:rPr>
        <w:t xml:space="preserve">To relate analytical determinations to </w:t>
      </w:r>
      <w:r>
        <w:rPr>
          <w:bCs/>
        </w:rPr>
        <w:t>certified values</w:t>
      </w:r>
      <w:r w:rsidRPr="006571E7">
        <w:rPr>
          <w:bCs/>
        </w:rPr>
        <w:t>, a minimum sample quantity of 2</w:t>
      </w:r>
      <w:r>
        <w:rPr>
          <w:bCs/>
        </w:rPr>
        <w:t>5</w:t>
      </w:r>
      <w:r w:rsidRPr="006571E7">
        <w:rPr>
          <w:bCs/>
        </w:rPr>
        <w:t>0 mg is recommended</w:t>
      </w:r>
      <w:r>
        <w:rPr>
          <w:bCs/>
        </w:rPr>
        <w:t xml:space="preserve"> (see “Preparation and Analysis”)</w:t>
      </w:r>
      <w:r w:rsidRPr="006571E7">
        <w:rPr>
          <w:bCs/>
        </w:rPr>
        <w:t xml:space="preserve">.  </w:t>
      </w:r>
      <w:r>
        <w:rPr>
          <w:bCs/>
        </w:rPr>
        <w:t>Each wafer surface should be cleaned before use.  To prepare a wafer for analysis, wipe it clean with ethanol, then give it a mild surface cleaning (not etch) in dilute (1:10) HNO</w:t>
      </w:r>
      <w:r w:rsidRPr="00234EB4">
        <w:rPr>
          <w:bCs/>
          <w:vertAlign w:val="subscript"/>
        </w:rPr>
        <w:t>3</w:t>
      </w:r>
      <w:r>
        <w:rPr>
          <w:bCs/>
        </w:rPr>
        <w:t xml:space="preserve">.  The acid wash is recommended to remove potential copper contamination from cutting with a copper bonded diamond wheel.  </w:t>
      </w:r>
      <w:r w:rsidRPr="006571E7">
        <w:rPr>
          <w:bCs/>
        </w:rPr>
        <w:t xml:space="preserve">The material should be stored in its original </w:t>
      </w:r>
      <w:r>
        <w:rPr>
          <w:bCs/>
        </w:rPr>
        <w:t>container</w:t>
      </w:r>
      <w:r w:rsidRPr="006571E7">
        <w:rPr>
          <w:bCs/>
        </w:rPr>
        <w:t xml:space="preserve"> in a cool, dry location. </w:t>
      </w:r>
    </w:p>
    <w:p w:rsidR="00857CE8" w:rsidRDefault="00857CE8" w:rsidP="00857CE8">
      <w:pPr>
        <w:pStyle w:val="BodyText"/>
        <w:tabs>
          <w:tab w:val="left" w:pos="1800"/>
          <w:tab w:val="left" w:pos="4320"/>
          <w:tab w:val="left" w:pos="6120"/>
          <w:tab w:val="left" w:pos="8640"/>
        </w:tabs>
        <w:jc w:val="left"/>
      </w:pPr>
    </w:p>
    <w:p w:rsidR="006461CE" w:rsidRDefault="002B4924" w:rsidP="006461CE">
      <w:pPr>
        <w:pStyle w:val="BodyText"/>
      </w:pPr>
      <w:r>
        <w:rPr>
          <w:b/>
        </w:rPr>
        <w:t xml:space="preserve">Preparation and Analysis:  </w:t>
      </w:r>
      <w:r w:rsidR="00C52CB5">
        <w:t>S</w:t>
      </w:r>
      <w:r w:rsidR="006F608E">
        <w:t>ixty</w:t>
      </w:r>
      <w:r w:rsidR="00857CE8">
        <w:noBreakHyphen/>
      </w:r>
      <w:r w:rsidR="006F608E">
        <w:t>one</w:t>
      </w:r>
      <w:r w:rsidRPr="007D5952">
        <w:t xml:space="preserve"> trace elements were added to the glass support matrix</w:t>
      </w:r>
      <w:r>
        <w:t xml:space="preserve">, which has a nominal composition of </w:t>
      </w:r>
      <w:r w:rsidR="00857CE8">
        <w:t>72 </w:t>
      </w:r>
      <w:r>
        <w:t>% SiO</w:t>
      </w:r>
      <w:r w:rsidRPr="007D5952">
        <w:rPr>
          <w:vertAlign w:val="subscript"/>
        </w:rPr>
        <w:t>2</w:t>
      </w:r>
      <w:r>
        <w:t xml:space="preserve">, </w:t>
      </w:r>
      <w:r w:rsidR="00857CE8">
        <w:t>14 </w:t>
      </w:r>
      <w:r>
        <w:t>% Na</w:t>
      </w:r>
      <w:r w:rsidRPr="007D5952">
        <w:rPr>
          <w:vertAlign w:val="subscript"/>
        </w:rPr>
        <w:t>2</w:t>
      </w:r>
      <w:r>
        <w:t xml:space="preserve">O, </w:t>
      </w:r>
      <w:r w:rsidR="00857CE8">
        <w:t>12 </w:t>
      </w:r>
      <w:r>
        <w:t xml:space="preserve">% </w:t>
      </w:r>
      <w:proofErr w:type="spellStart"/>
      <w:r>
        <w:t>CaO</w:t>
      </w:r>
      <w:proofErr w:type="spellEnd"/>
      <w:r w:rsidR="00A306AA">
        <w:t>,</w:t>
      </w:r>
      <w:r>
        <w:t xml:space="preserve"> and </w:t>
      </w:r>
      <w:r w:rsidR="00857CE8">
        <w:t>2 </w:t>
      </w:r>
      <w:r>
        <w:t>% Al</w:t>
      </w:r>
      <w:r w:rsidRPr="007D5952">
        <w:rPr>
          <w:vertAlign w:val="subscript"/>
        </w:rPr>
        <w:t>2</w:t>
      </w:r>
      <w:r>
        <w:t>O</w:t>
      </w:r>
      <w:r w:rsidRPr="007D5952">
        <w:rPr>
          <w:vertAlign w:val="subscript"/>
        </w:rPr>
        <w:t>3</w:t>
      </w:r>
      <w:r w:rsidR="00C52CB5">
        <w:t xml:space="preserve"> (mass fractions)</w:t>
      </w:r>
      <w:r>
        <w:t xml:space="preserve">.  A list of </w:t>
      </w:r>
      <w:r w:rsidR="00857CE8">
        <w:t>40 </w:t>
      </w:r>
      <w:r>
        <w:t xml:space="preserve">elements </w:t>
      </w:r>
      <w:r w:rsidR="00C52CB5">
        <w:t xml:space="preserve">that were added but </w:t>
      </w:r>
      <w:r>
        <w:t xml:space="preserve">for which no values have been assigned is provided </w:t>
      </w:r>
      <w:r w:rsidR="002B2363">
        <w:t xml:space="preserve">in </w:t>
      </w:r>
      <w:r w:rsidR="006F4385">
        <w:t>Table </w:t>
      </w:r>
      <w:r>
        <w:t xml:space="preserve">4.  The material was prepared in rod form and </w:t>
      </w:r>
      <w:r w:rsidR="00E148BF">
        <w:t>then</w:t>
      </w:r>
      <w:r>
        <w:t xml:space="preserve"> sliced into wafers.  Considerable effort was invested in the manufacturing of the material to ensure sufficient homogeneity to yield a </w:t>
      </w:r>
      <w:r w:rsidR="00C52CB5">
        <w:t>≤10</w:t>
      </w:r>
      <w:r w:rsidR="00857CE8">
        <w:t> </w:t>
      </w:r>
      <w:proofErr w:type="gramStart"/>
      <w:r w:rsidR="00C52CB5">
        <w:t>%</w:t>
      </w:r>
      <w:proofErr w:type="gramEnd"/>
      <w:r w:rsidR="00C52CB5">
        <w:t xml:space="preserve"> relative </w:t>
      </w:r>
      <w:r w:rsidR="006F608E">
        <w:t>repeatability of measurement</w:t>
      </w:r>
      <w:r>
        <w:t xml:space="preserve"> when an entire wafer is used.  Spatial heterogeneity exists within each wafer, which may adversely affect repeatability of microanalysis techniques.</w:t>
      </w:r>
      <w:r w:rsidR="00C52CB5">
        <w:t xml:space="preserve">  Values were assigned using the analytical methods listed in </w:t>
      </w:r>
      <w:r w:rsidR="00857CE8">
        <w:t>Table </w:t>
      </w:r>
      <w:r w:rsidR="00C52CB5">
        <w:t>5.</w:t>
      </w:r>
    </w:p>
    <w:p w:rsidR="002B4924" w:rsidRDefault="002B4924" w:rsidP="006461CE">
      <w:pPr>
        <w:pStyle w:val="BodyText"/>
      </w:pPr>
    </w:p>
    <w:p w:rsidR="00D2380E" w:rsidRPr="00AD0725" w:rsidRDefault="00D2380E" w:rsidP="00D2380E">
      <w:pPr>
        <w:pStyle w:val="BodyText"/>
      </w:pPr>
      <w:r w:rsidRPr="00274D75">
        <w:rPr>
          <w:b/>
          <w:szCs w:val="16"/>
        </w:rPr>
        <w:t>Certified Value Assignment:</w:t>
      </w:r>
      <w:r w:rsidRPr="00274D75">
        <w:rPr>
          <w:szCs w:val="16"/>
        </w:rPr>
        <w:t xml:space="preserve">  </w:t>
      </w:r>
      <w:r w:rsidRPr="00AF391E">
        <w:t xml:space="preserve">The certified values </w:t>
      </w:r>
      <w:r w:rsidR="007C3EDD">
        <w:t xml:space="preserve">are </w:t>
      </w:r>
      <w:r w:rsidRPr="00AF391E">
        <w:t>as assigned in the original certificate of this material.</w:t>
      </w:r>
      <w:r>
        <w:t xml:space="preserve"> </w:t>
      </w:r>
      <w:r w:rsidRPr="00AF391E">
        <w:t xml:space="preserve"> These values have not been updated, and are qualified with the original statement of measurement uncertainty, which is equal to the entire range of values measured for individual samples or to the 95</w:t>
      </w:r>
      <w:r>
        <w:t> </w:t>
      </w:r>
      <w:r w:rsidRPr="00AF391E">
        <w:t>% confidence interval, whichever is greater.</w:t>
      </w:r>
      <w:r>
        <w:t xml:space="preserve">  </w:t>
      </w:r>
      <w:r w:rsidRPr="00AF391E">
        <w:t>The user can treat such uncertainty assessments as half widths of 95</w:t>
      </w:r>
      <w:r>
        <w:t> </w:t>
      </w:r>
      <w:r w:rsidRPr="00AF391E">
        <w:t>% confidence intervals based on Gaussian, Type</w:t>
      </w:r>
      <w:r w:rsidR="007C366C">
        <w:t> </w:t>
      </w:r>
      <w:proofErr w:type="gramStart"/>
      <w:r w:rsidRPr="00AF391E">
        <w:t>A</w:t>
      </w:r>
      <w:proofErr w:type="gramEnd"/>
      <w:r w:rsidRPr="00AF391E">
        <w:t xml:space="preserve"> evaluations using no more than five measured values each.</w:t>
      </w:r>
    </w:p>
    <w:p w:rsidR="00D2380E" w:rsidRDefault="00D2380E">
      <w:pPr>
        <w:pStyle w:val="BodyText"/>
        <w:rPr>
          <w:b/>
          <w:szCs w:val="16"/>
        </w:rPr>
      </w:pPr>
    </w:p>
    <w:p w:rsidR="00F14B3B" w:rsidRDefault="00F14B3B">
      <w:pPr>
        <w:pStyle w:val="BodyText"/>
      </w:pPr>
    </w:p>
    <w:p w:rsidR="00364E6D" w:rsidRDefault="00115FC3" w:rsidP="00364E6D">
      <w:pPr>
        <w:pStyle w:val="TxBrc5"/>
        <w:tabs>
          <w:tab w:val="left" w:pos="583"/>
          <w:tab w:val="left" w:pos="3960"/>
        </w:tabs>
        <w:spacing w:line="240" w:lineRule="auto"/>
        <w:rPr>
          <w:sz w:val="20"/>
          <w:szCs w:val="20"/>
        </w:rPr>
      </w:pPr>
      <w:proofErr w:type="gramStart"/>
      <w:r w:rsidRPr="00051629">
        <w:rPr>
          <w:sz w:val="20"/>
          <w:szCs w:val="20"/>
        </w:rPr>
        <w:t>Table</w:t>
      </w:r>
      <w:r>
        <w:rPr>
          <w:sz w:val="20"/>
          <w:szCs w:val="20"/>
        </w:rPr>
        <w:t> </w:t>
      </w:r>
      <w:r w:rsidR="00364E6D" w:rsidRPr="00051629">
        <w:rPr>
          <w:sz w:val="20"/>
          <w:szCs w:val="20"/>
        </w:rPr>
        <w:t>1.</w:t>
      </w:r>
      <w:proofErr w:type="gramEnd"/>
      <w:r w:rsidR="00C719EA">
        <w:rPr>
          <w:sz w:val="20"/>
          <w:szCs w:val="20"/>
        </w:rPr>
        <w:t xml:space="preserve"> </w:t>
      </w:r>
      <w:r w:rsidR="00364E6D" w:rsidRPr="00051629">
        <w:rPr>
          <w:sz w:val="20"/>
          <w:szCs w:val="20"/>
        </w:rPr>
        <w:t xml:space="preserve"> Certified </w:t>
      </w:r>
      <w:r w:rsidR="00C52CB5">
        <w:rPr>
          <w:sz w:val="20"/>
          <w:szCs w:val="20"/>
        </w:rPr>
        <w:t xml:space="preserve">Mass Fraction </w:t>
      </w:r>
      <w:r w:rsidR="00364E6D" w:rsidRPr="00051629">
        <w:rPr>
          <w:sz w:val="20"/>
          <w:szCs w:val="20"/>
        </w:rPr>
        <w:t xml:space="preserve">Values for </w:t>
      </w:r>
      <w:r w:rsidR="00857CE8" w:rsidRPr="00051629">
        <w:rPr>
          <w:sz w:val="20"/>
          <w:szCs w:val="20"/>
        </w:rPr>
        <w:t>SRM</w:t>
      </w:r>
      <w:r w:rsidR="00857CE8">
        <w:rPr>
          <w:sz w:val="20"/>
          <w:szCs w:val="20"/>
        </w:rPr>
        <w:t> 615</w:t>
      </w:r>
    </w:p>
    <w:p w:rsidR="00857CE8" w:rsidRPr="00051629" w:rsidRDefault="00857CE8" w:rsidP="00364E6D">
      <w:pPr>
        <w:pStyle w:val="TxBrc5"/>
        <w:tabs>
          <w:tab w:val="left" w:pos="583"/>
          <w:tab w:val="left" w:pos="3960"/>
        </w:tabs>
        <w:spacing w:line="240" w:lineRule="auto"/>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9"/>
        <w:gridCol w:w="2009"/>
      </w:tblGrid>
      <w:tr w:rsidR="00857CE8" w:rsidTr="00B20027">
        <w:trPr>
          <w:trHeight w:val="576"/>
          <w:jc w:val="center"/>
        </w:trPr>
        <w:tc>
          <w:tcPr>
            <w:tcW w:w="1389" w:type="dxa"/>
          </w:tcPr>
          <w:p w:rsidR="00857CE8" w:rsidRPr="00A20E66" w:rsidRDefault="00D2380E" w:rsidP="00857CE8">
            <w:pPr>
              <w:pStyle w:val="TxBrt2"/>
              <w:spacing w:line="238" w:lineRule="exact"/>
              <w:rPr>
                <w:sz w:val="20"/>
                <w:szCs w:val="20"/>
              </w:rPr>
            </w:pPr>
            <w:r>
              <w:rPr>
                <w:sz w:val="20"/>
                <w:szCs w:val="20"/>
              </w:rPr>
              <w:t>Constituent</w:t>
            </w:r>
          </w:p>
        </w:tc>
        <w:tc>
          <w:tcPr>
            <w:tcW w:w="2009" w:type="dxa"/>
          </w:tcPr>
          <w:p w:rsidR="00857CE8" w:rsidRPr="00A20E66" w:rsidRDefault="00857CE8" w:rsidP="00857CE8">
            <w:pPr>
              <w:pStyle w:val="TxBrt2"/>
              <w:tabs>
                <w:tab w:val="decimal" w:pos="804"/>
                <w:tab w:val="center" w:pos="1164"/>
                <w:tab w:val="decimal" w:pos="1614"/>
              </w:tabs>
              <w:spacing w:line="238" w:lineRule="exact"/>
              <w:jc w:val="center"/>
              <w:rPr>
                <w:iCs/>
                <w:sz w:val="20"/>
                <w:szCs w:val="20"/>
                <w:lang w:val="it-IT"/>
              </w:rPr>
            </w:pPr>
            <w:r w:rsidRPr="00A20E66">
              <w:rPr>
                <w:sz w:val="20"/>
                <w:szCs w:val="20"/>
                <w:lang w:val="fr-FR"/>
              </w:rPr>
              <w:t xml:space="preserve">Mass </w:t>
            </w:r>
            <w:proofErr w:type="gramStart"/>
            <w:r w:rsidRPr="00A20E66">
              <w:rPr>
                <w:sz w:val="20"/>
                <w:szCs w:val="20"/>
                <w:lang w:val="fr-FR"/>
              </w:rPr>
              <w:t>Fraction</w:t>
            </w:r>
            <w:proofErr w:type="gramEnd"/>
            <w:r w:rsidRPr="00A20E66">
              <w:rPr>
                <w:sz w:val="20"/>
                <w:szCs w:val="20"/>
                <w:lang w:val="fr-FR"/>
              </w:rPr>
              <w:br/>
              <w:t>(mg/kg)</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iCs/>
                <w:sz w:val="20"/>
                <w:szCs w:val="20"/>
                <w:lang w:val="it-IT"/>
              </w:rPr>
              <w:t>Copper</w:t>
            </w:r>
          </w:p>
        </w:tc>
        <w:tc>
          <w:tcPr>
            <w:tcW w:w="2009" w:type="dxa"/>
          </w:tcPr>
          <w:p w:rsidR="00857CE8" w:rsidRDefault="00857CE8" w:rsidP="00B20027">
            <w:pPr>
              <w:pStyle w:val="TxBrt2"/>
              <w:tabs>
                <w:tab w:val="decimal" w:pos="382"/>
                <w:tab w:val="center" w:pos="922"/>
                <w:tab w:val="decimal" w:pos="1282"/>
              </w:tabs>
              <w:spacing w:line="238" w:lineRule="exact"/>
              <w:rPr>
                <w:iCs/>
                <w:sz w:val="20"/>
                <w:szCs w:val="20"/>
                <w:lang w:val="it-IT"/>
              </w:rPr>
            </w:pPr>
            <w:r w:rsidRPr="001B2452">
              <w:rPr>
                <w:iCs/>
                <w:sz w:val="20"/>
                <w:szCs w:val="20"/>
                <w:lang w:val="it-IT"/>
              </w:rPr>
              <w:tab/>
            </w:r>
            <w:r>
              <w:rPr>
                <w:iCs/>
                <w:sz w:val="20"/>
                <w:szCs w:val="20"/>
                <w:lang w:val="it-IT"/>
              </w:rPr>
              <w:t>1.37</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0.07</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sz w:val="20"/>
                <w:szCs w:val="20"/>
              </w:rPr>
              <w:t>Lead</w:t>
            </w:r>
          </w:p>
        </w:tc>
        <w:tc>
          <w:tcPr>
            <w:tcW w:w="2009" w:type="dxa"/>
          </w:tcPr>
          <w:p w:rsidR="00857CE8" w:rsidRDefault="00857CE8" w:rsidP="00B20027">
            <w:pPr>
              <w:pStyle w:val="TxBrt2"/>
              <w:tabs>
                <w:tab w:val="decimal" w:pos="382"/>
                <w:tab w:val="center" w:pos="922"/>
                <w:tab w:val="decimal" w:pos="1282"/>
              </w:tabs>
              <w:spacing w:line="238" w:lineRule="exact"/>
              <w:rPr>
                <w:iCs/>
                <w:sz w:val="20"/>
                <w:szCs w:val="20"/>
                <w:lang w:val="it-IT"/>
              </w:rPr>
            </w:pPr>
            <w:r w:rsidRPr="001B2452">
              <w:rPr>
                <w:iCs/>
                <w:sz w:val="20"/>
                <w:szCs w:val="20"/>
                <w:lang w:val="it-IT"/>
              </w:rPr>
              <w:tab/>
            </w:r>
            <w:r>
              <w:rPr>
                <w:iCs/>
                <w:sz w:val="20"/>
                <w:szCs w:val="20"/>
                <w:lang w:val="it-IT"/>
              </w:rPr>
              <w:t>2.32</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0.04</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iCs/>
                <w:sz w:val="20"/>
                <w:szCs w:val="20"/>
                <w:lang w:val="it-IT"/>
              </w:rPr>
              <w:t>Potassium</w:t>
            </w:r>
          </w:p>
        </w:tc>
        <w:tc>
          <w:tcPr>
            <w:tcW w:w="2009" w:type="dxa"/>
          </w:tcPr>
          <w:p w:rsidR="00857CE8" w:rsidRDefault="00857CE8" w:rsidP="00B20027">
            <w:pPr>
              <w:pStyle w:val="TxBrt2"/>
              <w:tabs>
                <w:tab w:val="decimal" w:pos="382"/>
                <w:tab w:val="center" w:pos="922"/>
                <w:tab w:val="decimal" w:pos="1282"/>
              </w:tabs>
              <w:spacing w:line="238" w:lineRule="exact"/>
              <w:rPr>
                <w:iCs/>
                <w:sz w:val="20"/>
                <w:szCs w:val="20"/>
                <w:lang w:val="it-IT"/>
              </w:rPr>
            </w:pPr>
            <w:r w:rsidRPr="001B2452">
              <w:rPr>
                <w:iCs/>
                <w:sz w:val="20"/>
                <w:szCs w:val="20"/>
                <w:lang w:val="it-IT"/>
              </w:rPr>
              <w:tab/>
            </w:r>
            <w:r>
              <w:rPr>
                <w:iCs/>
                <w:sz w:val="20"/>
                <w:szCs w:val="20"/>
                <w:lang w:val="it-IT"/>
              </w:rPr>
              <w:t>30</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1</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sz w:val="20"/>
                <w:szCs w:val="20"/>
              </w:rPr>
              <w:t>Rubidium</w:t>
            </w:r>
          </w:p>
        </w:tc>
        <w:tc>
          <w:tcPr>
            <w:tcW w:w="2009" w:type="dxa"/>
          </w:tcPr>
          <w:p w:rsidR="00857CE8" w:rsidRDefault="00857CE8" w:rsidP="00B20027">
            <w:pPr>
              <w:pStyle w:val="TxBrt2"/>
              <w:tabs>
                <w:tab w:val="decimal" w:pos="382"/>
                <w:tab w:val="center" w:pos="922"/>
                <w:tab w:val="decimal" w:pos="1282"/>
              </w:tabs>
              <w:spacing w:line="238" w:lineRule="exact"/>
              <w:rPr>
                <w:iCs/>
                <w:sz w:val="20"/>
                <w:szCs w:val="20"/>
                <w:lang w:val="it-IT"/>
              </w:rPr>
            </w:pPr>
            <w:r w:rsidRPr="001B2452">
              <w:rPr>
                <w:iCs/>
                <w:sz w:val="20"/>
                <w:szCs w:val="20"/>
                <w:lang w:val="it-IT"/>
              </w:rPr>
              <w:tab/>
            </w:r>
            <w:r>
              <w:rPr>
                <w:iCs/>
                <w:sz w:val="20"/>
                <w:szCs w:val="20"/>
                <w:lang w:val="it-IT"/>
              </w:rPr>
              <w:t>0.855</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0.005</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sz w:val="20"/>
                <w:szCs w:val="20"/>
              </w:rPr>
              <w:t>Silver</w:t>
            </w:r>
          </w:p>
        </w:tc>
        <w:tc>
          <w:tcPr>
            <w:tcW w:w="2009" w:type="dxa"/>
          </w:tcPr>
          <w:p w:rsidR="00857CE8" w:rsidRDefault="00857CE8" w:rsidP="00B20027">
            <w:pPr>
              <w:pStyle w:val="TxBrt2"/>
              <w:tabs>
                <w:tab w:val="decimal" w:pos="382"/>
                <w:tab w:val="center" w:pos="922"/>
                <w:tab w:val="decimal" w:pos="1282"/>
              </w:tabs>
              <w:spacing w:line="238" w:lineRule="exact"/>
              <w:rPr>
                <w:rFonts w:ascii="Lincoln" w:hAnsi="Lincoln"/>
                <w:iCs/>
                <w:sz w:val="20"/>
                <w:szCs w:val="20"/>
                <w:lang w:val="it-IT"/>
              </w:rPr>
            </w:pPr>
            <w:r w:rsidRPr="001B2452">
              <w:rPr>
                <w:iCs/>
                <w:sz w:val="20"/>
                <w:szCs w:val="20"/>
                <w:lang w:val="it-IT"/>
              </w:rPr>
              <w:tab/>
            </w:r>
            <w:r>
              <w:rPr>
                <w:iCs/>
                <w:sz w:val="20"/>
                <w:szCs w:val="20"/>
                <w:lang w:val="it-IT"/>
              </w:rPr>
              <w:t>0.42</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0.04</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iCs/>
                <w:sz w:val="20"/>
                <w:szCs w:val="20"/>
                <w:lang w:val="it-IT"/>
              </w:rPr>
              <w:t>Strontium</w:t>
            </w:r>
          </w:p>
        </w:tc>
        <w:tc>
          <w:tcPr>
            <w:tcW w:w="2009" w:type="dxa"/>
          </w:tcPr>
          <w:p w:rsidR="00857CE8" w:rsidRDefault="00857CE8" w:rsidP="00B20027">
            <w:pPr>
              <w:pStyle w:val="TxBrt2"/>
              <w:tabs>
                <w:tab w:val="decimal" w:pos="382"/>
                <w:tab w:val="center" w:pos="922"/>
                <w:tab w:val="decimal" w:pos="1282"/>
              </w:tabs>
              <w:spacing w:line="238" w:lineRule="exact"/>
              <w:rPr>
                <w:rFonts w:ascii="Lincoln" w:hAnsi="Lincoln"/>
                <w:iCs/>
                <w:sz w:val="20"/>
                <w:szCs w:val="20"/>
                <w:lang w:val="it-IT"/>
              </w:rPr>
            </w:pPr>
            <w:r w:rsidRPr="001B2452">
              <w:rPr>
                <w:iCs/>
                <w:sz w:val="20"/>
                <w:szCs w:val="20"/>
                <w:lang w:val="it-IT"/>
              </w:rPr>
              <w:tab/>
            </w:r>
            <w:r>
              <w:rPr>
                <w:iCs/>
                <w:sz w:val="20"/>
                <w:szCs w:val="20"/>
                <w:lang w:val="it-IT"/>
              </w:rPr>
              <w:t>45.8</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0.1</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sz w:val="20"/>
                <w:szCs w:val="20"/>
              </w:rPr>
              <w:t>Thorium</w:t>
            </w:r>
          </w:p>
        </w:tc>
        <w:tc>
          <w:tcPr>
            <w:tcW w:w="2009" w:type="dxa"/>
          </w:tcPr>
          <w:p w:rsidR="00857CE8" w:rsidRDefault="00857CE8" w:rsidP="00B20027">
            <w:pPr>
              <w:pStyle w:val="TxBrt2"/>
              <w:tabs>
                <w:tab w:val="decimal" w:pos="382"/>
                <w:tab w:val="center" w:pos="922"/>
                <w:tab w:val="decimal" w:pos="1282"/>
              </w:tabs>
              <w:spacing w:line="238" w:lineRule="exact"/>
              <w:rPr>
                <w:rFonts w:ascii="Lincoln" w:hAnsi="Lincoln"/>
                <w:iCs/>
                <w:sz w:val="20"/>
                <w:szCs w:val="20"/>
                <w:lang w:val="it-IT"/>
              </w:rPr>
            </w:pPr>
            <w:r w:rsidRPr="001B2452">
              <w:rPr>
                <w:iCs/>
                <w:sz w:val="20"/>
                <w:szCs w:val="20"/>
                <w:lang w:val="it-IT"/>
              </w:rPr>
              <w:tab/>
            </w:r>
            <w:r>
              <w:rPr>
                <w:iCs/>
                <w:sz w:val="20"/>
                <w:szCs w:val="20"/>
                <w:lang w:val="it-IT"/>
              </w:rPr>
              <w:t>0.748</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0.006</w:t>
            </w:r>
          </w:p>
        </w:tc>
      </w:tr>
      <w:tr w:rsidR="00857CE8" w:rsidTr="00B20027">
        <w:trPr>
          <w:jc w:val="center"/>
        </w:trPr>
        <w:tc>
          <w:tcPr>
            <w:tcW w:w="1389" w:type="dxa"/>
          </w:tcPr>
          <w:p w:rsidR="00857CE8" w:rsidRPr="00A20E66" w:rsidRDefault="00857CE8" w:rsidP="00857CE8">
            <w:pPr>
              <w:pStyle w:val="TxBrt2"/>
              <w:spacing w:line="238" w:lineRule="exact"/>
              <w:rPr>
                <w:iCs/>
                <w:sz w:val="20"/>
                <w:szCs w:val="20"/>
                <w:lang w:val="it-IT"/>
              </w:rPr>
            </w:pPr>
            <w:r w:rsidRPr="00A20E66">
              <w:rPr>
                <w:sz w:val="20"/>
                <w:szCs w:val="20"/>
              </w:rPr>
              <w:t>Uranium</w:t>
            </w:r>
          </w:p>
        </w:tc>
        <w:tc>
          <w:tcPr>
            <w:tcW w:w="2009" w:type="dxa"/>
          </w:tcPr>
          <w:p w:rsidR="00857CE8" w:rsidRDefault="00857CE8" w:rsidP="00B20027">
            <w:pPr>
              <w:pStyle w:val="TxBrt2"/>
              <w:tabs>
                <w:tab w:val="decimal" w:pos="382"/>
                <w:tab w:val="center" w:pos="922"/>
                <w:tab w:val="decimal" w:pos="1282"/>
              </w:tabs>
              <w:spacing w:line="238" w:lineRule="exact"/>
              <w:rPr>
                <w:rFonts w:ascii="Lincoln" w:hAnsi="Lincoln"/>
                <w:iCs/>
                <w:sz w:val="20"/>
                <w:szCs w:val="20"/>
                <w:lang w:val="it-IT"/>
              </w:rPr>
            </w:pPr>
            <w:r w:rsidRPr="001B2452">
              <w:rPr>
                <w:iCs/>
                <w:sz w:val="20"/>
                <w:szCs w:val="20"/>
                <w:lang w:val="it-IT"/>
              </w:rPr>
              <w:tab/>
            </w:r>
            <w:r>
              <w:rPr>
                <w:iCs/>
                <w:sz w:val="20"/>
                <w:szCs w:val="20"/>
                <w:lang w:val="it-IT"/>
              </w:rPr>
              <w:t>0.823</w:t>
            </w:r>
            <w:r w:rsidRPr="001B2452">
              <w:rPr>
                <w:iCs/>
                <w:sz w:val="20"/>
                <w:szCs w:val="20"/>
                <w:lang w:val="it-IT"/>
              </w:rPr>
              <w:tab/>
            </w:r>
            <w:r w:rsidR="00B20027">
              <w:rPr>
                <w:iCs/>
                <w:sz w:val="20"/>
                <w:szCs w:val="20"/>
                <w:lang w:val="it-IT"/>
              </w:rPr>
              <w:sym w:font="Symbol" w:char="F0B1"/>
            </w:r>
            <w:r w:rsidRPr="001B2452">
              <w:rPr>
                <w:iCs/>
                <w:sz w:val="20"/>
                <w:szCs w:val="20"/>
                <w:lang w:val="it-IT"/>
              </w:rPr>
              <w:tab/>
            </w:r>
            <w:r>
              <w:rPr>
                <w:iCs/>
                <w:sz w:val="20"/>
                <w:szCs w:val="20"/>
                <w:lang w:val="it-IT"/>
              </w:rPr>
              <w:t>0.02</w:t>
            </w:r>
          </w:p>
        </w:tc>
      </w:tr>
    </w:tbl>
    <w:p w:rsidR="00364E6D" w:rsidRPr="00857CE8" w:rsidRDefault="00364E6D" w:rsidP="00364E6D">
      <w:pPr>
        <w:tabs>
          <w:tab w:val="left" w:pos="583"/>
        </w:tabs>
        <w:jc w:val="both"/>
      </w:pPr>
    </w:p>
    <w:p w:rsidR="004332A8" w:rsidRPr="00857CE8" w:rsidRDefault="004332A8">
      <w:pPr>
        <w:pStyle w:val="BodyText"/>
        <w:tabs>
          <w:tab w:val="left" w:pos="1350"/>
          <w:tab w:val="decimal" w:pos="2790"/>
          <w:tab w:val="center" w:pos="3330"/>
          <w:tab w:val="decimal" w:pos="3690"/>
          <w:tab w:val="left" w:pos="5130"/>
          <w:tab w:val="decimal" w:pos="7290"/>
        </w:tabs>
      </w:pPr>
    </w:p>
    <w:p w:rsidR="00D2380E" w:rsidRPr="00274D75" w:rsidRDefault="00D2380E" w:rsidP="007C366C">
      <w:pPr>
        <w:pStyle w:val="BodyText"/>
        <w:keepNext/>
        <w:rPr>
          <w:szCs w:val="16"/>
        </w:rPr>
      </w:pPr>
      <w:r>
        <w:rPr>
          <w:b/>
          <w:szCs w:val="16"/>
        </w:rPr>
        <w:lastRenderedPageBreak/>
        <w:t>Reference</w:t>
      </w:r>
      <w:r w:rsidRPr="00274D75">
        <w:rPr>
          <w:b/>
          <w:szCs w:val="16"/>
        </w:rPr>
        <w:t xml:space="preserve"> Value Assignment:</w:t>
      </w:r>
      <w:r w:rsidRPr="00274D75">
        <w:rPr>
          <w:szCs w:val="16"/>
        </w:rPr>
        <w:t xml:space="preserve">  Each </w:t>
      </w:r>
      <w:r>
        <w:rPr>
          <w:szCs w:val="16"/>
        </w:rPr>
        <w:t>reference value</w:t>
      </w:r>
      <w:r w:rsidRPr="00274D75">
        <w:rPr>
          <w:szCs w:val="16"/>
        </w:rPr>
        <w:t xml:space="preserve"> is the equally weighted mean of the results from the methods listed in </w:t>
      </w:r>
      <w:r>
        <w:rPr>
          <w:szCs w:val="16"/>
        </w:rPr>
        <w:t>Table 5</w:t>
      </w:r>
      <w:r w:rsidRPr="00274D75">
        <w:rPr>
          <w:szCs w:val="16"/>
        </w:rPr>
        <w:t xml:space="preserve">.  </w:t>
      </w:r>
      <w:r w:rsidRPr="00AF391E">
        <w:t xml:space="preserve">The </w:t>
      </w:r>
      <w:r>
        <w:t>reference</w:t>
      </w:r>
      <w:r w:rsidRPr="00AF391E">
        <w:t xml:space="preserve"> values are as assigned in the original certificate of this material.</w:t>
      </w:r>
      <w:r>
        <w:t xml:space="preserve"> </w:t>
      </w:r>
      <w:r w:rsidRPr="00AF391E">
        <w:t xml:space="preserve"> These values have not been updated, and are qualified with the original statement of measurement uncertainty, which is equal to the entire range of values measured for individual samples or to the 95</w:t>
      </w:r>
      <w:r>
        <w:t> </w:t>
      </w:r>
      <w:r w:rsidRPr="00AF391E">
        <w:t>% confidence interval, whichever is greater.</w:t>
      </w:r>
      <w:r>
        <w:t xml:space="preserve"> </w:t>
      </w:r>
      <w:r w:rsidRPr="00AF391E">
        <w:t xml:space="preserve"> The user can treat such uncertainty assessments as half widths of 95</w:t>
      </w:r>
      <w:r>
        <w:t> </w:t>
      </w:r>
      <w:r w:rsidRPr="00AF391E">
        <w:t>% confidence intervals based on Gaussian, Type</w:t>
      </w:r>
      <w:r>
        <w:t> </w:t>
      </w:r>
      <w:proofErr w:type="gramStart"/>
      <w:r w:rsidRPr="00AF391E">
        <w:t>A</w:t>
      </w:r>
      <w:proofErr w:type="gramEnd"/>
      <w:r w:rsidRPr="00AF391E">
        <w:t xml:space="preserve"> evaluations using no more than five measured values each.</w:t>
      </w:r>
    </w:p>
    <w:p w:rsidR="00D2380E" w:rsidRDefault="00D2380E" w:rsidP="007C366C">
      <w:pPr>
        <w:pStyle w:val="BodyText"/>
        <w:keepNext/>
        <w:tabs>
          <w:tab w:val="left" w:pos="1350"/>
          <w:tab w:val="decimal" w:pos="2790"/>
          <w:tab w:val="center" w:pos="3330"/>
          <w:tab w:val="decimal" w:pos="3690"/>
          <w:tab w:val="left" w:pos="5130"/>
          <w:tab w:val="decimal" w:pos="7290"/>
        </w:tabs>
        <w:rPr>
          <w:b/>
          <w:szCs w:val="16"/>
        </w:rPr>
      </w:pPr>
    </w:p>
    <w:p w:rsidR="000F2B4E" w:rsidRPr="00051629" w:rsidRDefault="00115FC3" w:rsidP="007C366C">
      <w:pPr>
        <w:pStyle w:val="TxBrc5"/>
        <w:keepNext/>
        <w:tabs>
          <w:tab w:val="left" w:pos="583"/>
          <w:tab w:val="left" w:pos="3960"/>
        </w:tabs>
        <w:spacing w:line="240" w:lineRule="auto"/>
        <w:rPr>
          <w:sz w:val="20"/>
          <w:szCs w:val="20"/>
        </w:rPr>
      </w:pPr>
      <w:proofErr w:type="gramStart"/>
      <w:r>
        <w:rPr>
          <w:sz w:val="20"/>
          <w:szCs w:val="20"/>
        </w:rPr>
        <w:t>Table </w:t>
      </w:r>
      <w:r w:rsidR="000F2B4E">
        <w:rPr>
          <w:sz w:val="20"/>
          <w:szCs w:val="20"/>
        </w:rPr>
        <w:t>2</w:t>
      </w:r>
      <w:r w:rsidR="000F2B4E" w:rsidRPr="00051629">
        <w:rPr>
          <w:sz w:val="20"/>
          <w:szCs w:val="20"/>
        </w:rPr>
        <w:t>.</w:t>
      </w:r>
      <w:proofErr w:type="gramEnd"/>
      <w:r w:rsidR="00C719EA">
        <w:rPr>
          <w:sz w:val="20"/>
          <w:szCs w:val="20"/>
        </w:rPr>
        <w:t xml:space="preserve"> </w:t>
      </w:r>
      <w:r w:rsidR="000F2B4E" w:rsidRPr="00051629">
        <w:rPr>
          <w:sz w:val="20"/>
          <w:szCs w:val="20"/>
        </w:rPr>
        <w:t xml:space="preserve"> </w:t>
      </w:r>
      <w:r w:rsidR="000F2B4E">
        <w:rPr>
          <w:sz w:val="20"/>
          <w:szCs w:val="20"/>
        </w:rPr>
        <w:t>Reference</w:t>
      </w:r>
      <w:r w:rsidR="000F2B4E" w:rsidRPr="00051629">
        <w:rPr>
          <w:sz w:val="20"/>
          <w:szCs w:val="20"/>
        </w:rPr>
        <w:t xml:space="preserve"> Value</w:t>
      </w:r>
      <w:r w:rsidR="007D7B8C">
        <w:rPr>
          <w:sz w:val="20"/>
          <w:szCs w:val="20"/>
        </w:rPr>
        <w:t>s</w:t>
      </w:r>
      <w:r w:rsidR="000F2B4E" w:rsidRPr="00051629">
        <w:rPr>
          <w:sz w:val="20"/>
          <w:szCs w:val="20"/>
        </w:rPr>
        <w:t xml:space="preserve"> for </w:t>
      </w:r>
      <w:r w:rsidRPr="00051629">
        <w:rPr>
          <w:sz w:val="20"/>
          <w:szCs w:val="20"/>
        </w:rPr>
        <w:t>SRM</w:t>
      </w:r>
      <w:r>
        <w:rPr>
          <w:sz w:val="20"/>
          <w:szCs w:val="20"/>
        </w:rPr>
        <w:t> </w:t>
      </w:r>
      <w:r w:rsidR="009255FD">
        <w:rPr>
          <w:sz w:val="20"/>
          <w:szCs w:val="20"/>
        </w:rPr>
        <w:t>61</w:t>
      </w:r>
      <w:r w:rsidR="00F62E87">
        <w:rPr>
          <w:sz w:val="20"/>
          <w:szCs w:val="20"/>
        </w:rPr>
        <w:t>5</w:t>
      </w:r>
    </w:p>
    <w:p w:rsidR="000F2B4E" w:rsidRPr="00051629" w:rsidRDefault="000F2B4E" w:rsidP="007C366C">
      <w:pPr>
        <w:keepNext/>
        <w:tabs>
          <w:tab w:val="left" w:pos="583"/>
        </w:tabs>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71"/>
        <w:gridCol w:w="2100"/>
      </w:tblGrid>
      <w:tr w:rsidR="00857CE8" w:rsidTr="00B20027">
        <w:trPr>
          <w:trHeight w:val="576"/>
          <w:jc w:val="center"/>
        </w:trPr>
        <w:tc>
          <w:tcPr>
            <w:tcW w:w="1971" w:type="dxa"/>
          </w:tcPr>
          <w:p w:rsidR="00857CE8" w:rsidRPr="00A20E66" w:rsidRDefault="00D2380E" w:rsidP="007C366C">
            <w:pPr>
              <w:pStyle w:val="TxBrt2"/>
              <w:keepNext/>
              <w:spacing w:line="238" w:lineRule="exact"/>
              <w:rPr>
                <w:sz w:val="20"/>
                <w:szCs w:val="20"/>
              </w:rPr>
            </w:pPr>
            <w:r>
              <w:rPr>
                <w:sz w:val="20"/>
                <w:szCs w:val="20"/>
              </w:rPr>
              <w:t>Constituent</w:t>
            </w:r>
          </w:p>
        </w:tc>
        <w:tc>
          <w:tcPr>
            <w:tcW w:w="2100" w:type="dxa"/>
          </w:tcPr>
          <w:p w:rsidR="00857CE8" w:rsidRPr="00A20E66" w:rsidRDefault="00857CE8" w:rsidP="007C366C">
            <w:pPr>
              <w:pStyle w:val="TxBrt2"/>
              <w:keepNext/>
              <w:tabs>
                <w:tab w:val="decimal" w:pos="804"/>
                <w:tab w:val="center" w:pos="1164"/>
                <w:tab w:val="decimal" w:pos="1614"/>
              </w:tabs>
              <w:spacing w:line="238" w:lineRule="exact"/>
              <w:jc w:val="center"/>
              <w:rPr>
                <w:iCs/>
                <w:sz w:val="20"/>
                <w:szCs w:val="20"/>
                <w:lang w:val="it-IT"/>
              </w:rPr>
            </w:pPr>
            <w:r w:rsidRPr="00A20E66">
              <w:rPr>
                <w:sz w:val="20"/>
                <w:szCs w:val="20"/>
                <w:lang w:val="fr-FR"/>
              </w:rPr>
              <w:t xml:space="preserve">Mass </w:t>
            </w:r>
            <w:proofErr w:type="gramStart"/>
            <w:r w:rsidRPr="00A20E66">
              <w:rPr>
                <w:sz w:val="20"/>
                <w:szCs w:val="20"/>
                <w:lang w:val="fr-FR"/>
              </w:rPr>
              <w:t>Fraction</w:t>
            </w:r>
            <w:proofErr w:type="gramEnd"/>
            <w:r w:rsidRPr="00A20E66">
              <w:rPr>
                <w:sz w:val="20"/>
                <w:szCs w:val="20"/>
                <w:lang w:val="fr-FR"/>
              </w:rPr>
              <w:br/>
              <w:t>(mg/kg)</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Boron</w:t>
            </w:r>
          </w:p>
        </w:tc>
        <w:tc>
          <w:tcPr>
            <w:tcW w:w="2100" w:type="dxa"/>
          </w:tcPr>
          <w:p w:rsidR="00857CE8" w:rsidRDefault="00857CE8" w:rsidP="00A75D70">
            <w:pPr>
              <w:pStyle w:val="TxBrt2"/>
              <w:keepNext/>
              <w:tabs>
                <w:tab w:val="decimal" w:pos="407"/>
                <w:tab w:val="center" w:pos="947"/>
                <w:tab w:val="decimal" w:pos="1307"/>
              </w:tabs>
              <w:spacing w:line="238" w:lineRule="exact"/>
              <w:rPr>
                <w:iCs/>
                <w:sz w:val="20"/>
                <w:szCs w:val="20"/>
                <w:lang w:val="it-IT"/>
              </w:rPr>
            </w:pPr>
            <w:r>
              <w:rPr>
                <w:sz w:val="20"/>
                <w:szCs w:val="20"/>
              </w:rPr>
              <w:tab/>
              <w:t>1.30</w:t>
            </w:r>
            <w:r>
              <w:rPr>
                <w:sz w:val="20"/>
                <w:szCs w:val="20"/>
              </w:rPr>
              <w:tab/>
            </w:r>
            <w:r w:rsidR="00A75D70">
              <w:rPr>
                <w:sz w:val="20"/>
                <w:szCs w:val="20"/>
              </w:rPr>
              <w:sym w:font="Symbol" w:char="F0B1"/>
            </w:r>
            <w:r>
              <w:rPr>
                <w:sz w:val="20"/>
                <w:szCs w:val="20"/>
              </w:rPr>
              <w:tab/>
              <w:t>0.2</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Cobalt</w:t>
            </w:r>
          </w:p>
        </w:tc>
        <w:tc>
          <w:tcPr>
            <w:tcW w:w="2100" w:type="dxa"/>
          </w:tcPr>
          <w:p w:rsidR="00857CE8" w:rsidRDefault="00857CE8" w:rsidP="00A75D70">
            <w:pPr>
              <w:pStyle w:val="TxBrt2"/>
              <w:keepNext/>
              <w:tabs>
                <w:tab w:val="decimal" w:pos="407"/>
                <w:tab w:val="center" w:pos="947"/>
                <w:tab w:val="decimal" w:pos="1307"/>
              </w:tabs>
              <w:spacing w:line="238" w:lineRule="exact"/>
              <w:rPr>
                <w:iCs/>
                <w:sz w:val="20"/>
                <w:szCs w:val="20"/>
                <w:lang w:val="it-IT"/>
              </w:rPr>
            </w:pPr>
            <w:r>
              <w:rPr>
                <w:sz w:val="20"/>
                <w:szCs w:val="20"/>
              </w:rPr>
              <w:tab/>
              <w:t>0.73</w:t>
            </w:r>
            <w:r>
              <w:rPr>
                <w:sz w:val="20"/>
                <w:szCs w:val="20"/>
              </w:rPr>
              <w:tab/>
            </w:r>
            <w:r w:rsidR="00A75D70">
              <w:rPr>
                <w:sz w:val="20"/>
                <w:szCs w:val="20"/>
              </w:rPr>
              <w:sym w:font="Symbol" w:char="F0B1"/>
            </w:r>
            <w:r>
              <w:rPr>
                <w:sz w:val="20"/>
                <w:szCs w:val="20"/>
              </w:rPr>
              <w:tab/>
              <w:t>0.02</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Europium</w:t>
            </w:r>
          </w:p>
        </w:tc>
        <w:tc>
          <w:tcPr>
            <w:tcW w:w="2100" w:type="dxa"/>
          </w:tcPr>
          <w:p w:rsidR="00857CE8" w:rsidRDefault="00857CE8" w:rsidP="00A75D70">
            <w:pPr>
              <w:pStyle w:val="TxBrt2"/>
              <w:keepNext/>
              <w:tabs>
                <w:tab w:val="decimal" w:pos="407"/>
                <w:tab w:val="center" w:pos="947"/>
                <w:tab w:val="decimal" w:pos="1307"/>
              </w:tabs>
              <w:spacing w:line="238" w:lineRule="exact"/>
              <w:rPr>
                <w:iCs/>
                <w:sz w:val="20"/>
                <w:szCs w:val="20"/>
                <w:lang w:val="it-IT"/>
              </w:rPr>
            </w:pPr>
            <w:r w:rsidRPr="001B2452">
              <w:rPr>
                <w:iCs/>
                <w:sz w:val="20"/>
                <w:szCs w:val="20"/>
                <w:lang w:val="it-IT"/>
              </w:rPr>
              <w:tab/>
            </w:r>
            <w:r>
              <w:rPr>
                <w:iCs/>
                <w:sz w:val="20"/>
                <w:szCs w:val="20"/>
                <w:lang w:val="it-IT"/>
              </w:rPr>
              <w:t>0.99</w:t>
            </w:r>
            <w:r w:rsidRPr="001B2452">
              <w:rPr>
                <w:iCs/>
                <w:sz w:val="20"/>
                <w:szCs w:val="20"/>
                <w:lang w:val="it-IT"/>
              </w:rPr>
              <w:tab/>
            </w:r>
            <w:r w:rsidR="00A75D70">
              <w:rPr>
                <w:sz w:val="20"/>
                <w:szCs w:val="20"/>
              </w:rPr>
              <w:sym w:font="Symbol" w:char="F0B1"/>
            </w:r>
            <w:r w:rsidRPr="001B2452">
              <w:rPr>
                <w:iCs/>
                <w:sz w:val="20"/>
                <w:szCs w:val="20"/>
                <w:lang w:val="it-IT"/>
              </w:rPr>
              <w:tab/>
            </w:r>
            <w:r>
              <w:rPr>
                <w:iCs/>
                <w:sz w:val="20"/>
                <w:szCs w:val="20"/>
                <w:lang w:val="it-IT"/>
              </w:rPr>
              <w:t>0.04</w:t>
            </w:r>
          </w:p>
        </w:tc>
      </w:tr>
      <w:tr w:rsidR="00BE5DB7" w:rsidTr="00B20027">
        <w:trPr>
          <w:jc w:val="center"/>
        </w:trPr>
        <w:tc>
          <w:tcPr>
            <w:tcW w:w="1971" w:type="dxa"/>
          </w:tcPr>
          <w:p w:rsidR="00BE5DB7" w:rsidRDefault="00BE5DB7" w:rsidP="007C366C">
            <w:pPr>
              <w:pStyle w:val="TxBrt2"/>
              <w:keepNext/>
              <w:spacing w:line="238" w:lineRule="exact"/>
              <w:rPr>
                <w:iCs/>
                <w:sz w:val="20"/>
                <w:szCs w:val="20"/>
                <w:lang w:val="it-IT"/>
              </w:rPr>
            </w:pPr>
            <w:r>
              <w:rPr>
                <w:iCs/>
                <w:sz w:val="20"/>
                <w:szCs w:val="20"/>
                <w:lang w:val="it-IT"/>
              </w:rPr>
              <w:t>Iron</w:t>
            </w:r>
          </w:p>
        </w:tc>
        <w:tc>
          <w:tcPr>
            <w:tcW w:w="2100" w:type="dxa"/>
          </w:tcPr>
          <w:p w:rsidR="00BE5DB7" w:rsidRPr="001B2452" w:rsidRDefault="00BE5DB7" w:rsidP="00A75D70">
            <w:pPr>
              <w:pStyle w:val="TxBrt2"/>
              <w:keepNext/>
              <w:tabs>
                <w:tab w:val="decimal" w:pos="407"/>
                <w:tab w:val="center" w:pos="947"/>
                <w:tab w:val="decimal" w:pos="1307"/>
              </w:tabs>
              <w:spacing w:line="238" w:lineRule="exact"/>
              <w:rPr>
                <w:iCs/>
                <w:sz w:val="20"/>
                <w:szCs w:val="20"/>
                <w:lang w:val="it-IT"/>
              </w:rPr>
            </w:pPr>
            <w:r w:rsidRPr="001B2452">
              <w:rPr>
                <w:iCs/>
                <w:sz w:val="20"/>
                <w:szCs w:val="20"/>
                <w:lang w:val="it-IT"/>
              </w:rPr>
              <w:tab/>
            </w:r>
            <w:r w:rsidRPr="00BE5DB7">
              <w:rPr>
                <w:iCs/>
                <w:sz w:val="20"/>
                <w:szCs w:val="20"/>
                <w:lang w:val="it-IT"/>
              </w:rPr>
              <w:t>13.3</w:t>
            </w:r>
            <w:r w:rsidRPr="00BE5DB7">
              <w:rPr>
                <w:iCs/>
                <w:sz w:val="20"/>
                <w:szCs w:val="20"/>
                <w:lang w:val="it-IT"/>
              </w:rPr>
              <w:tab/>
            </w:r>
            <w:r w:rsidR="00A75D70">
              <w:rPr>
                <w:sz w:val="20"/>
                <w:szCs w:val="20"/>
              </w:rPr>
              <w:sym w:font="Symbol" w:char="F0B1"/>
            </w:r>
            <w:r w:rsidRPr="00BE5DB7">
              <w:rPr>
                <w:iCs/>
                <w:sz w:val="20"/>
                <w:szCs w:val="20"/>
                <w:lang w:val="it-IT"/>
              </w:rPr>
              <w:tab/>
              <w:t>1.0</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Lanthanum</w:t>
            </w:r>
          </w:p>
        </w:tc>
        <w:tc>
          <w:tcPr>
            <w:tcW w:w="2100" w:type="dxa"/>
          </w:tcPr>
          <w:p w:rsidR="00857CE8" w:rsidRDefault="00857CE8" w:rsidP="00A75D70">
            <w:pPr>
              <w:pStyle w:val="TxBrt2"/>
              <w:keepNext/>
              <w:tabs>
                <w:tab w:val="decimal" w:pos="407"/>
                <w:tab w:val="center" w:pos="947"/>
                <w:tab w:val="decimal" w:pos="1307"/>
              </w:tabs>
              <w:spacing w:line="238" w:lineRule="exact"/>
              <w:rPr>
                <w:iCs/>
                <w:sz w:val="20"/>
                <w:szCs w:val="20"/>
                <w:lang w:val="it-IT"/>
              </w:rPr>
            </w:pPr>
            <w:r w:rsidRPr="001B2452">
              <w:rPr>
                <w:iCs/>
                <w:sz w:val="20"/>
                <w:szCs w:val="20"/>
                <w:lang w:val="it-IT"/>
              </w:rPr>
              <w:tab/>
            </w:r>
            <w:r>
              <w:rPr>
                <w:iCs/>
                <w:sz w:val="20"/>
                <w:szCs w:val="20"/>
                <w:lang w:val="it-IT"/>
              </w:rPr>
              <w:t>0.83</w:t>
            </w:r>
            <w:r w:rsidRPr="001B2452">
              <w:rPr>
                <w:iCs/>
                <w:sz w:val="20"/>
                <w:szCs w:val="20"/>
                <w:lang w:val="it-IT"/>
              </w:rPr>
              <w:tab/>
            </w:r>
            <w:r w:rsidR="00A75D70">
              <w:rPr>
                <w:sz w:val="20"/>
                <w:szCs w:val="20"/>
              </w:rPr>
              <w:sym w:font="Symbol" w:char="F0B1"/>
            </w:r>
            <w:r w:rsidRPr="001B2452">
              <w:rPr>
                <w:iCs/>
                <w:sz w:val="20"/>
                <w:szCs w:val="20"/>
                <w:lang w:val="it-IT"/>
              </w:rPr>
              <w:tab/>
            </w:r>
            <w:r>
              <w:rPr>
                <w:iCs/>
                <w:sz w:val="20"/>
                <w:szCs w:val="20"/>
                <w:lang w:val="it-IT"/>
              </w:rPr>
              <w:t>0.02</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Scandium</w:t>
            </w:r>
          </w:p>
        </w:tc>
        <w:tc>
          <w:tcPr>
            <w:tcW w:w="2100" w:type="dxa"/>
          </w:tcPr>
          <w:p w:rsidR="00857CE8" w:rsidRDefault="00857CE8" w:rsidP="00A75D70">
            <w:pPr>
              <w:pStyle w:val="TxBrt2"/>
              <w:keepNext/>
              <w:tabs>
                <w:tab w:val="decimal" w:pos="407"/>
                <w:tab w:val="center" w:pos="947"/>
                <w:tab w:val="decimal" w:pos="1307"/>
              </w:tabs>
              <w:spacing w:line="238" w:lineRule="exact"/>
              <w:rPr>
                <w:rFonts w:ascii="Lincoln" w:hAnsi="Lincoln"/>
                <w:iCs/>
                <w:sz w:val="20"/>
                <w:szCs w:val="20"/>
                <w:lang w:val="it-IT"/>
              </w:rPr>
            </w:pPr>
            <w:r w:rsidRPr="001B2452">
              <w:rPr>
                <w:iCs/>
                <w:sz w:val="20"/>
                <w:szCs w:val="20"/>
                <w:lang w:val="it-IT"/>
              </w:rPr>
              <w:tab/>
            </w:r>
            <w:r>
              <w:rPr>
                <w:iCs/>
                <w:sz w:val="20"/>
                <w:szCs w:val="20"/>
                <w:lang w:val="it-IT"/>
              </w:rPr>
              <w:t>0.59</w:t>
            </w:r>
            <w:r w:rsidRPr="001B2452">
              <w:rPr>
                <w:iCs/>
                <w:sz w:val="20"/>
                <w:szCs w:val="20"/>
                <w:lang w:val="it-IT"/>
              </w:rPr>
              <w:tab/>
            </w:r>
            <w:r w:rsidR="00A75D70">
              <w:rPr>
                <w:sz w:val="20"/>
                <w:szCs w:val="20"/>
              </w:rPr>
              <w:sym w:font="Symbol" w:char="F0B1"/>
            </w:r>
            <w:r w:rsidRPr="001B2452">
              <w:rPr>
                <w:iCs/>
                <w:sz w:val="20"/>
                <w:szCs w:val="20"/>
                <w:lang w:val="it-IT"/>
              </w:rPr>
              <w:tab/>
            </w:r>
            <w:r>
              <w:rPr>
                <w:iCs/>
                <w:sz w:val="20"/>
                <w:szCs w:val="20"/>
                <w:lang w:val="it-IT"/>
              </w:rPr>
              <w:t>0.04</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Thallium</w:t>
            </w:r>
          </w:p>
        </w:tc>
        <w:tc>
          <w:tcPr>
            <w:tcW w:w="2100" w:type="dxa"/>
          </w:tcPr>
          <w:p w:rsidR="00857CE8" w:rsidRDefault="00857CE8" w:rsidP="00A75D70">
            <w:pPr>
              <w:pStyle w:val="TxBrt2"/>
              <w:keepNext/>
              <w:tabs>
                <w:tab w:val="decimal" w:pos="407"/>
                <w:tab w:val="center" w:pos="947"/>
                <w:tab w:val="decimal" w:pos="1307"/>
              </w:tabs>
              <w:spacing w:line="238" w:lineRule="exact"/>
              <w:rPr>
                <w:rFonts w:ascii="Lincoln" w:hAnsi="Lincoln"/>
                <w:iCs/>
                <w:sz w:val="20"/>
                <w:szCs w:val="20"/>
                <w:lang w:val="it-IT"/>
              </w:rPr>
            </w:pPr>
            <w:r w:rsidRPr="001B2452">
              <w:rPr>
                <w:iCs/>
                <w:sz w:val="20"/>
                <w:szCs w:val="20"/>
                <w:lang w:val="it-IT"/>
              </w:rPr>
              <w:tab/>
            </w:r>
            <w:r>
              <w:rPr>
                <w:iCs/>
                <w:sz w:val="20"/>
                <w:szCs w:val="20"/>
                <w:lang w:val="it-IT"/>
              </w:rPr>
              <w:t>0.269</w:t>
            </w:r>
            <w:r w:rsidRPr="001B2452">
              <w:rPr>
                <w:iCs/>
                <w:sz w:val="20"/>
                <w:szCs w:val="20"/>
                <w:lang w:val="it-IT"/>
              </w:rPr>
              <w:tab/>
            </w:r>
            <w:r w:rsidR="00A75D70">
              <w:rPr>
                <w:sz w:val="20"/>
                <w:szCs w:val="20"/>
              </w:rPr>
              <w:sym w:font="Symbol" w:char="F0B1"/>
            </w:r>
            <w:r w:rsidRPr="001B2452">
              <w:rPr>
                <w:iCs/>
                <w:sz w:val="20"/>
                <w:szCs w:val="20"/>
                <w:lang w:val="it-IT"/>
              </w:rPr>
              <w:tab/>
            </w:r>
            <w:r>
              <w:rPr>
                <w:iCs/>
                <w:sz w:val="20"/>
                <w:szCs w:val="20"/>
                <w:lang w:val="it-IT"/>
              </w:rPr>
              <w:t>0.005</w:t>
            </w:r>
          </w:p>
        </w:tc>
      </w:tr>
      <w:tr w:rsidR="00857CE8" w:rsidTr="00B20027">
        <w:trPr>
          <w:jc w:val="center"/>
        </w:trPr>
        <w:tc>
          <w:tcPr>
            <w:tcW w:w="1971" w:type="dxa"/>
          </w:tcPr>
          <w:p w:rsidR="00857CE8" w:rsidRPr="00A20E66" w:rsidRDefault="00857CE8" w:rsidP="007C366C">
            <w:pPr>
              <w:pStyle w:val="TxBrt2"/>
              <w:keepNext/>
              <w:spacing w:line="238" w:lineRule="exact"/>
              <w:rPr>
                <w:iCs/>
                <w:sz w:val="20"/>
                <w:szCs w:val="20"/>
                <w:lang w:val="it-IT"/>
              </w:rPr>
            </w:pPr>
            <w:r>
              <w:rPr>
                <w:iCs/>
                <w:sz w:val="20"/>
                <w:szCs w:val="20"/>
                <w:lang w:val="it-IT"/>
              </w:rPr>
              <w:t>Titanium</w:t>
            </w:r>
          </w:p>
        </w:tc>
        <w:tc>
          <w:tcPr>
            <w:tcW w:w="2100" w:type="dxa"/>
          </w:tcPr>
          <w:p w:rsidR="00857CE8" w:rsidRDefault="00857CE8" w:rsidP="00A75D70">
            <w:pPr>
              <w:pStyle w:val="TxBrt2"/>
              <w:keepNext/>
              <w:tabs>
                <w:tab w:val="decimal" w:pos="407"/>
                <w:tab w:val="center" w:pos="947"/>
                <w:tab w:val="decimal" w:pos="1307"/>
              </w:tabs>
              <w:spacing w:line="238" w:lineRule="exact"/>
              <w:rPr>
                <w:iCs/>
                <w:sz w:val="20"/>
                <w:szCs w:val="20"/>
                <w:lang w:val="it-IT"/>
              </w:rPr>
            </w:pPr>
            <w:r w:rsidRPr="001B2452">
              <w:rPr>
                <w:iCs/>
                <w:sz w:val="20"/>
                <w:szCs w:val="20"/>
                <w:lang w:val="it-IT"/>
              </w:rPr>
              <w:tab/>
            </w:r>
            <w:r>
              <w:rPr>
                <w:iCs/>
                <w:sz w:val="20"/>
                <w:szCs w:val="20"/>
                <w:lang w:val="it-IT"/>
              </w:rPr>
              <w:t>3.1</w:t>
            </w:r>
            <w:r w:rsidRPr="001B2452">
              <w:rPr>
                <w:iCs/>
                <w:sz w:val="20"/>
                <w:szCs w:val="20"/>
                <w:lang w:val="it-IT"/>
              </w:rPr>
              <w:tab/>
            </w:r>
            <w:r w:rsidR="00A75D70">
              <w:rPr>
                <w:sz w:val="20"/>
                <w:szCs w:val="20"/>
              </w:rPr>
              <w:sym w:font="Symbol" w:char="F0B1"/>
            </w:r>
            <w:r w:rsidRPr="001B2452">
              <w:rPr>
                <w:iCs/>
                <w:sz w:val="20"/>
                <w:szCs w:val="20"/>
                <w:lang w:val="it-IT"/>
              </w:rPr>
              <w:tab/>
            </w:r>
            <w:r>
              <w:rPr>
                <w:iCs/>
                <w:sz w:val="20"/>
                <w:szCs w:val="20"/>
                <w:lang w:val="it-IT"/>
              </w:rPr>
              <w:t>0.3</w:t>
            </w:r>
          </w:p>
        </w:tc>
      </w:tr>
      <w:tr w:rsidR="00D2380E" w:rsidTr="00D2380E">
        <w:trPr>
          <w:trHeight w:hRule="exact" w:val="576"/>
          <w:jc w:val="center"/>
        </w:trPr>
        <w:tc>
          <w:tcPr>
            <w:tcW w:w="4071" w:type="dxa"/>
            <w:gridSpan w:val="2"/>
            <w:vAlign w:val="bottom"/>
          </w:tcPr>
          <w:p w:rsidR="00D2380E" w:rsidRDefault="00D2380E" w:rsidP="007C366C">
            <w:pPr>
              <w:pStyle w:val="TxBrt2"/>
              <w:keepNext/>
              <w:tabs>
                <w:tab w:val="decimal" w:pos="497"/>
                <w:tab w:val="center" w:pos="1164"/>
                <w:tab w:val="decimal" w:pos="1614"/>
              </w:tabs>
              <w:spacing w:before="120" w:after="120" w:line="238" w:lineRule="exact"/>
              <w:jc w:val="center"/>
              <w:rPr>
                <w:iCs/>
                <w:sz w:val="20"/>
                <w:szCs w:val="20"/>
                <w:lang w:val="it-IT"/>
              </w:rPr>
            </w:pPr>
            <w:r w:rsidRPr="003B103C">
              <w:rPr>
                <w:sz w:val="20"/>
                <w:szCs w:val="20"/>
              </w:rPr>
              <w:t xml:space="preserve">Ratio of </w:t>
            </w:r>
            <w:r>
              <w:rPr>
                <w:sz w:val="20"/>
                <w:szCs w:val="20"/>
              </w:rPr>
              <w:t>I</w:t>
            </w:r>
            <w:r w:rsidRPr="003B103C">
              <w:rPr>
                <w:sz w:val="20"/>
                <w:szCs w:val="20"/>
              </w:rPr>
              <w:t xml:space="preserve">sotope </w:t>
            </w:r>
            <w:r>
              <w:rPr>
                <w:sz w:val="20"/>
                <w:szCs w:val="20"/>
              </w:rPr>
              <w:t>A</w:t>
            </w:r>
            <w:r w:rsidRPr="003B103C">
              <w:rPr>
                <w:sz w:val="20"/>
                <w:szCs w:val="20"/>
              </w:rPr>
              <w:t xml:space="preserve">tomic </w:t>
            </w:r>
            <w:r>
              <w:rPr>
                <w:sz w:val="20"/>
                <w:szCs w:val="20"/>
              </w:rPr>
              <w:t>A</w:t>
            </w:r>
            <w:r w:rsidRPr="003B103C">
              <w:rPr>
                <w:sz w:val="20"/>
                <w:szCs w:val="20"/>
              </w:rPr>
              <w:t>bundances</w:t>
            </w:r>
          </w:p>
        </w:tc>
      </w:tr>
      <w:tr w:rsidR="00857CE8" w:rsidTr="00B20027">
        <w:trPr>
          <w:jc w:val="center"/>
        </w:trPr>
        <w:tc>
          <w:tcPr>
            <w:tcW w:w="1971" w:type="dxa"/>
          </w:tcPr>
          <w:p w:rsidR="00857CE8" w:rsidRPr="00A20E66" w:rsidRDefault="00857CE8" w:rsidP="00857CE8">
            <w:pPr>
              <w:pStyle w:val="TxBrt2"/>
              <w:spacing w:line="238" w:lineRule="exact"/>
              <w:rPr>
                <w:iCs/>
                <w:sz w:val="20"/>
                <w:szCs w:val="20"/>
                <w:lang w:val="it-IT"/>
              </w:rPr>
            </w:pPr>
            <w:r w:rsidRPr="006A133F">
              <w:rPr>
                <w:iCs/>
                <w:sz w:val="20"/>
                <w:szCs w:val="20"/>
                <w:vertAlign w:val="superscript"/>
                <w:lang w:val="it-IT"/>
              </w:rPr>
              <w:t>87</w:t>
            </w:r>
            <w:r>
              <w:rPr>
                <w:iCs/>
                <w:sz w:val="20"/>
                <w:szCs w:val="20"/>
                <w:lang w:val="it-IT"/>
              </w:rPr>
              <w:t>Sr/</w:t>
            </w:r>
            <w:r w:rsidRPr="006A133F">
              <w:rPr>
                <w:iCs/>
                <w:sz w:val="20"/>
                <w:szCs w:val="20"/>
                <w:vertAlign w:val="superscript"/>
                <w:lang w:val="it-IT"/>
              </w:rPr>
              <w:t>86</w:t>
            </w:r>
            <w:r>
              <w:rPr>
                <w:iCs/>
                <w:sz w:val="20"/>
                <w:szCs w:val="20"/>
                <w:lang w:val="it-IT"/>
              </w:rPr>
              <w:t>Sr (normalized)</w:t>
            </w:r>
          </w:p>
        </w:tc>
        <w:tc>
          <w:tcPr>
            <w:tcW w:w="2100" w:type="dxa"/>
          </w:tcPr>
          <w:p w:rsidR="00857CE8" w:rsidRDefault="00857CE8" w:rsidP="00B20027">
            <w:pPr>
              <w:pStyle w:val="TxBrt2"/>
              <w:tabs>
                <w:tab w:val="decimal" w:pos="317"/>
                <w:tab w:val="center" w:pos="947"/>
                <w:tab w:val="decimal" w:pos="1307"/>
              </w:tabs>
              <w:spacing w:line="238" w:lineRule="exact"/>
              <w:rPr>
                <w:iCs/>
                <w:sz w:val="20"/>
                <w:szCs w:val="20"/>
                <w:lang w:val="it-IT"/>
              </w:rPr>
            </w:pPr>
            <w:r>
              <w:rPr>
                <w:sz w:val="20"/>
                <w:szCs w:val="20"/>
              </w:rPr>
              <w:tab/>
              <w:t>0.7083</w:t>
            </w:r>
            <w:r>
              <w:rPr>
                <w:sz w:val="20"/>
                <w:szCs w:val="20"/>
              </w:rPr>
              <w:tab/>
            </w:r>
            <w:r w:rsidR="00B20027">
              <w:rPr>
                <w:sz w:val="20"/>
                <w:szCs w:val="20"/>
              </w:rPr>
              <w:t>±</w:t>
            </w:r>
            <w:r>
              <w:rPr>
                <w:sz w:val="20"/>
                <w:szCs w:val="20"/>
              </w:rPr>
              <w:tab/>
              <w:t>0.0002</w:t>
            </w:r>
          </w:p>
        </w:tc>
      </w:tr>
    </w:tbl>
    <w:p w:rsidR="00D2380E" w:rsidRDefault="00D2380E" w:rsidP="00B20027">
      <w:pPr>
        <w:pStyle w:val="BodyText"/>
        <w:tabs>
          <w:tab w:val="left" w:pos="1800"/>
          <w:tab w:val="left" w:pos="4320"/>
          <w:tab w:val="left" w:pos="6120"/>
          <w:tab w:val="left" w:pos="8640"/>
        </w:tabs>
        <w:jc w:val="center"/>
      </w:pPr>
    </w:p>
    <w:p w:rsidR="00D2380E" w:rsidRDefault="00D2380E" w:rsidP="00B20027">
      <w:pPr>
        <w:pStyle w:val="BodyText"/>
        <w:tabs>
          <w:tab w:val="left" w:pos="1800"/>
          <w:tab w:val="left" w:pos="4320"/>
          <w:tab w:val="left" w:pos="6120"/>
          <w:tab w:val="left" w:pos="8640"/>
        </w:tabs>
        <w:jc w:val="center"/>
      </w:pPr>
    </w:p>
    <w:p w:rsidR="00EB4537" w:rsidRPr="00051629" w:rsidRDefault="00115FC3" w:rsidP="00B20027">
      <w:pPr>
        <w:pStyle w:val="BodyText"/>
        <w:tabs>
          <w:tab w:val="left" w:pos="1800"/>
          <w:tab w:val="left" w:pos="4320"/>
          <w:tab w:val="left" w:pos="6120"/>
          <w:tab w:val="left" w:pos="8640"/>
        </w:tabs>
        <w:jc w:val="center"/>
      </w:pPr>
      <w:proofErr w:type="gramStart"/>
      <w:r>
        <w:t>Table </w:t>
      </w:r>
      <w:r w:rsidR="00EB4537">
        <w:t>3</w:t>
      </w:r>
      <w:r w:rsidR="00EB4537" w:rsidRPr="00051629">
        <w:t>.</w:t>
      </w:r>
      <w:proofErr w:type="gramEnd"/>
      <w:r>
        <w:t xml:space="preserve"> </w:t>
      </w:r>
      <w:r w:rsidR="00EB4537" w:rsidRPr="00051629">
        <w:t xml:space="preserve"> </w:t>
      </w:r>
      <w:r w:rsidR="00EB4537">
        <w:t>Information Value</w:t>
      </w:r>
      <w:r w:rsidR="001D40EC">
        <w:t>s</w:t>
      </w:r>
      <w:r w:rsidR="00EB4537" w:rsidRPr="00051629">
        <w:t xml:space="preserve"> for </w:t>
      </w:r>
      <w:r w:rsidRPr="00051629">
        <w:t>SRM</w:t>
      </w:r>
      <w:r>
        <w:t> </w:t>
      </w:r>
      <w:r w:rsidR="009255FD">
        <w:t>61</w:t>
      </w:r>
      <w:r w:rsidR="00F62E87">
        <w:t>5</w:t>
      </w:r>
    </w:p>
    <w:p w:rsidR="00115FC3" w:rsidRDefault="00115FC3" w:rsidP="00EB4537">
      <w:pPr>
        <w:tabs>
          <w:tab w:val="left" w:pos="583"/>
        </w:tabs>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9"/>
        <w:gridCol w:w="1874"/>
      </w:tblGrid>
      <w:tr w:rsidR="00115FC3" w:rsidRPr="0097574C" w:rsidTr="00B20027">
        <w:trPr>
          <w:trHeight w:val="576"/>
          <w:jc w:val="center"/>
        </w:trPr>
        <w:tc>
          <w:tcPr>
            <w:tcW w:w="1539" w:type="dxa"/>
          </w:tcPr>
          <w:p w:rsidR="007C366C" w:rsidRDefault="003702D3">
            <w:pPr>
              <w:rPr>
                <w:sz w:val="24"/>
                <w:szCs w:val="24"/>
              </w:rPr>
            </w:pPr>
            <w:r w:rsidRPr="003702D3">
              <w:rPr>
                <w:szCs w:val="24"/>
              </w:rPr>
              <w:t>Constituent</w:t>
            </w:r>
          </w:p>
        </w:tc>
        <w:tc>
          <w:tcPr>
            <w:tcW w:w="1874" w:type="dxa"/>
          </w:tcPr>
          <w:p w:rsidR="00115FC3" w:rsidRDefault="00115FC3" w:rsidP="00B20027">
            <w:pPr>
              <w:jc w:val="center"/>
            </w:pPr>
            <w:r w:rsidRPr="00ED4A40">
              <w:rPr>
                <w:lang w:val="fr-FR"/>
              </w:rPr>
              <w:t xml:space="preserve">Mass </w:t>
            </w:r>
            <w:proofErr w:type="gramStart"/>
            <w:r w:rsidRPr="00ED4A40">
              <w:rPr>
                <w:lang w:val="fr-FR"/>
              </w:rPr>
              <w:t>Fraction</w:t>
            </w:r>
            <w:proofErr w:type="gramEnd"/>
            <w:r>
              <w:rPr>
                <w:lang w:val="fr-FR"/>
              </w:rPr>
              <w:br/>
            </w:r>
            <w:r w:rsidRPr="00ED4A40">
              <w:rPr>
                <w:lang w:val="fr-FR"/>
              </w:rPr>
              <w:t>(</w:t>
            </w:r>
            <w:r>
              <w:rPr>
                <w:lang w:val="fr-FR"/>
              </w:rPr>
              <w:t>mg/kg</w:t>
            </w:r>
            <w:r w:rsidRPr="00ED4A40">
              <w:rPr>
                <w:lang w:val="fr-FR"/>
              </w:rPr>
              <w:t>)</w:t>
            </w:r>
          </w:p>
        </w:tc>
      </w:tr>
      <w:tr w:rsidR="00115FC3" w:rsidRPr="0097574C" w:rsidTr="00B20027">
        <w:trPr>
          <w:trHeight w:val="198"/>
          <w:jc w:val="center"/>
        </w:trPr>
        <w:tc>
          <w:tcPr>
            <w:tcW w:w="1539" w:type="dxa"/>
          </w:tcPr>
          <w:p w:rsidR="00115FC3" w:rsidRPr="0097574C" w:rsidRDefault="00115FC3" w:rsidP="00B20027">
            <w:r>
              <w:t>Antimony</w:t>
            </w:r>
          </w:p>
        </w:tc>
        <w:tc>
          <w:tcPr>
            <w:tcW w:w="1874" w:type="dxa"/>
          </w:tcPr>
          <w:p w:rsidR="00115FC3" w:rsidRDefault="00115FC3" w:rsidP="00B20027">
            <w:pPr>
              <w:tabs>
                <w:tab w:val="decimal" w:pos="780"/>
              </w:tabs>
            </w:pPr>
            <w:r>
              <w:t>1.06</w:t>
            </w:r>
          </w:p>
        </w:tc>
      </w:tr>
      <w:tr w:rsidR="00115FC3" w:rsidRPr="0097574C" w:rsidTr="00B20027">
        <w:trPr>
          <w:jc w:val="center"/>
        </w:trPr>
        <w:tc>
          <w:tcPr>
            <w:tcW w:w="1539" w:type="dxa"/>
          </w:tcPr>
          <w:p w:rsidR="00115FC3" w:rsidRPr="0097574C" w:rsidRDefault="00115FC3" w:rsidP="00B20027">
            <w:r>
              <w:t>Cadmium</w:t>
            </w:r>
          </w:p>
        </w:tc>
        <w:tc>
          <w:tcPr>
            <w:tcW w:w="1874" w:type="dxa"/>
          </w:tcPr>
          <w:p w:rsidR="00115FC3" w:rsidRDefault="00115FC3" w:rsidP="00B20027">
            <w:pPr>
              <w:tabs>
                <w:tab w:val="decimal" w:pos="780"/>
              </w:tabs>
            </w:pPr>
            <w:r>
              <w:t>0.55</w:t>
            </w:r>
          </w:p>
        </w:tc>
      </w:tr>
      <w:tr w:rsidR="00115FC3" w:rsidRPr="0097574C" w:rsidTr="00B20027">
        <w:trPr>
          <w:jc w:val="center"/>
        </w:trPr>
        <w:tc>
          <w:tcPr>
            <w:tcW w:w="1539" w:type="dxa"/>
          </w:tcPr>
          <w:p w:rsidR="00115FC3" w:rsidRPr="0097574C" w:rsidRDefault="00115FC3" w:rsidP="00B20027">
            <w:r>
              <w:t>Gallium</w:t>
            </w:r>
          </w:p>
        </w:tc>
        <w:tc>
          <w:tcPr>
            <w:tcW w:w="1874" w:type="dxa"/>
          </w:tcPr>
          <w:p w:rsidR="00115FC3" w:rsidRDefault="00115FC3" w:rsidP="00B20027">
            <w:pPr>
              <w:tabs>
                <w:tab w:val="decimal" w:pos="780"/>
              </w:tabs>
            </w:pPr>
            <w:r>
              <w:t>1.3</w:t>
            </w:r>
          </w:p>
        </w:tc>
      </w:tr>
      <w:tr w:rsidR="00115FC3" w:rsidRPr="0097574C" w:rsidTr="00B20027">
        <w:trPr>
          <w:jc w:val="center"/>
        </w:trPr>
        <w:tc>
          <w:tcPr>
            <w:tcW w:w="1539" w:type="dxa"/>
          </w:tcPr>
          <w:p w:rsidR="00115FC3" w:rsidRPr="0097574C" w:rsidRDefault="00115FC3" w:rsidP="00B20027">
            <w:r w:rsidRPr="0097574C">
              <w:t>Gold</w:t>
            </w:r>
          </w:p>
        </w:tc>
        <w:tc>
          <w:tcPr>
            <w:tcW w:w="1874" w:type="dxa"/>
          </w:tcPr>
          <w:p w:rsidR="00115FC3" w:rsidRDefault="00115FC3" w:rsidP="00B20027">
            <w:pPr>
              <w:tabs>
                <w:tab w:val="decimal" w:pos="780"/>
              </w:tabs>
            </w:pPr>
            <w:r>
              <w:t>0.5</w:t>
            </w:r>
          </w:p>
        </w:tc>
      </w:tr>
      <w:tr w:rsidR="00115FC3" w:rsidRPr="0097574C" w:rsidTr="00B20027">
        <w:trPr>
          <w:jc w:val="center"/>
        </w:trPr>
        <w:tc>
          <w:tcPr>
            <w:tcW w:w="1539" w:type="dxa"/>
          </w:tcPr>
          <w:p w:rsidR="00115FC3" w:rsidRPr="0097574C" w:rsidRDefault="00115FC3" w:rsidP="00B20027">
            <w:r>
              <w:t>Nickel</w:t>
            </w:r>
          </w:p>
        </w:tc>
        <w:tc>
          <w:tcPr>
            <w:tcW w:w="1874" w:type="dxa"/>
          </w:tcPr>
          <w:p w:rsidR="00115FC3" w:rsidRDefault="00115FC3" w:rsidP="00B20027">
            <w:pPr>
              <w:tabs>
                <w:tab w:val="decimal" w:pos="780"/>
              </w:tabs>
            </w:pPr>
            <w:r>
              <w:t>0.95</w:t>
            </w:r>
          </w:p>
        </w:tc>
      </w:tr>
      <w:tr w:rsidR="00D2380E" w:rsidRPr="0097574C" w:rsidTr="00D2380E">
        <w:trPr>
          <w:trHeight w:hRule="exact" w:val="576"/>
          <w:jc w:val="center"/>
        </w:trPr>
        <w:tc>
          <w:tcPr>
            <w:tcW w:w="3413" w:type="dxa"/>
            <w:gridSpan w:val="2"/>
            <w:vAlign w:val="bottom"/>
          </w:tcPr>
          <w:p w:rsidR="00D2380E" w:rsidRDefault="00D2380E" w:rsidP="00B20027">
            <w:pPr>
              <w:spacing w:after="120"/>
              <w:jc w:val="center"/>
            </w:pPr>
            <w:r w:rsidRPr="0097574C">
              <w:t xml:space="preserve">Ratio of </w:t>
            </w:r>
            <w:r>
              <w:t>I</w:t>
            </w:r>
            <w:r w:rsidRPr="0097574C">
              <w:t xml:space="preserve">sotope </w:t>
            </w:r>
            <w:r>
              <w:t>A</w:t>
            </w:r>
            <w:r w:rsidRPr="0097574C">
              <w:t xml:space="preserve">tomic </w:t>
            </w:r>
            <w:r>
              <w:t>A</w:t>
            </w:r>
            <w:r w:rsidRPr="0097574C">
              <w:t>bundances</w:t>
            </w:r>
          </w:p>
        </w:tc>
      </w:tr>
      <w:tr w:rsidR="00115FC3" w:rsidRPr="0097574C" w:rsidTr="00B20027">
        <w:trPr>
          <w:jc w:val="center"/>
        </w:trPr>
        <w:tc>
          <w:tcPr>
            <w:tcW w:w="1539" w:type="dxa"/>
          </w:tcPr>
          <w:p w:rsidR="00115FC3" w:rsidRPr="0097574C" w:rsidRDefault="00115FC3" w:rsidP="00B20027">
            <w:pPr>
              <w:pStyle w:val="TxBrt2"/>
              <w:spacing w:line="238" w:lineRule="exact"/>
              <w:rPr>
                <w:iCs/>
                <w:sz w:val="20"/>
                <w:szCs w:val="20"/>
                <w:lang w:val="it-IT"/>
              </w:rPr>
            </w:pPr>
            <w:r w:rsidRPr="0097574C">
              <w:rPr>
                <w:sz w:val="20"/>
                <w:szCs w:val="20"/>
                <w:vertAlign w:val="superscript"/>
              </w:rPr>
              <w:t>235</w:t>
            </w:r>
            <w:r w:rsidRPr="0097574C">
              <w:rPr>
                <w:sz w:val="20"/>
                <w:szCs w:val="20"/>
              </w:rPr>
              <w:t>U/</w:t>
            </w:r>
            <w:proofErr w:type="spellStart"/>
            <w:r w:rsidRPr="0097574C">
              <w:rPr>
                <w:sz w:val="20"/>
                <w:szCs w:val="20"/>
              </w:rPr>
              <w:t>U</w:t>
            </w:r>
            <w:r w:rsidRPr="0097574C">
              <w:rPr>
                <w:sz w:val="20"/>
                <w:szCs w:val="20"/>
                <w:vertAlign w:val="subscript"/>
              </w:rPr>
              <w:t>Total</w:t>
            </w:r>
            <w:proofErr w:type="spellEnd"/>
          </w:p>
        </w:tc>
        <w:tc>
          <w:tcPr>
            <w:tcW w:w="1874" w:type="dxa"/>
          </w:tcPr>
          <w:p w:rsidR="00115FC3" w:rsidRDefault="00115FC3" w:rsidP="00B01B2D">
            <w:pPr>
              <w:pStyle w:val="TxBrt2"/>
              <w:spacing w:line="238" w:lineRule="exact"/>
              <w:jc w:val="center"/>
              <w:rPr>
                <w:iCs/>
                <w:sz w:val="20"/>
                <w:szCs w:val="20"/>
                <w:lang w:val="it-IT"/>
              </w:rPr>
            </w:pPr>
            <w:r>
              <w:rPr>
                <w:iCs/>
                <w:sz w:val="20"/>
                <w:szCs w:val="20"/>
                <w:lang w:val="it-IT"/>
              </w:rPr>
              <w:t>2.</w:t>
            </w:r>
            <w:r w:rsidR="00B01B2D">
              <w:rPr>
                <w:iCs/>
                <w:sz w:val="20"/>
                <w:szCs w:val="20"/>
                <w:lang w:val="it-IT"/>
              </w:rPr>
              <w:t>792 × </w:t>
            </w:r>
            <w:r>
              <w:rPr>
                <w:iCs/>
                <w:sz w:val="20"/>
                <w:szCs w:val="20"/>
                <w:lang w:val="it-IT"/>
              </w:rPr>
              <w:t>10</w:t>
            </w:r>
            <w:r w:rsidR="00B01B2D">
              <w:rPr>
                <w:iCs/>
                <w:sz w:val="20"/>
                <w:szCs w:val="20"/>
                <w:vertAlign w:val="superscript"/>
                <w:lang w:val="it-IT"/>
              </w:rPr>
              <w:t>–</w:t>
            </w:r>
            <w:r w:rsidRPr="00782A43">
              <w:rPr>
                <w:iCs/>
                <w:sz w:val="20"/>
                <w:szCs w:val="20"/>
                <w:vertAlign w:val="superscript"/>
                <w:lang w:val="it-IT"/>
              </w:rPr>
              <w:t>3</w:t>
            </w:r>
          </w:p>
        </w:tc>
      </w:tr>
    </w:tbl>
    <w:p w:rsidR="00115FC3" w:rsidRDefault="00115FC3" w:rsidP="00EB4537">
      <w:pPr>
        <w:tabs>
          <w:tab w:val="left" w:pos="583"/>
        </w:tabs>
        <w:jc w:val="both"/>
      </w:pPr>
    </w:p>
    <w:p w:rsidR="00EB4537" w:rsidRPr="00051629" w:rsidRDefault="00EB4537" w:rsidP="00EB4537">
      <w:pPr>
        <w:tabs>
          <w:tab w:val="left" w:pos="583"/>
        </w:tabs>
        <w:jc w:val="both"/>
      </w:pPr>
    </w:p>
    <w:p w:rsidR="00C52CB5" w:rsidRDefault="002B714E" w:rsidP="00115FC3">
      <w:pPr>
        <w:pStyle w:val="BodyText"/>
        <w:jc w:val="center"/>
      </w:pPr>
      <w:proofErr w:type="gramStart"/>
      <w:r>
        <w:t>Table 4.</w:t>
      </w:r>
      <w:proofErr w:type="gramEnd"/>
      <w:r>
        <w:t xml:space="preserve">  </w:t>
      </w:r>
      <w:r w:rsidR="00115FC3">
        <w:t>Additional Elements Incorporated in SRM 615 for Which No Values Are Assigned</w:t>
      </w:r>
    </w:p>
    <w:p w:rsidR="00C52CB5" w:rsidRDefault="00C52CB5" w:rsidP="00C52CB5">
      <w:pPr>
        <w:pStyle w:val="BodyText"/>
      </w:pPr>
    </w:p>
    <w:tbl>
      <w:tblPr>
        <w:tblW w:w="0" w:type="auto"/>
        <w:jc w:val="center"/>
        <w:tblCellMar>
          <w:left w:w="216" w:type="dxa"/>
          <w:right w:w="115" w:type="dxa"/>
        </w:tblCellMar>
        <w:tblLook w:val="04A0"/>
      </w:tblPr>
      <w:tblGrid>
        <w:gridCol w:w="1800"/>
        <w:gridCol w:w="1800"/>
        <w:gridCol w:w="1800"/>
        <w:gridCol w:w="1800"/>
      </w:tblGrid>
      <w:tr w:rsidR="001A4F55" w:rsidTr="00B974ED">
        <w:trPr>
          <w:trHeight w:val="216"/>
          <w:jc w:val="center"/>
        </w:trPr>
        <w:tc>
          <w:tcPr>
            <w:tcW w:w="1800" w:type="dxa"/>
            <w:vAlign w:val="center"/>
          </w:tcPr>
          <w:p w:rsidR="001A4F55" w:rsidRDefault="001A4F55" w:rsidP="00253BDB">
            <w:pPr>
              <w:pStyle w:val="BodyText"/>
              <w:jc w:val="left"/>
            </w:pPr>
            <w:r>
              <w:t>Arsenic</w:t>
            </w:r>
          </w:p>
        </w:tc>
        <w:tc>
          <w:tcPr>
            <w:tcW w:w="1800" w:type="dxa"/>
            <w:vAlign w:val="center"/>
          </w:tcPr>
          <w:p w:rsidR="001A4F55" w:rsidRDefault="001A4F55" w:rsidP="00253BDB">
            <w:pPr>
              <w:pStyle w:val="BodyText"/>
              <w:jc w:val="left"/>
            </w:pPr>
            <w:r>
              <w:t>Fluorine</w:t>
            </w:r>
          </w:p>
        </w:tc>
        <w:tc>
          <w:tcPr>
            <w:tcW w:w="1800" w:type="dxa"/>
            <w:vAlign w:val="center"/>
          </w:tcPr>
          <w:p w:rsidR="001A4F55" w:rsidRDefault="001A4F55" w:rsidP="00B974ED">
            <w:pPr>
              <w:pStyle w:val="BodyText"/>
              <w:jc w:val="left"/>
            </w:pPr>
            <w:r>
              <w:t>Molybdenum</w:t>
            </w:r>
          </w:p>
        </w:tc>
        <w:tc>
          <w:tcPr>
            <w:tcW w:w="1800" w:type="dxa"/>
            <w:vAlign w:val="center"/>
          </w:tcPr>
          <w:p w:rsidR="001A4F55" w:rsidRDefault="001A4F55" w:rsidP="00253BDB">
            <w:pPr>
              <w:pStyle w:val="BodyText"/>
              <w:jc w:val="left"/>
            </w:pPr>
            <w:r>
              <w:t>Tellurium</w:t>
            </w:r>
          </w:p>
        </w:tc>
      </w:tr>
      <w:tr w:rsidR="001A4F55" w:rsidTr="00B974ED">
        <w:trPr>
          <w:trHeight w:val="216"/>
          <w:jc w:val="center"/>
        </w:trPr>
        <w:tc>
          <w:tcPr>
            <w:tcW w:w="1800" w:type="dxa"/>
            <w:vAlign w:val="center"/>
          </w:tcPr>
          <w:p w:rsidR="001A4F55" w:rsidRDefault="001A4F55" w:rsidP="00253BDB">
            <w:pPr>
              <w:pStyle w:val="BodyText"/>
              <w:jc w:val="left"/>
            </w:pPr>
            <w:r>
              <w:t>Barium</w:t>
            </w:r>
          </w:p>
        </w:tc>
        <w:tc>
          <w:tcPr>
            <w:tcW w:w="1800" w:type="dxa"/>
            <w:vAlign w:val="center"/>
          </w:tcPr>
          <w:p w:rsidR="001A4F55" w:rsidRDefault="001A4F55" w:rsidP="00253BDB">
            <w:pPr>
              <w:pStyle w:val="BodyText"/>
              <w:jc w:val="left"/>
            </w:pPr>
            <w:r>
              <w:t>Gadolinium</w:t>
            </w:r>
          </w:p>
        </w:tc>
        <w:tc>
          <w:tcPr>
            <w:tcW w:w="1800" w:type="dxa"/>
            <w:vAlign w:val="center"/>
          </w:tcPr>
          <w:p w:rsidR="001A4F55" w:rsidRDefault="001A4F55" w:rsidP="00B974ED">
            <w:pPr>
              <w:pStyle w:val="BodyText"/>
              <w:jc w:val="left"/>
            </w:pPr>
            <w:r>
              <w:t>Neodymium</w:t>
            </w:r>
          </w:p>
        </w:tc>
        <w:tc>
          <w:tcPr>
            <w:tcW w:w="1800" w:type="dxa"/>
            <w:vAlign w:val="center"/>
          </w:tcPr>
          <w:p w:rsidR="001A4F55" w:rsidRDefault="001A4F55" w:rsidP="00253BDB">
            <w:pPr>
              <w:pStyle w:val="BodyText"/>
              <w:jc w:val="left"/>
            </w:pPr>
            <w:r>
              <w:t>Terbium</w:t>
            </w:r>
          </w:p>
        </w:tc>
      </w:tr>
      <w:tr w:rsidR="001A4F55" w:rsidTr="00B974ED">
        <w:trPr>
          <w:trHeight w:val="216"/>
          <w:jc w:val="center"/>
        </w:trPr>
        <w:tc>
          <w:tcPr>
            <w:tcW w:w="1800" w:type="dxa"/>
            <w:vAlign w:val="center"/>
          </w:tcPr>
          <w:p w:rsidR="001A4F55" w:rsidRDefault="001A4F55" w:rsidP="00253BDB">
            <w:pPr>
              <w:pStyle w:val="BodyText"/>
              <w:jc w:val="left"/>
            </w:pPr>
            <w:r>
              <w:t>Beryllium</w:t>
            </w:r>
          </w:p>
        </w:tc>
        <w:tc>
          <w:tcPr>
            <w:tcW w:w="1800" w:type="dxa"/>
            <w:vAlign w:val="center"/>
          </w:tcPr>
          <w:p w:rsidR="001A4F55" w:rsidRDefault="001A4F55" w:rsidP="00253BDB">
            <w:pPr>
              <w:pStyle w:val="BodyText"/>
              <w:jc w:val="left"/>
            </w:pPr>
            <w:r>
              <w:t>Germanium</w:t>
            </w:r>
          </w:p>
        </w:tc>
        <w:tc>
          <w:tcPr>
            <w:tcW w:w="1800" w:type="dxa"/>
            <w:vAlign w:val="center"/>
          </w:tcPr>
          <w:p w:rsidR="001A4F55" w:rsidRDefault="001A4F55" w:rsidP="00253BDB">
            <w:pPr>
              <w:pStyle w:val="BodyText"/>
              <w:jc w:val="left"/>
            </w:pPr>
            <w:r>
              <w:t>Niobium</w:t>
            </w:r>
          </w:p>
        </w:tc>
        <w:tc>
          <w:tcPr>
            <w:tcW w:w="1800" w:type="dxa"/>
            <w:vAlign w:val="center"/>
          </w:tcPr>
          <w:p w:rsidR="001A4F55" w:rsidRDefault="001A4F55" w:rsidP="00253BDB">
            <w:pPr>
              <w:pStyle w:val="BodyText"/>
              <w:jc w:val="left"/>
            </w:pPr>
            <w:r>
              <w:t>Thulium</w:t>
            </w:r>
          </w:p>
        </w:tc>
      </w:tr>
      <w:tr w:rsidR="001A4F55" w:rsidTr="00B974ED">
        <w:trPr>
          <w:trHeight w:val="216"/>
          <w:jc w:val="center"/>
        </w:trPr>
        <w:tc>
          <w:tcPr>
            <w:tcW w:w="1800" w:type="dxa"/>
            <w:vAlign w:val="center"/>
          </w:tcPr>
          <w:p w:rsidR="001A4F55" w:rsidRDefault="001A4F55" w:rsidP="00253BDB">
            <w:pPr>
              <w:pStyle w:val="BodyText"/>
              <w:jc w:val="left"/>
            </w:pPr>
            <w:r>
              <w:t>Bismuth</w:t>
            </w:r>
          </w:p>
        </w:tc>
        <w:tc>
          <w:tcPr>
            <w:tcW w:w="1800" w:type="dxa"/>
            <w:vAlign w:val="center"/>
          </w:tcPr>
          <w:p w:rsidR="001A4F55" w:rsidRDefault="001A4F55" w:rsidP="00253BDB">
            <w:pPr>
              <w:pStyle w:val="BodyText"/>
              <w:jc w:val="left"/>
            </w:pPr>
            <w:r>
              <w:t>Hafnium</w:t>
            </w:r>
          </w:p>
        </w:tc>
        <w:tc>
          <w:tcPr>
            <w:tcW w:w="1800" w:type="dxa"/>
            <w:vAlign w:val="center"/>
          </w:tcPr>
          <w:p w:rsidR="001A4F55" w:rsidRDefault="001A4F55" w:rsidP="00253BDB">
            <w:pPr>
              <w:pStyle w:val="BodyText"/>
              <w:jc w:val="left"/>
            </w:pPr>
            <w:r>
              <w:t>Phosphorus</w:t>
            </w:r>
          </w:p>
        </w:tc>
        <w:tc>
          <w:tcPr>
            <w:tcW w:w="1800" w:type="dxa"/>
            <w:vAlign w:val="center"/>
          </w:tcPr>
          <w:p w:rsidR="001A4F55" w:rsidRDefault="001A4F55" w:rsidP="00253BDB">
            <w:pPr>
              <w:pStyle w:val="BodyText"/>
              <w:jc w:val="left"/>
            </w:pPr>
            <w:r>
              <w:t>Tin</w:t>
            </w:r>
          </w:p>
        </w:tc>
      </w:tr>
      <w:tr w:rsidR="001A4F55" w:rsidTr="00B974ED">
        <w:trPr>
          <w:trHeight w:val="216"/>
          <w:jc w:val="center"/>
        </w:trPr>
        <w:tc>
          <w:tcPr>
            <w:tcW w:w="1800" w:type="dxa"/>
            <w:vAlign w:val="center"/>
          </w:tcPr>
          <w:p w:rsidR="001A4F55" w:rsidRDefault="001A4F55" w:rsidP="00253BDB">
            <w:pPr>
              <w:pStyle w:val="BodyText"/>
              <w:jc w:val="left"/>
            </w:pPr>
            <w:r>
              <w:t>Cerium</w:t>
            </w:r>
          </w:p>
        </w:tc>
        <w:tc>
          <w:tcPr>
            <w:tcW w:w="1800" w:type="dxa"/>
            <w:vAlign w:val="center"/>
          </w:tcPr>
          <w:p w:rsidR="001A4F55" w:rsidRDefault="001A4F55" w:rsidP="00253BDB">
            <w:pPr>
              <w:pStyle w:val="BodyText"/>
              <w:jc w:val="left"/>
            </w:pPr>
            <w:r>
              <w:t>Holmium</w:t>
            </w:r>
          </w:p>
        </w:tc>
        <w:tc>
          <w:tcPr>
            <w:tcW w:w="1800" w:type="dxa"/>
            <w:vAlign w:val="center"/>
          </w:tcPr>
          <w:p w:rsidR="001A4F55" w:rsidRDefault="001A4F55" w:rsidP="00253BDB">
            <w:pPr>
              <w:pStyle w:val="BodyText"/>
              <w:jc w:val="left"/>
            </w:pPr>
            <w:r>
              <w:t>Praseodymium</w:t>
            </w:r>
          </w:p>
        </w:tc>
        <w:tc>
          <w:tcPr>
            <w:tcW w:w="1800" w:type="dxa"/>
            <w:vAlign w:val="center"/>
          </w:tcPr>
          <w:p w:rsidR="001A4F55" w:rsidRDefault="001A4F55" w:rsidP="00253BDB">
            <w:pPr>
              <w:pStyle w:val="BodyText"/>
              <w:jc w:val="left"/>
            </w:pPr>
            <w:r>
              <w:t>Tungsten</w:t>
            </w:r>
          </w:p>
        </w:tc>
      </w:tr>
      <w:tr w:rsidR="001A4F55" w:rsidTr="00B974ED">
        <w:trPr>
          <w:trHeight w:val="216"/>
          <w:jc w:val="center"/>
        </w:trPr>
        <w:tc>
          <w:tcPr>
            <w:tcW w:w="1800" w:type="dxa"/>
            <w:vAlign w:val="center"/>
          </w:tcPr>
          <w:p w:rsidR="001A4F55" w:rsidRDefault="001A4F55" w:rsidP="00253BDB">
            <w:pPr>
              <w:pStyle w:val="BodyText"/>
              <w:jc w:val="left"/>
            </w:pPr>
            <w:r>
              <w:t>Cesium</w:t>
            </w:r>
          </w:p>
        </w:tc>
        <w:tc>
          <w:tcPr>
            <w:tcW w:w="1800" w:type="dxa"/>
            <w:vAlign w:val="center"/>
          </w:tcPr>
          <w:p w:rsidR="001A4F55" w:rsidRDefault="001A4F55" w:rsidP="00253BDB">
            <w:pPr>
              <w:pStyle w:val="BodyText"/>
              <w:jc w:val="left"/>
            </w:pPr>
            <w:r>
              <w:t>Indium</w:t>
            </w:r>
          </w:p>
        </w:tc>
        <w:tc>
          <w:tcPr>
            <w:tcW w:w="1800" w:type="dxa"/>
            <w:vAlign w:val="center"/>
          </w:tcPr>
          <w:p w:rsidR="001A4F55" w:rsidRDefault="001A4F55" w:rsidP="00253BDB">
            <w:pPr>
              <w:pStyle w:val="BodyText"/>
              <w:jc w:val="left"/>
            </w:pPr>
            <w:r>
              <w:t>Rhenium</w:t>
            </w:r>
          </w:p>
        </w:tc>
        <w:tc>
          <w:tcPr>
            <w:tcW w:w="1800" w:type="dxa"/>
            <w:vAlign w:val="center"/>
          </w:tcPr>
          <w:p w:rsidR="001A4F55" w:rsidRDefault="001A4F55" w:rsidP="00253BDB">
            <w:pPr>
              <w:pStyle w:val="BodyText"/>
              <w:jc w:val="left"/>
            </w:pPr>
            <w:r>
              <w:t>Vanadium</w:t>
            </w:r>
          </w:p>
        </w:tc>
      </w:tr>
      <w:tr w:rsidR="001A4F55" w:rsidTr="00B974ED">
        <w:trPr>
          <w:trHeight w:val="216"/>
          <w:jc w:val="center"/>
        </w:trPr>
        <w:tc>
          <w:tcPr>
            <w:tcW w:w="1800" w:type="dxa"/>
            <w:vAlign w:val="center"/>
          </w:tcPr>
          <w:p w:rsidR="001A4F55" w:rsidRDefault="001A4F55" w:rsidP="00253BDB">
            <w:pPr>
              <w:pStyle w:val="BodyText"/>
              <w:jc w:val="left"/>
            </w:pPr>
            <w:r>
              <w:t>Chlorine</w:t>
            </w:r>
          </w:p>
        </w:tc>
        <w:tc>
          <w:tcPr>
            <w:tcW w:w="1800" w:type="dxa"/>
            <w:vAlign w:val="center"/>
          </w:tcPr>
          <w:p w:rsidR="001A4F55" w:rsidRDefault="001A4F55" w:rsidP="00253BDB">
            <w:pPr>
              <w:pStyle w:val="BodyText"/>
              <w:jc w:val="left"/>
            </w:pPr>
            <w:r>
              <w:t>Lithium</w:t>
            </w:r>
          </w:p>
        </w:tc>
        <w:tc>
          <w:tcPr>
            <w:tcW w:w="1800" w:type="dxa"/>
            <w:vAlign w:val="center"/>
          </w:tcPr>
          <w:p w:rsidR="001A4F55" w:rsidRDefault="001A4F55" w:rsidP="00B974ED">
            <w:pPr>
              <w:pStyle w:val="BodyText"/>
              <w:jc w:val="left"/>
            </w:pPr>
            <w:r>
              <w:t>Samarium</w:t>
            </w:r>
          </w:p>
        </w:tc>
        <w:tc>
          <w:tcPr>
            <w:tcW w:w="1800" w:type="dxa"/>
            <w:vAlign w:val="center"/>
          </w:tcPr>
          <w:p w:rsidR="001A4F55" w:rsidRDefault="001A4F55" w:rsidP="002F2721">
            <w:pPr>
              <w:pStyle w:val="BodyText"/>
              <w:jc w:val="left"/>
            </w:pPr>
            <w:r>
              <w:t>Ytterbium</w:t>
            </w:r>
          </w:p>
        </w:tc>
      </w:tr>
      <w:tr w:rsidR="001A4F55" w:rsidTr="00B974ED">
        <w:trPr>
          <w:trHeight w:val="216"/>
          <w:jc w:val="center"/>
        </w:trPr>
        <w:tc>
          <w:tcPr>
            <w:tcW w:w="1800" w:type="dxa"/>
            <w:vAlign w:val="center"/>
          </w:tcPr>
          <w:p w:rsidR="001A4F55" w:rsidRDefault="001A4F55" w:rsidP="00253BDB">
            <w:pPr>
              <w:pStyle w:val="BodyText"/>
              <w:jc w:val="left"/>
            </w:pPr>
            <w:r>
              <w:t>Chromium</w:t>
            </w:r>
          </w:p>
        </w:tc>
        <w:tc>
          <w:tcPr>
            <w:tcW w:w="1800" w:type="dxa"/>
            <w:vAlign w:val="center"/>
          </w:tcPr>
          <w:p w:rsidR="001A4F55" w:rsidRDefault="001A4F55" w:rsidP="00253BDB">
            <w:pPr>
              <w:pStyle w:val="BodyText"/>
              <w:jc w:val="left"/>
            </w:pPr>
            <w:r>
              <w:t>Lutetium</w:t>
            </w:r>
          </w:p>
        </w:tc>
        <w:tc>
          <w:tcPr>
            <w:tcW w:w="1800" w:type="dxa"/>
            <w:vAlign w:val="center"/>
          </w:tcPr>
          <w:p w:rsidR="001A4F55" w:rsidRDefault="001A4F55" w:rsidP="00B974ED">
            <w:pPr>
              <w:pStyle w:val="BodyText"/>
              <w:jc w:val="left"/>
            </w:pPr>
            <w:r>
              <w:t>Selenium</w:t>
            </w:r>
          </w:p>
        </w:tc>
        <w:tc>
          <w:tcPr>
            <w:tcW w:w="1800" w:type="dxa"/>
            <w:vAlign w:val="center"/>
          </w:tcPr>
          <w:p w:rsidR="001A4F55" w:rsidRDefault="001A4F55" w:rsidP="00253BDB">
            <w:pPr>
              <w:pStyle w:val="BodyText"/>
              <w:jc w:val="left"/>
            </w:pPr>
            <w:r>
              <w:t>Yttrium</w:t>
            </w:r>
          </w:p>
        </w:tc>
      </w:tr>
      <w:tr w:rsidR="001A4F55" w:rsidTr="00B974ED">
        <w:trPr>
          <w:trHeight w:val="216"/>
          <w:jc w:val="center"/>
        </w:trPr>
        <w:tc>
          <w:tcPr>
            <w:tcW w:w="1800" w:type="dxa"/>
            <w:vAlign w:val="center"/>
          </w:tcPr>
          <w:p w:rsidR="001A4F55" w:rsidRDefault="001A4F55" w:rsidP="00253BDB">
            <w:pPr>
              <w:pStyle w:val="BodyText"/>
              <w:jc w:val="left"/>
            </w:pPr>
            <w:r>
              <w:t>Dysprosium</w:t>
            </w:r>
          </w:p>
        </w:tc>
        <w:tc>
          <w:tcPr>
            <w:tcW w:w="1800" w:type="dxa"/>
            <w:vAlign w:val="center"/>
          </w:tcPr>
          <w:p w:rsidR="001A4F55" w:rsidRDefault="001A4F55" w:rsidP="00253BDB">
            <w:pPr>
              <w:pStyle w:val="BodyText"/>
              <w:jc w:val="left"/>
            </w:pPr>
            <w:r>
              <w:t>Magnesium</w:t>
            </w:r>
          </w:p>
        </w:tc>
        <w:tc>
          <w:tcPr>
            <w:tcW w:w="1800" w:type="dxa"/>
            <w:vAlign w:val="center"/>
          </w:tcPr>
          <w:p w:rsidR="001A4F55" w:rsidRDefault="001A4F55" w:rsidP="00253BDB">
            <w:pPr>
              <w:pStyle w:val="BodyText"/>
              <w:jc w:val="left"/>
            </w:pPr>
            <w:r>
              <w:t>Sulfur</w:t>
            </w:r>
          </w:p>
        </w:tc>
        <w:tc>
          <w:tcPr>
            <w:tcW w:w="1800" w:type="dxa"/>
            <w:vAlign w:val="center"/>
          </w:tcPr>
          <w:p w:rsidR="001A4F55" w:rsidRDefault="001A4F55" w:rsidP="00253BDB">
            <w:pPr>
              <w:pStyle w:val="BodyText"/>
              <w:jc w:val="left"/>
            </w:pPr>
            <w:r>
              <w:t>Zinc</w:t>
            </w:r>
          </w:p>
        </w:tc>
      </w:tr>
      <w:tr w:rsidR="001A4F55" w:rsidTr="00B974ED">
        <w:trPr>
          <w:trHeight w:val="216"/>
          <w:jc w:val="center"/>
        </w:trPr>
        <w:tc>
          <w:tcPr>
            <w:tcW w:w="1800" w:type="dxa"/>
            <w:vAlign w:val="center"/>
          </w:tcPr>
          <w:p w:rsidR="001A4F55" w:rsidRDefault="001A4F55" w:rsidP="00253BDB">
            <w:pPr>
              <w:pStyle w:val="BodyText"/>
              <w:jc w:val="left"/>
            </w:pPr>
            <w:r>
              <w:t>Erbium</w:t>
            </w:r>
          </w:p>
        </w:tc>
        <w:tc>
          <w:tcPr>
            <w:tcW w:w="1800" w:type="dxa"/>
            <w:vAlign w:val="center"/>
          </w:tcPr>
          <w:p w:rsidR="001A4F55" w:rsidRDefault="001A4F55" w:rsidP="00253BDB">
            <w:pPr>
              <w:pStyle w:val="BodyText"/>
              <w:jc w:val="left"/>
            </w:pPr>
            <w:r>
              <w:t>Manganese</w:t>
            </w:r>
          </w:p>
        </w:tc>
        <w:tc>
          <w:tcPr>
            <w:tcW w:w="1800" w:type="dxa"/>
            <w:vAlign w:val="center"/>
          </w:tcPr>
          <w:p w:rsidR="001A4F55" w:rsidRDefault="001A4F55" w:rsidP="00253BDB">
            <w:pPr>
              <w:pStyle w:val="BodyText"/>
              <w:jc w:val="left"/>
            </w:pPr>
            <w:r>
              <w:t>Tantalum</w:t>
            </w:r>
          </w:p>
        </w:tc>
        <w:tc>
          <w:tcPr>
            <w:tcW w:w="1800" w:type="dxa"/>
            <w:vAlign w:val="center"/>
          </w:tcPr>
          <w:p w:rsidR="001A4F55" w:rsidRDefault="001A4F55" w:rsidP="00253BDB">
            <w:pPr>
              <w:pStyle w:val="BodyText"/>
              <w:jc w:val="left"/>
            </w:pPr>
            <w:r>
              <w:t>Zirconium</w:t>
            </w:r>
          </w:p>
        </w:tc>
      </w:tr>
    </w:tbl>
    <w:p w:rsidR="002B714E" w:rsidRDefault="002B714E" w:rsidP="00D270AB">
      <w:pPr>
        <w:pStyle w:val="BodyText"/>
      </w:pPr>
    </w:p>
    <w:p w:rsidR="007C366C" w:rsidRDefault="007C366C">
      <w:r>
        <w:br w:type="page"/>
      </w:r>
    </w:p>
    <w:p w:rsidR="00C52CB5" w:rsidRDefault="00C52CB5" w:rsidP="00115FC3">
      <w:pPr>
        <w:pStyle w:val="BodyText"/>
      </w:pPr>
    </w:p>
    <w:p w:rsidR="00115FC3" w:rsidRDefault="00115FC3" w:rsidP="00115FC3">
      <w:pPr>
        <w:pStyle w:val="BodyText"/>
        <w:jc w:val="center"/>
      </w:pPr>
      <w:proofErr w:type="gramStart"/>
      <w:r>
        <w:t>Table 5.</w:t>
      </w:r>
      <w:proofErr w:type="gramEnd"/>
      <w:r>
        <w:t xml:space="preserve">  Test Methods Used for Characterization of SRM 615 by NIST and Collaborating Laboratories</w:t>
      </w:r>
    </w:p>
    <w:p w:rsidR="00115FC3" w:rsidRDefault="00115FC3" w:rsidP="00115FC3">
      <w:pPr>
        <w:pStyle w:val="BodyText"/>
        <w:jc w:val="cente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6"/>
        <w:gridCol w:w="4012"/>
      </w:tblGrid>
      <w:tr w:rsidR="00115FC3" w:rsidTr="00B20027">
        <w:trPr>
          <w:jc w:val="center"/>
        </w:trPr>
        <w:tc>
          <w:tcPr>
            <w:tcW w:w="4196" w:type="dxa"/>
            <w:vAlign w:val="center"/>
          </w:tcPr>
          <w:p w:rsidR="00115FC3" w:rsidRDefault="00115FC3" w:rsidP="00B20027">
            <w:pPr>
              <w:pStyle w:val="BodyText"/>
              <w:widowControl/>
              <w:spacing w:before="40" w:after="40"/>
              <w:jc w:val="left"/>
            </w:pPr>
            <w:r>
              <w:t>Neutron activation analysis</w:t>
            </w:r>
          </w:p>
        </w:tc>
        <w:tc>
          <w:tcPr>
            <w:tcW w:w="4012" w:type="dxa"/>
            <w:vAlign w:val="center"/>
          </w:tcPr>
          <w:p w:rsidR="00115FC3" w:rsidRDefault="00115FC3" w:rsidP="00B20027">
            <w:pPr>
              <w:pStyle w:val="BodyText"/>
              <w:widowControl/>
              <w:spacing w:before="40" w:after="40"/>
              <w:jc w:val="left"/>
            </w:pPr>
            <w:r>
              <w:t xml:space="preserve">Au, </w:t>
            </w:r>
            <w:r w:rsidR="006F4385">
              <w:t xml:space="preserve">Co, </w:t>
            </w:r>
            <w:proofErr w:type="spellStart"/>
            <w:r>
              <w:t>Eu</w:t>
            </w:r>
            <w:proofErr w:type="spellEnd"/>
            <w:r>
              <w:t xml:space="preserve">, </w:t>
            </w:r>
            <w:proofErr w:type="spellStart"/>
            <w:r>
              <w:t>Ga</w:t>
            </w:r>
            <w:proofErr w:type="spellEnd"/>
            <w:r>
              <w:t xml:space="preserve">, La, </w:t>
            </w:r>
            <w:proofErr w:type="spellStart"/>
            <w:r>
              <w:t>Sb</w:t>
            </w:r>
            <w:proofErr w:type="spellEnd"/>
            <w:r w:rsidR="006F4385">
              <w:t>, Sc</w:t>
            </w:r>
          </w:p>
        </w:tc>
      </w:tr>
      <w:tr w:rsidR="00115FC3" w:rsidTr="00B20027">
        <w:trPr>
          <w:jc w:val="center"/>
        </w:trPr>
        <w:tc>
          <w:tcPr>
            <w:tcW w:w="4196" w:type="dxa"/>
            <w:vAlign w:val="center"/>
          </w:tcPr>
          <w:p w:rsidR="00115FC3" w:rsidRDefault="00115FC3" w:rsidP="00B20027">
            <w:pPr>
              <w:pStyle w:val="BodyText"/>
              <w:widowControl/>
              <w:spacing w:before="40" w:after="40"/>
              <w:jc w:val="left"/>
            </w:pPr>
            <w:r>
              <w:t>Nuclear track counting</w:t>
            </w:r>
          </w:p>
        </w:tc>
        <w:tc>
          <w:tcPr>
            <w:tcW w:w="4012" w:type="dxa"/>
            <w:vAlign w:val="center"/>
          </w:tcPr>
          <w:p w:rsidR="00115FC3" w:rsidRDefault="00115FC3" w:rsidP="00B20027">
            <w:pPr>
              <w:pStyle w:val="BodyText"/>
              <w:widowControl/>
              <w:spacing w:before="40" w:after="40"/>
              <w:jc w:val="left"/>
            </w:pPr>
            <w:r>
              <w:t>B</w:t>
            </w:r>
          </w:p>
        </w:tc>
      </w:tr>
      <w:tr w:rsidR="00115FC3" w:rsidTr="00B20027">
        <w:trPr>
          <w:jc w:val="center"/>
        </w:trPr>
        <w:tc>
          <w:tcPr>
            <w:tcW w:w="4196" w:type="dxa"/>
            <w:vAlign w:val="center"/>
          </w:tcPr>
          <w:p w:rsidR="00115FC3" w:rsidRDefault="00115FC3" w:rsidP="00B20027">
            <w:pPr>
              <w:pStyle w:val="BodyText"/>
              <w:widowControl/>
            </w:pPr>
            <w:r>
              <w:t>Isotope dilution mass spectrometry</w:t>
            </w:r>
          </w:p>
        </w:tc>
        <w:tc>
          <w:tcPr>
            <w:tcW w:w="4012" w:type="dxa"/>
            <w:vAlign w:val="center"/>
          </w:tcPr>
          <w:p w:rsidR="00115FC3" w:rsidRDefault="00115FC3" w:rsidP="00B20027">
            <w:pPr>
              <w:pStyle w:val="BodyText"/>
              <w:widowControl/>
              <w:spacing w:before="40" w:after="40"/>
              <w:jc w:val="left"/>
            </w:pPr>
            <w:r>
              <w:t xml:space="preserve">Ag, </w:t>
            </w:r>
            <w:proofErr w:type="spellStart"/>
            <w:r>
              <w:t>Cd</w:t>
            </w:r>
            <w:proofErr w:type="spellEnd"/>
            <w:r>
              <w:t xml:space="preserve">, Cu, </w:t>
            </w:r>
            <w:proofErr w:type="spellStart"/>
            <w:r>
              <w:t>Eu</w:t>
            </w:r>
            <w:proofErr w:type="spellEnd"/>
            <w:r>
              <w:t xml:space="preserve">, K, Pb, </w:t>
            </w:r>
            <w:proofErr w:type="spellStart"/>
            <w:r>
              <w:t>Rb</w:t>
            </w:r>
            <w:proofErr w:type="spellEnd"/>
            <w:r>
              <w:t xml:space="preserve">, </w:t>
            </w:r>
            <w:proofErr w:type="spellStart"/>
            <w:r>
              <w:t>Sr</w:t>
            </w:r>
            <w:proofErr w:type="spellEnd"/>
            <w:r>
              <w:t xml:space="preserve">, </w:t>
            </w:r>
            <w:proofErr w:type="spellStart"/>
            <w:r>
              <w:t>Th</w:t>
            </w:r>
            <w:proofErr w:type="spellEnd"/>
            <w:r>
              <w:t xml:space="preserve">, </w:t>
            </w:r>
            <w:proofErr w:type="spellStart"/>
            <w:r>
              <w:t>Tl</w:t>
            </w:r>
            <w:proofErr w:type="spellEnd"/>
            <w:r>
              <w:t>, U</w:t>
            </w:r>
          </w:p>
        </w:tc>
      </w:tr>
      <w:tr w:rsidR="00115FC3" w:rsidTr="00B20027">
        <w:trPr>
          <w:jc w:val="center"/>
        </w:trPr>
        <w:tc>
          <w:tcPr>
            <w:tcW w:w="4196" w:type="dxa"/>
            <w:vAlign w:val="center"/>
          </w:tcPr>
          <w:p w:rsidR="00115FC3" w:rsidRDefault="00115FC3" w:rsidP="00B20027">
            <w:pPr>
              <w:pStyle w:val="BodyText"/>
              <w:widowControl/>
            </w:pPr>
            <w:proofErr w:type="spellStart"/>
            <w:r>
              <w:t>Polarography</w:t>
            </w:r>
            <w:proofErr w:type="spellEnd"/>
          </w:p>
        </w:tc>
        <w:tc>
          <w:tcPr>
            <w:tcW w:w="4012" w:type="dxa"/>
            <w:vAlign w:val="center"/>
          </w:tcPr>
          <w:p w:rsidR="00115FC3" w:rsidRDefault="00115FC3" w:rsidP="00B20027">
            <w:pPr>
              <w:pStyle w:val="BodyText"/>
              <w:widowControl/>
              <w:spacing w:before="40" w:after="40"/>
              <w:jc w:val="left"/>
            </w:pPr>
            <w:r>
              <w:t>Fe, Ni, Ti</w:t>
            </w:r>
          </w:p>
        </w:tc>
      </w:tr>
      <w:tr w:rsidR="00115FC3" w:rsidTr="00B20027">
        <w:trPr>
          <w:jc w:val="center"/>
        </w:trPr>
        <w:tc>
          <w:tcPr>
            <w:tcW w:w="4196" w:type="dxa"/>
            <w:vAlign w:val="center"/>
          </w:tcPr>
          <w:p w:rsidR="00115FC3" w:rsidRDefault="00115FC3" w:rsidP="00B20027">
            <w:pPr>
              <w:pStyle w:val="BodyText"/>
              <w:widowControl/>
              <w:spacing w:before="40" w:after="40"/>
              <w:jc w:val="left"/>
            </w:pPr>
            <w:r>
              <w:t>Flame emission spectrometry</w:t>
            </w:r>
          </w:p>
        </w:tc>
        <w:tc>
          <w:tcPr>
            <w:tcW w:w="4012" w:type="dxa"/>
            <w:vAlign w:val="center"/>
          </w:tcPr>
          <w:p w:rsidR="00115FC3" w:rsidRDefault="00115FC3" w:rsidP="00B20027">
            <w:pPr>
              <w:pStyle w:val="BodyText"/>
              <w:widowControl/>
              <w:spacing w:before="40" w:after="40"/>
              <w:jc w:val="left"/>
            </w:pPr>
            <w:r>
              <w:t xml:space="preserve">K, </w:t>
            </w:r>
            <w:proofErr w:type="spellStart"/>
            <w:r>
              <w:t>Rb</w:t>
            </w:r>
            <w:proofErr w:type="spellEnd"/>
          </w:p>
        </w:tc>
      </w:tr>
    </w:tbl>
    <w:p w:rsidR="00115FC3" w:rsidRDefault="00115FC3" w:rsidP="00115FC3">
      <w:pPr>
        <w:pStyle w:val="BodyText"/>
      </w:pPr>
    </w:p>
    <w:p w:rsidR="00115FC3" w:rsidRDefault="00115FC3" w:rsidP="00115FC3">
      <w:pPr>
        <w:pStyle w:val="BodyText"/>
        <w:widowControl/>
      </w:pPr>
    </w:p>
    <w:p w:rsidR="00D2380E" w:rsidRDefault="00D2380E" w:rsidP="00115FC3">
      <w:pPr>
        <w:pStyle w:val="BodyText"/>
        <w:widowControl/>
      </w:pPr>
    </w:p>
    <w:p w:rsidR="00D2380E" w:rsidRDefault="00D2380E" w:rsidP="00115FC3">
      <w:pPr>
        <w:pStyle w:val="BodyText"/>
        <w:widowControl/>
      </w:pPr>
    </w:p>
    <w:p w:rsidR="00D2380E" w:rsidRDefault="00D2380E" w:rsidP="00115FC3">
      <w:pPr>
        <w:pStyle w:val="BodyText"/>
        <w:widowControl/>
      </w:pPr>
    </w:p>
    <w:p w:rsidR="00D2380E" w:rsidRDefault="00D2380E" w:rsidP="00115FC3">
      <w:pPr>
        <w:pStyle w:val="BodyText"/>
        <w:widowControl/>
      </w:pPr>
    </w:p>
    <w:p w:rsidR="00115FC3" w:rsidRDefault="00115FC3" w:rsidP="00115FC3">
      <w:pPr>
        <w:pStyle w:val="BodyText"/>
        <w:jc w:val="center"/>
      </w:pPr>
      <w:r>
        <w:t>REFERENCES</w:t>
      </w:r>
    </w:p>
    <w:p w:rsidR="00115FC3" w:rsidRDefault="00115FC3" w:rsidP="00115FC3">
      <w:pPr>
        <w:pStyle w:val="BodyTextIndent"/>
      </w:pPr>
    </w:p>
    <w:p w:rsidR="00115FC3" w:rsidRDefault="00115FC3" w:rsidP="00115FC3">
      <w:pPr>
        <w:pStyle w:val="BodyTextIndent2"/>
        <w:numPr>
          <w:ilvl w:val="0"/>
          <w:numId w:val="3"/>
        </w:numPr>
        <w:tabs>
          <w:tab w:val="left" w:pos="540"/>
        </w:tabs>
        <w:rPr>
          <w:kern w:val="2"/>
          <w:sz w:val="20"/>
        </w:rPr>
      </w:pPr>
      <w:r w:rsidRPr="00E96909">
        <w:rPr>
          <w:sz w:val="20"/>
        </w:rPr>
        <w:t xml:space="preserve">Thompson, A.; </w:t>
      </w:r>
      <w:r w:rsidRPr="00E96909">
        <w:rPr>
          <w:kern w:val="2"/>
          <w:sz w:val="20"/>
        </w:rPr>
        <w:t xml:space="preserve">Taylor, B.N.; </w:t>
      </w:r>
      <w:r w:rsidRPr="00E96909">
        <w:rPr>
          <w:i/>
          <w:kern w:val="2"/>
          <w:sz w:val="20"/>
        </w:rPr>
        <w:t xml:space="preserve">Guide for the Use of the International System of Units (SI); </w:t>
      </w:r>
      <w:r w:rsidRPr="00E96909">
        <w:rPr>
          <w:kern w:val="2"/>
          <w:sz w:val="20"/>
        </w:rPr>
        <w:t xml:space="preserve">NIST Special Publication 811; U.S. Government Printing Office: Washington, DC (2008); available at </w:t>
      </w:r>
      <w:hyperlink r:id="rId10" w:history="1">
        <w:r w:rsidRPr="00E96909">
          <w:rPr>
            <w:rStyle w:val="Hyperlink"/>
            <w:sz w:val="20"/>
          </w:rPr>
          <w:t>http://www.nist.gov/pml/pubs/index.cfm/</w:t>
        </w:r>
      </w:hyperlink>
      <w:r w:rsidRPr="00E96909">
        <w:rPr>
          <w:rStyle w:val="Hyperlink"/>
          <w:sz w:val="20"/>
        </w:rPr>
        <w:t xml:space="preserve"> (accesse</w:t>
      </w:r>
      <w:r w:rsidRPr="00043C75">
        <w:rPr>
          <w:rStyle w:val="Hyperlink"/>
          <w:sz w:val="20"/>
        </w:rPr>
        <w:t xml:space="preserve">d </w:t>
      </w:r>
      <w:r w:rsidR="007C3EDD">
        <w:rPr>
          <w:rFonts w:eastAsia="Calibri"/>
          <w:sz w:val="20"/>
        </w:rPr>
        <w:t>Apr </w:t>
      </w:r>
      <w:r w:rsidRPr="00896E84">
        <w:rPr>
          <w:rFonts w:eastAsia="Calibri"/>
          <w:sz w:val="20"/>
        </w:rPr>
        <w:t>2012</w:t>
      </w:r>
      <w:r w:rsidRPr="00E96909">
        <w:rPr>
          <w:rStyle w:val="Hyperlink"/>
          <w:sz w:val="20"/>
        </w:rPr>
        <w:t>)</w:t>
      </w:r>
      <w:r w:rsidRPr="00E96909">
        <w:rPr>
          <w:kern w:val="2"/>
          <w:sz w:val="20"/>
        </w:rPr>
        <w:t>.</w:t>
      </w:r>
    </w:p>
    <w:p w:rsidR="00115FC3" w:rsidRDefault="00115FC3" w:rsidP="00115FC3">
      <w:pPr>
        <w:pStyle w:val="BodyTextIndent2"/>
        <w:numPr>
          <w:ilvl w:val="0"/>
          <w:numId w:val="3"/>
        </w:numPr>
        <w:tabs>
          <w:tab w:val="left" w:pos="540"/>
        </w:tabs>
        <w:rPr>
          <w:kern w:val="2"/>
          <w:sz w:val="20"/>
        </w:rPr>
      </w:pPr>
      <w:proofErr w:type="gramStart"/>
      <w:r w:rsidRPr="00E96909">
        <w:rPr>
          <w:kern w:val="2"/>
          <w:sz w:val="20"/>
        </w:rPr>
        <w:t xml:space="preserve">May, W.; Parris, R.; Beck, C.; </w:t>
      </w:r>
      <w:proofErr w:type="spellStart"/>
      <w:r w:rsidRPr="00E96909">
        <w:rPr>
          <w:kern w:val="2"/>
          <w:sz w:val="20"/>
        </w:rPr>
        <w:t>Fassett</w:t>
      </w:r>
      <w:proofErr w:type="spellEnd"/>
      <w:r w:rsidRPr="00E96909">
        <w:rPr>
          <w:kern w:val="2"/>
          <w:sz w:val="20"/>
        </w:rPr>
        <w:t xml:space="preserve">, J.; Greenberg, R.; Guenther, F.; Kramer, G.; Wise, S.; Gills, T.; Colbert, J.; </w:t>
      </w:r>
      <w:proofErr w:type="spellStart"/>
      <w:r w:rsidRPr="00E96909">
        <w:rPr>
          <w:kern w:val="2"/>
          <w:sz w:val="20"/>
        </w:rPr>
        <w:t>Gettings</w:t>
      </w:r>
      <w:proofErr w:type="spellEnd"/>
      <w:r w:rsidRPr="00E96909">
        <w:rPr>
          <w:kern w:val="2"/>
          <w:sz w:val="20"/>
        </w:rPr>
        <w:t xml:space="preserve">, R.; MacDonald, B.; </w:t>
      </w:r>
      <w:r w:rsidRPr="00E96909">
        <w:rPr>
          <w:i/>
          <w:kern w:val="2"/>
          <w:sz w:val="20"/>
        </w:rPr>
        <w:t>Definitions of Terms and Modes Used at NIST for Value</w:t>
      </w:r>
      <w:r>
        <w:rPr>
          <w:i/>
          <w:kern w:val="2"/>
          <w:sz w:val="20"/>
        </w:rPr>
        <w:noBreakHyphen/>
      </w:r>
      <w:proofErr w:type="spellStart"/>
      <w:r w:rsidRPr="00E96909">
        <w:rPr>
          <w:i/>
          <w:kern w:val="2"/>
          <w:sz w:val="20"/>
        </w:rPr>
        <w:t>Assignment</w:t>
      </w:r>
      <w:proofErr w:type="spellEnd"/>
      <w:r w:rsidRPr="00E96909">
        <w:rPr>
          <w:i/>
          <w:kern w:val="2"/>
          <w:sz w:val="20"/>
        </w:rPr>
        <w:t xml:space="preserve"> of Reference Materials for Chemical Measurements; </w:t>
      </w:r>
      <w:r w:rsidRPr="00E96909">
        <w:rPr>
          <w:kern w:val="2"/>
          <w:sz w:val="20"/>
        </w:rPr>
        <w:t>NIST Special Publication 260</w:t>
      </w:r>
      <w:r>
        <w:rPr>
          <w:kern w:val="2"/>
          <w:sz w:val="20"/>
        </w:rPr>
        <w:noBreakHyphen/>
      </w:r>
      <w:r w:rsidRPr="00E96909">
        <w:rPr>
          <w:kern w:val="2"/>
          <w:sz w:val="20"/>
        </w:rPr>
        <w:t xml:space="preserve">136; U.S. Government Printing Office: </w:t>
      </w:r>
      <w:r>
        <w:rPr>
          <w:kern w:val="2"/>
          <w:sz w:val="20"/>
        </w:rPr>
        <w:t>Washington</w:t>
      </w:r>
      <w:r w:rsidRPr="00E96909">
        <w:rPr>
          <w:kern w:val="2"/>
          <w:sz w:val="20"/>
        </w:rPr>
        <w:t>, </w:t>
      </w:r>
      <w:r>
        <w:rPr>
          <w:kern w:val="2"/>
          <w:sz w:val="20"/>
        </w:rPr>
        <w:t>DC</w:t>
      </w:r>
      <w:r w:rsidRPr="00E96909">
        <w:rPr>
          <w:kern w:val="2"/>
          <w:sz w:val="20"/>
        </w:rPr>
        <w:t xml:space="preserve"> (2000); available at</w:t>
      </w:r>
      <w:r w:rsidRPr="00E96909">
        <w:rPr>
          <w:sz w:val="20"/>
        </w:rPr>
        <w:t xml:space="preserve"> </w:t>
      </w:r>
      <w:hyperlink r:id="rId11" w:history="1">
        <w:r w:rsidRPr="00E96909">
          <w:rPr>
            <w:rStyle w:val="Hyperlink"/>
            <w:sz w:val="20"/>
          </w:rPr>
          <w:t>http://www.nist.gov/srm/publications.cfm</w:t>
        </w:r>
      </w:hyperlink>
      <w:r w:rsidRPr="00E96909">
        <w:rPr>
          <w:rStyle w:val="Hyperlink"/>
          <w:sz w:val="20"/>
        </w:rPr>
        <w:t xml:space="preserve"> (accessed </w:t>
      </w:r>
      <w:r w:rsidR="007C3EDD">
        <w:rPr>
          <w:rStyle w:val="Hyperlink"/>
          <w:sz w:val="20"/>
        </w:rPr>
        <w:t>Apr </w:t>
      </w:r>
      <w:r>
        <w:rPr>
          <w:rStyle w:val="Hyperlink"/>
          <w:sz w:val="20"/>
        </w:rPr>
        <w:t>2012</w:t>
      </w:r>
      <w:r w:rsidRPr="00E96909">
        <w:rPr>
          <w:rStyle w:val="Hyperlink"/>
          <w:sz w:val="20"/>
        </w:rPr>
        <w:t>)</w:t>
      </w:r>
      <w:r w:rsidR="006820B8">
        <w:rPr>
          <w:rStyle w:val="Hyperlink"/>
          <w:sz w:val="20"/>
        </w:rPr>
        <w:t>.</w:t>
      </w:r>
      <w:proofErr w:type="gramEnd"/>
    </w:p>
    <w:p w:rsidR="00115FC3" w:rsidRDefault="00115FC3" w:rsidP="00115FC3">
      <w:pPr>
        <w:tabs>
          <w:tab w:val="left" w:pos="-1440"/>
          <w:tab w:val="left" w:pos="-720"/>
          <w:tab w:val="left" w:pos="414"/>
        </w:tabs>
        <w:jc w:val="both"/>
      </w:pPr>
    </w:p>
    <w:p w:rsidR="00115FC3" w:rsidRDefault="00115FC3" w:rsidP="00115FC3">
      <w:pPr>
        <w:tabs>
          <w:tab w:val="left" w:pos="-1440"/>
          <w:tab w:val="left" w:pos="-720"/>
          <w:tab w:val="left" w:pos="414"/>
        </w:tabs>
        <w:jc w:val="both"/>
      </w:pPr>
    </w:p>
    <w:p w:rsidR="00115FC3" w:rsidRDefault="00115FC3" w:rsidP="00115FC3">
      <w:pPr>
        <w:tabs>
          <w:tab w:val="left" w:pos="-1440"/>
          <w:tab w:val="left" w:pos="-720"/>
          <w:tab w:val="left" w:pos="414"/>
        </w:tabs>
        <w:jc w:val="both"/>
      </w:pPr>
    </w:p>
    <w:p w:rsidR="00D2380E" w:rsidRDefault="00D2380E" w:rsidP="00115FC3">
      <w:pPr>
        <w:tabs>
          <w:tab w:val="left" w:pos="-1440"/>
          <w:tab w:val="left" w:pos="-720"/>
          <w:tab w:val="left" w:pos="414"/>
        </w:tabs>
        <w:jc w:val="both"/>
      </w:pPr>
    </w:p>
    <w:p w:rsidR="00D2380E" w:rsidRDefault="00D2380E" w:rsidP="00115FC3">
      <w:pPr>
        <w:tabs>
          <w:tab w:val="left" w:pos="-1440"/>
          <w:tab w:val="left" w:pos="-720"/>
          <w:tab w:val="left" w:pos="414"/>
        </w:tabs>
        <w:jc w:val="both"/>
      </w:pPr>
    </w:p>
    <w:p w:rsidR="00D2380E" w:rsidRDefault="00D2380E" w:rsidP="00115FC3">
      <w:pPr>
        <w:tabs>
          <w:tab w:val="left" w:pos="-1440"/>
          <w:tab w:val="left" w:pos="-720"/>
          <w:tab w:val="left" w:pos="414"/>
        </w:tabs>
        <w:jc w:val="both"/>
      </w:pPr>
    </w:p>
    <w:p w:rsidR="00D2380E" w:rsidRDefault="00D2380E"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115FC3">
      <w:pPr>
        <w:tabs>
          <w:tab w:val="left" w:pos="-1440"/>
          <w:tab w:val="left" w:pos="-720"/>
          <w:tab w:val="left" w:pos="414"/>
        </w:tabs>
        <w:jc w:val="both"/>
      </w:pPr>
    </w:p>
    <w:p w:rsidR="007C366C" w:rsidRDefault="007C366C" w:rsidP="007C366C">
      <w:pPr>
        <w:tabs>
          <w:tab w:val="left" w:pos="-1440"/>
          <w:tab w:val="left" w:pos="-720"/>
          <w:tab w:val="left" w:pos="414"/>
        </w:tabs>
        <w:jc w:val="both"/>
      </w:pPr>
    </w:p>
    <w:tbl>
      <w:tblPr>
        <w:tblStyle w:val="TableGrid"/>
        <w:tblW w:w="0" w:type="auto"/>
        <w:tblLook w:val="04A0"/>
      </w:tblPr>
      <w:tblGrid>
        <w:gridCol w:w="9576"/>
      </w:tblGrid>
      <w:tr w:rsidR="007C366C" w:rsidTr="007C366C">
        <w:tc>
          <w:tcPr>
            <w:tcW w:w="9576" w:type="dxa"/>
          </w:tcPr>
          <w:p w:rsidR="007C366C" w:rsidRDefault="007C366C" w:rsidP="006820B8">
            <w:pPr>
              <w:jc w:val="both"/>
            </w:pPr>
            <w:proofErr w:type="gramStart"/>
            <w:r w:rsidRPr="00741D13">
              <w:rPr>
                <w:b/>
                <w:bCs/>
                <w:sz w:val="16"/>
                <w:szCs w:val="16"/>
              </w:rPr>
              <w:t>Certificate Revision History:</w:t>
            </w:r>
            <w:r w:rsidRPr="00610792">
              <w:rPr>
                <w:bCs/>
                <w:sz w:val="16"/>
                <w:szCs w:val="16"/>
              </w:rPr>
              <w:t xml:space="preserve">  </w:t>
            </w:r>
            <w:r w:rsidR="00610792">
              <w:rPr>
                <w:sz w:val="16"/>
                <w:szCs w:val="16"/>
              </w:rPr>
              <w:t>06 April</w:t>
            </w:r>
            <w:r w:rsidR="00610792" w:rsidRPr="003B103C">
              <w:rPr>
                <w:sz w:val="16"/>
                <w:szCs w:val="16"/>
              </w:rPr>
              <w:t> 2012</w:t>
            </w:r>
            <w:r w:rsidR="00610792">
              <w:rPr>
                <w:sz w:val="16"/>
                <w:szCs w:val="16"/>
              </w:rPr>
              <w:t xml:space="preserve"> </w:t>
            </w:r>
            <w:r w:rsidR="00610792" w:rsidRPr="003B103C">
              <w:rPr>
                <w:sz w:val="16"/>
                <w:szCs w:val="16"/>
              </w:rPr>
              <w:t>(</w:t>
            </w:r>
            <w:r w:rsidR="00610792">
              <w:rPr>
                <w:sz w:val="16"/>
                <w:szCs w:val="16"/>
              </w:rPr>
              <w:t xml:space="preserve">Changed information values for boron, cobalt, europium, iron, lanthanum, scandium, thallium, and titanium to reference values; </w:t>
            </w:r>
            <w:r w:rsidR="00126EF6">
              <w:rPr>
                <w:sz w:val="16"/>
                <w:szCs w:val="16"/>
              </w:rPr>
              <w:t xml:space="preserve">Changed unit size from 6 wafers to 4 wafers; </w:t>
            </w:r>
            <w:r w:rsidRPr="003B103C">
              <w:rPr>
                <w:sz w:val="16"/>
                <w:szCs w:val="16"/>
              </w:rPr>
              <w:t xml:space="preserve">Editorial </w:t>
            </w:r>
            <w:r w:rsidR="006820B8">
              <w:rPr>
                <w:sz w:val="16"/>
                <w:szCs w:val="16"/>
              </w:rPr>
              <w:t>changes</w:t>
            </w:r>
            <w:r w:rsidRPr="003B103C">
              <w:rPr>
                <w:sz w:val="16"/>
                <w:szCs w:val="16"/>
              </w:rPr>
              <w:t>);</w:t>
            </w:r>
            <w:r w:rsidRPr="003460E9">
              <w:rPr>
                <w:sz w:val="16"/>
                <w:szCs w:val="16"/>
              </w:rPr>
              <w:t xml:space="preserve"> </w:t>
            </w:r>
            <w:r>
              <w:rPr>
                <w:sz w:val="16"/>
                <w:szCs w:val="16"/>
              </w:rPr>
              <w:t>27</w:t>
            </w:r>
            <w:r w:rsidRPr="003460E9">
              <w:rPr>
                <w:sz w:val="16"/>
                <w:szCs w:val="16"/>
              </w:rPr>
              <w:t> January 19</w:t>
            </w:r>
            <w:r>
              <w:rPr>
                <w:sz w:val="16"/>
                <w:szCs w:val="16"/>
              </w:rPr>
              <w:t>9</w:t>
            </w:r>
            <w:r w:rsidRPr="003460E9">
              <w:rPr>
                <w:sz w:val="16"/>
                <w:szCs w:val="16"/>
              </w:rPr>
              <w:t xml:space="preserve">2 (Editorial </w:t>
            </w:r>
            <w:r w:rsidR="006820B8">
              <w:rPr>
                <w:sz w:val="16"/>
                <w:szCs w:val="16"/>
              </w:rPr>
              <w:t>change</w:t>
            </w:r>
            <w:r w:rsidR="006820B8" w:rsidRPr="003460E9">
              <w:rPr>
                <w:sz w:val="16"/>
                <w:szCs w:val="16"/>
              </w:rPr>
              <w:t>s</w:t>
            </w:r>
            <w:r w:rsidRPr="003460E9">
              <w:rPr>
                <w:sz w:val="16"/>
                <w:szCs w:val="16"/>
              </w:rPr>
              <w:t>)</w:t>
            </w:r>
            <w:r>
              <w:rPr>
                <w:sz w:val="16"/>
                <w:szCs w:val="16"/>
              </w:rPr>
              <w:t>;</w:t>
            </w:r>
            <w:r w:rsidRPr="003B103C">
              <w:rPr>
                <w:sz w:val="16"/>
                <w:szCs w:val="16"/>
              </w:rPr>
              <w:t xml:space="preserve"> </w:t>
            </w:r>
            <w:r>
              <w:rPr>
                <w:sz w:val="16"/>
                <w:szCs w:val="16"/>
              </w:rPr>
              <w:t>0</w:t>
            </w:r>
            <w:r w:rsidRPr="003B103C">
              <w:rPr>
                <w:sz w:val="16"/>
                <w:szCs w:val="16"/>
              </w:rPr>
              <w:t xml:space="preserve">4 January 1982 (Editorial </w:t>
            </w:r>
            <w:r w:rsidR="006820B8">
              <w:rPr>
                <w:sz w:val="16"/>
                <w:szCs w:val="16"/>
              </w:rPr>
              <w:t>change</w:t>
            </w:r>
            <w:r w:rsidR="006820B8" w:rsidRPr="003B103C">
              <w:rPr>
                <w:sz w:val="16"/>
                <w:szCs w:val="16"/>
              </w:rPr>
              <w:t>s</w:t>
            </w:r>
            <w:r w:rsidRPr="003B103C">
              <w:rPr>
                <w:sz w:val="16"/>
                <w:szCs w:val="16"/>
              </w:rPr>
              <w:t xml:space="preserve">); 08 August 1972 (Revised values for </w:t>
            </w:r>
            <w:r>
              <w:rPr>
                <w:sz w:val="16"/>
                <w:szCs w:val="16"/>
              </w:rPr>
              <w:t>boron</w:t>
            </w:r>
            <w:r w:rsidRPr="003B103C">
              <w:rPr>
                <w:sz w:val="16"/>
                <w:szCs w:val="16"/>
              </w:rPr>
              <w:t xml:space="preserve">, strontium, and thorium </w:t>
            </w:r>
            <w:r>
              <w:rPr>
                <w:sz w:val="16"/>
                <w:szCs w:val="16"/>
              </w:rPr>
              <w:t xml:space="preserve">and a new cadmium value </w:t>
            </w:r>
            <w:r w:rsidRPr="003B103C">
              <w:rPr>
                <w:sz w:val="16"/>
                <w:szCs w:val="16"/>
              </w:rPr>
              <w:t>based on new analytical determinations); 05 August 1970 (Original certificate date).</w:t>
            </w:r>
            <w:proofErr w:type="gramEnd"/>
          </w:p>
        </w:tc>
      </w:tr>
    </w:tbl>
    <w:p w:rsidR="007C366C" w:rsidRDefault="007C366C" w:rsidP="007C366C">
      <w:pPr>
        <w:tabs>
          <w:tab w:val="left" w:pos="-1440"/>
          <w:tab w:val="left" w:pos="-720"/>
          <w:tab w:val="left" w:pos="414"/>
        </w:tabs>
        <w:jc w:val="both"/>
      </w:pPr>
    </w:p>
    <w:p w:rsidR="00D2380E" w:rsidRDefault="00D2380E" w:rsidP="00115FC3">
      <w:pPr>
        <w:tabs>
          <w:tab w:val="left" w:pos="-1440"/>
          <w:tab w:val="left" w:pos="-720"/>
          <w:tab w:val="left" w:pos="414"/>
        </w:tabs>
        <w:jc w:val="both"/>
      </w:pPr>
    </w:p>
    <w:p w:rsidR="00D2380E" w:rsidRDefault="00D2380E" w:rsidP="00115FC3">
      <w:pPr>
        <w:pStyle w:val="BodyText"/>
        <w:rPr>
          <w:color w:val="000000"/>
        </w:rPr>
      </w:pPr>
    </w:p>
    <w:p w:rsidR="00D2380E" w:rsidRDefault="00D2380E" w:rsidP="00115FC3">
      <w:pPr>
        <w:pStyle w:val="BodyText"/>
        <w:rPr>
          <w:color w:val="000000"/>
        </w:rPr>
      </w:pPr>
    </w:p>
    <w:p w:rsidR="00D2380E" w:rsidRDefault="00D2380E" w:rsidP="00115FC3">
      <w:pPr>
        <w:pStyle w:val="BodyText"/>
        <w:rPr>
          <w:color w:val="000000"/>
        </w:rPr>
      </w:pPr>
    </w:p>
    <w:p w:rsidR="00D2380E" w:rsidRDefault="00D2380E" w:rsidP="00115FC3">
      <w:pPr>
        <w:pStyle w:val="BodyText"/>
        <w:rPr>
          <w:color w:val="000000"/>
        </w:rPr>
      </w:pPr>
    </w:p>
    <w:p w:rsidR="00D2380E" w:rsidRDefault="00D2380E" w:rsidP="00115FC3">
      <w:pPr>
        <w:pStyle w:val="BodyText"/>
        <w:rPr>
          <w:color w:val="000000"/>
        </w:rPr>
      </w:pPr>
    </w:p>
    <w:p w:rsidR="00D2380E" w:rsidRPr="00D2380E" w:rsidRDefault="00D2380E" w:rsidP="00115FC3">
      <w:pPr>
        <w:pStyle w:val="BodyText"/>
        <w:rPr>
          <w:color w:val="000000"/>
        </w:rPr>
      </w:pPr>
      <w:bookmarkStart w:id="0" w:name="_GoBack"/>
      <w:bookmarkEnd w:id="0"/>
    </w:p>
    <w:p w:rsidR="00446782" w:rsidRDefault="00115FC3" w:rsidP="00C32DC1">
      <w:pPr>
        <w:pStyle w:val="BodyText"/>
        <w:widowControl/>
      </w:pPr>
      <w:r>
        <w:rPr>
          <w:i/>
          <w:color w:val="000000"/>
        </w:rPr>
        <w:t>Users of this SRM should ensure that the Certificate of Analysis in their possession is current.  This can be accomplished by contacting the SRM Program:  telephone (301) 975</w:t>
      </w:r>
      <w:r>
        <w:rPr>
          <w:i/>
          <w:color w:val="000000"/>
        </w:rPr>
        <w:noBreakHyphen/>
        <w:t>2200; fax (301) </w:t>
      </w:r>
      <w:r w:rsidR="00A61354">
        <w:rPr>
          <w:i/>
          <w:color w:val="000000"/>
        </w:rPr>
        <w:t>948</w:t>
      </w:r>
      <w:r>
        <w:rPr>
          <w:i/>
          <w:color w:val="000000"/>
        </w:rPr>
        <w:noBreakHyphen/>
      </w:r>
      <w:r w:rsidR="00A61354">
        <w:rPr>
          <w:i/>
          <w:color w:val="000000"/>
        </w:rPr>
        <w:t>3730</w:t>
      </w:r>
      <w:r>
        <w:rPr>
          <w:i/>
          <w:color w:val="000000"/>
        </w:rPr>
        <w:t>; e</w:t>
      </w:r>
      <w:r>
        <w:rPr>
          <w:i/>
          <w:color w:val="000000"/>
        </w:rPr>
        <w:noBreakHyphen/>
        <w:t>mail </w:t>
      </w:r>
      <w:hyperlink r:id="rId12" w:history="1">
        <w:r>
          <w:rPr>
            <w:rStyle w:val="Hyperlink"/>
            <w:i/>
            <w:color w:val="000000"/>
          </w:rPr>
          <w:t>srminfo@nist.gov</w:t>
        </w:r>
      </w:hyperlink>
      <w:proofErr w:type="gramStart"/>
      <w:r>
        <w:rPr>
          <w:i/>
          <w:color w:val="000000"/>
        </w:rPr>
        <w:t>;</w:t>
      </w:r>
      <w:proofErr w:type="gramEnd"/>
      <w:r>
        <w:rPr>
          <w:i/>
          <w:color w:val="000000"/>
        </w:rPr>
        <w:t xml:space="preserve"> or via the Internet </w:t>
      </w:r>
      <w:r w:rsidRPr="000C4186">
        <w:rPr>
          <w:i/>
          <w:color w:val="000000"/>
        </w:rPr>
        <w:t xml:space="preserve">at </w:t>
      </w:r>
      <w:hyperlink r:id="rId13" w:history="1">
        <w:r w:rsidRPr="000C4186">
          <w:rPr>
            <w:rStyle w:val="Hyperlink"/>
            <w:i/>
          </w:rPr>
          <w:t>http://www.nist.gov/srm</w:t>
        </w:r>
      </w:hyperlink>
      <w:r w:rsidRPr="000C4186">
        <w:rPr>
          <w:i/>
          <w:color w:val="000000"/>
        </w:rPr>
        <w:t>.</w:t>
      </w:r>
    </w:p>
    <w:sectPr w:rsidR="00446782" w:rsidSect="00857CE8">
      <w:footerReference w:type="default" r:id="rId14"/>
      <w:type w:val="continuous"/>
      <w:pgSz w:w="12240" w:h="15840" w:code="1"/>
      <w:pgMar w:top="720" w:right="1440" w:bottom="720" w:left="1440" w:header="72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66C" w:rsidRDefault="007C366C">
      <w:r>
        <w:separator/>
      </w:r>
    </w:p>
  </w:endnote>
  <w:endnote w:type="continuationSeparator" w:id="0">
    <w:p w:rsidR="007C366C" w:rsidRDefault="007C36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notext">
    <w:altName w:val="Courier New"/>
    <w:panose1 w:val="000005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66C" w:rsidRDefault="007C366C" w:rsidP="00857CE8">
    <w:pPr>
      <w:pStyle w:val="Footer"/>
      <w:tabs>
        <w:tab w:val="clear" w:pos="4320"/>
        <w:tab w:val="clear" w:pos="8640"/>
        <w:tab w:val="right" w:pos="9270"/>
      </w:tabs>
    </w:pPr>
    <w:r>
      <w:t>SRM 615</w:t>
    </w:r>
    <w:r>
      <w:tab/>
    </w:r>
    <w:r>
      <w:rPr>
        <w:snapToGrid w:val="0"/>
      </w:rPr>
      <w:t xml:space="preserve">Page </w:t>
    </w:r>
    <w:r w:rsidR="00EE2324">
      <w:rPr>
        <w:snapToGrid w:val="0"/>
      </w:rPr>
      <w:fldChar w:fldCharType="begin"/>
    </w:r>
    <w:r>
      <w:rPr>
        <w:snapToGrid w:val="0"/>
      </w:rPr>
      <w:instrText xml:space="preserve"> PAGE </w:instrText>
    </w:r>
    <w:r w:rsidR="00EE2324">
      <w:rPr>
        <w:snapToGrid w:val="0"/>
      </w:rPr>
      <w:fldChar w:fldCharType="separate"/>
    </w:r>
    <w:r w:rsidR="007C1C2C">
      <w:rPr>
        <w:noProof/>
        <w:snapToGrid w:val="0"/>
      </w:rPr>
      <w:t>4</w:t>
    </w:r>
    <w:r w:rsidR="00EE2324">
      <w:rPr>
        <w:snapToGrid w:val="0"/>
      </w:rPr>
      <w:fldChar w:fldCharType="end"/>
    </w:r>
    <w:r>
      <w:rPr>
        <w:snapToGrid w:val="0"/>
      </w:rPr>
      <w:t xml:space="preserve"> of </w:t>
    </w:r>
    <w:r w:rsidR="00EE2324">
      <w:rPr>
        <w:snapToGrid w:val="0"/>
      </w:rPr>
      <w:fldChar w:fldCharType="begin"/>
    </w:r>
    <w:r>
      <w:rPr>
        <w:snapToGrid w:val="0"/>
      </w:rPr>
      <w:instrText xml:space="preserve"> NUMPAGES </w:instrText>
    </w:r>
    <w:r w:rsidR="00EE2324">
      <w:rPr>
        <w:snapToGrid w:val="0"/>
      </w:rPr>
      <w:fldChar w:fldCharType="separate"/>
    </w:r>
    <w:r w:rsidR="007C1C2C">
      <w:rPr>
        <w:noProof/>
        <w:snapToGrid w:val="0"/>
      </w:rPr>
      <w:t>4</w:t>
    </w:r>
    <w:r w:rsidR="00EE2324">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66C" w:rsidRDefault="007C366C">
      <w:r>
        <w:separator/>
      </w:r>
    </w:p>
  </w:footnote>
  <w:footnote w:type="continuationSeparator" w:id="0">
    <w:p w:rsidR="007C366C" w:rsidRDefault="007C36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
    <w:nsid w:val="11870A9A"/>
    <w:multiLevelType w:val="hybridMultilevel"/>
    <w:tmpl w:val="E39216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B05F85"/>
    <w:multiLevelType w:val="singleLevel"/>
    <w:tmpl w:val="76783E5E"/>
    <w:lvl w:ilvl="0">
      <w:start w:val="1"/>
      <w:numFmt w:val="decimal"/>
      <w:lvlText w:val="[%1]"/>
      <w:lvlJc w:val="left"/>
      <w:pPr>
        <w:tabs>
          <w:tab w:val="num" w:pos="360"/>
        </w:tabs>
        <w:ind w:left="360" w:hanging="360"/>
      </w:pPr>
    </w:lvl>
  </w:abstractNum>
  <w:abstractNum w:abstractNumId="3">
    <w:nsid w:val="36134042"/>
    <w:multiLevelType w:val="hybridMultilevel"/>
    <w:tmpl w:val="A3A8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9008B"/>
    <w:multiLevelType w:val="singleLevel"/>
    <w:tmpl w:val="13C839D6"/>
    <w:lvl w:ilvl="0">
      <w:start w:val="1"/>
      <w:numFmt w:val="decimal"/>
      <w:lvlText w:val="[%1]"/>
      <w:lvlJc w:val="left"/>
      <w:pPr>
        <w:tabs>
          <w:tab w:val="num" w:pos="360"/>
        </w:tabs>
        <w:ind w:left="36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E3E35"/>
    <w:rsid w:val="000000EE"/>
    <w:rsid w:val="00002922"/>
    <w:rsid w:val="000062F7"/>
    <w:rsid w:val="000161C3"/>
    <w:rsid w:val="00016922"/>
    <w:rsid w:val="00020BBC"/>
    <w:rsid w:val="00030120"/>
    <w:rsid w:val="00034BE9"/>
    <w:rsid w:val="00036A1A"/>
    <w:rsid w:val="00046D3B"/>
    <w:rsid w:val="0004780B"/>
    <w:rsid w:val="0005009B"/>
    <w:rsid w:val="00060B79"/>
    <w:rsid w:val="00073678"/>
    <w:rsid w:val="00083981"/>
    <w:rsid w:val="000B20AA"/>
    <w:rsid w:val="000C0BC1"/>
    <w:rsid w:val="000C690A"/>
    <w:rsid w:val="000D4638"/>
    <w:rsid w:val="000E224B"/>
    <w:rsid w:val="000E575F"/>
    <w:rsid w:val="000F2B4E"/>
    <w:rsid w:val="000F539B"/>
    <w:rsid w:val="000F6995"/>
    <w:rsid w:val="001009CE"/>
    <w:rsid w:val="00115FC3"/>
    <w:rsid w:val="00123CDF"/>
    <w:rsid w:val="00126EF6"/>
    <w:rsid w:val="00127501"/>
    <w:rsid w:val="00145B0A"/>
    <w:rsid w:val="001549C5"/>
    <w:rsid w:val="0015616F"/>
    <w:rsid w:val="00162C6B"/>
    <w:rsid w:val="001668DF"/>
    <w:rsid w:val="00175469"/>
    <w:rsid w:val="00176E02"/>
    <w:rsid w:val="001805F9"/>
    <w:rsid w:val="00182E42"/>
    <w:rsid w:val="00195303"/>
    <w:rsid w:val="001A4B0B"/>
    <w:rsid w:val="001A4F55"/>
    <w:rsid w:val="001A69AC"/>
    <w:rsid w:val="001B04F8"/>
    <w:rsid w:val="001B2452"/>
    <w:rsid w:val="001B5943"/>
    <w:rsid w:val="001B746A"/>
    <w:rsid w:val="001C0F49"/>
    <w:rsid w:val="001C53B6"/>
    <w:rsid w:val="001D32BE"/>
    <w:rsid w:val="001D40EC"/>
    <w:rsid w:val="001D66BE"/>
    <w:rsid w:val="001E2B27"/>
    <w:rsid w:val="001F0E36"/>
    <w:rsid w:val="001F2349"/>
    <w:rsid w:val="00203DD0"/>
    <w:rsid w:val="0020410F"/>
    <w:rsid w:val="00213F43"/>
    <w:rsid w:val="0021422C"/>
    <w:rsid w:val="00222C88"/>
    <w:rsid w:val="0022508A"/>
    <w:rsid w:val="00231712"/>
    <w:rsid w:val="00231747"/>
    <w:rsid w:val="00234308"/>
    <w:rsid w:val="00234EB4"/>
    <w:rsid w:val="00235DE6"/>
    <w:rsid w:val="00235F7C"/>
    <w:rsid w:val="00237DE2"/>
    <w:rsid w:val="00252467"/>
    <w:rsid w:val="00253BDB"/>
    <w:rsid w:val="00260FCF"/>
    <w:rsid w:val="00264E77"/>
    <w:rsid w:val="00274D75"/>
    <w:rsid w:val="0027548F"/>
    <w:rsid w:val="00282575"/>
    <w:rsid w:val="00282BF0"/>
    <w:rsid w:val="00283D03"/>
    <w:rsid w:val="00287AE2"/>
    <w:rsid w:val="00295C81"/>
    <w:rsid w:val="00297905"/>
    <w:rsid w:val="002A30E7"/>
    <w:rsid w:val="002A3108"/>
    <w:rsid w:val="002A47C4"/>
    <w:rsid w:val="002A5005"/>
    <w:rsid w:val="002A6966"/>
    <w:rsid w:val="002B2363"/>
    <w:rsid w:val="002B4924"/>
    <w:rsid w:val="002B6FD1"/>
    <w:rsid w:val="002B714E"/>
    <w:rsid w:val="002C6C92"/>
    <w:rsid w:val="002D78BA"/>
    <w:rsid w:val="002F00EC"/>
    <w:rsid w:val="002F2721"/>
    <w:rsid w:val="00305C0B"/>
    <w:rsid w:val="00311DD8"/>
    <w:rsid w:val="003124C7"/>
    <w:rsid w:val="00316D45"/>
    <w:rsid w:val="00320676"/>
    <w:rsid w:val="003258F4"/>
    <w:rsid w:val="00330E03"/>
    <w:rsid w:val="003330C9"/>
    <w:rsid w:val="00333B6D"/>
    <w:rsid w:val="0034312F"/>
    <w:rsid w:val="003473FB"/>
    <w:rsid w:val="00350D90"/>
    <w:rsid w:val="00355733"/>
    <w:rsid w:val="00364E6D"/>
    <w:rsid w:val="00367965"/>
    <w:rsid w:val="00367F4A"/>
    <w:rsid w:val="003702D3"/>
    <w:rsid w:val="00371A60"/>
    <w:rsid w:val="00383F00"/>
    <w:rsid w:val="00385703"/>
    <w:rsid w:val="003862F0"/>
    <w:rsid w:val="00390AA7"/>
    <w:rsid w:val="00391551"/>
    <w:rsid w:val="003A25B7"/>
    <w:rsid w:val="003B74BA"/>
    <w:rsid w:val="003C34B8"/>
    <w:rsid w:val="003C5960"/>
    <w:rsid w:val="003C795B"/>
    <w:rsid w:val="003D0558"/>
    <w:rsid w:val="003D37E7"/>
    <w:rsid w:val="003D3E22"/>
    <w:rsid w:val="003D6298"/>
    <w:rsid w:val="003E1E70"/>
    <w:rsid w:val="003F454B"/>
    <w:rsid w:val="004058F3"/>
    <w:rsid w:val="00410ECF"/>
    <w:rsid w:val="0042655E"/>
    <w:rsid w:val="00426924"/>
    <w:rsid w:val="00431AAE"/>
    <w:rsid w:val="004332A8"/>
    <w:rsid w:val="00446782"/>
    <w:rsid w:val="00446A36"/>
    <w:rsid w:val="0045430F"/>
    <w:rsid w:val="00460C9F"/>
    <w:rsid w:val="00462CB0"/>
    <w:rsid w:val="00471291"/>
    <w:rsid w:val="004725C6"/>
    <w:rsid w:val="00483599"/>
    <w:rsid w:val="00487035"/>
    <w:rsid w:val="004C2A0D"/>
    <w:rsid w:val="004D14C2"/>
    <w:rsid w:val="004D5B65"/>
    <w:rsid w:val="004F73E4"/>
    <w:rsid w:val="004F7CD6"/>
    <w:rsid w:val="0050479B"/>
    <w:rsid w:val="005060AD"/>
    <w:rsid w:val="00510351"/>
    <w:rsid w:val="00510FB2"/>
    <w:rsid w:val="005172CE"/>
    <w:rsid w:val="0052539D"/>
    <w:rsid w:val="00535AD6"/>
    <w:rsid w:val="00536C66"/>
    <w:rsid w:val="00537C75"/>
    <w:rsid w:val="00540AD0"/>
    <w:rsid w:val="00541150"/>
    <w:rsid w:val="00542ACD"/>
    <w:rsid w:val="00546FD2"/>
    <w:rsid w:val="005523AE"/>
    <w:rsid w:val="00561A66"/>
    <w:rsid w:val="005641EA"/>
    <w:rsid w:val="00565E11"/>
    <w:rsid w:val="005736CE"/>
    <w:rsid w:val="00581DB9"/>
    <w:rsid w:val="00590F1D"/>
    <w:rsid w:val="00591EBD"/>
    <w:rsid w:val="00592E7C"/>
    <w:rsid w:val="005943A1"/>
    <w:rsid w:val="005A3316"/>
    <w:rsid w:val="005B33EE"/>
    <w:rsid w:val="005B6183"/>
    <w:rsid w:val="005C082E"/>
    <w:rsid w:val="005C6AED"/>
    <w:rsid w:val="005E326F"/>
    <w:rsid w:val="005F14CF"/>
    <w:rsid w:val="005F22B6"/>
    <w:rsid w:val="005F642A"/>
    <w:rsid w:val="005F78BE"/>
    <w:rsid w:val="006046F8"/>
    <w:rsid w:val="00604D90"/>
    <w:rsid w:val="0060517D"/>
    <w:rsid w:val="00610792"/>
    <w:rsid w:val="00612AC4"/>
    <w:rsid w:val="00616043"/>
    <w:rsid w:val="00626F0A"/>
    <w:rsid w:val="00630DC0"/>
    <w:rsid w:val="00633038"/>
    <w:rsid w:val="006371C4"/>
    <w:rsid w:val="006461CE"/>
    <w:rsid w:val="006467F5"/>
    <w:rsid w:val="00650D65"/>
    <w:rsid w:val="006571E7"/>
    <w:rsid w:val="006642B2"/>
    <w:rsid w:val="00666B3E"/>
    <w:rsid w:val="00667006"/>
    <w:rsid w:val="006677E0"/>
    <w:rsid w:val="006720B4"/>
    <w:rsid w:val="00681A41"/>
    <w:rsid w:val="006820B8"/>
    <w:rsid w:val="00684466"/>
    <w:rsid w:val="00691D2E"/>
    <w:rsid w:val="006A06D3"/>
    <w:rsid w:val="006A133F"/>
    <w:rsid w:val="006A4A39"/>
    <w:rsid w:val="006C0AC1"/>
    <w:rsid w:val="006C1728"/>
    <w:rsid w:val="006C2A50"/>
    <w:rsid w:val="006C622C"/>
    <w:rsid w:val="006D4470"/>
    <w:rsid w:val="006E1C60"/>
    <w:rsid w:val="006F1E0E"/>
    <w:rsid w:val="006F4055"/>
    <w:rsid w:val="006F4385"/>
    <w:rsid w:val="006F608E"/>
    <w:rsid w:val="0070357E"/>
    <w:rsid w:val="007038B9"/>
    <w:rsid w:val="007171E0"/>
    <w:rsid w:val="0071788A"/>
    <w:rsid w:val="00724F70"/>
    <w:rsid w:val="0072587F"/>
    <w:rsid w:val="007262BC"/>
    <w:rsid w:val="00726353"/>
    <w:rsid w:val="00733612"/>
    <w:rsid w:val="00735631"/>
    <w:rsid w:val="007405D8"/>
    <w:rsid w:val="00741F21"/>
    <w:rsid w:val="0074227C"/>
    <w:rsid w:val="00743E7A"/>
    <w:rsid w:val="007449C4"/>
    <w:rsid w:val="00745510"/>
    <w:rsid w:val="00746A1C"/>
    <w:rsid w:val="00757994"/>
    <w:rsid w:val="007621C1"/>
    <w:rsid w:val="00770B40"/>
    <w:rsid w:val="00772F9E"/>
    <w:rsid w:val="0077477A"/>
    <w:rsid w:val="00774FFF"/>
    <w:rsid w:val="00782A43"/>
    <w:rsid w:val="00792576"/>
    <w:rsid w:val="0079274C"/>
    <w:rsid w:val="007929B4"/>
    <w:rsid w:val="00794D02"/>
    <w:rsid w:val="0079565A"/>
    <w:rsid w:val="0079586F"/>
    <w:rsid w:val="00796A4C"/>
    <w:rsid w:val="007A602F"/>
    <w:rsid w:val="007B281E"/>
    <w:rsid w:val="007B2823"/>
    <w:rsid w:val="007B4D7B"/>
    <w:rsid w:val="007C1C2C"/>
    <w:rsid w:val="007C366C"/>
    <w:rsid w:val="007C3EDD"/>
    <w:rsid w:val="007C7B43"/>
    <w:rsid w:val="007D1822"/>
    <w:rsid w:val="007D1AE1"/>
    <w:rsid w:val="007D3D9D"/>
    <w:rsid w:val="007D4E4E"/>
    <w:rsid w:val="007D5952"/>
    <w:rsid w:val="007D7B8C"/>
    <w:rsid w:val="007E3210"/>
    <w:rsid w:val="007F1E8C"/>
    <w:rsid w:val="007F2EC8"/>
    <w:rsid w:val="007F7249"/>
    <w:rsid w:val="00801C48"/>
    <w:rsid w:val="00804FB8"/>
    <w:rsid w:val="00805475"/>
    <w:rsid w:val="00805848"/>
    <w:rsid w:val="00806C1D"/>
    <w:rsid w:val="0080783D"/>
    <w:rsid w:val="00807E6C"/>
    <w:rsid w:val="00810E66"/>
    <w:rsid w:val="00811E90"/>
    <w:rsid w:val="00817C2B"/>
    <w:rsid w:val="00825954"/>
    <w:rsid w:val="0082681F"/>
    <w:rsid w:val="00826E59"/>
    <w:rsid w:val="00837A8D"/>
    <w:rsid w:val="00844E5E"/>
    <w:rsid w:val="00853B1F"/>
    <w:rsid w:val="00857CE8"/>
    <w:rsid w:val="00874464"/>
    <w:rsid w:val="00892EB8"/>
    <w:rsid w:val="00895AB8"/>
    <w:rsid w:val="008A4682"/>
    <w:rsid w:val="008B2AEB"/>
    <w:rsid w:val="008B386E"/>
    <w:rsid w:val="008C108C"/>
    <w:rsid w:val="008C492D"/>
    <w:rsid w:val="008D1082"/>
    <w:rsid w:val="008D44A1"/>
    <w:rsid w:val="008D5484"/>
    <w:rsid w:val="008E20CC"/>
    <w:rsid w:val="008E3E35"/>
    <w:rsid w:val="008E6426"/>
    <w:rsid w:val="008F1C80"/>
    <w:rsid w:val="00902AE3"/>
    <w:rsid w:val="00903DF6"/>
    <w:rsid w:val="00904896"/>
    <w:rsid w:val="009074CB"/>
    <w:rsid w:val="00920C0F"/>
    <w:rsid w:val="009255FD"/>
    <w:rsid w:val="00934D0C"/>
    <w:rsid w:val="009514F5"/>
    <w:rsid w:val="0095478F"/>
    <w:rsid w:val="00964464"/>
    <w:rsid w:val="009711EC"/>
    <w:rsid w:val="00976867"/>
    <w:rsid w:val="00987190"/>
    <w:rsid w:val="009903EE"/>
    <w:rsid w:val="0099174B"/>
    <w:rsid w:val="009939E9"/>
    <w:rsid w:val="009A26AD"/>
    <w:rsid w:val="009B30F5"/>
    <w:rsid w:val="009C11F1"/>
    <w:rsid w:val="009C553F"/>
    <w:rsid w:val="009C7E11"/>
    <w:rsid w:val="009C7EAD"/>
    <w:rsid w:val="009D2D44"/>
    <w:rsid w:val="009D7101"/>
    <w:rsid w:val="009F7928"/>
    <w:rsid w:val="009F7F92"/>
    <w:rsid w:val="00A02804"/>
    <w:rsid w:val="00A04E2D"/>
    <w:rsid w:val="00A04E31"/>
    <w:rsid w:val="00A20713"/>
    <w:rsid w:val="00A21B48"/>
    <w:rsid w:val="00A223D2"/>
    <w:rsid w:val="00A24D97"/>
    <w:rsid w:val="00A306AA"/>
    <w:rsid w:val="00A3210F"/>
    <w:rsid w:val="00A34761"/>
    <w:rsid w:val="00A367E5"/>
    <w:rsid w:val="00A403B4"/>
    <w:rsid w:val="00A416F4"/>
    <w:rsid w:val="00A423DD"/>
    <w:rsid w:val="00A46124"/>
    <w:rsid w:val="00A55BB0"/>
    <w:rsid w:val="00A61354"/>
    <w:rsid w:val="00A718B1"/>
    <w:rsid w:val="00A73F48"/>
    <w:rsid w:val="00A75D70"/>
    <w:rsid w:val="00A85015"/>
    <w:rsid w:val="00A87EA9"/>
    <w:rsid w:val="00AA0C4E"/>
    <w:rsid w:val="00AA2D1A"/>
    <w:rsid w:val="00AA4275"/>
    <w:rsid w:val="00AA52A6"/>
    <w:rsid w:val="00AB15E4"/>
    <w:rsid w:val="00AB23B1"/>
    <w:rsid w:val="00AC2D67"/>
    <w:rsid w:val="00AE0720"/>
    <w:rsid w:val="00AE4EAF"/>
    <w:rsid w:val="00AE520E"/>
    <w:rsid w:val="00AF57E7"/>
    <w:rsid w:val="00AF7F17"/>
    <w:rsid w:val="00B01B2D"/>
    <w:rsid w:val="00B20027"/>
    <w:rsid w:val="00B227D8"/>
    <w:rsid w:val="00B24DB6"/>
    <w:rsid w:val="00B26880"/>
    <w:rsid w:val="00B323B0"/>
    <w:rsid w:val="00B35E2F"/>
    <w:rsid w:val="00B36159"/>
    <w:rsid w:val="00B439F9"/>
    <w:rsid w:val="00B45E39"/>
    <w:rsid w:val="00B45F86"/>
    <w:rsid w:val="00B525DE"/>
    <w:rsid w:val="00B91A7C"/>
    <w:rsid w:val="00B974ED"/>
    <w:rsid w:val="00BA027C"/>
    <w:rsid w:val="00BA12D2"/>
    <w:rsid w:val="00BA52B3"/>
    <w:rsid w:val="00BA715E"/>
    <w:rsid w:val="00BC349A"/>
    <w:rsid w:val="00BC4C04"/>
    <w:rsid w:val="00BC7051"/>
    <w:rsid w:val="00BD239B"/>
    <w:rsid w:val="00BD418A"/>
    <w:rsid w:val="00BD7713"/>
    <w:rsid w:val="00BE1623"/>
    <w:rsid w:val="00BE5DB7"/>
    <w:rsid w:val="00C007D8"/>
    <w:rsid w:val="00C05D32"/>
    <w:rsid w:val="00C1035C"/>
    <w:rsid w:val="00C158AC"/>
    <w:rsid w:val="00C17FAB"/>
    <w:rsid w:val="00C32DC1"/>
    <w:rsid w:val="00C361E4"/>
    <w:rsid w:val="00C45616"/>
    <w:rsid w:val="00C5067A"/>
    <w:rsid w:val="00C51167"/>
    <w:rsid w:val="00C52CB5"/>
    <w:rsid w:val="00C65E22"/>
    <w:rsid w:val="00C719EA"/>
    <w:rsid w:val="00C72EF6"/>
    <w:rsid w:val="00C7542E"/>
    <w:rsid w:val="00C7729D"/>
    <w:rsid w:val="00C8062E"/>
    <w:rsid w:val="00C90F49"/>
    <w:rsid w:val="00C96136"/>
    <w:rsid w:val="00CC18EB"/>
    <w:rsid w:val="00CC3D57"/>
    <w:rsid w:val="00CC71AE"/>
    <w:rsid w:val="00CD1338"/>
    <w:rsid w:val="00CE0300"/>
    <w:rsid w:val="00CF4130"/>
    <w:rsid w:val="00CF4D13"/>
    <w:rsid w:val="00D06CEF"/>
    <w:rsid w:val="00D14FF9"/>
    <w:rsid w:val="00D21E2B"/>
    <w:rsid w:val="00D2380E"/>
    <w:rsid w:val="00D25468"/>
    <w:rsid w:val="00D270AB"/>
    <w:rsid w:val="00D27F19"/>
    <w:rsid w:val="00D34331"/>
    <w:rsid w:val="00D37129"/>
    <w:rsid w:val="00D42DB3"/>
    <w:rsid w:val="00D42FF3"/>
    <w:rsid w:val="00D5184F"/>
    <w:rsid w:val="00D5544E"/>
    <w:rsid w:val="00D6087F"/>
    <w:rsid w:val="00D659CB"/>
    <w:rsid w:val="00D70FAF"/>
    <w:rsid w:val="00D81487"/>
    <w:rsid w:val="00D82BA0"/>
    <w:rsid w:val="00D83C10"/>
    <w:rsid w:val="00D8746B"/>
    <w:rsid w:val="00D87FDD"/>
    <w:rsid w:val="00D90DCF"/>
    <w:rsid w:val="00D911EF"/>
    <w:rsid w:val="00DA0443"/>
    <w:rsid w:val="00DC2B7B"/>
    <w:rsid w:val="00DC4528"/>
    <w:rsid w:val="00DD2717"/>
    <w:rsid w:val="00DD3A6E"/>
    <w:rsid w:val="00DD65F6"/>
    <w:rsid w:val="00DE234E"/>
    <w:rsid w:val="00DE23F8"/>
    <w:rsid w:val="00DE3DD5"/>
    <w:rsid w:val="00DE4A60"/>
    <w:rsid w:val="00DF0D9A"/>
    <w:rsid w:val="00DF2B67"/>
    <w:rsid w:val="00DF35CC"/>
    <w:rsid w:val="00DF4C55"/>
    <w:rsid w:val="00DF6739"/>
    <w:rsid w:val="00E0252C"/>
    <w:rsid w:val="00E035CA"/>
    <w:rsid w:val="00E07FEF"/>
    <w:rsid w:val="00E1033D"/>
    <w:rsid w:val="00E148BF"/>
    <w:rsid w:val="00E1595B"/>
    <w:rsid w:val="00E17FC2"/>
    <w:rsid w:val="00E2315D"/>
    <w:rsid w:val="00E236F3"/>
    <w:rsid w:val="00E308A9"/>
    <w:rsid w:val="00E339AE"/>
    <w:rsid w:val="00E3424A"/>
    <w:rsid w:val="00E3463A"/>
    <w:rsid w:val="00E429A1"/>
    <w:rsid w:val="00E43440"/>
    <w:rsid w:val="00E43BD3"/>
    <w:rsid w:val="00E44FA0"/>
    <w:rsid w:val="00E4661B"/>
    <w:rsid w:val="00E474F7"/>
    <w:rsid w:val="00E4792A"/>
    <w:rsid w:val="00E53589"/>
    <w:rsid w:val="00E64CB7"/>
    <w:rsid w:val="00E65EC3"/>
    <w:rsid w:val="00E84D4F"/>
    <w:rsid w:val="00E90DA2"/>
    <w:rsid w:val="00E91FE1"/>
    <w:rsid w:val="00E94073"/>
    <w:rsid w:val="00EA28FB"/>
    <w:rsid w:val="00EA767F"/>
    <w:rsid w:val="00EB2EC6"/>
    <w:rsid w:val="00EB398B"/>
    <w:rsid w:val="00EB4537"/>
    <w:rsid w:val="00EB4E13"/>
    <w:rsid w:val="00EC5B87"/>
    <w:rsid w:val="00EC64E9"/>
    <w:rsid w:val="00ED003E"/>
    <w:rsid w:val="00ED1EA9"/>
    <w:rsid w:val="00ED7398"/>
    <w:rsid w:val="00EE2324"/>
    <w:rsid w:val="00EE6AA6"/>
    <w:rsid w:val="00F032C7"/>
    <w:rsid w:val="00F04825"/>
    <w:rsid w:val="00F1143B"/>
    <w:rsid w:val="00F14B3B"/>
    <w:rsid w:val="00F16476"/>
    <w:rsid w:val="00F17298"/>
    <w:rsid w:val="00F1770D"/>
    <w:rsid w:val="00F21C1E"/>
    <w:rsid w:val="00F26352"/>
    <w:rsid w:val="00F31F9C"/>
    <w:rsid w:val="00F3387F"/>
    <w:rsid w:val="00F370ED"/>
    <w:rsid w:val="00F44F60"/>
    <w:rsid w:val="00F537C5"/>
    <w:rsid w:val="00F53A7D"/>
    <w:rsid w:val="00F6249A"/>
    <w:rsid w:val="00F62E87"/>
    <w:rsid w:val="00F650B1"/>
    <w:rsid w:val="00F66432"/>
    <w:rsid w:val="00F72ED0"/>
    <w:rsid w:val="00F7617F"/>
    <w:rsid w:val="00F77AAD"/>
    <w:rsid w:val="00FA6FCA"/>
    <w:rsid w:val="00FA72F4"/>
    <w:rsid w:val="00FB3CDC"/>
    <w:rsid w:val="00FB4A4C"/>
    <w:rsid w:val="00FC1CB4"/>
    <w:rsid w:val="00FC44A8"/>
    <w:rsid w:val="00FC5571"/>
    <w:rsid w:val="00FD2FC1"/>
    <w:rsid w:val="00FE6829"/>
    <w:rsid w:val="00FF0FC6"/>
    <w:rsid w:val="00FF3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167"/>
  </w:style>
  <w:style w:type="paragraph" w:styleId="Heading1">
    <w:name w:val="heading 1"/>
    <w:basedOn w:val="Normal"/>
    <w:next w:val="Normal"/>
    <w:qFormat/>
    <w:rsid w:val="00C51167"/>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C51167"/>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C51167"/>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C51167"/>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C51167"/>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51167"/>
    <w:pPr>
      <w:tabs>
        <w:tab w:val="center" w:pos="4320"/>
        <w:tab w:val="right" w:pos="8640"/>
      </w:tabs>
    </w:pPr>
  </w:style>
  <w:style w:type="paragraph" w:styleId="Footer">
    <w:name w:val="footer"/>
    <w:basedOn w:val="Normal"/>
    <w:semiHidden/>
    <w:rsid w:val="00C51167"/>
    <w:pPr>
      <w:tabs>
        <w:tab w:val="center" w:pos="4320"/>
        <w:tab w:val="right" w:pos="8640"/>
      </w:tabs>
    </w:pPr>
  </w:style>
  <w:style w:type="character" w:styleId="PageNumber">
    <w:name w:val="page number"/>
    <w:basedOn w:val="DefaultParagraphFont"/>
    <w:semiHidden/>
    <w:rsid w:val="00C51167"/>
  </w:style>
  <w:style w:type="paragraph" w:styleId="Title">
    <w:name w:val="Title"/>
    <w:basedOn w:val="Normal"/>
    <w:qFormat/>
    <w:rsid w:val="00C51167"/>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C51167"/>
    <w:pPr>
      <w:jc w:val="center"/>
    </w:pPr>
    <w:rPr>
      <w:rFonts w:ascii="Lincoln" w:hAnsi="Lincoln"/>
      <w:sz w:val="60"/>
    </w:rPr>
  </w:style>
  <w:style w:type="character" w:styleId="FootnoteReference">
    <w:name w:val="footnote reference"/>
    <w:basedOn w:val="DefaultParagraphFont"/>
    <w:semiHidden/>
    <w:rsid w:val="00C51167"/>
    <w:rPr>
      <w:position w:val="6"/>
      <w:sz w:val="16"/>
    </w:rPr>
  </w:style>
  <w:style w:type="paragraph" w:styleId="FootnoteText">
    <w:name w:val="footnote text"/>
    <w:basedOn w:val="Normal"/>
    <w:semiHidden/>
    <w:rsid w:val="00C51167"/>
    <w:rPr>
      <w:rFonts w:ascii="Times" w:hAnsi="Times"/>
      <w:noProof/>
    </w:rPr>
  </w:style>
  <w:style w:type="paragraph" w:styleId="BodyText">
    <w:name w:val="Body Text"/>
    <w:basedOn w:val="Normal"/>
    <w:link w:val="BodyTextChar"/>
    <w:semiHidden/>
    <w:rsid w:val="00C51167"/>
    <w:pPr>
      <w:widowControl w:val="0"/>
      <w:jc w:val="both"/>
    </w:pPr>
  </w:style>
  <w:style w:type="paragraph" w:customStyle="1" w:styleId="HTMLBody">
    <w:name w:val="HTML Body"/>
    <w:rsid w:val="00C51167"/>
    <w:rPr>
      <w:rFonts w:ascii="Arial" w:hAnsi="Arial"/>
      <w:snapToGrid w:val="0"/>
    </w:rPr>
  </w:style>
  <w:style w:type="paragraph" w:styleId="BodyTextIndent">
    <w:name w:val="Body Text Indent"/>
    <w:basedOn w:val="Normal"/>
    <w:semiHidden/>
    <w:rsid w:val="00C51167"/>
    <w:pPr>
      <w:widowControl w:val="0"/>
      <w:tabs>
        <w:tab w:val="left" w:pos="360"/>
      </w:tabs>
      <w:ind w:left="360" w:hanging="360"/>
      <w:jc w:val="both"/>
    </w:pPr>
  </w:style>
  <w:style w:type="paragraph" w:styleId="BodyText2">
    <w:name w:val="Body Text 2"/>
    <w:basedOn w:val="Normal"/>
    <w:semiHidden/>
    <w:rsid w:val="00C51167"/>
    <w:rPr>
      <w:i/>
    </w:rPr>
  </w:style>
  <w:style w:type="paragraph" w:styleId="BodyText3">
    <w:name w:val="Body Text 3"/>
    <w:basedOn w:val="Normal"/>
    <w:semiHidden/>
    <w:rsid w:val="00C51167"/>
    <w:pPr>
      <w:jc w:val="both"/>
    </w:pPr>
  </w:style>
  <w:style w:type="paragraph" w:styleId="DocumentMap">
    <w:name w:val="Document Map"/>
    <w:basedOn w:val="Normal"/>
    <w:semiHidden/>
    <w:rsid w:val="00C51167"/>
    <w:pPr>
      <w:shd w:val="clear" w:color="auto" w:fill="000080"/>
    </w:pPr>
    <w:rPr>
      <w:rFonts w:ascii="Tahoma" w:hAnsi="Tahoma"/>
    </w:rPr>
  </w:style>
  <w:style w:type="character" w:styleId="Hyperlink">
    <w:name w:val="Hyperlink"/>
    <w:basedOn w:val="DefaultParagraphFont"/>
    <w:rsid w:val="00F650B1"/>
    <w:rPr>
      <w:color w:val="auto"/>
      <w:u w:val="none"/>
    </w:rPr>
  </w:style>
  <w:style w:type="paragraph" w:customStyle="1" w:styleId="TxBrc11">
    <w:name w:val="TxBr_c11"/>
    <w:basedOn w:val="Normal"/>
    <w:rsid w:val="00A02804"/>
    <w:pPr>
      <w:widowControl w:val="0"/>
      <w:autoSpaceDE w:val="0"/>
      <w:autoSpaceDN w:val="0"/>
      <w:adjustRightInd w:val="0"/>
      <w:spacing w:line="240" w:lineRule="atLeast"/>
      <w:jc w:val="center"/>
    </w:pPr>
    <w:rPr>
      <w:sz w:val="24"/>
      <w:szCs w:val="24"/>
    </w:rPr>
  </w:style>
  <w:style w:type="paragraph" w:customStyle="1" w:styleId="TxBrt2">
    <w:name w:val="TxBr_t2"/>
    <w:basedOn w:val="Normal"/>
    <w:rsid w:val="00364E6D"/>
    <w:pPr>
      <w:widowControl w:val="0"/>
      <w:autoSpaceDE w:val="0"/>
      <w:autoSpaceDN w:val="0"/>
      <w:adjustRightInd w:val="0"/>
      <w:spacing w:line="238" w:lineRule="atLeast"/>
    </w:pPr>
    <w:rPr>
      <w:sz w:val="24"/>
      <w:szCs w:val="24"/>
    </w:rPr>
  </w:style>
  <w:style w:type="paragraph" w:customStyle="1" w:styleId="TxBrc5">
    <w:name w:val="TxBr_c5"/>
    <w:basedOn w:val="Normal"/>
    <w:rsid w:val="00364E6D"/>
    <w:pPr>
      <w:widowControl w:val="0"/>
      <w:autoSpaceDE w:val="0"/>
      <w:autoSpaceDN w:val="0"/>
      <w:adjustRightInd w:val="0"/>
      <w:spacing w:line="240" w:lineRule="atLeast"/>
      <w:jc w:val="center"/>
    </w:pPr>
    <w:rPr>
      <w:sz w:val="24"/>
      <w:szCs w:val="24"/>
    </w:rPr>
  </w:style>
  <w:style w:type="paragraph" w:customStyle="1" w:styleId="TxBrp6">
    <w:name w:val="TxBr_p6"/>
    <w:basedOn w:val="Normal"/>
    <w:rsid w:val="00364E6D"/>
    <w:pPr>
      <w:widowControl w:val="0"/>
      <w:tabs>
        <w:tab w:val="left" w:pos="583"/>
      </w:tabs>
      <w:autoSpaceDE w:val="0"/>
      <w:autoSpaceDN w:val="0"/>
      <w:adjustRightInd w:val="0"/>
      <w:spacing w:line="238" w:lineRule="atLeast"/>
      <w:ind w:left="566"/>
      <w:jc w:val="both"/>
    </w:pPr>
    <w:rPr>
      <w:sz w:val="24"/>
      <w:szCs w:val="24"/>
    </w:rPr>
  </w:style>
  <w:style w:type="paragraph" w:customStyle="1" w:styleId="TxBrp7">
    <w:name w:val="TxBr_p7"/>
    <w:basedOn w:val="Normal"/>
    <w:rsid w:val="00364E6D"/>
    <w:pPr>
      <w:widowControl w:val="0"/>
      <w:tabs>
        <w:tab w:val="left" w:pos="583"/>
        <w:tab w:val="left" w:pos="1071"/>
      </w:tabs>
      <w:autoSpaceDE w:val="0"/>
      <w:autoSpaceDN w:val="0"/>
      <w:adjustRightInd w:val="0"/>
      <w:spacing w:line="238" w:lineRule="atLeast"/>
      <w:ind w:left="566"/>
      <w:jc w:val="both"/>
    </w:pPr>
    <w:rPr>
      <w:sz w:val="24"/>
      <w:szCs w:val="24"/>
    </w:rPr>
  </w:style>
  <w:style w:type="table" w:styleId="TableGrid">
    <w:name w:val="Table Grid"/>
    <w:basedOn w:val="TableNormal"/>
    <w:uiPriority w:val="59"/>
    <w:rsid w:val="00903D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501"/>
    <w:rPr>
      <w:rFonts w:ascii="Tahoma" w:hAnsi="Tahoma" w:cs="Tahoma"/>
      <w:sz w:val="16"/>
      <w:szCs w:val="16"/>
    </w:rPr>
  </w:style>
  <w:style w:type="character" w:customStyle="1" w:styleId="BalloonTextChar">
    <w:name w:val="Balloon Text Char"/>
    <w:basedOn w:val="DefaultParagraphFont"/>
    <w:link w:val="BalloonText"/>
    <w:uiPriority w:val="99"/>
    <w:semiHidden/>
    <w:rsid w:val="00127501"/>
    <w:rPr>
      <w:rFonts w:ascii="Tahoma" w:hAnsi="Tahoma" w:cs="Tahoma"/>
      <w:sz w:val="16"/>
      <w:szCs w:val="16"/>
    </w:rPr>
  </w:style>
  <w:style w:type="paragraph" w:styleId="NoSpacing">
    <w:name w:val="No Spacing"/>
    <w:uiPriority w:val="1"/>
    <w:qFormat/>
    <w:rsid w:val="00C32DC1"/>
  </w:style>
  <w:style w:type="character" w:styleId="CommentReference">
    <w:name w:val="annotation reference"/>
    <w:basedOn w:val="DefaultParagraphFont"/>
    <w:semiHidden/>
    <w:unhideWhenUsed/>
    <w:rsid w:val="00A718B1"/>
    <w:rPr>
      <w:sz w:val="16"/>
      <w:szCs w:val="16"/>
    </w:rPr>
  </w:style>
  <w:style w:type="paragraph" w:styleId="CommentText">
    <w:name w:val="annotation text"/>
    <w:basedOn w:val="Normal"/>
    <w:link w:val="CommentTextChar"/>
    <w:semiHidden/>
    <w:unhideWhenUsed/>
    <w:rsid w:val="00A718B1"/>
  </w:style>
  <w:style w:type="character" w:customStyle="1" w:styleId="CommentTextChar">
    <w:name w:val="Comment Text Char"/>
    <w:basedOn w:val="DefaultParagraphFont"/>
    <w:link w:val="CommentText"/>
    <w:uiPriority w:val="99"/>
    <w:semiHidden/>
    <w:rsid w:val="00A718B1"/>
  </w:style>
  <w:style w:type="paragraph" w:styleId="CommentSubject">
    <w:name w:val="annotation subject"/>
    <w:basedOn w:val="CommentText"/>
    <w:next w:val="CommentText"/>
    <w:link w:val="CommentSubjectChar"/>
    <w:uiPriority w:val="99"/>
    <w:semiHidden/>
    <w:unhideWhenUsed/>
    <w:rsid w:val="00A718B1"/>
    <w:rPr>
      <w:b/>
      <w:bCs/>
    </w:rPr>
  </w:style>
  <w:style w:type="character" w:customStyle="1" w:styleId="CommentSubjectChar">
    <w:name w:val="Comment Subject Char"/>
    <w:basedOn w:val="CommentTextChar"/>
    <w:link w:val="CommentSubject"/>
    <w:uiPriority w:val="99"/>
    <w:semiHidden/>
    <w:rsid w:val="00A718B1"/>
    <w:rPr>
      <w:b/>
      <w:bCs/>
    </w:rPr>
  </w:style>
  <w:style w:type="character" w:customStyle="1" w:styleId="BodyTextChar">
    <w:name w:val="Body Text Char"/>
    <w:basedOn w:val="DefaultParagraphFont"/>
    <w:link w:val="BodyText"/>
    <w:semiHidden/>
    <w:rsid w:val="00857CE8"/>
  </w:style>
  <w:style w:type="paragraph" w:styleId="BodyTextIndent2">
    <w:name w:val="Body Text Indent 2"/>
    <w:basedOn w:val="Normal"/>
    <w:link w:val="BodyTextIndent2Char"/>
    <w:semiHidden/>
    <w:rsid w:val="00115FC3"/>
    <w:pPr>
      <w:widowControl w:val="0"/>
      <w:tabs>
        <w:tab w:val="left" w:pos="-1440"/>
      </w:tabs>
      <w:ind w:left="360"/>
      <w:jc w:val="both"/>
    </w:pPr>
    <w:rPr>
      <w:snapToGrid w:val="0"/>
      <w:sz w:val="24"/>
    </w:rPr>
  </w:style>
  <w:style w:type="character" w:customStyle="1" w:styleId="BodyTextIndent2Char">
    <w:name w:val="Body Text Indent 2 Char"/>
    <w:basedOn w:val="DefaultParagraphFont"/>
    <w:link w:val="BodyTextIndent2"/>
    <w:semiHidden/>
    <w:rsid w:val="00115FC3"/>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167"/>
  </w:style>
  <w:style w:type="paragraph" w:styleId="Heading1">
    <w:name w:val="heading 1"/>
    <w:basedOn w:val="Normal"/>
    <w:next w:val="Normal"/>
    <w:qFormat/>
    <w:rsid w:val="00C51167"/>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C51167"/>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C51167"/>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C51167"/>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C51167"/>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51167"/>
    <w:pPr>
      <w:tabs>
        <w:tab w:val="center" w:pos="4320"/>
        <w:tab w:val="right" w:pos="8640"/>
      </w:tabs>
    </w:pPr>
  </w:style>
  <w:style w:type="paragraph" w:styleId="Footer">
    <w:name w:val="footer"/>
    <w:basedOn w:val="Normal"/>
    <w:semiHidden/>
    <w:rsid w:val="00C51167"/>
    <w:pPr>
      <w:tabs>
        <w:tab w:val="center" w:pos="4320"/>
        <w:tab w:val="right" w:pos="8640"/>
      </w:tabs>
    </w:pPr>
  </w:style>
  <w:style w:type="character" w:styleId="PageNumber">
    <w:name w:val="page number"/>
    <w:basedOn w:val="DefaultParagraphFont"/>
    <w:semiHidden/>
    <w:rsid w:val="00C51167"/>
  </w:style>
  <w:style w:type="paragraph" w:styleId="Title">
    <w:name w:val="Title"/>
    <w:basedOn w:val="Normal"/>
    <w:qFormat/>
    <w:rsid w:val="00C51167"/>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C51167"/>
    <w:pPr>
      <w:jc w:val="center"/>
    </w:pPr>
    <w:rPr>
      <w:rFonts w:ascii="Lincoln" w:hAnsi="Lincoln"/>
      <w:sz w:val="60"/>
    </w:rPr>
  </w:style>
  <w:style w:type="character" w:styleId="FootnoteReference">
    <w:name w:val="footnote reference"/>
    <w:basedOn w:val="DefaultParagraphFont"/>
    <w:semiHidden/>
    <w:rsid w:val="00C51167"/>
    <w:rPr>
      <w:position w:val="6"/>
      <w:sz w:val="16"/>
    </w:rPr>
  </w:style>
  <w:style w:type="paragraph" w:styleId="FootnoteText">
    <w:name w:val="footnote text"/>
    <w:basedOn w:val="Normal"/>
    <w:semiHidden/>
    <w:rsid w:val="00C51167"/>
    <w:rPr>
      <w:rFonts w:ascii="Times" w:hAnsi="Times"/>
      <w:noProof/>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semiHidden/>
    <w:rsid w:val="00C51167"/>
    <w:pPr>
      <w:widowControl w:val="0"/>
      <w:jc w:val="both"/>
    </w:pPr>
  </w:style>
  <w:style w:type="paragraph" w:customStyle="1" w:styleId="HTMLBody">
    <w:name w:val="HTML Body"/>
    <w:rsid w:val="00C51167"/>
    <w:rPr>
      <w:rFonts w:ascii="Arial" w:hAnsi="Arial"/>
      <w:snapToGrid w:val="0"/>
    </w:rPr>
  </w:style>
  <w:style w:type="paragraph" w:styleId="BodyTextIndent">
    <w:name w:val="Body Text Indent"/>
    <w:basedOn w:val="Normal"/>
    <w:semiHidden/>
    <w:rsid w:val="00C51167"/>
    <w:pPr>
      <w:widowControl w:val="0"/>
      <w:tabs>
        <w:tab w:val="left" w:pos="360"/>
      </w:tabs>
      <w:ind w:left="360" w:hanging="360"/>
      <w:jc w:val="both"/>
    </w:pPr>
  </w:style>
  <w:style w:type="paragraph" w:styleId="BodyText2">
    <w:name w:val="Body Text 2"/>
    <w:basedOn w:val="Normal"/>
    <w:semiHidden/>
    <w:rsid w:val="00C51167"/>
    <w:rPr>
      <w:i/>
    </w:rPr>
  </w:style>
  <w:style w:type="paragraph" w:styleId="BodyText3">
    <w:name w:val="Body Text 3"/>
    <w:basedOn w:val="Normal"/>
    <w:semiHidden/>
    <w:rsid w:val="00C51167"/>
    <w:pPr>
      <w:jc w:val="both"/>
    </w:pPr>
  </w:style>
  <w:style w:type="paragraph" w:styleId="DocumentMap">
    <w:name w:val="Document Map"/>
    <w:basedOn w:val="Normal"/>
    <w:semiHidden/>
    <w:rsid w:val="00C51167"/>
    <w:pPr>
      <w:shd w:val="clear" w:color="auto" w:fill="000080"/>
    </w:pPr>
    <w:rPr>
      <w:rFonts w:ascii="Tahoma" w:hAnsi="Tahoma"/>
    </w:rPr>
  </w:style>
  <w:style w:type="character" w:styleId="Hyperlink">
    <w:name w:val="Hyperlink"/>
    <w:basedOn w:val="DefaultParagraphFont"/>
    <w:rsid w:val="00F650B1"/>
    <w:rPr>
      <w:color w:val="auto"/>
      <w:u w:val="none"/>
    </w:rPr>
  </w:style>
  <w:style w:type="paragraph" w:customStyle="1" w:styleId="TxBrc11">
    <w:name w:val="TxBr_c11"/>
    <w:basedOn w:val="Normal"/>
    <w:rsid w:val="00A02804"/>
    <w:pPr>
      <w:widowControl w:val="0"/>
      <w:autoSpaceDE w:val="0"/>
      <w:autoSpaceDN w:val="0"/>
      <w:adjustRightInd w:val="0"/>
      <w:spacing w:line="240" w:lineRule="atLeast"/>
      <w:jc w:val="center"/>
    </w:pPr>
    <w:rPr>
      <w:sz w:val="24"/>
      <w:szCs w:val="24"/>
    </w:rPr>
  </w:style>
  <w:style w:type="paragraph" w:customStyle="1" w:styleId="TxBrt2">
    <w:name w:val="TxBr_t2"/>
    <w:basedOn w:val="Normal"/>
    <w:rsid w:val="00364E6D"/>
    <w:pPr>
      <w:widowControl w:val="0"/>
      <w:autoSpaceDE w:val="0"/>
      <w:autoSpaceDN w:val="0"/>
      <w:adjustRightInd w:val="0"/>
      <w:spacing w:line="238" w:lineRule="atLeast"/>
    </w:pPr>
    <w:rPr>
      <w:sz w:val="24"/>
      <w:szCs w:val="24"/>
    </w:rPr>
  </w:style>
  <w:style w:type="paragraph" w:customStyle="1" w:styleId="TxBrc5">
    <w:name w:val="TxBr_c5"/>
    <w:basedOn w:val="Normal"/>
    <w:rsid w:val="00364E6D"/>
    <w:pPr>
      <w:widowControl w:val="0"/>
      <w:autoSpaceDE w:val="0"/>
      <w:autoSpaceDN w:val="0"/>
      <w:adjustRightInd w:val="0"/>
      <w:spacing w:line="240" w:lineRule="atLeast"/>
      <w:jc w:val="center"/>
    </w:pPr>
    <w:rPr>
      <w:sz w:val="24"/>
      <w:szCs w:val="24"/>
    </w:rPr>
  </w:style>
  <w:style w:type="paragraph" w:customStyle="1" w:styleId="TxBrp6">
    <w:name w:val="TxBr_p6"/>
    <w:basedOn w:val="Normal"/>
    <w:rsid w:val="00364E6D"/>
    <w:pPr>
      <w:widowControl w:val="0"/>
      <w:tabs>
        <w:tab w:val="left" w:pos="583"/>
      </w:tabs>
      <w:autoSpaceDE w:val="0"/>
      <w:autoSpaceDN w:val="0"/>
      <w:adjustRightInd w:val="0"/>
      <w:spacing w:line="238" w:lineRule="atLeast"/>
      <w:ind w:left="566"/>
      <w:jc w:val="both"/>
    </w:pPr>
    <w:rPr>
      <w:sz w:val="24"/>
      <w:szCs w:val="24"/>
    </w:rPr>
  </w:style>
  <w:style w:type="paragraph" w:customStyle="1" w:styleId="TxBrp7">
    <w:name w:val="TxBr_p7"/>
    <w:basedOn w:val="Normal"/>
    <w:rsid w:val="00364E6D"/>
    <w:pPr>
      <w:widowControl w:val="0"/>
      <w:tabs>
        <w:tab w:val="left" w:pos="583"/>
        <w:tab w:val="left" w:pos="1071"/>
      </w:tabs>
      <w:autoSpaceDE w:val="0"/>
      <w:autoSpaceDN w:val="0"/>
      <w:adjustRightInd w:val="0"/>
      <w:spacing w:line="238" w:lineRule="atLeast"/>
      <w:ind w:left="566"/>
      <w:jc w:val="both"/>
    </w:pPr>
    <w:rPr>
      <w:sz w:val="24"/>
      <w:szCs w:val="24"/>
    </w:rPr>
  </w:style>
  <w:style w:type="table" w:styleId="TableGrid">
    <w:name w:val="Table Grid"/>
    <w:basedOn w:val="TableNormal"/>
    <w:uiPriority w:val="59"/>
    <w:rsid w:val="00903D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501"/>
    <w:rPr>
      <w:rFonts w:ascii="Tahoma" w:hAnsi="Tahoma" w:cs="Tahoma"/>
      <w:sz w:val="16"/>
      <w:szCs w:val="16"/>
    </w:rPr>
  </w:style>
  <w:style w:type="character" w:customStyle="1" w:styleId="BalloonTextChar">
    <w:name w:val="Balloon Text Char"/>
    <w:basedOn w:val="DefaultParagraphFont"/>
    <w:link w:val="BalloonText"/>
    <w:uiPriority w:val="99"/>
    <w:semiHidden/>
    <w:rsid w:val="00127501"/>
    <w:rPr>
      <w:rFonts w:ascii="Tahoma" w:hAnsi="Tahoma" w:cs="Tahoma"/>
      <w:sz w:val="16"/>
      <w:szCs w:val="16"/>
    </w:rPr>
  </w:style>
  <w:style w:type="paragraph" w:styleId="NoSpacing">
    <w:name w:val="No Spacing"/>
    <w:uiPriority w:val="1"/>
    <w:qFormat/>
    <w:rsid w:val="00C32DC1"/>
  </w:style>
  <w:style w:type="character" w:styleId="CommentReference">
    <w:name w:val="annotation reference"/>
    <w:basedOn w:val="DefaultParagraphFont"/>
    <w:semiHidden/>
    <w:unhideWhenUsed/>
    <w:rsid w:val="00A718B1"/>
    <w:rPr>
      <w:sz w:val="16"/>
      <w:szCs w:val="16"/>
    </w:rPr>
  </w:style>
  <w:style w:type="paragraph" w:styleId="CommentText">
    <w:name w:val="annotation text"/>
    <w:basedOn w:val="Normal"/>
    <w:link w:val="CommentTextChar"/>
    <w:semiHidden/>
    <w:unhideWhenUsed/>
    <w:rsid w:val="00A718B1"/>
  </w:style>
  <w:style w:type="character" w:customStyle="1" w:styleId="CommentTextChar">
    <w:name w:val="Comment Text Char"/>
    <w:basedOn w:val="DefaultParagraphFont"/>
    <w:link w:val="CommentText"/>
    <w:uiPriority w:val="99"/>
    <w:semiHidden/>
    <w:rsid w:val="00A718B1"/>
  </w:style>
  <w:style w:type="paragraph" w:styleId="CommentSubject">
    <w:name w:val="annotation subject"/>
    <w:basedOn w:val="CommentText"/>
    <w:next w:val="CommentText"/>
    <w:link w:val="CommentSubjectChar"/>
    <w:uiPriority w:val="99"/>
    <w:semiHidden/>
    <w:unhideWhenUsed/>
    <w:rsid w:val="00A718B1"/>
    <w:rPr>
      <w:b/>
      <w:bCs/>
    </w:rPr>
  </w:style>
  <w:style w:type="character" w:customStyle="1" w:styleId="CommentSubjectChar">
    <w:name w:val="Comment Subject Char"/>
    <w:basedOn w:val="CommentTextChar"/>
    <w:link w:val="CommentSubject"/>
    <w:uiPriority w:val="99"/>
    <w:semiHidden/>
    <w:rsid w:val="00A718B1"/>
    <w:rPr>
      <w:b/>
      <w:bCs/>
    </w:rPr>
  </w:style>
  <w:style w:type="character" w:customStyle="1" w:styleId="BodyTextChar">
    <w:name w:val="Body Text Char"/>
    <w:basedOn w:val="DefaultParagraphFont"/>
    <w:link w:val="BodyText"/>
    <w:semiHidden/>
    <w:rsid w:val="00857CE8"/>
  </w:style>
  <w:style w:type="paragraph" w:styleId="BodyTextIndent2">
    <w:name w:val="Body Text Indent 2"/>
    <w:basedOn w:val="Normal"/>
    <w:link w:val="BodyTextIndent2Char"/>
    <w:semiHidden/>
    <w:rsid w:val="00115FC3"/>
    <w:pPr>
      <w:widowControl w:val="0"/>
      <w:tabs>
        <w:tab w:val="left" w:pos="-1440"/>
      </w:tabs>
      <w:ind w:left="360"/>
      <w:jc w:val="both"/>
    </w:pPr>
    <w:rPr>
      <w:snapToGrid w:val="0"/>
      <w:sz w:val="24"/>
    </w:rPr>
  </w:style>
  <w:style w:type="character" w:customStyle="1" w:styleId="BodyTextIndent2Char">
    <w:name w:val="Body Text Indent 2 Char"/>
    <w:basedOn w:val="DefaultParagraphFont"/>
    <w:link w:val="BodyTextIndent2"/>
    <w:semiHidden/>
    <w:rsid w:val="00115FC3"/>
    <w:rPr>
      <w:snapToGrid w:val="0"/>
      <w:sz w:val="24"/>
    </w:rPr>
  </w:style>
</w:styles>
</file>

<file path=word/webSettings.xml><?xml version="1.0" encoding="utf-8"?>
<w:webSettings xmlns:r="http://schemas.openxmlformats.org/officeDocument/2006/relationships" xmlns:w="http://schemas.openxmlformats.org/wordprocessingml/2006/main">
  <w:divs>
    <w:div w:id="174732692">
      <w:bodyDiv w:val="1"/>
      <w:marLeft w:val="0"/>
      <w:marRight w:val="0"/>
      <w:marTop w:val="0"/>
      <w:marBottom w:val="0"/>
      <w:divBdr>
        <w:top w:val="none" w:sz="0" w:space="0" w:color="auto"/>
        <w:left w:val="none" w:sz="0" w:space="0" w:color="auto"/>
        <w:bottom w:val="none" w:sz="0" w:space="0" w:color="auto"/>
        <w:right w:val="none" w:sz="0" w:space="0" w:color="auto"/>
      </w:divBdr>
    </w:div>
    <w:div w:id="1809202709">
      <w:bodyDiv w:val="1"/>
      <w:marLeft w:val="0"/>
      <w:marRight w:val="0"/>
      <w:marTop w:val="0"/>
      <w:marBottom w:val="0"/>
      <w:divBdr>
        <w:top w:val="none" w:sz="0" w:space="0" w:color="auto"/>
        <w:left w:val="none" w:sz="0" w:space="0" w:color="auto"/>
        <w:bottom w:val="none" w:sz="0" w:space="0" w:color="auto"/>
        <w:right w:val="none" w:sz="0" w:space="0" w:color="auto"/>
      </w:divBdr>
    </w:div>
    <w:div w:id="19202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s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rminfo@nsit.gov"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st.gov/pml/pubs/index.cfm/"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656D-C0F8-4FF7-A12D-6A2194EB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1464</Words>
  <Characters>8486</Characters>
  <Application>Microsoft Office Word</Application>
  <DocSecurity>0</DocSecurity>
  <Lines>292</Lines>
  <Paragraphs>168</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Jennifer Benkstein</cp:lastModifiedBy>
  <cp:revision>18</cp:revision>
  <cp:lastPrinted>2012-05-01T18:03:00Z</cp:lastPrinted>
  <dcterms:created xsi:type="dcterms:W3CDTF">2012-03-08T19:26:00Z</dcterms:created>
  <dcterms:modified xsi:type="dcterms:W3CDTF">2012-05-01T18:03:00Z</dcterms:modified>
</cp:coreProperties>
</file>