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880B5" w14:textId="77777777" w:rsidR="00F4079E" w:rsidRDefault="00B55CD5" w:rsidP="006B75AB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9232" behindDoc="0" locked="0" layoutInCell="1" allowOverlap="1" wp14:anchorId="67846BCB" wp14:editId="5E2841B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7465" cy="377190"/>
            <wp:effectExtent l="19050" t="0" r="6985" b="0"/>
            <wp:wrapSquare wrapText="bothSides"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02">
        <w:rPr>
          <w:rFonts w:eastAsia="Times New Roman"/>
          <w:bCs/>
          <w:sz w:val="24"/>
          <w:szCs w:val="24"/>
        </w:rPr>
        <w:t>Date of Issue:</w:t>
      </w:r>
    </w:p>
    <w:p w14:paraId="266E60A5" w14:textId="38B0ACAF" w:rsidR="006F0F73" w:rsidRPr="00D97002" w:rsidRDefault="00B44147" w:rsidP="006B75AB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bookmarkStart w:id="1" w:name="IssueDate"/>
      <w:r>
        <w:rPr>
          <w:rFonts w:eastAsia="Times New Roman"/>
          <w:bCs/>
          <w:sz w:val="24"/>
          <w:szCs w:val="24"/>
        </w:rPr>
        <w:t>03 </w:t>
      </w:r>
      <w:r w:rsidR="00D3438D">
        <w:rPr>
          <w:rFonts w:eastAsia="Times New Roman"/>
          <w:bCs/>
          <w:sz w:val="24"/>
          <w:szCs w:val="24"/>
        </w:rPr>
        <w:t>November </w:t>
      </w:r>
      <w:r w:rsidR="002065AA" w:rsidRPr="00D97002">
        <w:rPr>
          <w:rFonts w:eastAsia="Times New Roman"/>
          <w:bCs/>
          <w:sz w:val="24"/>
          <w:szCs w:val="24"/>
        </w:rPr>
        <w:t>201</w:t>
      </w:r>
      <w:bookmarkEnd w:id="1"/>
      <w:r w:rsidR="00BB4528">
        <w:rPr>
          <w:rFonts w:eastAsia="Times New Roman"/>
          <w:bCs/>
          <w:sz w:val="24"/>
          <w:szCs w:val="24"/>
        </w:rPr>
        <w:t>6</w:t>
      </w:r>
    </w:p>
    <w:p w14:paraId="737E58F4" w14:textId="77777777" w:rsidR="006F0F73" w:rsidRPr="006F0F73" w:rsidRDefault="006F0F73" w:rsidP="006B75AB">
      <w:pPr>
        <w:widowControl/>
        <w:ind w:left="2246" w:right="-14"/>
        <w:jc w:val="right"/>
        <w:rPr>
          <w:rFonts w:eastAsia="Times New Roman"/>
          <w:bCs/>
          <w:sz w:val="24"/>
          <w:szCs w:val="24"/>
        </w:rPr>
      </w:pPr>
    </w:p>
    <w:p w14:paraId="51277FA0" w14:textId="77777777" w:rsidR="00E24579" w:rsidRPr="00D34188" w:rsidRDefault="00BF5DD9" w:rsidP="006B75AB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7358080B" w14:textId="77777777" w:rsidR="006F0F73" w:rsidRDefault="006F0F73" w:rsidP="006B75AB">
      <w:pPr>
        <w:widowControl/>
      </w:pPr>
    </w:p>
    <w:p w14:paraId="133995EB" w14:textId="77777777" w:rsidR="00D60A36" w:rsidRDefault="00D60A36" w:rsidP="006B75AB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61683465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23391F08" w14:textId="77777777" w:rsidR="00D60A36" w:rsidRPr="00D60A36" w:rsidRDefault="00D60A36" w:rsidP="006B75AB">
            <w:pPr>
              <w:keepNext/>
              <w:widowControl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75AEF342" w14:textId="77777777" w:rsidR="00150BAB" w:rsidRPr="007666FB" w:rsidRDefault="007666F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D77265">
        <w:rPr>
          <w:rFonts w:eastAsia="Times New Roman"/>
          <w:b/>
          <w:bCs/>
          <w:spacing w:val="1"/>
          <w:szCs w:val="20"/>
        </w:rPr>
        <w:t>P</w:t>
      </w:r>
      <w:r w:rsidR="00150BAB" w:rsidRPr="00D77265">
        <w:rPr>
          <w:rFonts w:eastAsia="Times New Roman"/>
          <w:b/>
          <w:bCs/>
          <w:spacing w:val="1"/>
          <w:szCs w:val="20"/>
        </w:rPr>
        <w:t xml:space="preserve">roduct </w:t>
      </w:r>
      <w:r w:rsidR="00B124D7">
        <w:rPr>
          <w:rFonts w:eastAsia="Times New Roman"/>
          <w:b/>
          <w:bCs/>
          <w:spacing w:val="1"/>
          <w:szCs w:val="20"/>
        </w:rPr>
        <w:t>I</w:t>
      </w:r>
      <w:r w:rsidR="00B124D7" w:rsidRPr="00D77265">
        <w:rPr>
          <w:rFonts w:eastAsia="Times New Roman"/>
          <w:b/>
          <w:bCs/>
          <w:spacing w:val="1"/>
          <w:szCs w:val="20"/>
        </w:rPr>
        <w:t>dentifier</w:t>
      </w:r>
    </w:p>
    <w:p w14:paraId="53B732BF" w14:textId="4ABA9BF2" w:rsidR="001A0E78" w:rsidRPr="00944226" w:rsidRDefault="007A774B" w:rsidP="006B75AB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>S</w:t>
      </w:r>
      <w:r w:rsidR="00150BAB" w:rsidRPr="00D34188">
        <w:rPr>
          <w:rFonts w:eastAsia="Times New Roman"/>
          <w:b/>
          <w:bCs/>
          <w:spacing w:val="1"/>
          <w:szCs w:val="20"/>
        </w:rPr>
        <w:t>R</w:t>
      </w:r>
      <w:r w:rsidR="00150BAB" w:rsidRPr="00D34188">
        <w:rPr>
          <w:rFonts w:eastAsia="Times New Roman"/>
          <w:b/>
          <w:bCs/>
          <w:szCs w:val="20"/>
        </w:rPr>
        <w:t>M</w:t>
      </w:r>
      <w:r w:rsidR="00150BAB" w:rsidRPr="00D34188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D34188">
        <w:rPr>
          <w:rFonts w:eastAsia="Times New Roman"/>
          <w:b/>
          <w:bCs/>
          <w:spacing w:val="1"/>
          <w:szCs w:val="20"/>
        </w:rPr>
        <w:t>Nu</w:t>
      </w:r>
      <w:r w:rsidR="00150BAB" w:rsidRPr="00D34188">
        <w:rPr>
          <w:rFonts w:eastAsia="Times New Roman"/>
          <w:b/>
          <w:bCs/>
          <w:spacing w:val="3"/>
          <w:szCs w:val="20"/>
        </w:rPr>
        <w:t>m</w:t>
      </w:r>
      <w:r w:rsidR="00150BAB" w:rsidRPr="00D34188">
        <w:rPr>
          <w:rFonts w:eastAsia="Times New Roman"/>
          <w:b/>
          <w:bCs/>
          <w:spacing w:val="1"/>
          <w:szCs w:val="20"/>
        </w:rPr>
        <w:t>b</w:t>
      </w:r>
      <w:r w:rsidR="00150BAB" w:rsidRPr="00D34188">
        <w:rPr>
          <w:rFonts w:eastAsia="Times New Roman"/>
          <w:b/>
          <w:bCs/>
          <w:spacing w:val="-1"/>
          <w:szCs w:val="20"/>
        </w:rPr>
        <w:t>er</w:t>
      </w:r>
      <w:r w:rsidR="00150BAB" w:rsidRPr="00D34188">
        <w:rPr>
          <w:rFonts w:eastAsia="Times New Roman"/>
          <w:b/>
          <w:bCs/>
          <w:szCs w:val="20"/>
        </w:rPr>
        <w:t>:</w:t>
      </w:r>
      <w:r w:rsidR="00150BAB" w:rsidRPr="00944226">
        <w:rPr>
          <w:rFonts w:eastAsia="Times New Roman"/>
          <w:bCs/>
          <w:spacing w:val="46"/>
          <w:szCs w:val="20"/>
        </w:rPr>
        <w:t xml:space="preserve"> </w:t>
      </w:r>
      <w:r w:rsidR="00E7608D" w:rsidRPr="00944226">
        <w:rPr>
          <w:rFonts w:eastAsia="Times New Roman"/>
          <w:bCs/>
          <w:szCs w:val="20"/>
        </w:rPr>
        <w:t xml:space="preserve"> </w:t>
      </w:r>
      <w:r w:rsidR="00C96E24">
        <w:rPr>
          <w:rFonts w:eastAsia="Times New Roman"/>
          <w:bCs/>
          <w:szCs w:val="20"/>
        </w:rPr>
        <w:t>1582</w:t>
      </w:r>
    </w:p>
    <w:p w14:paraId="3622A852" w14:textId="56CCAEFB" w:rsidR="00150BAB" w:rsidRPr="00C96E24" w:rsidRDefault="007A774B" w:rsidP="006B75AB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>S</w:t>
      </w:r>
      <w:r w:rsidR="00150BAB" w:rsidRPr="00944226">
        <w:rPr>
          <w:rFonts w:eastAsia="Times New Roman"/>
          <w:b/>
          <w:bCs/>
          <w:spacing w:val="1"/>
          <w:szCs w:val="20"/>
        </w:rPr>
        <w:t>R</w:t>
      </w:r>
      <w:r w:rsidR="00150BAB" w:rsidRPr="00944226">
        <w:rPr>
          <w:rFonts w:eastAsia="Times New Roman"/>
          <w:b/>
          <w:bCs/>
          <w:szCs w:val="20"/>
        </w:rPr>
        <w:t>M</w:t>
      </w:r>
      <w:r w:rsidR="00150BAB" w:rsidRPr="00944226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944226">
        <w:rPr>
          <w:rFonts w:eastAsia="Times New Roman"/>
          <w:b/>
          <w:bCs/>
          <w:spacing w:val="1"/>
          <w:szCs w:val="20"/>
        </w:rPr>
        <w:t>Na</w:t>
      </w:r>
      <w:r w:rsidR="00150BAB" w:rsidRPr="00944226">
        <w:rPr>
          <w:rFonts w:eastAsia="Times New Roman"/>
          <w:b/>
          <w:bCs/>
          <w:spacing w:val="3"/>
          <w:szCs w:val="20"/>
        </w:rPr>
        <w:t>m</w:t>
      </w:r>
      <w:r w:rsidR="00150BAB" w:rsidRPr="00944226">
        <w:rPr>
          <w:rFonts w:eastAsia="Times New Roman"/>
          <w:b/>
          <w:bCs/>
          <w:spacing w:val="-1"/>
          <w:szCs w:val="20"/>
        </w:rPr>
        <w:t>e</w:t>
      </w:r>
      <w:r w:rsidR="00150BAB" w:rsidRPr="00944226">
        <w:rPr>
          <w:rFonts w:eastAsia="Times New Roman"/>
          <w:b/>
          <w:bCs/>
          <w:szCs w:val="20"/>
        </w:rPr>
        <w:t>:</w:t>
      </w:r>
      <w:r w:rsidR="00E7608D" w:rsidRPr="00944226">
        <w:rPr>
          <w:rFonts w:eastAsia="Times New Roman"/>
          <w:bCs/>
          <w:szCs w:val="20"/>
        </w:rPr>
        <w:t xml:space="preserve">  </w:t>
      </w:r>
      <w:r w:rsidR="00C96E24" w:rsidRPr="00C96E24">
        <w:rPr>
          <w:color w:val="000000"/>
          <w:szCs w:val="20"/>
          <w:shd w:val="clear" w:color="auto" w:fill="FFFFFF"/>
        </w:rPr>
        <w:t>Petroleum Crude Oil</w:t>
      </w:r>
    </w:p>
    <w:p w14:paraId="6AA030F2" w14:textId="77777777" w:rsidR="004C5973" w:rsidRPr="004C5973" w:rsidRDefault="004C5973" w:rsidP="006B75AB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Other Means of Identification:</w:t>
      </w:r>
      <w:r w:rsidRPr="004C5973">
        <w:rPr>
          <w:rFonts w:eastAsia="Times New Roman"/>
          <w:bCs/>
          <w:szCs w:val="20"/>
        </w:rPr>
        <w:t xml:space="preserve">  Not applicable</w:t>
      </w:r>
      <w:r w:rsidR="00832544">
        <w:rPr>
          <w:rFonts w:eastAsia="Times New Roman"/>
          <w:bCs/>
          <w:szCs w:val="20"/>
        </w:rPr>
        <w:t>.</w:t>
      </w:r>
    </w:p>
    <w:p w14:paraId="1E82A7FB" w14:textId="77777777" w:rsidR="00150BAB" w:rsidRPr="00D77265" w:rsidRDefault="00150BA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54925" w:rsidRPr="00D77265">
        <w:rPr>
          <w:rFonts w:eastAsia="Times New Roman"/>
          <w:b/>
          <w:bCs/>
          <w:spacing w:val="1"/>
          <w:szCs w:val="20"/>
        </w:rPr>
        <w:t xml:space="preserve">se 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of </w:t>
      </w:r>
      <w:r w:rsidR="00B54925">
        <w:rPr>
          <w:rFonts w:eastAsia="Times New Roman"/>
          <w:b/>
          <w:bCs/>
          <w:spacing w:val="1"/>
          <w:szCs w:val="20"/>
        </w:rPr>
        <w:t>T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his </w:t>
      </w:r>
      <w:r w:rsidR="00B54925">
        <w:rPr>
          <w:rFonts w:eastAsia="Times New Roman"/>
          <w:b/>
          <w:bCs/>
          <w:spacing w:val="1"/>
          <w:szCs w:val="20"/>
        </w:rPr>
        <w:t>M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>
        <w:rPr>
          <w:rFonts w:eastAsia="Times New Roman"/>
          <w:b/>
          <w:bCs/>
          <w:spacing w:val="1"/>
          <w:szCs w:val="20"/>
        </w:rPr>
        <w:t>R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B0995" w:rsidRPr="00D77265">
        <w:rPr>
          <w:rFonts w:eastAsia="Times New Roman"/>
          <w:b/>
          <w:bCs/>
          <w:spacing w:val="1"/>
          <w:szCs w:val="20"/>
        </w:rPr>
        <w:t>se</w:t>
      </w:r>
    </w:p>
    <w:p w14:paraId="15730986" w14:textId="7B77C569" w:rsidR="00E7608D" w:rsidRPr="006E6A17" w:rsidRDefault="00C96E24" w:rsidP="006B75AB">
      <w:pPr>
        <w:widowControl/>
        <w:ind w:left="360"/>
        <w:rPr>
          <w:szCs w:val="20"/>
        </w:rPr>
      </w:pPr>
      <w:r w:rsidRPr="00C96E24">
        <w:t>This Standard Reference Material (SRM) is intended for use in evaluating analytical methods for the determination of selected polycyclic aromatic hydrocarbons (PAHs), hopanes, and steranes in a crude oil matrix.  All of the constituents for which certified and reference values are provided are naturally present in the oil.  A unit of SRM 1582 consists of five ampoules, each containing approximately 1.2 mL of crude oil.</w:t>
      </w:r>
    </w:p>
    <w:p w14:paraId="79411C23" w14:textId="77777777" w:rsidR="00150BAB" w:rsidRPr="00D77265" w:rsidRDefault="00150BA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525625AD" w14:textId="77777777" w:rsidTr="00193FA9">
        <w:tc>
          <w:tcPr>
            <w:tcW w:w="4590" w:type="dxa"/>
          </w:tcPr>
          <w:p w14:paraId="51E16F56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50792390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491D9EC8" w14:textId="77777777" w:rsidTr="00193FA9">
        <w:tc>
          <w:tcPr>
            <w:tcW w:w="4590" w:type="dxa"/>
          </w:tcPr>
          <w:p w14:paraId="4DF039EF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13EB68BC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73409A22" w14:textId="77777777" w:rsidTr="00193FA9">
        <w:tc>
          <w:tcPr>
            <w:tcW w:w="4590" w:type="dxa"/>
          </w:tcPr>
          <w:p w14:paraId="10613820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7CB2D274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83017EB" w14:textId="77777777" w:rsidTr="00193FA9">
        <w:tc>
          <w:tcPr>
            <w:tcW w:w="4590" w:type="dxa"/>
          </w:tcPr>
          <w:p w14:paraId="1065FD12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33AA529D" w14:textId="77777777" w:rsidR="00193FA9" w:rsidRPr="00193FA9" w:rsidRDefault="00193FA9" w:rsidP="006B75AB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4D1CEAD" w14:textId="77777777" w:rsidTr="00193FA9">
        <w:tc>
          <w:tcPr>
            <w:tcW w:w="4590" w:type="dxa"/>
          </w:tcPr>
          <w:p w14:paraId="581265C4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54D6F069" w14:textId="77777777" w:rsidR="00193FA9" w:rsidRPr="00193FA9" w:rsidRDefault="00193FA9" w:rsidP="006B75A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E3B510B" w14:textId="77777777" w:rsidTr="00193FA9">
        <w:tc>
          <w:tcPr>
            <w:tcW w:w="4590" w:type="dxa"/>
          </w:tcPr>
          <w:p w14:paraId="0FF29738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68A0070C" w14:textId="77777777" w:rsidR="00193FA9" w:rsidRPr="00193FA9" w:rsidRDefault="00193FA9" w:rsidP="006B75A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567F2FC5" w14:textId="77777777" w:rsidTr="00193FA9">
        <w:tc>
          <w:tcPr>
            <w:tcW w:w="4590" w:type="dxa"/>
          </w:tcPr>
          <w:p w14:paraId="24A0EC3D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4C93A073" w14:textId="77777777" w:rsidR="00193FA9" w:rsidRPr="00193FA9" w:rsidRDefault="00193FA9" w:rsidP="002A4B34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1-800-424-9300 (North America)</w:t>
            </w:r>
          </w:p>
        </w:tc>
      </w:tr>
      <w:tr w:rsidR="00193FA9" w:rsidRPr="00193FA9" w14:paraId="008647E0" w14:textId="77777777" w:rsidTr="00193FA9">
        <w:tc>
          <w:tcPr>
            <w:tcW w:w="4590" w:type="dxa"/>
          </w:tcPr>
          <w:p w14:paraId="68588A28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27B90875" w14:textId="77777777" w:rsidR="00193FA9" w:rsidRPr="00193FA9" w:rsidRDefault="00193FA9" w:rsidP="002A4B34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+1-703-527-3887 (International)</w:t>
            </w:r>
          </w:p>
        </w:tc>
      </w:tr>
      <w:tr w:rsidR="00193FA9" w:rsidRPr="00193FA9" w14:paraId="3C932418" w14:textId="77777777" w:rsidTr="00193FA9">
        <w:tc>
          <w:tcPr>
            <w:tcW w:w="4590" w:type="dxa"/>
          </w:tcPr>
          <w:p w14:paraId="3A8007E9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5CBC3D93" w14:textId="77777777" w:rsidR="00193FA9" w:rsidRPr="00193FA9" w:rsidRDefault="00193FA9" w:rsidP="006B75AB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73DC7193" w14:textId="77777777" w:rsidR="00915962" w:rsidRPr="00193FA9" w:rsidRDefault="00915962" w:rsidP="006B75AB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2FFEF4EB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6AFE11D4" w14:textId="77777777" w:rsidR="002B22C8" w:rsidRDefault="002B22C8" w:rsidP="006B75AB">
            <w:pPr>
              <w:keepNext/>
              <w:widowControl/>
              <w:rPr>
                <w:sz w:val="13"/>
                <w:szCs w:val="13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3069B6F" w14:textId="77777777" w:rsidR="001C4F6D" w:rsidRPr="00E97C87" w:rsidRDefault="002B22C8" w:rsidP="006B75AB">
      <w:pPr>
        <w:widowControl/>
        <w:spacing w:before="120"/>
        <w:rPr>
          <w:rFonts w:eastAsia="Times New Roman"/>
          <w:b/>
          <w:bCs/>
          <w:szCs w:val="20"/>
        </w:rPr>
      </w:pPr>
      <w:r w:rsidRPr="00E97C87">
        <w:rPr>
          <w:rFonts w:eastAsia="Times New Roman"/>
          <w:b/>
          <w:bCs/>
          <w:szCs w:val="20"/>
        </w:rPr>
        <w:t>Classification</w:t>
      </w:r>
    </w:p>
    <w:p w14:paraId="0F85D6C8" w14:textId="7B2C0F50" w:rsidR="0073150A" w:rsidRPr="00E97C87" w:rsidRDefault="0073150A" w:rsidP="00E32025">
      <w:pPr>
        <w:widowControl/>
        <w:tabs>
          <w:tab w:val="left" w:pos="2160"/>
          <w:tab w:val="left" w:pos="3780"/>
        </w:tabs>
        <w:ind w:left="360"/>
        <w:rPr>
          <w:rFonts w:eastAsia="Times New Roman"/>
          <w:bCs/>
          <w:szCs w:val="20"/>
        </w:rPr>
      </w:pPr>
      <w:r w:rsidRPr="00933412">
        <w:rPr>
          <w:rFonts w:eastAsia="Times New Roman"/>
          <w:b/>
          <w:bCs/>
          <w:szCs w:val="20"/>
        </w:rPr>
        <w:t>Physical Hazard:</w:t>
      </w:r>
      <w:r w:rsidR="00523A63" w:rsidRPr="00933412">
        <w:rPr>
          <w:rFonts w:eastAsia="Times New Roman"/>
          <w:bCs/>
          <w:szCs w:val="20"/>
        </w:rPr>
        <w:tab/>
      </w:r>
      <w:r w:rsidR="009B08AA">
        <w:rPr>
          <w:rFonts w:eastAsia="Times New Roman"/>
          <w:bCs/>
          <w:szCs w:val="20"/>
        </w:rPr>
        <w:t>Flammable</w:t>
      </w:r>
      <w:r w:rsidR="009B08AA" w:rsidRPr="00933412">
        <w:rPr>
          <w:rFonts w:eastAsia="Times New Roman"/>
          <w:bCs/>
          <w:szCs w:val="20"/>
        </w:rPr>
        <w:t xml:space="preserve"> </w:t>
      </w:r>
      <w:r w:rsidR="00007EFF" w:rsidRPr="00933412">
        <w:rPr>
          <w:rFonts w:eastAsia="Times New Roman"/>
          <w:bCs/>
          <w:szCs w:val="20"/>
        </w:rPr>
        <w:t>l</w:t>
      </w:r>
      <w:r w:rsidR="00E568E7" w:rsidRPr="00933412">
        <w:rPr>
          <w:rFonts w:eastAsia="Times New Roman"/>
          <w:bCs/>
          <w:szCs w:val="20"/>
        </w:rPr>
        <w:t>iquid</w:t>
      </w:r>
      <w:r w:rsidR="00E32025">
        <w:rPr>
          <w:rFonts w:eastAsia="Times New Roman"/>
          <w:bCs/>
          <w:szCs w:val="20"/>
        </w:rPr>
        <w:tab/>
      </w:r>
      <w:r w:rsidR="00E03A5D">
        <w:rPr>
          <w:rFonts w:eastAsia="Times New Roman"/>
          <w:bCs/>
          <w:szCs w:val="20"/>
        </w:rPr>
        <w:t>Category 2</w:t>
      </w:r>
    </w:p>
    <w:p w14:paraId="1C8D67E3" w14:textId="77777777" w:rsidR="001C4F6D" w:rsidRPr="00E05484" w:rsidRDefault="0073150A" w:rsidP="00223D8D">
      <w:pPr>
        <w:widowControl/>
        <w:tabs>
          <w:tab w:val="left" w:pos="2160"/>
          <w:tab w:val="left" w:pos="4500"/>
        </w:tabs>
        <w:ind w:left="360"/>
        <w:rPr>
          <w:rFonts w:eastAsia="Times New Roman"/>
          <w:bCs/>
          <w:szCs w:val="20"/>
        </w:rPr>
      </w:pPr>
      <w:r w:rsidRPr="00DE0622">
        <w:rPr>
          <w:rFonts w:eastAsia="Times New Roman"/>
          <w:b/>
          <w:bCs/>
          <w:szCs w:val="20"/>
        </w:rPr>
        <w:t>Health Hazard:</w:t>
      </w:r>
      <w:r w:rsidRPr="00DE0622">
        <w:rPr>
          <w:rFonts w:eastAsia="Times New Roman"/>
          <w:bCs/>
          <w:szCs w:val="20"/>
        </w:rPr>
        <w:t xml:space="preserve"> </w:t>
      </w:r>
      <w:r w:rsidR="00523A63" w:rsidRPr="00DE0622">
        <w:rPr>
          <w:rFonts w:eastAsia="Times New Roman"/>
          <w:bCs/>
          <w:szCs w:val="20"/>
        </w:rPr>
        <w:tab/>
      </w:r>
      <w:r w:rsidR="00223D8D">
        <w:rPr>
          <w:rFonts w:eastAsia="Times New Roman"/>
          <w:bCs/>
          <w:szCs w:val="20"/>
        </w:rPr>
        <w:t>Not classified.</w:t>
      </w:r>
    </w:p>
    <w:p w14:paraId="77D72FE6" w14:textId="77777777" w:rsidR="00730686" w:rsidRPr="00B0155D" w:rsidRDefault="00730686" w:rsidP="006B75AB">
      <w:pPr>
        <w:widowControl/>
        <w:spacing w:before="12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Label Elements</w:t>
      </w:r>
    </w:p>
    <w:p w14:paraId="155592DA" w14:textId="77777777" w:rsidR="00910EA2" w:rsidRPr="00B0155D" w:rsidRDefault="00730686" w:rsidP="006B75AB">
      <w:pPr>
        <w:widowControl/>
        <w:ind w:left="36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Symbol</w:t>
      </w:r>
      <w:r w:rsidR="00910EA2" w:rsidRPr="00B0155D">
        <w:rPr>
          <w:rFonts w:eastAsia="Times New Roman"/>
          <w:b/>
          <w:bCs/>
          <w:szCs w:val="20"/>
        </w:rPr>
        <w:t xml:space="preserve"> </w:t>
      </w:r>
    </w:p>
    <w:p w14:paraId="0EEF7842" w14:textId="656C3931" w:rsidR="00910EA2" w:rsidRPr="00933412" w:rsidRDefault="00E03A5D" w:rsidP="000E7B8B">
      <w:pPr>
        <w:widowControl/>
        <w:ind w:left="360"/>
        <w:jc w:val="left"/>
        <w:rPr>
          <w:rFonts w:eastAsia="Times New Roman"/>
          <w:bCs/>
          <w:szCs w:val="20"/>
        </w:rPr>
      </w:pPr>
      <w:r w:rsidRPr="00C065EC">
        <w:rPr>
          <w:noProof/>
        </w:rPr>
        <w:drawing>
          <wp:inline distT="0" distB="0" distL="0" distR="0" wp14:anchorId="03DAE6DE" wp14:editId="4FB42CB8">
            <wp:extent cx="731520" cy="732536"/>
            <wp:effectExtent l="0" t="0" r="0" b="0"/>
            <wp:docPr id="1" name="Picture 6" descr="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mme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542" w14:textId="77777777" w:rsidR="00910EA2" w:rsidRPr="00B0155D" w:rsidRDefault="00730686" w:rsidP="006B75AB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Signal Word</w:t>
      </w:r>
    </w:p>
    <w:p w14:paraId="5D9EC12D" w14:textId="4C8D7983" w:rsidR="00910EA2" w:rsidRPr="00A2133B" w:rsidRDefault="00E03A5D" w:rsidP="006B75AB">
      <w:pPr>
        <w:widowControl/>
        <w:ind w:left="360"/>
        <w:rPr>
          <w:szCs w:val="20"/>
        </w:rPr>
      </w:pPr>
      <w:r>
        <w:rPr>
          <w:szCs w:val="20"/>
        </w:rPr>
        <w:t>DANGER</w:t>
      </w:r>
    </w:p>
    <w:p w14:paraId="2E65D123" w14:textId="77777777" w:rsidR="00730686" w:rsidRPr="00B0155D" w:rsidRDefault="00730686" w:rsidP="006B75AB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Hazard Statement(s</w:t>
      </w:r>
      <w:r w:rsidR="00FC3C8B">
        <w:rPr>
          <w:rFonts w:eastAsia="Times New Roman"/>
          <w:b/>
          <w:bCs/>
          <w:szCs w:val="20"/>
        </w:rPr>
        <w:t>)</w:t>
      </w:r>
    </w:p>
    <w:p w14:paraId="1314F3E0" w14:textId="4F174A59" w:rsidR="007C1CDE" w:rsidRPr="00ED34B6" w:rsidRDefault="007C1CDE" w:rsidP="006B75AB">
      <w:pPr>
        <w:widowControl/>
        <w:ind w:left="360"/>
        <w:rPr>
          <w:szCs w:val="20"/>
        </w:rPr>
      </w:pPr>
      <w:r w:rsidRPr="00ED34B6">
        <w:rPr>
          <w:szCs w:val="20"/>
        </w:rPr>
        <w:t>H22</w:t>
      </w:r>
      <w:r w:rsidR="00E03A5D">
        <w:rPr>
          <w:szCs w:val="20"/>
        </w:rPr>
        <w:t>5</w:t>
      </w:r>
      <w:r w:rsidR="00CA1914" w:rsidRPr="00ED34B6">
        <w:rPr>
          <w:szCs w:val="20"/>
        </w:rPr>
        <w:tab/>
      </w:r>
      <w:r w:rsidR="00CA1914" w:rsidRPr="00ED34B6">
        <w:rPr>
          <w:szCs w:val="20"/>
        </w:rPr>
        <w:tab/>
      </w:r>
      <w:r w:rsidR="00E03A5D">
        <w:rPr>
          <w:szCs w:val="20"/>
        </w:rPr>
        <w:t>Highly flammable liquid and vapor</w:t>
      </w:r>
      <w:r w:rsidR="0093254E" w:rsidRPr="00ED34B6">
        <w:rPr>
          <w:szCs w:val="20"/>
        </w:rPr>
        <w:t>.</w:t>
      </w:r>
    </w:p>
    <w:p w14:paraId="25DC88C8" w14:textId="77777777" w:rsidR="00910EA2" w:rsidRPr="00ED34B6" w:rsidRDefault="00730686" w:rsidP="006B75AB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ED34B6">
        <w:rPr>
          <w:rFonts w:eastAsia="Times New Roman"/>
          <w:b/>
          <w:bCs/>
          <w:szCs w:val="20"/>
        </w:rPr>
        <w:t>Precautionary Statement(s)</w:t>
      </w:r>
    </w:p>
    <w:p w14:paraId="1878212C" w14:textId="77777777" w:rsidR="006A5336" w:rsidRPr="00ED34B6" w:rsidRDefault="006A5336" w:rsidP="00E03A5D">
      <w:pPr>
        <w:widowControl/>
        <w:ind w:left="360"/>
        <w:rPr>
          <w:rFonts w:eastAsia="Times New Roman"/>
          <w:bCs/>
          <w:szCs w:val="20"/>
        </w:rPr>
      </w:pPr>
      <w:r w:rsidRPr="00ED34B6">
        <w:rPr>
          <w:rFonts w:eastAsia="Times New Roman"/>
          <w:bCs/>
          <w:szCs w:val="20"/>
        </w:rPr>
        <w:t>P21</w:t>
      </w:r>
      <w:r w:rsidR="00ED34B6" w:rsidRPr="00ED34B6">
        <w:rPr>
          <w:rFonts w:eastAsia="Times New Roman"/>
          <w:bCs/>
          <w:szCs w:val="20"/>
        </w:rPr>
        <w:t>0</w:t>
      </w:r>
      <w:r w:rsidRPr="00ED34B6">
        <w:rPr>
          <w:rFonts w:eastAsia="Times New Roman"/>
          <w:bCs/>
          <w:szCs w:val="20"/>
        </w:rPr>
        <w:tab/>
      </w:r>
      <w:r w:rsidRPr="00ED34B6">
        <w:rPr>
          <w:rFonts w:eastAsia="Times New Roman"/>
          <w:bCs/>
          <w:szCs w:val="20"/>
        </w:rPr>
        <w:tab/>
      </w:r>
      <w:r w:rsidR="00ED34B6" w:rsidRPr="00ED34B6">
        <w:rPr>
          <w:rFonts w:eastAsia="Times New Roman"/>
          <w:bCs/>
          <w:szCs w:val="20"/>
        </w:rPr>
        <w:t>Keep away from flames and hot surfaces.  – No Smoking.</w:t>
      </w:r>
    </w:p>
    <w:p w14:paraId="5AB87017" w14:textId="6BDB932E" w:rsidR="00E03A5D" w:rsidRDefault="00E03A5D" w:rsidP="00E03A5D">
      <w:pPr>
        <w:widowControl/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P241</w:t>
      </w:r>
      <w:r>
        <w:rPr>
          <w:rFonts w:eastAsia="Times New Roman"/>
          <w:bCs/>
          <w:szCs w:val="20"/>
        </w:rPr>
        <w:tab/>
      </w:r>
      <w:r>
        <w:rPr>
          <w:rFonts w:eastAsia="Times New Roman"/>
          <w:bCs/>
          <w:szCs w:val="20"/>
        </w:rPr>
        <w:tab/>
        <w:t>Use explosion</w:t>
      </w:r>
      <w:r>
        <w:rPr>
          <w:rFonts w:eastAsia="Times New Roman"/>
          <w:bCs/>
          <w:szCs w:val="20"/>
        </w:rPr>
        <w:noBreakHyphen/>
        <w:t>proof electrical, ventilation, and lighting equipment.</w:t>
      </w:r>
    </w:p>
    <w:p w14:paraId="535A1E38" w14:textId="23128212" w:rsidR="00E03A5D" w:rsidRDefault="00E03A5D" w:rsidP="00E03A5D">
      <w:pPr>
        <w:widowControl/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P242</w:t>
      </w:r>
      <w:r>
        <w:rPr>
          <w:rFonts w:eastAsia="Times New Roman"/>
          <w:bCs/>
          <w:szCs w:val="20"/>
        </w:rPr>
        <w:tab/>
      </w:r>
      <w:r>
        <w:rPr>
          <w:rFonts w:eastAsia="Times New Roman"/>
          <w:bCs/>
          <w:szCs w:val="20"/>
        </w:rPr>
        <w:tab/>
        <w:t>Us</w:t>
      </w:r>
      <w:r w:rsidR="00E8191F">
        <w:rPr>
          <w:rFonts w:eastAsia="Times New Roman"/>
          <w:bCs/>
          <w:szCs w:val="20"/>
        </w:rPr>
        <w:t>e</w:t>
      </w:r>
      <w:r>
        <w:rPr>
          <w:rFonts w:eastAsia="Times New Roman"/>
          <w:bCs/>
          <w:szCs w:val="20"/>
        </w:rPr>
        <w:t xml:space="preserve"> only non</w:t>
      </w:r>
      <w:r w:rsidR="00E8191F">
        <w:rPr>
          <w:rFonts w:eastAsia="Times New Roman"/>
          <w:bCs/>
          <w:szCs w:val="20"/>
        </w:rPr>
        <w:t>-</w:t>
      </w:r>
      <w:r>
        <w:rPr>
          <w:rFonts w:eastAsia="Times New Roman"/>
          <w:bCs/>
          <w:szCs w:val="20"/>
        </w:rPr>
        <w:t>spark</w:t>
      </w:r>
      <w:r w:rsidR="00E8191F">
        <w:rPr>
          <w:rFonts w:eastAsia="Times New Roman"/>
          <w:bCs/>
          <w:szCs w:val="20"/>
        </w:rPr>
        <w:t>ing</w:t>
      </w:r>
      <w:r>
        <w:rPr>
          <w:rFonts w:eastAsia="Times New Roman"/>
          <w:bCs/>
          <w:szCs w:val="20"/>
        </w:rPr>
        <w:t xml:space="preserve"> tools.</w:t>
      </w:r>
    </w:p>
    <w:p w14:paraId="4346332B" w14:textId="1324ABDD" w:rsidR="00E03A5D" w:rsidRDefault="00E03A5D" w:rsidP="00E03A5D">
      <w:pPr>
        <w:widowControl/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P243</w:t>
      </w:r>
      <w:r w:rsidR="00E8191F">
        <w:rPr>
          <w:rFonts w:eastAsia="Times New Roman"/>
          <w:bCs/>
          <w:szCs w:val="20"/>
        </w:rPr>
        <w:tab/>
      </w:r>
      <w:r w:rsidR="00E8191F">
        <w:rPr>
          <w:rFonts w:eastAsia="Times New Roman"/>
          <w:bCs/>
          <w:szCs w:val="20"/>
        </w:rPr>
        <w:tab/>
        <w:t>Take precautionary measures against static discharge.</w:t>
      </w:r>
    </w:p>
    <w:p w14:paraId="539D5785" w14:textId="70B10D5A" w:rsidR="006A5336" w:rsidRPr="00ED34B6" w:rsidRDefault="008D3C28" w:rsidP="00ED34B6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ED34B6">
        <w:rPr>
          <w:rFonts w:eastAsia="Times New Roman"/>
          <w:bCs/>
          <w:szCs w:val="20"/>
        </w:rPr>
        <w:t>P280</w:t>
      </w:r>
      <w:r w:rsidR="006A5336" w:rsidRPr="00ED34B6">
        <w:rPr>
          <w:rFonts w:eastAsia="Times New Roman"/>
          <w:bCs/>
          <w:szCs w:val="20"/>
        </w:rPr>
        <w:tab/>
      </w:r>
      <w:r w:rsidR="006A5336" w:rsidRPr="00ED34B6">
        <w:rPr>
          <w:rFonts w:eastAsia="Times New Roman"/>
          <w:bCs/>
          <w:szCs w:val="20"/>
        </w:rPr>
        <w:tab/>
      </w:r>
      <w:r w:rsidR="00ED34B6" w:rsidRPr="00ED34B6">
        <w:rPr>
          <w:rFonts w:eastAsia="Times New Roman"/>
          <w:bCs/>
          <w:szCs w:val="20"/>
        </w:rPr>
        <w:t xml:space="preserve">Wear protective gloves, </w:t>
      </w:r>
      <w:r w:rsidR="0093254E" w:rsidRPr="00ED34B6">
        <w:rPr>
          <w:rFonts w:eastAsia="Times New Roman"/>
          <w:bCs/>
          <w:szCs w:val="20"/>
        </w:rPr>
        <w:t>protective clothing</w:t>
      </w:r>
      <w:r w:rsidR="00007EFF" w:rsidRPr="00ED34B6">
        <w:rPr>
          <w:rFonts w:eastAsia="Times New Roman"/>
          <w:bCs/>
          <w:szCs w:val="20"/>
        </w:rPr>
        <w:t xml:space="preserve">, </w:t>
      </w:r>
      <w:r w:rsidR="00ED34B6" w:rsidRPr="00ED34B6">
        <w:rPr>
          <w:rFonts w:eastAsia="Times New Roman"/>
          <w:bCs/>
          <w:szCs w:val="20"/>
        </w:rPr>
        <w:t xml:space="preserve">and </w:t>
      </w:r>
      <w:r w:rsidR="0093254E" w:rsidRPr="00ED34B6">
        <w:rPr>
          <w:rFonts w:eastAsia="Times New Roman"/>
          <w:bCs/>
          <w:szCs w:val="20"/>
        </w:rPr>
        <w:t>eye protection</w:t>
      </w:r>
      <w:r w:rsidR="007F56B8" w:rsidRPr="00ED34B6">
        <w:rPr>
          <w:rFonts w:eastAsia="Times New Roman"/>
          <w:bCs/>
          <w:szCs w:val="20"/>
        </w:rPr>
        <w:t>.</w:t>
      </w:r>
    </w:p>
    <w:p w14:paraId="7831E3BD" w14:textId="4936310A" w:rsidR="00E03A5D" w:rsidRDefault="00E03A5D" w:rsidP="00ED34B6">
      <w:pPr>
        <w:widowControl/>
        <w:spacing w:after="120"/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P303+P361+P353</w:t>
      </w:r>
      <w:r w:rsidR="00E8191F">
        <w:rPr>
          <w:rFonts w:eastAsia="Times New Roman"/>
          <w:bCs/>
          <w:szCs w:val="20"/>
        </w:rPr>
        <w:tab/>
        <w:t>If on skin (or hair):  Take off immediately all contaminated clothing.  Rinse skin with water.</w:t>
      </w:r>
    </w:p>
    <w:p w14:paraId="0E24B38D" w14:textId="77777777" w:rsidR="007C1CDE" w:rsidRPr="00ED34B6" w:rsidRDefault="00ED34B6" w:rsidP="00ED34B6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ED34B6">
        <w:rPr>
          <w:rFonts w:eastAsia="Times New Roman"/>
          <w:bCs/>
          <w:szCs w:val="20"/>
        </w:rPr>
        <w:t>P</w:t>
      </w:r>
      <w:r w:rsidR="007C1CDE" w:rsidRPr="00ED34B6">
        <w:rPr>
          <w:rFonts w:eastAsia="Times New Roman"/>
          <w:bCs/>
          <w:szCs w:val="20"/>
        </w:rPr>
        <w:t>403</w:t>
      </w:r>
      <w:r w:rsidRPr="00ED34B6">
        <w:rPr>
          <w:rFonts w:eastAsia="Times New Roman"/>
          <w:bCs/>
          <w:szCs w:val="20"/>
        </w:rPr>
        <w:t>+P235</w:t>
      </w:r>
      <w:r w:rsidR="0093254E" w:rsidRPr="00ED34B6">
        <w:rPr>
          <w:rFonts w:eastAsia="Times New Roman"/>
          <w:bCs/>
          <w:szCs w:val="20"/>
        </w:rPr>
        <w:tab/>
      </w:r>
      <w:r w:rsidR="0093254E" w:rsidRPr="00ED34B6">
        <w:rPr>
          <w:rFonts w:eastAsia="Times New Roman"/>
          <w:bCs/>
          <w:szCs w:val="20"/>
        </w:rPr>
        <w:tab/>
        <w:t>Store in a well</w:t>
      </w:r>
      <w:r w:rsidR="0093254E" w:rsidRPr="00ED34B6">
        <w:rPr>
          <w:rFonts w:eastAsia="Times New Roman"/>
          <w:bCs/>
          <w:szCs w:val="20"/>
        </w:rPr>
        <w:noBreakHyphen/>
        <w:t>ventilated place.</w:t>
      </w:r>
      <w:r w:rsidRPr="00ED34B6">
        <w:rPr>
          <w:rFonts w:eastAsia="Times New Roman"/>
          <w:bCs/>
          <w:szCs w:val="20"/>
        </w:rPr>
        <w:t xml:space="preserve">  Keep cool.</w:t>
      </w:r>
    </w:p>
    <w:p w14:paraId="3108CEAA" w14:textId="6443B454" w:rsidR="006A5336" w:rsidRPr="00DF7399" w:rsidRDefault="00944226" w:rsidP="006B75AB">
      <w:pPr>
        <w:widowControl/>
        <w:ind w:left="2160" w:hanging="1800"/>
        <w:rPr>
          <w:rFonts w:eastAsia="Times New Roman"/>
          <w:bCs/>
          <w:szCs w:val="20"/>
        </w:rPr>
      </w:pPr>
      <w:r w:rsidRPr="00ED34B6">
        <w:rPr>
          <w:rFonts w:eastAsia="Times New Roman"/>
          <w:bCs/>
          <w:szCs w:val="20"/>
        </w:rPr>
        <w:t>P501</w:t>
      </w:r>
      <w:r w:rsidRPr="00ED34B6">
        <w:rPr>
          <w:rFonts w:eastAsia="Times New Roman"/>
          <w:bCs/>
          <w:szCs w:val="20"/>
        </w:rPr>
        <w:tab/>
      </w:r>
      <w:r w:rsidR="006A5336" w:rsidRPr="00ED34B6">
        <w:rPr>
          <w:rFonts w:eastAsia="Times New Roman"/>
          <w:bCs/>
          <w:szCs w:val="20"/>
        </w:rPr>
        <w:t>Dispose of content</w:t>
      </w:r>
      <w:r w:rsidR="005505DA">
        <w:rPr>
          <w:rFonts w:eastAsia="Times New Roman"/>
          <w:bCs/>
          <w:szCs w:val="20"/>
        </w:rPr>
        <w:t>s</w:t>
      </w:r>
      <w:r w:rsidR="00007EFF" w:rsidRPr="00ED34B6">
        <w:rPr>
          <w:rFonts w:eastAsia="Times New Roman"/>
          <w:bCs/>
          <w:szCs w:val="20"/>
        </w:rPr>
        <w:t xml:space="preserve"> and </w:t>
      </w:r>
      <w:r w:rsidR="006A5336" w:rsidRPr="00ED34B6">
        <w:rPr>
          <w:rFonts w:eastAsia="Times New Roman"/>
          <w:bCs/>
          <w:szCs w:val="20"/>
        </w:rPr>
        <w:t xml:space="preserve">container </w:t>
      </w:r>
      <w:r w:rsidR="005505DA">
        <w:rPr>
          <w:rFonts w:eastAsia="Times New Roman"/>
          <w:bCs/>
          <w:szCs w:val="20"/>
        </w:rPr>
        <w:t>according to</w:t>
      </w:r>
      <w:r w:rsidR="006A5336" w:rsidRPr="00ED34B6">
        <w:rPr>
          <w:rFonts w:eastAsia="Times New Roman"/>
          <w:bCs/>
          <w:szCs w:val="20"/>
        </w:rPr>
        <w:t xml:space="preserve"> </w:t>
      </w:r>
      <w:r w:rsidRPr="00ED34B6">
        <w:rPr>
          <w:rFonts w:eastAsia="Times New Roman"/>
          <w:bCs/>
          <w:szCs w:val="20"/>
        </w:rPr>
        <w:t>local regulations.</w:t>
      </w:r>
      <w:r>
        <w:rPr>
          <w:rFonts w:eastAsia="Times New Roman"/>
          <w:bCs/>
          <w:szCs w:val="20"/>
        </w:rPr>
        <w:t xml:space="preserve"> </w:t>
      </w:r>
    </w:p>
    <w:p w14:paraId="39ED0A34" w14:textId="77777777" w:rsidR="002B22C8" w:rsidRPr="004C5973" w:rsidRDefault="00910EA2" w:rsidP="006B75AB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Hazards Not Otherwise Classified:</w:t>
      </w:r>
      <w:r w:rsidR="004C5973" w:rsidRPr="004C5973">
        <w:rPr>
          <w:rFonts w:eastAsia="Times New Roman"/>
          <w:bCs/>
          <w:szCs w:val="20"/>
        </w:rPr>
        <w:t xml:space="preserve">  </w:t>
      </w:r>
      <w:r w:rsidR="004C5973">
        <w:rPr>
          <w:rFonts w:eastAsia="Times New Roman"/>
          <w:bCs/>
          <w:szCs w:val="20"/>
        </w:rPr>
        <w:t>None.</w:t>
      </w:r>
    </w:p>
    <w:p w14:paraId="55AD3A71" w14:textId="77777777" w:rsidR="000F1959" w:rsidRPr="000F1959" w:rsidRDefault="00910EA2" w:rsidP="006B75AB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Ingredients(s) with Unknown Acute Toxicity</w:t>
      </w:r>
      <w:r w:rsidR="004C5973" w:rsidRPr="00B0155D">
        <w:rPr>
          <w:rFonts w:eastAsia="Times New Roman"/>
          <w:b/>
          <w:bCs/>
          <w:szCs w:val="20"/>
        </w:rPr>
        <w:t>:</w:t>
      </w:r>
      <w:r w:rsidR="004C5973" w:rsidRPr="004C5973">
        <w:rPr>
          <w:rFonts w:eastAsia="Times New Roman"/>
          <w:bCs/>
          <w:szCs w:val="20"/>
        </w:rPr>
        <w:t xml:space="preserve">  </w:t>
      </w:r>
      <w:r w:rsidR="004C5973">
        <w:rPr>
          <w:rFonts w:eastAsia="Times New Roman"/>
          <w:bCs/>
          <w:szCs w:val="20"/>
        </w:rPr>
        <w:t>None.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4F824EA1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71A7DAD0" w14:textId="77777777" w:rsidR="00371ED3" w:rsidRPr="00944226" w:rsidRDefault="00371ED3" w:rsidP="006B75AB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944226">
              <w:rPr>
                <w:rFonts w:eastAsia="Times New Roman"/>
                <w:b/>
                <w:bCs/>
                <w:szCs w:val="20"/>
              </w:rPr>
              <w:lastRenderedPageBreak/>
              <w:br w:type="page"/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94422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944226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944226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50F5413" w14:textId="3A82DE70" w:rsidR="00BB0995" w:rsidRPr="00F353D7" w:rsidRDefault="00BB0995" w:rsidP="00DC2DCA">
      <w:pPr>
        <w:widowControl/>
        <w:spacing w:before="120" w:after="120"/>
        <w:rPr>
          <w:rFonts w:eastAsia="Times New Roman"/>
          <w:bCs/>
          <w:spacing w:val="1"/>
          <w:szCs w:val="20"/>
        </w:rPr>
      </w:pPr>
      <w:r w:rsidRPr="00371ED3">
        <w:rPr>
          <w:rFonts w:eastAsia="Times New Roman"/>
          <w:b/>
          <w:bCs/>
          <w:szCs w:val="20"/>
        </w:rPr>
        <w:t>Sub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pacing w:val="1"/>
          <w:szCs w:val="20"/>
        </w:rPr>
        <w:t>ta</w:t>
      </w:r>
      <w:r w:rsidRPr="00371ED3">
        <w:rPr>
          <w:rFonts w:eastAsia="Times New Roman"/>
          <w:b/>
          <w:bCs/>
          <w:szCs w:val="20"/>
        </w:rPr>
        <w:t>nce:</w:t>
      </w:r>
      <w:r w:rsidR="00F353D7">
        <w:rPr>
          <w:rFonts w:eastAsia="Times New Roman"/>
          <w:bCs/>
          <w:spacing w:val="1"/>
          <w:szCs w:val="20"/>
        </w:rPr>
        <w:t xml:space="preserve">  </w:t>
      </w:r>
      <w:r w:rsidR="009B08AA">
        <w:rPr>
          <w:rFonts w:eastAsia="Times New Roman"/>
          <w:bCs/>
          <w:spacing w:val="1"/>
          <w:szCs w:val="20"/>
        </w:rPr>
        <w:t>C</w:t>
      </w:r>
      <w:r w:rsidR="00241BDC">
        <w:rPr>
          <w:rFonts w:eastAsia="Times New Roman"/>
          <w:bCs/>
          <w:spacing w:val="1"/>
          <w:szCs w:val="20"/>
        </w:rPr>
        <w:t>rude oil</w:t>
      </w:r>
    </w:p>
    <w:p w14:paraId="481931B9" w14:textId="0938272E" w:rsidR="00BB0995" w:rsidRPr="00E76DFD" w:rsidRDefault="00BB0995" w:rsidP="001E3915">
      <w:pPr>
        <w:keepNext/>
        <w:widowControl/>
        <w:tabs>
          <w:tab w:val="left" w:pos="7434"/>
        </w:tabs>
        <w:spacing w:before="120" w:after="120"/>
        <w:rPr>
          <w:rFonts w:eastAsia="Times New Roman"/>
          <w:bCs/>
          <w:spacing w:val="1"/>
        </w:rPr>
      </w:pPr>
      <w:r w:rsidRPr="00371ED3">
        <w:rPr>
          <w:rFonts w:eastAsia="Times New Roman"/>
          <w:b/>
          <w:bCs/>
          <w:spacing w:val="1"/>
          <w:szCs w:val="20"/>
        </w:rPr>
        <w:t>Ot</w:t>
      </w:r>
      <w:r w:rsidRPr="00371ED3">
        <w:rPr>
          <w:rFonts w:eastAsia="Times New Roman"/>
          <w:b/>
          <w:bCs/>
          <w:szCs w:val="20"/>
        </w:rPr>
        <w:t>her</w:t>
      </w:r>
      <w:r w:rsidRPr="00371ED3">
        <w:rPr>
          <w:rFonts w:eastAsia="Times New Roman"/>
          <w:b/>
          <w:bCs/>
          <w:spacing w:val="13"/>
          <w:szCs w:val="20"/>
        </w:rPr>
        <w:t xml:space="preserve"> </w:t>
      </w:r>
      <w:r w:rsidRPr="00371ED3">
        <w:rPr>
          <w:rFonts w:eastAsia="Times New Roman"/>
          <w:b/>
          <w:bCs/>
          <w:szCs w:val="20"/>
        </w:rPr>
        <w:t>De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g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1"/>
          <w:szCs w:val="20"/>
        </w:rPr>
        <w:t>at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o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-1"/>
          <w:szCs w:val="20"/>
        </w:rPr>
        <w:t>s:</w:t>
      </w:r>
      <w:r w:rsidRPr="00E76DFD">
        <w:rPr>
          <w:rFonts w:eastAsia="Times New Roman"/>
          <w:spacing w:val="-1"/>
          <w:szCs w:val="20"/>
        </w:rPr>
        <w:t xml:space="preserve"> </w:t>
      </w:r>
      <w:r w:rsidR="00E76DFD" w:rsidRPr="00E76DFD">
        <w:rPr>
          <w:rFonts w:eastAsia="Times New Roman"/>
          <w:spacing w:val="-1"/>
          <w:szCs w:val="20"/>
        </w:rPr>
        <w:t xml:space="preserve"> </w:t>
      </w:r>
      <w:r w:rsidR="009B08AA">
        <w:rPr>
          <w:rFonts w:eastAsia="Times New Roman"/>
          <w:spacing w:val="-1"/>
          <w:szCs w:val="20"/>
        </w:rPr>
        <w:t>P</w:t>
      </w:r>
      <w:r w:rsidR="00007EFF" w:rsidRPr="00007EFF">
        <w:rPr>
          <w:rFonts w:eastAsia="Times New Roman"/>
          <w:spacing w:val="-1"/>
          <w:szCs w:val="20"/>
        </w:rPr>
        <w:t>etroleum; petroleum crude; coal oil; crude oil; rock oil</w:t>
      </w:r>
      <w:r w:rsidR="009B08AA">
        <w:rPr>
          <w:rFonts w:eastAsia="Times New Roman"/>
          <w:spacing w:val="-1"/>
          <w:szCs w:val="20"/>
        </w:rPr>
        <w:t>.</w:t>
      </w:r>
    </w:p>
    <w:p w14:paraId="405F1761" w14:textId="77777777" w:rsidR="00B173FB" w:rsidRDefault="00661CCC" w:rsidP="00DC2DCA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spacing w:val="1"/>
          <w:szCs w:val="20"/>
        </w:rPr>
        <w:t>Components are listed in compliance with OSHA’s 29 CFR 1910.1200</w:t>
      </w:r>
      <w:r w:rsidRPr="00661CCC">
        <w:rPr>
          <w:rFonts w:eastAsia="Times New Roman"/>
          <w:szCs w:val="20"/>
        </w:rPr>
        <w:t>.</w:t>
      </w:r>
      <w:r w:rsidR="00E17C76" w:rsidRPr="00E17C76">
        <w:rPr>
          <w:rFonts w:eastAsia="Times New Roman"/>
          <w:szCs w:val="20"/>
        </w:rPr>
        <w:t xml:space="preserve">  </w:t>
      </w:r>
      <w:r w:rsidR="00B0357D">
        <w:rPr>
          <w:rFonts w:eastAsia="Times New Roman"/>
          <w:szCs w:val="20"/>
        </w:rPr>
        <w:t>T</w:t>
      </w:r>
      <w:r w:rsidR="00E17C76" w:rsidRPr="00E17C76">
        <w:rPr>
          <w:rFonts w:eastAsia="Times New Roman"/>
          <w:szCs w:val="20"/>
        </w:rPr>
        <w:t xml:space="preserve">race amounts of hydrogen sulfide </w:t>
      </w:r>
      <w:r w:rsidR="00B0357D">
        <w:rPr>
          <w:rFonts w:eastAsia="Times New Roman"/>
          <w:szCs w:val="20"/>
        </w:rPr>
        <w:t xml:space="preserve">may be </w:t>
      </w:r>
      <w:r w:rsidR="00E17C76" w:rsidRPr="00E17C76">
        <w:rPr>
          <w:rFonts w:eastAsia="Times New Roman"/>
          <w:szCs w:val="20"/>
        </w:rPr>
        <w:t>generated due to the sulfur content in the crude oil.  There is not a direct correlation between hydrogen sulfide generation and the total sulfur content</w:t>
      </w:r>
      <w:r w:rsidR="00E17C76">
        <w:rPr>
          <w:rFonts w:eastAsia="Times New Roman"/>
          <w:szCs w:val="20"/>
        </w:rPr>
        <w:t xml:space="preserve"> in this material</w:t>
      </w:r>
      <w:r w:rsidR="00E17C76" w:rsidRPr="00E17C76">
        <w:rPr>
          <w:rFonts w:eastAsia="Times New Roman"/>
          <w:szCs w:val="20"/>
        </w:rPr>
        <w:t>.</w:t>
      </w: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1530"/>
        <w:gridCol w:w="1800"/>
        <w:gridCol w:w="2970"/>
      </w:tblGrid>
      <w:tr w:rsidR="00B173FB" w14:paraId="33CEEB04" w14:textId="77777777" w:rsidTr="00AA55EE">
        <w:trPr>
          <w:trHeight w:val="576"/>
        </w:trPr>
        <w:tc>
          <w:tcPr>
            <w:tcW w:w="2718" w:type="dxa"/>
          </w:tcPr>
          <w:p w14:paraId="1B10BFBA" w14:textId="77777777" w:rsidR="00B173FB" w:rsidRDefault="00620718" w:rsidP="00CA1914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 xml:space="preserve">Hazardous </w:t>
            </w:r>
            <w:r w:rsidR="00B173FB">
              <w:rPr>
                <w:rFonts w:eastAsia="Times New Roman"/>
                <w:b/>
                <w:bCs/>
                <w:szCs w:val="20"/>
              </w:rPr>
              <w:t>C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="00B173FB">
              <w:rPr>
                <w:rFonts w:eastAsia="Times New Roman"/>
                <w:b/>
                <w:bCs/>
                <w:szCs w:val="20"/>
              </w:rPr>
              <w:t>p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zCs w:val="20"/>
              </w:rPr>
              <w:t>nent</w:t>
            </w:r>
            <w:r w:rsidR="00B07BF3">
              <w:rPr>
                <w:rFonts w:eastAsia="Times New Roman"/>
                <w:b/>
                <w:bCs/>
                <w:szCs w:val="20"/>
              </w:rPr>
              <w:t>(s)</w:t>
            </w:r>
          </w:p>
        </w:tc>
        <w:tc>
          <w:tcPr>
            <w:tcW w:w="1530" w:type="dxa"/>
          </w:tcPr>
          <w:p w14:paraId="6C981417" w14:textId="77777777" w:rsidR="00B173FB" w:rsidRDefault="00B173FB" w:rsidP="006B75AB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>CAS</w:t>
            </w:r>
            <w:r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800" w:type="dxa"/>
          </w:tcPr>
          <w:p w14:paraId="2147A82C" w14:textId="77777777" w:rsidR="00B173FB" w:rsidRDefault="00B173FB" w:rsidP="006B75AB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</w:t>
            </w:r>
            <w:r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  <w:r>
              <w:rPr>
                <w:rFonts w:eastAsia="Times New Roman"/>
                <w:szCs w:val="20"/>
              </w:rPr>
              <w:br/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>
              <w:rPr>
                <w:rFonts w:eastAsia="Times New Roman"/>
                <w:b/>
                <w:bCs/>
                <w:szCs w:val="20"/>
              </w:rPr>
              <w:t>N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970" w:type="dxa"/>
          </w:tcPr>
          <w:p w14:paraId="550B7687" w14:textId="77777777" w:rsidR="00B173FB" w:rsidRPr="001E3915" w:rsidRDefault="00B173FB" w:rsidP="00E17C76">
            <w:pPr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1E3915">
              <w:rPr>
                <w:rFonts w:eastAsia="Times New Roman"/>
                <w:b/>
                <w:bCs/>
                <w:szCs w:val="20"/>
              </w:rPr>
              <w:t>N</w:t>
            </w:r>
            <w:r w:rsidRPr="009A18FB">
              <w:rPr>
                <w:rFonts w:eastAsia="Times New Roman"/>
                <w:b/>
                <w:bCs/>
                <w:szCs w:val="20"/>
              </w:rPr>
              <w:t>om</w:t>
            </w:r>
            <w:r w:rsidRPr="001E3915">
              <w:rPr>
                <w:rFonts w:eastAsia="Times New Roman"/>
                <w:b/>
                <w:bCs/>
                <w:szCs w:val="20"/>
              </w:rPr>
              <w:t>in</w:t>
            </w:r>
            <w:r w:rsidRPr="009A18FB">
              <w:rPr>
                <w:rFonts w:eastAsia="Times New Roman"/>
                <w:b/>
                <w:bCs/>
                <w:szCs w:val="20"/>
              </w:rPr>
              <w:t>a</w:t>
            </w:r>
            <w:r w:rsidRPr="001E3915">
              <w:rPr>
                <w:rFonts w:eastAsia="Times New Roman"/>
                <w:b/>
                <w:bCs/>
                <w:szCs w:val="20"/>
              </w:rPr>
              <w:t>l</w:t>
            </w:r>
            <w:r w:rsidRPr="009A18FB">
              <w:rPr>
                <w:rFonts w:eastAsia="Times New Roman"/>
                <w:b/>
                <w:bCs/>
                <w:szCs w:val="20"/>
              </w:rPr>
              <w:t xml:space="preserve"> Mas</w:t>
            </w:r>
            <w:r w:rsidRPr="001E3915">
              <w:rPr>
                <w:rFonts w:eastAsia="Times New Roman"/>
                <w:b/>
                <w:bCs/>
                <w:szCs w:val="20"/>
              </w:rPr>
              <w:t>s</w:t>
            </w:r>
            <w:r w:rsidRPr="009A18FB">
              <w:rPr>
                <w:rFonts w:eastAsia="Times New Roman"/>
                <w:b/>
                <w:bCs/>
                <w:szCs w:val="20"/>
              </w:rPr>
              <w:t xml:space="preserve"> </w:t>
            </w:r>
            <w:r w:rsidR="00516658" w:rsidRPr="009A18FB">
              <w:rPr>
                <w:rFonts w:eastAsia="Times New Roman"/>
                <w:b/>
                <w:bCs/>
                <w:szCs w:val="20"/>
              </w:rPr>
              <w:t>Concentration</w:t>
            </w:r>
            <w:r w:rsidRPr="001E3915">
              <w:rPr>
                <w:rFonts w:eastAsia="Times New Roman"/>
                <w:b/>
                <w:bCs/>
                <w:szCs w:val="20"/>
              </w:rPr>
              <w:br/>
            </w:r>
            <w:r w:rsidRPr="009A18FB">
              <w:rPr>
                <w:rFonts w:eastAsia="Times New Roman"/>
                <w:b/>
                <w:bCs/>
                <w:szCs w:val="20"/>
              </w:rPr>
              <w:t>(%)</w:t>
            </w:r>
          </w:p>
        </w:tc>
      </w:tr>
      <w:tr w:rsidR="00F353D7" w14:paraId="13FB5735" w14:textId="77777777" w:rsidTr="00AA55EE">
        <w:trPr>
          <w:trHeight w:val="288"/>
        </w:trPr>
        <w:tc>
          <w:tcPr>
            <w:tcW w:w="2718" w:type="dxa"/>
          </w:tcPr>
          <w:p w14:paraId="241AC75B" w14:textId="77777777" w:rsidR="00F353D7" w:rsidRDefault="00007EFF" w:rsidP="00007EFF">
            <w:pPr>
              <w:widowControl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Crude</w:t>
            </w:r>
            <w:r w:rsidR="00B07BF3">
              <w:rPr>
                <w:rFonts w:eastAsia="Times New Roman"/>
                <w:spacing w:val="2"/>
                <w:szCs w:val="20"/>
              </w:rPr>
              <w:t xml:space="preserve"> o</w:t>
            </w:r>
            <w:r>
              <w:rPr>
                <w:rFonts w:eastAsia="Times New Roman"/>
                <w:spacing w:val="2"/>
                <w:szCs w:val="20"/>
              </w:rPr>
              <w:t>il</w:t>
            </w:r>
          </w:p>
        </w:tc>
        <w:tc>
          <w:tcPr>
            <w:tcW w:w="1530" w:type="dxa"/>
          </w:tcPr>
          <w:p w14:paraId="325EABCD" w14:textId="77777777" w:rsidR="00F353D7" w:rsidRDefault="00F353D7" w:rsidP="00007EFF">
            <w:pPr>
              <w:widowControl/>
              <w:tabs>
                <w:tab w:val="right" w:pos="1062"/>
              </w:tabs>
              <w:rPr>
                <w:rFonts w:eastAsia="Times New Roman"/>
                <w:spacing w:val="1"/>
                <w:szCs w:val="20"/>
              </w:rPr>
            </w:pPr>
            <w:r>
              <w:rPr>
                <w:rFonts w:eastAsia="Times New Roman"/>
                <w:spacing w:val="1"/>
                <w:szCs w:val="20"/>
              </w:rPr>
              <w:tab/>
            </w:r>
            <w:r w:rsidR="00007EFF" w:rsidRPr="00007EFF">
              <w:rPr>
                <w:rFonts w:eastAsia="Times New Roman"/>
                <w:spacing w:val="1"/>
                <w:szCs w:val="20"/>
              </w:rPr>
              <w:t>8002-05-9</w:t>
            </w:r>
          </w:p>
        </w:tc>
        <w:tc>
          <w:tcPr>
            <w:tcW w:w="1800" w:type="dxa"/>
          </w:tcPr>
          <w:p w14:paraId="74F1A4B9" w14:textId="77777777" w:rsidR="00F353D7" w:rsidRDefault="00007EFF" w:rsidP="00CA1914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007EFF">
              <w:rPr>
                <w:rFonts w:eastAsia="Times New Roman"/>
                <w:spacing w:val="1"/>
                <w:szCs w:val="20"/>
              </w:rPr>
              <w:t>232-298-</w:t>
            </w:r>
            <w:r>
              <w:rPr>
                <w:rFonts w:eastAsia="Times New Roman"/>
                <w:spacing w:val="1"/>
                <w:szCs w:val="20"/>
              </w:rPr>
              <w:t>5</w:t>
            </w:r>
          </w:p>
        </w:tc>
        <w:tc>
          <w:tcPr>
            <w:tcW w:w="2970" w:type="dxa"/>
          </w:tcPr>
          <w:p w14:paraId="75493175" w14:textId="77777777" w:rsidR="00F353D7" w:rsidRPr="009A18FB" w:rsidRDefault="00DF29FF" w:rsidP="009A18FB">
            <w:pPr>
              <w:widowControl/>
              <w:jc w:val="center"/>
              <w:rPr>
                <w:rFonts w:eastAsia="Times New Roman"/>
                <w:szCs w:val="20"/>
              </w:rPr>
            </w:pPr>
            <w:r w:rsidRPr="009A18FB">
              <w:rPr>
                <w:rFonts w:eastAsia="Times New Roman"/>
                <w:szCs w:val="20"/>
              </w:rPr>
              <w:t>100</w:t>
            </w:r>
          </w:p>
        </w:tc>
      </w:tr>
    </w:tbl>
    <w:p w14:paraId="2C4D4FEA" w14:textId="77777777" w:rsidR="00492783" w:rsidRPr="00492783" w:rsidRDefault="00492783" w:rsidP="008A57C6">
      <w:pPr>
        <w:widowControl/>
        <w:tabs>
          <w:tab w:val="left" w:pos="180"/>
        </w:tabs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73FB" w14:paraId="6576FE14" w14:textId="77777777" w:rsidTr="00B173FB">
        <w:trPr>
          <w:trHeight w:hRule="exact" w:val="360"/>
        </w:trPr>
        <w:tc>
          <w:tcPr>
            <w:tcW w:w="9576" w:type="dxa"/>
            <w:vAlign w:val="center"/>
          </w:tcPr>
          <w:p w14:paraId="2CFF9EAC" w14:textId="77777777" w:rsidR="00B173FB" w:rsidRDefault="00B173FB" w:rsidP="006B75AB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0FE3E0D" w14:textId="77777777" w:rsidR="00C508A0" w:rsidRPr="00DB04B7" w:rsidRDefault="00BB0995" w:rsidP="006B75AB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DB04B7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DB04B7">
        <w:rPr>
          <w:rFonts w:eastAsia="Times New Roman"/>
          <w:b/>
          <w:bCs/>
          <w:spacing w:val="-1"/>
          <w:szCs w:val="20"/>
        </w:rPr>
        <w:t xml:space="preserve"> Aid Measures</w:t>
      </w:r>
      <w:r w:rsidRPr="00DB04B7">
        <w:rPr>
          <w:rFonts w:eastAsia="Times New Roman"/>
          <w:b/>
          <w:bCs/>
          <w:spacing w:val="-1"/>
          <w:szCs w:val="20"/>
        </w:rPr>
        <w:t xml:space="preserve"> </w:t>
      </w:r>
    </w:p>
    <w:p w14:paraId="549F4B11" w14:textId="77777777" w:rsidR="00C508A0" w:rsidRPr="00DB04B7" w:rsidRDefault="00BF5DD9" w:rsidP="00532227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DB04B7">
        <w:rPr>
          <w:rFonts w:eastAsia="Times New Roman"/>
          <w:b/>
          <w:bCs/>
          <w:spacing w:val="-1"/>
          <w:szCs w:val="20"/>
        </w:rPr>
        <w:t>I</w:t>
      </w:r>
      <w:r w:rsidRPr="00DB04B7">
        <w:rPr>
          <w:rFonts w:eastAsia="Times New Roman"/>
          <w:b/>
          <w:bCs/>
          <w:szCs w:val="20"/>
        </w:rPr>
        <w:t>nh</w:t>
      </w:r>
      <w:r w:rsidRPr="00DB04B7">
        <w:rPr>
          <w:rFonts w:eastAsia="Times New Roman"/>
          <w:b/>
          <w:bCs/>
          <w:spacing w:val="1"/>
          <w:szCs w:val="20"/>
        </w:rPr>
        <w:t>a</w:t>
      </w:r>
      <w:r w:rsidRPr="00DB04B7">
        <w:rPr>
          <w:rFonts w:eastAsia="Times New Roman"/>
          <w:b/>
          <w:bCs/>
          <w:szCs w:val="20"/>
        </w:rPr>
        <w:t>l</w:t>
      </w:r>
      <w:r w:rsidRPr="00DB04B7">
        <w:rPr>
          <w:rFonts w:eastAsia="Times New Roman"/>
          <w:b/>
          <w:bCs/>
          <w:spacing w:val="1"/>
          <w:szCs w:val="20"/>
        </w:rPr>
        <w:t>at</w:t>
      </w:r>
      <w:r w:rsidRPr="00DB04B7">
        <w:rPr>
          <w:rFonts w:eastAsia="Times New Roman"/>
          <w:b/>
          <w:bCs/>
          <w:szCs w:val="20"/>
        </w:rPr>
        <w:t>i</w:t>
      </w:r>
      <w:r w:rsidRPr="00DB04B7">
        <w:rPr>
          <w:rFonts w:eastAsia="Times New Roman"/>
          <w:b/>
          <w:bCs/>
          <w:spacing w:val="1"/>
          <w:szCs w:val="20"/>
        </w:rPr>
        <w:t>o</w:t>
      </w:r>
      <w:r w:rsidRPr="00DB04B7">
        <w:rPr>
          <w:rFonts w:eastAsia="Times New Roman"/>
          <w:b/>
          <w:bCs/>
          <w:szCs w:val="20"/>
        </w:rPr>
        <w:t>n:</w:t>
      </w:r>
      <w:r w:rsidRPr="00DB04B7">
        <w:rPr>
          <w:rFonts w:eastAsia="Times New Roman"/>
          <w:bCs/>
          <w:szCs w:val="20"/>
        </w:rPr>
        <w:t xml:space="preserve"> </w:t>
      </w:r>
      <w:r w:rsidR="00795575" w:rsidRPr="00DB04B7">
        <w:rPr>
          <w:rFonts w:eastAsia="Times New Roman"/>
          <w:bCs/>
          <w:szCs w:val="20"/>
        </w:rPr>
        <w:t xml:space="preserve"> If adverse effects occur, remove to uncontaminated area.  </w:t>
      </w:r>
      <w:r w:rsidR="009212BD">
        <w:rPr>
          <w:rFonts w:eastAsia="Times New Roman"/>
          <w:bCs/>
          <w:szCs w:val="20"/>
        </w:rPr>
        <w:t>G</w:t>
      </w:r>
      <w:r w:rsidR="00795575" w:rsidRPr="00DB04B7">
        <w:rPr>
          <w:rFonts w:eastAsia="Times New Roman"/>
          <w:bCs/>
          <w:szCs w:val="20"/>
        </w:rPr>
        <w:t>ive artificial respiration</w:t>
      </w:r>
      <w:r w:rsidR="009212BD">
        <w:rPr>
          <w:rFonts w:eastAsia="Times New Roman"/>
          <w:bCs/>
          <w:szCs w:val="20"/>
        </w:rPr>
        <w:t xml:space="preserve"> if not breathing</w:t>
      </w:r>
      <w:r w:rsidR="00795575" w:rsidRPr="00DB04B7">
        <w:rPr>
          <w:rFonts w:eastAsia="Times New Roman"/>
          <w:bCs/>
          <w:szCs w:val="20"/>
        </w:rPr>
        <w:t xml:space="preserve">.  </w:t>
      </w:r>
      <w:r w:rsidR="009212BD">
        <w:rPr>
          <w:rFonts w:eastAsia="Times New Roman"/>
          <w:bCs/>
          <w:szCs w:val="20"/>
        </w:rPr>
        <w:t>Get</w:t>
      </w:r>
      <w:r w:rsidR="00795575" w:rsidRPr="00DB04B7">
        <w:rPr>
          <w:rFonts w:eastAsia="Times New Roman"/>
          <w:bCs/>
          <w:szCs w:val="20"/>
        </w:rPr>
        <w:t xml:space="preserve"> immediate medical attention. </w:t>
      </w:r>
    </w:p>
    <w:p w14:paraId="7E0FBCEA" w14:textId="4DF03C58" w:rsidR="00C508A0" w:rsidRPr="00DB04B7" w:rsidRDefault="00BF5DD9" w:rsidP="00532227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DB04B7">
        <w:rPr>
          <w:rFonts w:eastAsia="Times New Roman"/>
          <w:b/>
          <w:bCs/>
          <w:szCs w:val="20"/>
        </w:rPr>
        <w:t>S</w:t>
      </w:r>
      <w:r w:rsidRPr="00DB04B7">
        <w:rPr>
          <w:rFonts w:eastAsia="Times New Roman"/>
          <w:b/>
          <w:bCs/>
          <w:spacing w:val="-3"/>
          <w:szCs w:val="20"/>
        </w:rPr>
        <w:t>k</w:t>
      </w:r>
      <w:r w:rsidRPr="00DB04B7">
        <w:rPr>
          <w:rFonts w:eastAsia="Times New Roman"/>
          <w:b/>
          <w:bCs/>
          <w:szCs w:val="20"/>
        </w:rPr>
        <w:t>in</w:t>
      </w:r>
      <w:r w:rsidRPr="00DB04B7">
        <w:rPr>
          <w:rFonts w:eastAsia="Times New Roman"/>
          <w:b/>
          <w:bCs/>
          <w:spacing w:val="-4"/>
          <w:szCs w:val="20"/>
        </w:rPr>
        <w:t xml:space="preserve"> </w:t>
      </w:r>
      <w:r w:rsidRPr="00DB04B7">
        <w:rPr>
          <w:rFonts w:eastAsia="Times New Roman"/>
          <w:b/>
          <w:bCs/>
          <w:szCs w:val="20"/>
        </w:rPr>
        <w:t>C</w:t>
      </w:r>
      <w:r w:rsidRPr="00DB04B7">
        <w:rPr>
          <w:rFonts w:eastAsia="Times New Roman"/>
          <w:b/>
          <w:bCs/>
          <w:spacing w:val="1"/>
          <w:szCs w:val="20"/>
        </w:rPr>
        <w:t>o</w:t>
      </w:r>
      <w:r w:rsidRPr="00DB04B7">
        <w:rPr>
          <w:rFonts w:eastAsia="Times New Roman"/>
          <w:b/>
          <w:bCs/>
          <w:szCs w:val="20"/>
        </w:rPr>
        <w:t>n</w:t>
      </w:r>
      <w:r w:rsidRPr="00DB04B7">
        <w:rPr>
          <w:rFonts w:eastAsia="Times New Roman"/>
          <w:b/>
          <w:bCs/>
          <w:spacing w:val="1"/>
          <w:szCs w:val="20"/>
        </w:rPr>
        <w:t>ta</w:t>
      </w:r>
      <w:r w:rsidRPr="00DB04B7">
        <w:rPr>
          <w:rFonts w:eastAsia="Times New Roman"/>
          <w:b/>
          <w:bCs/>
          <w:szCs w:val="20"/>
        </w:rPr>
        <w:t>c</w:t>
      </w:r>
      <w:r w:rsidRPr="00DB04B7">
        <w:rPr>
          <w:rFonts w:eastAsia="Times New Roman"/>
          <w:b/>
          <w:bCs/>
          <w:spacing w:val="1"/>
          <w:szCs w:val="20"/>
        </w:rPr>
        <w:t>t</w:t>
      </w:r>
      <w:r w:rsidRPr="00DB04B7">
        <w:rPr>
          <w:rFonts w:eastAsia="Times New Roman"/>
          <w:b/>
          <w:bCs/>
          <w:szCs w:val="20"/>
        </w:rPr>
        <w:t>:</w:t>
      </w:r>
      <w:r w:rsidRPr="00DB04B7">
        <w:rPr>
          <w:rFonts w:eastAsia="Times New Roman"/>
          <w:bCs/>
          <w:szCs w:val="20"/>
        </w:rPr>
        <w:t xml:space="preserve"> </w:t>
      </w:r>
      <w:r w:rsidR="00795575" w:rsidRPr="00DB04B7">
        <w:rPr>
          <w:rFonts w:eastAsia="Times New Roman"/>
          <w:bCs/>
          <w:szCs w:val="20"/>
        </w:rPr>
        <w:t xml:space="preserve"> </w:t>
      </w:r>
      <w:r w:rsidR="009212BD" w:rsidRPr="009212BD">
        <w:rPr>
          <w:rFonts w:eastAsia="Times New Roman"/>
          <w:bCs/>
          <w:szCs w:val="20"/>
        </w:rPr>
        <w:t>Wash skin with soap and water for at least 15</w:t>
      </w:r>
      <w:r w:rsidR="0097491F">
        <w:rPr>
          <w:rFonts w:eastAsia="Times New Roman"/>
          <w:bCs/>
          <w:szCs w:val="20"/>
        </w:rPr>
        <w:t> </w:t>
      </w:r>
      <w:r w:rsidR="009212BD" w:rsidRPr="009212BD">
        <w:rPr>
          <w:rFonts w:eastAsia="Times New Roman"/>
          <w:bCs/>
          <w:szCs w:val="20"/>
        </w:rPr>
        <w:t xml:space="preserve">minutes while removing contaminated clothing and shoes. </w:t>
      </w:r>
      <w:r w:rsidR="009212BD">
        <w:rPr>
          <w:rFonts w:eastAsia="Times New Roman"/>
          <w:bCs/>
          <w:szCs w:val="20"/>
        </w:rPr>
        <w:t xml:space="preserve"> </w:t>
      </w:r>
      <w:r w:rsidR="009212BD" w:rsidRPr="009212BD">
        <w:rPr>
          <w:rFonts w:eastAsia="Times New Roman"/>
          <w:bCs/>
          <w:szCs w:val="20"/>
        </w:rPr>
        <w:t>Get</w:t>
      </w:r>
      <w:r w:rsidR="009212BD">
        <w:rPr>
          <w:rFonts w:eastAsia="Times New Roman"/>
          <w:bCs/>
          <w:szCs w:val="20"/>
        </w:rPr>
        <w:t xml:space="preserve"> </w:t>
      </w:r>
      <w:r w:rsidR="009212BD" w:rsidRPr="009212BD">
        <w:rPr>
          <w:rFonts w:eastAsia="Times New Roman"/>
          <w:bCs/>
          <w:szCs w:val="20"/>
        </w:rPr>
        <w:t xml:space="preserve">medical attention, if needed. </w:t>
      </w:r>
      <w:r w:rsidR="009212BD">
        <w:rPr>
          <w:rFonts w:eastAsia="Times New Roman"/>
          <w:bCs/>
          <w:szCs w:val="20"/>
        </w:rPr>
        <w:t xml:space="preserve"> </w:t>
      </w:r>
      <w:r w:rsidR="009212BD" w:rsidRPr="009212BD">
        <w:rPr>
          <w:rFonts w:eastAsia="Times New Roman"/>
          <w:bCs/>
          <w:szCs w:val="20"/>
        </w:rPr>
        <w:t>Thoroughly clean and dry contaminated clothing and shoes before reuse</w:t>
      </w:r>
      <w:r w:rsidR="00944226" w:rsidRPr="00DB04B7">
        <w:t>.</w:t>
      </w:r>
    </w:p>
    <w:p w14:paraId="3CCF52DF" w14:textId="248BA4BC" w:rsidR="00C508A0" w:rsidRPr="00DB04B7" w:rsidRDefault="00BF5DD9" w:rsidP="00532227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DB04B7">
        <w:rPr>
          <w:rFonts w:eastAsia="Times New Roman"/>
          <w:b/>
          <w:bCs/>
          <w:spacing w:val="-1"/>
          <w:szCs w:val="20"/>
        </w:rPr>
        <w:t>E</w:t>
      </w:r>
      <w:r w:rsidRPr="00DB04B7">
        <w:rPr>
          <w:rFonts w:eastAsia="Times New Roman"/>
          <w:b/>
          <w:bCs/>
          <w:spacing w:val="1"/>
          <w:szCs w:val="20"/>
        </w:rPr>
        <w:t>y</w:t>
      </w:r>
      <w:r w:rsidRPr="00DB04B7">
        <w:rPr>
          <w:rFonts w:eastAsia="Times New Roman"/>
          <w:b/>
          <w:bCs/>
          <w:szCs w:val="20"/>
        </w:rPr>
        <w:t>e</w:t>
      </w:r>
      <w:r w:rsidRPr="00DB04B7">
        <w:rPr>
          <w:rFonts w:eastAsia="Times New Roman"/>
          <w:b/>
          <w:bCs/>
          <w:spacing w:val="-2"/>
          <w:szCs w:val="20"/>
        </w:rPr>
        <w:t xml:space="preserve"> </w:t>
      </w:r>
      <w:r w:rsidRPr="00DB04B7">
        <w:rPr>
          <w:rFonts w:eastAsia="Times New Roman"/>
          <w:b/>
          <w:bCs/>
          <w:szCs w:val="20"/>
        </w:rPr>
        <w:t>C</w:t>
      </w:r>
      <w:r w:rsidRPr="00DB04B7">
        <w:rPr>
          <w:rFonts w:eastAsia="Times New Roman"/>
          <w:b/>
          <w:bCs/>
          <w:spacing w:val="1"/>
          <w:szCs w:val="20"/>
        </w:rPr>
        <w:t>o</w:t>
      </w:r>
      <w:r w:rsidRPr="00DB04B7">
        <w:rPr>
          <w:rFonts w:eastAsia="Times New Roman"/>
          <w:b/>
          <w:bCs/>
          <w:szCs w:val="20"/>
        </w:rPr>
        <w:t>n</w:t>
      </w:r>
      <w:r w:rsidRPr="00DB04B7">
        <w:rPr>
          <w:rFonts w:eastAsia="Times New Roman"/>
          <w:b/>
          <w:bCs/>
          <w:spacing w:val="1"/>
          <w:szCs w:val="20"/>
        </w:rPr>
        <w:t>ta</w:t>
      </w:r>
      <w:r w:rsidRPr="00DB04B7">
        <w:rPr>
          <w:rFonts w:eastAsia="Times New Roman"/>
          <w:b/>
          <w:bCs/>
          <w:szCs w:val="20"/>
        </w:rPr>
        <w:t>c</w:t>
      </w:r>
      <w:r w:rsidRPr="00DB04B7">
        <w:rPr>
          <w:rFonts w:eastAsia="Times New Roman"/>
          <w:b/>
          <w:bCs/>
          <w:spacing w:val="1"/>
          <w:szCs w:val="20"/>
        </w:rPr>
        <w:t>t</w:t>
      </w:r>
      <w:r w:rsidRPr="00DB04B7">
        <w:rPr>
          <w:rFonts w:eastAsia="Times New Roman"/>
          <w:b/>
          <w:bCs/>
          <w:szCs w:val="20"/>
        </w:rPr>
        <w:t>:</w:t>
      </w:r>
      <w:r w:rsidR="00795575" w:rsidRPr="00DB04B7">
        <w:rPr>
          <w:rFonts w:eastAsia="Times New Roman"/>
          <w:bCs/>
          <w:szCs w:val="20"/>
        </w:rPr>
        <w:t xml:space="preserve">  </w:t>
      </w:r>
      <w:r w:rsidR="009212BD" w:rsidRPr="009212BD">
        <w:rPr>
          <w:szCs w:val="20"/>
        </w:rPr>
        <w:t>Flush eyes with plenty of water for at least 15</w:t>
      </w:r>
      <w:r w:rsidR="0097491F">
        <w:rPr>
          <w:szCs w:val="20"/>
        </w:rPr>
        <w:t> </w:t>
      </w:r>
      <w:r w:rsidR="009212BD" w:rsidRPr="009212BD">
        <w:rPr>
          <w:szCs w:val="20"/>
        </w:rPr>
        <w:t xml:space="preserve">minutes. </w:t>
      </w:r>
      <w:r w:rsidR="009212BD">
        <w:rPr>
          <w:szCs w:val="20"/>
        </w:rPr>
        <w:t xml:space="preserve"> </w:t>
      </w:r>
      <w:r w:rsidR="009212BD" w:rsidRPr="009212BD">
        <w:rPr>
          <w:szCs w:val="20"/>
        </w:rPr>
        <w:t>Then get immediate medical attention</w:t>
      </w:r>
      <w:r w:rsidR="00795575" w:rsidRPr="00DB04B7">
        <w:rPr>
          <w:szCs w:val="20"/>
        </w:rPr>
        <w:t>.</w:t>
      </w:r>
    </w:p>
    <w:p w14:paraId="78AB0435" w14:textId="77777777" w:rsidR="00E24579" w:rsidRPr="00DB04B7" w:rsidRDefault="00BF5DD9" w:rsidP="00532227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DB04B7">
        <w:rPr>
          <w:rFonts w:eastAsia="Times New Roman"/>
          <w:b/>
          <w:bCs/>
          <w:spacing w:val="-1"/>
          <w:szCs w:val="20"/>
        </w:rPr>
        <w:t>I</w:t>
      </w:r>
      <w:r w:rsidRPr="00DB04B7">
        <w:rPr>
          <w:rFonts w:eastAsia="Times New Roman"/>
          <w:b/>
          <w:bCs/>
          <w:szCs w:val="20"/>
        </w:rPr>
        <w:t>n</w:t>
      </w:r>
      <w:r w:rsidRPr="00DB04B7">
        <w:rPr>
          <w:rFonts w:eastAsia="Times New Roman"/>
          <w:b/>
          <w:bCs/>
          <w:spacing w:val="1"/>
          <w:szCs w:val="20"/>
        </w:rPr>
        <w:t>g</w:t>
      </w:r>
      <w:r w:rsidRPr="00DB04B7">
        <w:rPr>
          <w:rFonts w:eastAsia="Times New Roman"/>
          <w:b/>
          <w:bCs/>
          <w:szCs w:val="20"/>
        </w:rPr>
        <w:t>e</w:t>
      </w:r>
      <w:r w:rsidRPr="00DB04B7">
        <w:rPr>
          <w:rFonts w:eastAsia="Times New Roman"/>
          <w:b/>
          <w:bCs/>
          <w:spacing w:val="-1"/>
          <w:szCs w:val="20"/>
        </w:rPr>
        <w:t>s</w:t>
      </w:r>
      <w:r w:rsidRPr="00DB04B7">
        <w:rPr>
          <w:rFonts w:eastAsia="Times New Roman"/>
          <w:b/>
          <w:bCs/>
          <w:spacing w:val="1"/>
          <w:szCs w:val="20"/>
        </w:rPr>
        <w:t>t</w:t>
      </w:r>
      <w:r w:rsidRPr="00DB04B7">
        <w:rPr>
          <w:rFonts w:eastAsia="Times New Roman"/>
          <w:b/>
          <w:bCs/>
          <w:szCs w:val="20"/>
        </w:rPr>
        <w:t>i</w:t>
      </w:r>
      <w:r w:rsidRPr="00DB04B7">
        <w:rPr>
          <w:rFonts w:eastAsia="Times New Roman"/>
          <w:b/>
          <w:bCs/>
          <w:spacing w:val="1"/>
          <w:szCs w:val="20"/>
        </w:rPr>
        <w:t>o</w:t>
      </w:r>
      <w:r w:rsidRPr="00DB04B7">
        <w:rPr>
          <w:rFonts w:eastAsia="Times New Roman"/>
          <w:b/>
          <w:bCs/>
          <w:szCs w:val="20"/>
        </w:rPr>
        <w:t>n:</w:t>
      </w:r>
      <w:r w:rsidR="00795575" w:rsidRPr="00DB04B7">
        <w:rPr>
          <w:rFonts w:eastAsia="Times New Roman"/>
          <w:bCs/>
          <w:szCs w:val="20"/>
        </w:rPr>
        <w:t xml:space="preserve">  </w:t>
      </w:r>
      <w:r w:rsidR="009212BD" w:rsidRPr="009212BD">
        <w:rPr>
          <w:rFonts w:eastAsia="Times New Roman"/>
          <w:bCs/>
          <w:szCs w:val="20"/>
        </w:rPr>
        <w:t xml:space="preserve">DO NOT induce vomiting. </w:t>
      </w:r>
      <w:r w:rsidR="009212BD">
        <w:rPr>
          <w:rFonts w:eastAsia="Times New Roman"/>
          <w:bCs/>
          <w:szCs w:val="20"/>
        </w:rPr>
        <w:t xml:space="preserve"> </w:t>
      </w:r>
      <w:r w:rsidR="009212BD" w:rsidRPr="009212BD">
        <w:rPr>
          <w:rFonts w:eastAsia="Times New Roman"/>
          <w:bCs/>
          <w:szCs w:val="20"/>
        </w:rPr>
        <w:t>If vomiting occurs, keep head lower than hips to help prevent aspiration. Get medical</w:t>
      </w:r>
      <w:r w:rsidR="009212BD">
        <w:rPr>
          <w:rFonts w:eastAsia="Times New Roman"/>
          <w:bCs/>
          <w:szCs w:val="20"/>
        </w:rPr>
        <w:t xml:space="preserve"> </w:t>
      </w:r>
      <w:r w:rsidR="009212BD" w:rsidRPr="009212BD">
        <w:rPr>
          <w:rFonts w:eastAsia="Times New Roman"/>
          <w:bCs/>
          <w:szCs w:val="20"/>
        </w:rPr>
        <w:t>attention.</w:t>
      </w:r>
    </w:p>
    <w:p w14:paraId="53CD653B" w14:textId="4A77173D" w:rsidR="00FC2284" w:rsidRPr="00DB04B7" w:rsidRDefault="002D63F4" w:rsidP="00DB04B7">
      <w:pPr>
        <w:widowControl/>
        <w:spacing w:before="120"/>
        <w:rPr>
          <w:bCs/>
          <w:szCs w:val="20"/>
        </w:rPr>
      </w:pPr>
      <w:r w:rsidRPr="00DB04B7">
        <w:rPr>
          <w:rFonts w:eastAsia="Times New Roman"/>
          <w:b/>
          <w:bCs/>
          <w:szCs w:val="20"/>
        </w:rPr>
        <w:t xml:space="preserve">Most Important Symptoms/Effects, </w:t>
      </w:r>
      <w:r w:rsidR="00FC2284" w:rsidRPr="00DB04B7">
        <w:rPr>
          <w:rFonts w:eastAsia="Times New Roman"/>
          <w:b/>
          <w:bCs/>
          <w:szCs w:val="20"/>
        </w:rPr>
        <w:t>A</w:t>
      </w:r>
      <w:r w:rsidRPr="00DB04B7">
        <w:rPr>
          <w:rFonts w:eastAsia="Times New Roman"/>
          <w:b/>
          <w:bCs/>
          <w:szCs w:val="20"/>
        </w:rPr>
        <w:t xml:space="preserve">cute and </w:t>
      </w:r>
      <w:r w:rsidR="00FC2284" w:rsidRPr="00DB04B7">
        <w:rPr>
          <w:rFonts w:eastAsia="Times New Roman"/>
          <w:b/>
          <w:bCs/>
          <w:szCs w:val="20"/>
        </w:rPr>
        <w:t>D</w:t>
      </w:r>
      <w:r w:rsidRPr="00DB04B7">
        <w:rPr>
          <w:rFonts w:eastAsia="Times New Roman"/>
          <w:b/>
          <w:bCs/>
          <w:szCs w:val="20"/>
        </w:rPr>
        <w:t>elayed</w:t>
      </w:r>
      <w:r w:rsidR="00DB04B7" w:rsidRPr="00DB04B7">
        <w:rPr>
          <w:rFonts w:eastAsia="Times New Roman"/>
          <w:b/>
          <w:bCs/>
          <w:szCs w:val="20"/>
        </w:rPr>
        <w:t>:</w:t>
      </w:r>
      <w:r w:rsidR="00DB04B7" w:rsidRPr="00DB04B7">
        <w:rPr>
          <w:rFonts w:eastAsia="Times New Roman"/>
          <w:bCs/>
          <w:szCs w:val="20"/>
        </w:rPr>
        <w:t xml:space="preserve"> </w:t>
      </w:r>
      <w:r w:rsidR="00621C4C">
        <w:rPr>
          <w:rFonts w:eastAsia="Times New Roman"/>
          <w:bCs/>
          <w:szCs w:val="20"/>
        </w:rPr>
        <w:t xml:space="preserve"> </w:t>
      </w:r>
      <w:r w:rsidR="00944226" w:rsidRPr="00DB04B7">
        <w:rPr>
          <w:bCs/>
          <w:szCs w:val="20"/>
        </w:rPr>
        <w:t xml:space="preserve">Irritation, cough, difficulty breathing, </w:t>
      </w:r>
      <w:r w:rsidR="00DB04B7" w:rsidRPr="00DB04B7">
        <w:rPr>
          <w:bCs/>
          <w:szCs w:val="20"/>
        </w:rPr>
        <w:t>dermatitis.</w:t>
      </w:r>
    </w:p>
    <w:p w14:paraId="09B16B91" w14:textId="77777777" w:rsidR="002D63F4" w:rsidRPr="00FC2284" w:rsidRDefault="002D63F4" w:rsidP="006B75AB">
      <w:pPr>
        <w:widowControl/>
        <w:spacing w:before="120" w:after="120"/>
        <w:rPr>
          <w:rFonts w:eastAsia="Times New Roman"/>
          <w:bCs/>
          <w:szCs w:val="20"/>
        </w:rPr>
      </w:pPr>
      <w:r w:rsidRPr="00DB04B7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 w:rsidRPr="00DB04B7">
        <w:rPr>
          <w:rFonts w:eastAsia="Times New Roman"/>
          <w:b/>
          <w:bCs/>
          <w:szCs w:val="20"/>
        </w:rPr>
        <w:t>:</w:t>
      </w:r>
      <w:r w:rsidR="004521E9" w:rsidRPr="00DB04B7">
        <w:rPr>
          <w:rFonts w:eastAsia="Times New Roman"/>
          <w:bCs/>
          <w:szCs w:val="20"/>
        </w:rPr>
        <w:t xml:space="preserve">  </w:t>
      </w:r>
      <w:r w:rsidR="0028318C" w:rsidRPr="00DB04B7">
        <w:rPr>
          <w:rFonts w:eastAsia="Times New Roman"/>
          <w:bCs/>
          <w:szCs w:val="20"/>
        </w:rPr>
        <w:t>If any of the above symptoms are present</w:t>
      </w:r>
      <w:r w:rsidR="0028318C" w:rsidRPr="00FC2284">
        <w:rPr>
          <w:rFonts w:eastAsia="Times New Roman"/>
          <w:bCs/>
          <w:szCs w:val="20"/>
        </w:rPr>
        <w:t>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01FDAE4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6785910" w14:textId="77777777" w:rsidR="001D7FE4" w:rsidRDefault="001D7FE4" w:rsidP="006B75AB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C13B02F" w14:textId="77777777" w:rsidR="001248AA" w:rsidRPr="008A57C6" w:rsidRDefault="001248AA" w:rsidP="008A57C6">
      <w:pPr>
        <w:spacing w:before="120"/>
        <w:rPr>
          <w:rFonts w:eastAsia="Times New Roman"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Fire and Explosion Hazards</w:t>
      </w:r>
      <w:r w:rsidRPr="00FC2284">
        <w:rPr>
          <w:rFonts w:eastAsia="Times New Roman"/>
          <w:b/>
          <w:bCs/>
          <w:spacing w:val="-1"/>
          <w:szCs w:val="20"/>
        </w:rPr>
        <w:t>:</w:t>
      </w:r>
      <w:r w:rsidR="00FC2284" w:rsidRPr="00FC2284">
        <w:rPr>
          <w:rFonts w:eastAsia="Times New Roman"/>
          <w:bCs/>
          <w:spacing w:val="-1"/>
          <w:szCs w:val="20"/>
        </w:rPr>
        <w:t xml:space="preserve">  </w:t>
      </w:r>
      <w:r w:rsidR="0076501C">
        <w:rPr>
          <w:szCs w:val="20"/>
        </w:rPr>
        <w:t>Moderate</w:t>
      </w:r>
      <w:r w:rsidR="0076501C" w:rsidRPr="00FC2284">
        <w:rPr>
          <w:szCs w:val="20"/>
        </w:rPr>
        <w:t xml:space="preserve"> </w:t>
      </w:r>
      <w:r w:rsidR="00FC2284" w:rsidRPr="00FC2284">
        <w:rPr>
          <w:szCs w:val="20"/>
        </w:rPr>
        <w:t>fire hazard.</w:t>
      </w:r>
      <w:r w:rsidR="0076501C">
        <w:rPr>
          <w:szCs w:val="20"/>
        </w:rPr>
        <w:t xml:space="preserve">  Vapor/air mixtures are explosive above the flash point.  </w:t>
      </w:r>
      <w:r w:rsidR="0076501C" w:rsidRPr="00455695">
        <w:rPr>
          <w:rFonts w:eastAsia="Times New Roman"/>
          <w:bCs/>
          <w:spacing w:val="-1"/>
          <w:szCs w:val="20"/>
        </w:rPr>
        <w:t xml:space="preserve">See Section </w:t>
      </w:r>
      <w:r w:rsidR="0076501C" w:rsidRPr="003E2700">
        <w:rPr>
          <w:rFonts w:eastAsia="Times New Roman"/>
          <w:bCs/>
          <w:spacing w:val="-1"/>
          <w:szCs w:val="20"/>
        </w:rPr>
        <w:t>9, “Physical and Chemical Properties” for flammability properties.</w:t>
      </w:r>
    </w:p>
    <w:p w14:paraId="1A5AE57A" w14:textId="77777777" w:rsidR="006251CA" w:rsidRDefault="00676966" w:rsidP="00C82019">
      <w:pPr>
        <w:widowControl/>
        <w:spacing w:before="6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</w:p>
    <w:p w14:paraId="2C22412E" w14:textId="77777777" w:rsidR="00E93DD1" w:rsidRPr="00623C6E" w:rsidRDefault="00E93DD1" w:rsidP="00C82019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623C6E">
        <w:rPr>
          <w:rFonts w:eastAsia="Times New Roman"/>
          <w:bCs/>
          <w:szCs w:val="20"/>
        </w:rPr>
        <w:t>Suitable:</w:t>
      </w:r>
      <w:r w:rsidR="00FC2284">
        <w:rPr>
          <w:rFonts w:eastAsia="Times New Roman"/>
          <w:bCs/>
          <w:szCs w:val="20"/>
        </w:rPr>
        <w:t xml:space="preserve"> </w:t>
      </w:r>
      <w:r w:rsidR="00FC2284" w:rsidRPr="00FC2284">
        <w:rPr>
          <w:rFonts w:eastAsia="Times New Roman"/>
          <w:bCs/>
          <w:szCs w:val="20"/>
        </w:rPr>
        <w:t xml:space="preserve"> </w:t>
      </w:r>
      <w:r w:rsidR="0076501C">
        <w:rPr>
          <w:color w:val="000000"/>
          <w:szCs w:val="20"/>
        </w:rPr>
        <w:t>Regular dry chemical, ca</w:t>
      </w:r>
      <w:r w:rsidR="009721CD">
        <w:rPr>
          <w:color w:val="000000"/>
          <w:szCs w:val="20"/>
        </w:rPr>
        <w:t>r</w:t>
      </w:r>
      <w:r w:rsidR="0076501C">
        <w:rPr>
          <w:color w:val="000000"/>
          <w:szCs w:val="20"/>
        </w:rPr>
        <w:t>bon dioxide, water, or regular foam</w:t>
      </w:r>
      <w:r w:rsidR="00FC2284" w:rsidRPr="00FC2284">
        <w:rPr>
          <w:color w:val="000000"/>
          <w:szCs w:val="20"/>
        </w:rPr>
        <w:t>.</w:t>
      </w:r>
    </w:p>
    <w:p w14:paraId="392B3C9B" w14:textId="77777777" w:rsidR="00E93DD1" w:rsidRPr="00623C6E" w:rsidRDefault="0028318C" w:rsidP="00C82019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 w:rsidRPr="00623C6E">
        <w:rPr>
          <w:rFonts w:eastAsia="Times New Roman"/>
          <w:bCs/>
          <w:szCs w:val="20"/>
        </w:rPr>
        <w:tab/>
        <w:t>Unsuitable:</w:t>
      </w:r>
      <w:r w:rsidR="00FC2284">
        <w:rPr>
          <w:rFonts w:eastAsia="Times New Roman"/>
          <w:bCs/>
          <w:szCs w:val="20"/>
        </w:rPr>
        <w:t xml:space="preserve">  </w:t>
      </w:r>
      <w:r w:rsidR="0076501C">
        <w:rPr>
          <w:rFonts w:eastAsia="Times New Roman"/>
          <w:bCs/>
          <w:szCs w:val="20"/>
        </w:rPr>
        <w:t xml:space="preserve">Avoid using straight water streams in order to </w:t>
      </w:r>
      <w:r w:rsidR="00ED34B6">
        <w:rPr>
          <w:rFonts w:eastAsia="Times New Roman"/>
          <w:bCs/>
          <w:szCs w:val="20"/>
        </w:rPr>
        <w:t>prevent</w:t>
      </w:r>
      <w:r w:rsidR="0076501C">
        <w:rPr>
          <w:rFonts w:eastAsia="Times New Roman"/>
          <w:bCs/>
          <w:szCs w:val="20"/>
        </w:rPr>
        <w:t xml:space="preserve"> frothing</w:t>
      </w:r>
      <w:r w:rsidR="00FC2284" w:rsidRPr="00FC2284">
        <w:rPr>
          <w:bCs/>
          <w:szCs w:val="20"/>
        </w:rPr>
        <w:t>.</w:t>
      </w:r>
    </w:p>
    <w:p w14:paraId="4AC0D74E" w14:textId="77777777" w:rsidR="00E24579" w:rsidRPr="006D10B0" w:rsidRDefault="00676966" w:rsidP="00C82019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28318C">
        <w:rPr>
          <w:rFonts w:eastAsia="Times New Roman"/>
          <w:bCs/>
          <w:szCs w:val="20"/>
        </w:rPr>
        <w:t xml:space="preserve">  </w:t>
      </w:r>
      <w:r w:rsidR="00944226">
        <w:t>Not applicable.</w:t>
      </w:r>
    </w:p>
    <w:p w14:paraId="6310B2BC" w14:textId="77777777" w:rsidR="006D10B0" w:rsidRDefault="00F057E8" w:rsidP="00C82019">
      <w:pPr>
        <w:widowControl/>
        <w:spacing w:before="60" w:after="120"/>
      </w:pPr>
      <w:r w:rsidRPr="00B0155D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B0155D">
        <w:rPr>
          <w:rFonts w:eastAsia="Times New Roman"/>
          <w:b/>
          <w:bCs/>
          <w:spacing w:val="1"/>
          <w:szCs w:val="20"/>
        </w:rPr>
        <w:t>F</w:t>
      </w:r>
      <w:r w:rsidR="00BF5DD9" w:rsidRPr="00B0155D">
        <w:rPr>
          <w:rFonts w:eastAsia="Times New Roman"/>
          <w:b/>
          <w:bCs/>
          <w:szCs w:val="20"/>
        </w:rPr>
        <w:t>ire</w:t>
      </w:r>
      <w:r w:rsidRPr="00B0155D">
        <w:rPr>
          <w:rFonts w:eastAsia="Times New Roman"/>
          <w:b/>
          <w:bCs/>
          <w:szCs w:val="20"/>
        </w:rPr>
        <w:t>-Fighters</w:t>
      </w:r>
      <w:r w:rsidR="00BF5DD9" w:rsidRPr="00B0155D">
        <w:rPr>
          <w:rFonts w:eastAsia="Times New Roman"/>
          <w:b/>
          <w:bCs/>
          <w:szCs w:val="20"/>
        </w:rPr>
        <w:t>:</w:t>
      </w:r>
      <w:r w:rsidR="006D10B0" w:rsidRPr="006D10B0">
        <w:rPr>
          <w:color w:val="000000"/>
        </w:rPr>
        <w:t xml:space="preserve"> </w:t>
      </w:r>
      <w:r w:rsidR="00B84C4C">
        <w:rPr>
          <w:color w:val="000000"/>
        </w:rPr>
        <w:t xml:space="preserve"> </w:t>
      </w:r>
      <w:r w:rsidR="006D10B0" w:rsidRPr="00C45444">
        <w:rPr>
          <w:color w:val="000000"/>
        </w:rPr>
        <w:t xml:space="preserve">Move </w:t>
      </w:r>
      <w:r w:rsidR="006D10B0">
        <w:rPr>
          <w:color w:val="000000"/>
        </w:rPr>
        <w:t>c</w:t>
      </w:r>
      <w:r w:rsidR="00944226">
        <w:rPr>
          <w:color w:val="000000"/>
        </w:rPr>
        <w:t>ontainer</w:t>
      </w:r>
      <w:r w:rsidR="006D10B0" w:rsidRPr="00C45444">
        <w:rPr>
          <w:color w:val="000000"/>
        </w:rPr>
        <w:t xml:space="preserve"> from fire area if it can be done without</w:t>
      </w:r>
      <w:r w:rsidR="006D10B0">
        <w:rPr>
          <w:color w:val="000000"/>
        </w:rPr>
        <w:t xml:space="preserve"> personal</w:t>
      </w:r>
      <w:r w:rsidR="006D10B0" w:rsidRPr="00C45444">
        <w:rPr>
          <w:color w:val="000000"/>
        </w:rPr>
        <w:t xml:space="preserve"> risk.</w:t>
      </w:r>
      <w:r w:rsidR="006D10B0" w:rsidRPr="00E12D28">
        <w:rPr>
          <w:color w:val="000000"/>
        </w:rPr>
        <w:t xml:space="preserve">  </w:t>
      </w:r>
      <w:r w:rsidR="006D10B0" w:rsidRPr="00C45444">
        <w:rPr>
          <w:color w:val="000000"/>
        </w:rPr>
        <w:t>A</w:t>
      </w:r>
      <w:r w:rsidR="006D10B0" w:rsidRPr="001F0106">
        <w:t>void inhalation of material or combustion by</w:t>
      </w:r>
      <w:r w:rsidR="006D10B0">
        <w:noBreakHyphen/>
      </w:r>
      <w:r w:rsidR="006D10B0" w:rsidRPr="001F0106">
        <w:t xml:space="preserve">products. </w:t>
      </w:r>
      <w:r w:rsidR="006D10B0">
        <w:t xml:space="preserve"> Wear full protective clothing and NIOSH</w:t>
      </w:r>
      <w:r w:rsidR="006D10B0">
        <w:noBreakHyphen/>
        <w:t>approved self</w:t>
      </w:r>
      <w:r w:rsidR="006D10B0">
        <w:noBreakHyphen/>
        <w:t>contained breathing apparatus (SCBA).</w:t>
      </w:r>
    </w:p>
    <w:p w14:paraId="12A5C99D" w14:textId="77777777" w:rsidR="00170F65" w:rsidRPr="006D10B0" w:rsidRDefault="000D31BB" w:rsidP="00CA1914">
      <w:pPr>
        <w:keepNext/>
        <w:widowControl/>
        <w:spacing w:before="60" w:after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N</w:t>
      </w:r>
      <w:r>
        <w:rPr>
          <w:rFonts w:eastAsia="Times New Roman"/>
          <w:b/>
          <w:bCs/>
          <w:spacing w:val="1"/>
          <w:szCs w:val="20"/>
        </w:rPr>
        <w:t>FP</w:t>
      </w:r>
      <w:r>
        <w:rPr>
          <w:rFonts w:eastAsia="Times New Roman"/>
          <w:b/>
          <w:bCs/>
          <w:szCs w:val="20"/>
        </w:rPr>
        <w:t>A</w:t>
      </w:r>
      <w:r>
        <w:rPr>
          <w:rFonts w:eastAsia="Times New Roman"/>
          <w:b/>
          <w:bCs/>
          <w:spacing w:val="-4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in</w:t>
      </w:r>
      <w:r>
        <w:rPr>
          <w:rFonts w:eastAsia="Times New Roman"/>
          <w:b/>
          <w:bCs/>
          <w:spacing w:val="1"/>
          <w:szCs w:val="20"/>
        </w:rPr>
        <w:t>g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623C6E">
        <w:rPr>
          <w:szCs w:val="20"/>
        </w:rPr>
        <w:t>(0 = Minimal; 1 = Slight; 2 = Moderate; 3 = Serious; 4 = Severe)</w:t>
      </w:r>
    </w:p>
    <w:p w14:paraId="7D34546A" w14:textId="77777777" w:rsidR="00170F65" w:rsidRPr="006D10B0" w:rsidRDefault="00170F65" w:rsidP="00C82019">
      <w:pPr>
        <w:widowControl/>
        <w:tabs>
          <w:tab w:val="left" w:pos="360"/>
          <w:tab w:val="left" w:pos="2160"/>
          <w:tab w:val="left" w:pos="3600"/>
        </w:tabs>
        <w:spacing w:before="60" w:after="120"/>
        <w:rPr>
          <w:szCs w:val="20"/>
        </w:rPr>
      </w:pPr>
      <w:r w:rsidRPr="006D10B0">
        <w:rPr>
          <w:rFonts w:eastAsia="Times New Roman"/>
          <w:szCs w:val="20"/>
        </w:rPr>
        <w:tab/>
      </w:r>
      <w:r w:rsidR="000D31BB" w:rsidRPr="006D10B0">
        <w:rPr>
          <w:rFonts w:eastAsia="Times New Roman"/>
          <w:szCs w:val="20"/>
        </w:rPr>
        <w:t xml:space="preserve">Health = </w:t>
      </w:r>
      <w:r w:rsidR="00944226">
        <w:rPr>
          <w:szCs w:val="20"/>
        </w:rPr>
        <w:t>1</w:t>
      </w:r>
      <w:r w:rsidR="000D31BB" w:rsidRPr="006D10B0">
        <w:rPr>
          <w:rFonts w:eastAsia="Times New Roman"/>
          <w:szCs w:val="20"/>
        </w:rPr>
        <w:tab/>
        <w:t>Fi</w:t>
      </w:r>
      <w:r w:rsidR="000D31BB" w:rsidRPr="006D10B0">
        <w:rPr>
          <w:rFonts w:eastAsia="Times New Roman"/>
          <w:spacing w:val="1"/>
          <w:szCs w:val="20"/>
        </w:rPr>
        <w:t>r</w:t>
      </w:r>
      <w:r w:rsidR="000D31BB" w:rsidRPr="006D10B0">
        <w:rPr>
          <w:rFonts w:eastAsia="Times New Roman"/>
          <w:szCs w:val="20"/>
        </w:rPr>
        <w:t>e</w:t>
      </w:r>
      <w:r w:rsidR="000D31BB" w:rsidRPr="006D10B0">
        <w:rPr>
          <w:rFonts w:eastAsia="Times New Roman"/>
          <w:spacing w:val="-2"/>
          <w:szCs w:val="20"/>
        </w:rPr>
        <w:t xml:space="preserve"> </w:t>
      </w:r>
      <w:r w:rsidR="000D31BB" w:rsidRPr="006D10B0">
        <w:rPr>
          <w:rFonts w:eastAsia="Times New Roman"/>
          <w:szCs w:val="20"/>
        </w:rPr>
        <w:t xml:space="preserve">= </w:t>
      </w:r>
      <w:r w:rsidR="0076501C">
        <w:rPr>
          <w:szCs w:val="20"/>
        </w:rPr>
        <w:t>2</w:t>
      </w:r>
      <w:r w:rsidR="000D31BB" w:rsidRPr="006D10B0">
        <w:rPr>
          <w:rFonts w:eastAsia="Times New Roman"/>
          <w:szCs w:val="20"/>
        </w:rPr>
        <w:tab/>
      </w:r>
      <w:r w:rsidR="000D31BB" w:rsidRPr="006D10B0">
        <w:rPr>
          <w:rFonts w:eastAsia="Times New Roman"/>
          <w:spacing w:val="-1"/>
          <w:szCs w:val="20"/>
        </w:rPr>
        <w:t>R</w:t>
      </w:r>
      <w:r w:rsidR="000D31BB" w:rsidRPr="006D10B0">
        <w:rPr>
          <w:rFonts w:eastAsia="Times New Roman"/>
          <w:szCs w:val="20"/>
        </w:rPr>
        <w:t>eacti</w:t>
      </w:r>
      <w:r w:rsidR="000D31BB" w:rsidRPr="006D10B0">
        <w:rPr>
          <w:rFonts w:eastAsia="Times New Roman"/>
          <w:spacing w:val="-1"/>
          <w:szCs w:val="20"/>
        </w:rPr>
        <w:t>v</w:t>
      </w:r>
      <w:r w:rsidR="000D31BB" w:rsidRPr="006D10B0">
        <w:rPr>
          <w:rFonts w:eastAsia="Times New Roman"/>
          <w:szCs w:val="20"/>
        </w:rPr>
        <w:t>ity</w:t>
      </w:r>
      <w:r w:rsidR="000D31BB" w:rsidRPr="006D10B0">
        <w:rPr>
          <w:rFonts w:eastAsia="Times New Roman"/>
          <w:spacing w:val="-11"/>
          <w:szCs w:val="20"/>
        </w:rPr>
        <w:t xml:space="preserve"> </w:t>
      </w:r>
      <w:r w:rsidR="000D31BB" w:rsidRPr="006D10B0">
        <w:rPr>
          <w:rFonts w:eastAsia="Times New Roman"/>
          <w:szCs w:val="20"/>
        </w:rPr>
        <w:t xml:space="preserve">= </w:t>
      </w:r>
      <w:r w:rsidR="000D31BB" w:rsidRPr="006D10B0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5738894C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B97522E" w14:textId="77777777" w:rsidR="001D7FE4" w:rsidRDefault="001D7FE4" w:rsidP="006B75AB">
            <w:pPr>
              <w:keepNext/>
              <w:widowControl/>
              <w:rPr>
                <w:rFonts w:eastAsia="Times New Roman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2EF8199A" w14:textId="77777777" w:rsidR="001D7FE4" w:rsidRPr="00BA10D3" w:rsidRDefault="001D7FE4" w:rsidP="009212BD">
      <w:pPr>
        <w:widowControl/>
        <w:spacing w:before="120" w:after="120"/>
        <w:rPr>
          <w:rFonts w:eastAsia="Times New Roman"/>
          <w:bCs/>
          <w:spacing w:val="1"/>
          <w:szCs w:val="20"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BA10D3" w:rsidRPr="00BA10D3">
        <w:rPr>
          <w:rFonts w:eastAsia="Times New Roman"/>
          <w:b/>
          <w:bCs/>
          <w:spacing w:val="1"/>
          <w:szCs w:val="20"/>
        </w:rPr>
        <w:t>:</w:t>
      </w:r>
      <w:r w:rsidR="00BA10D3">
        <w:t xml:space="preserve">  </w:t>
      </w:r>
      <w:r w:rsidR="0076501C" w:rsidRPr="00E84BFE">
        <w:rPr>
          <w:rFonts w:eastAsia="Times New Roman"/>
          <w:bCs/>
          <w:spacing w:val="1"/>
          <w:szCs w:val="20"/>
        </w:rPr>
        <w:t>Use suitable protective equip</w:t>
      </w:r>
      <w:r w:rsidR="0076501C">
        <w:rPr>
          <w:rFonts w:eastAsia="Times New Roman"/>
          <w:bCs/>
          <w:spacing w:val="1"/>
          <w:szCs w:val="20"/>
        </w:rPr>
        <w:t>m</w:t>
      </w:r>
      <w:r w:rsidR="0076501C" w:rsidRPr="00E84BFE">
        <w:rPr>
          <w:rFonts w:eastAsia="Times New Roman"/>
          <w:bCs/>
          <w:spacing w:val="1"/>
          <w:szCs w:val="20"/>
        </w:rPr>
        <w:t>ent</w:t>
      </w:r>
      <w:r w:rsidR="0076501C">
        <w:rPr>
          <w:rFonts w:eastAsia="Times New Roman"/>
          <w:bCs/>
          <w:spacing w:val="1"/>
          <w:szCs w:val="20"/>
        </w:rPr>
        <w:t>;</w:t>
      </w:r>
      <w:r w:rsidR="0076501C" w:rsidRPr="00E12D28">
        <w:rPr>
          <w:rFonts w:eastAsia="Times New Roman"/>
          <w:bCs/>
          <w:spacing w:val="1"/>
          <w:szCs w:val="20"/>
        </w:rPr>
        <w:t xml:space="preserve"> </w:t>
      </w:r>
      <w:r w:rsidR="0076501C" w:rsidRPr="00B11B37">
        <w:rPr>
          <w:rFonts w:eastAsia="Times New Roman"/>
          <w:bCs/>
          <w:spacing w:val="1"/>
          <w:szCs w:val="20"/>
        </w:rPr>
        <w:t>s</w:t>
      </w:r>
      <w:r w:rsidR="0076501C" w:rsidRPr="0014763D">
        <w:rPr>
          <w:rFonts w:eastAsia="Times New Roman"/>
          <w:bCs/>
          <w:spacing w:val="1"/>
          <w:szCs w:val="20"/>
        </w:rPr>
        <w:t xml:space="preserve">ee </w:t>
      </w:r>
      <w:r w:rsidR="0076501C" w:rsidRPr="00E84BFE">
        <w:rPr>
          <w:rFonts w:eastAsia="Times New Roman"/>
          <w:bCs/>
          <w:spacing w:val="1"/>
          <w:szCs w:val="20"/>
        </w:rPr>
        <w:t>Section 8, “Exposure Controls and Personal Protection”</w:t>
      </w:r>
      <w:r w:rsidR="00BA10D3">
        <w:t xml:space="preserve">.  </w:t>
      </w:r>
      <w:r w:rsidR="0076501C">
        <w:t>Keep out of waters supplies and sewers.</w:t>
      </w:r>
    </w:p>
    <w:p w14:paraId="7EFAFF7C" w14:textId="77777777" w:rsidR="001D7FE4" w:rsidRPr="008A57C6" w:rsidRDefault="001D7FE4" w:rsidP="009212BD">
      <w:pPr>
        <w:widowControl/>
        <w:autoSpaceDE w:val="0"/>
        <w:autoSpaceDN w:val="0"/>
        <w:adjustRightInd w:val="0"/>
        <w:spacing w:before="120" w:after="120"/>
        <w:rPr>
          <w:szCs w:val="20"/>
        </w:rPr>
      </w:pPr>
      <w:r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BA10D3">
        <w:rPr>
          <w:rFonts w:eastAsia="Times New Roman"/>
          <w:b/>
          <w:bCs/>
          <w:spacing w:val="1"/>
          <w:szCs w:val="20"/>
        </w:rPr>
        <w:t>:</w:t>
      </w:r>
      <w:r w:rsidR="00BA10D3">
        <w:rPr>
          <w:rFonts w:eastAsia="Times New Roman"/>
          <w:bCs/>
          <w:spacing w:val="1"/>
          <w:szCs w:val="20"/>
        </w:rPr>
        <w:t xml:space="preserve">  </w:t>
      </w:r>
      <w:r w:rsidR="008609A4" w:rsidRPr="008A57C6">
        <w:rPr>
          <w:szCs w:val="20"/>
        </w:rPr>
        <w:t xml:space="preserve">Avoid heat, flames, sparks and other sources of ignition. </w:t>
      </w:r>
      <w:r w:rsidR="002E6B30">
        <w:rPr>
          <w:szCs w:val="20"/>
        </w:rPr>
        <w:t xml:space="preserve"> </w:t>
      </w:r>
      <w:r w:rsidR="008609A4" w:rsidRPr="008A57C6">
        <w:rPr>
          <w:szCs w:val="20"/>
        </w:rPr>
        <w:t>Stop leak if possible without personal risk</w:t>
      </w:r>
      <w:r w:rsidR="008609A4">
        <w:rPr>
          <w:szCs w:val="20"/>
        </w:rPr>
        <w:t>,</w:t>
      </w:r>
      <w:r w:rsidR="008609A4" w:rsidRPr="008609A4">
        <w:rPr>
          <w:szCs w:val="20"/>
        </w:rPr>
        <w:t xml:space="preserve"> </w:t>
      </w:r>
      <w:r w:rsidR="008609A4" w:rsidRPr="00927BDF">
        <w:rPr>
          <w:szCs w:val="20"/>
        </w:rPr>
        <w:t>with water spray</w:t>
      </w:r>
      <w:r w:rsidR="008609A4">
        <w:rPr>
          <w:szCs w:val="20"/>
        </w:rPr>
        <w:t xml:space="preserve"> to r</w:t>
      </w:r>
      <w:r w:rsidR="008609A4" w:rsidRPr="008A57C6">
        <w:rPr>
          <w:szCs w:val="20"/>
        </w:rPr>
        <w:t>educe vapors</w:t>
      </w:r>
      <w:r w:rsidR="008609A4">
        <w:rPr>
          <w:szCs w:val="20"/>
        </w:rPr>
        <w:t xml:space="preserve">.  </w:t>
      </w:r>
      <w:r w:rsidR="008609A4">
        <w:rPr>
          <w:rFonts w:eastAsia="Times New Roman"/>
          <w:bCs/>
          <w:spacing w:val="1"/>
          <w:szCs w:val="20"/>
        </w:rPr>
        <w:t>Absorb spilled material with sand or non</w:t>
      </w:r>
      <w:r w:rsidR="008609A4">
        <w:rPr>
          <w:rFonts w:eastAsia="Times New Roman"/>
          <w:bCs/>
          <w:spacing w:val="1"/>
          <w:szCs w:val="20"/>
        </w:rPr>
        <w:noBreakHyphen/>
        <w:t>combustible material and collect in appropriate container for disposal</w:t>
      </w:r>
      <w:r w:rsidR="008609A4"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66D4EEA6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E283061" w14:textId="77777777" w:rsidR="001D7FE4" w:rsidRDefault="001D7FE4" w:rsidP="006B75AB">
            <w:pPr>
              <w:keepNext/>
              <w:widowControl/>
              <w:rPr>
                <w:rFonts w:eastAsia="Times New Roman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11D4486C" w14:textId="77777777" w:rsidR="001D7FE4" w:rsidRDefault="001D7FE4" w:rsidP="009212BD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position w:val="-1"/>
          <w:szCs w:val="20"/>
        </w:rPr>
        <w:t>S</w:t>
      </w:r>
      <w:r>
        <w:rPr>
          <w:rFonts w:eastAsia="Times New Roman"/>
          <w:b/>
          <w:bCs/>
          <w:spacing w:val="1"/>
          <w:position w:val="-1"/>
          <w:szCs w:val="20"/>
        </w:rPr>
        <w:t>af</w:t>
      </w:r>
      <w:r>
        <w:rPr>
          <w:rFonts w:eastAsia="Times New Roman"/>
          <w:b/>
          <w:bCs/>
          <w:position w:val="-1"/>
          <w:szCs w:val="20"/>
        </w:rPr>
        <w:t>e</w:t>
      </w:r>
      <w:r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Ha</w:t>
      </w:r>
      <w:r>
        <w:rPr>
          <w:rFonts w:eastAsia="Times New Roman"/>
          <w:b/>
          <w:bCs/>
          <w:position w:val="-1"/>
          <w:szCs w:val="20"/>
        </w:rPr>
        <w:t>ndling</w:t>
      </w:r>
      <w:r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P</w:t>
      </w:r>
      <w:r>
        <w:rPr>
          <w:rFonts w:eastAsia="Times New Roman"/>
          <w:b/>
          <w:bCs/>
          <w:position w:val="-1"/>
          <w:szCs w:val="20"/>
        </w:rPr>
        <w:t>rec</w:t>
      </w:r>
      <w:r>
        <w:rPr>
          <w:rFonts w:eastAsia="Times New Roman"/>
          <w:b/>
          <w:bCs/>
          <w:spacing w:val="1"/>
          <w:position w:val="-1"/>
          <w:szCs w:val="20"/>
        </w:rPr>
        <w:t>a</w:t>
      </w:r>
      <w:r>
        <w:rPr>
          <w:rFonts w:eastAsia="Times New Roman"/>
          <w:b/>
          <w:bCs/>
          <w:position w:val="-1"/>
          <w:szCs w:val="20"/>
        </w:rPr>
        <w:t>u</w:t>
      </w:r>
      <w:r>
        <w:rPr>
          <w:rFonts w:eastAsia="Times New Roman"/>
          <w:b/>
          <w:bCs/>
          <w:spacing w:val="1"/>
          <w:position w:val="-1"/>
          <w:szCs w:val="20"/>
        </w:rPr>
        <w:t>t</w:t>
      </w:r>
      <w:r>
        <w:rPr>
          <w:rFonts w:eastAsia="Times New Roman"/>
          <w:b/>
          <w:bCs/>
          <w:position w:val="-1"/>
          <w:szCs w:val="20"/>
        </w:rPr>
        <w:t>i</w:t>
      </w:r>
      <w:r>
        <w:rPr>
          <w:rFonts w:eastAsia="Times New Roman"/>
          <w:b/>
          <w:bCs/>
          <w:spacing w:val="1"/>
          <w:position w:val="-1"/>
          <w:szCs w:val="20"/>
        </w:rPr>
        <w:t>o</w:t>
      </w:r>
      <w:r>
        <w:rPr>
          <w:rFonts w:eastAsia="Times New Roman"/>
          <w:b/>
          <w:bCs/>
          <w:position w:val="-1"/>
          <w:szCs w:val="20"/>
        </w:rPr>
        <w:t>n</w:t>
      </w:r>
      <w:r>
        <w:rPr>
          <w:rFonts w:eastAsia="Times New Roman"/>
          <w:b/>
          <w:bCs/>
          <w:spacing w:val="-1"/>
          <w:position w:val="-1"/>
          <w:szCs w:val="20"/>
        </w:rPr>
        <w:t>s</w:t>
      </w:r>
      <w:r>
        <w:rPr>
          <w:rFonts w:eastAsia="Times New Roman"/>
          <w:b/>
          <w:bCs/>
          <w:position w:val="-1"/>
          <w:szCs w:val="20"/>
        </w:rPr>
        <w:t>:</w:t>
      </w:r>
      <w:r w:rsidR="00BA10D3" w:rsidRPr="00BA10D3">
        <w:rPr>
          <w:rFonts w:eastAsia="Times New Roman"/>
          <w:bCs/>
          <w:position w:val="-1"/>
          <w:szCs w:val="20"/>
        </w:rPr>
        <w:t xml:space="preserve">  </w:t>
      </w:r>
      <w:r w:rsidR="00BA10D3">
        <w:t xml:space="preserve">See </w:t>
      </w:r>
      <w:r w:rsidR="00BA10D3" w:rsidRPr="00EC6F32">
        <w:t>Section</w:t>
      </w:r>
      <w:r w:rsidR="00BA10D3">
        <w:t> </w:t>
      </w:r>
      <w:r w:rsidR="00BA10D3" w:rsidRPr="00EC6F32">
        <w:t>8</w:t>
      </w:r>
      <w:r w:rsidR="00BA10D3">
        <w:t>, “</w:t>
      </w:r>
      <w:r w:rsidR="00BA10D3" w:rsidRPr="006314AE">
        <w:t>Exposure Controls and Personal Protection”.</w:t>
      </w:r>
    </w:p>
    <w:p w14:paraId="17EB2337" w14:textId="0176D68D" w:rsidR="00A31815" w:rsidRPr="00792BC0" w:rsidRDefault="001D7FE4" w:rsidP="009212BD">
      <w:pPr>
        <w:widowControl/>
        <w:tabs>
          <w:tab w:val="left" w:pos="-360"/>
        </w:tabs>
        <w:spacing w:before="120" w:after="120"/>
      </w:pP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1"/>
          <w:szCs w:val="20"/>
        </w:rPr>
        <w:t>to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ag</w:t>
      </w:r>
      <w:r>
        <w:rPr>
          <w:rFonts w:eastAsia="Times New Roman"/>
          <w:b/>
          <w:bCs/>
          <w:szCs w:val="20"/>
        </w:rPr>
        <w:t>e and Incompatible Materials:</w:t>
      </w:r>
      <w:r w:rsidRPr="000B4BD9">
        <w:rPr>
          <w:rFonts w:eastAsia="Times New Roman"/>
          <w:bCs/>
          <w:spacing w:val="-6"/>
          <w:szCs w:val="20"/>
        </w:rPr>
        <w:t xml:space="preserve">  </w:t>
      </w:r>
      <w:r w:rsidR="000B4BD9" w:rsidRPr="00712EBD">
        <w:t>S</w:t>
      </w:r>
      <w:r w:rsidR="00BA10D3">
        <w:t>tore in a well</w:t>
      </w:r>
      <w:r w:rsidR="00BA10D3">
        <w:noBreakHyphen/>
      </w:r>
      <w:r w:rsidR="000B4BD9">
        <w:t>ventilated area.</w:t>
      </w:r>
      <w:r w:rsidR="004355ED">
        <w:t xml:space="preserve">  </w:t>
      </w:r>
      <w:r w:rsidR="000B4BD9" w:rsidRPr="005E0F03">
        <w:t>Keep separated from incompatible substances</w:t>
      </w:r>
      <w:r w:rsidR="000B4BD9">
        <w:t xml:space="preserve"> (</w:t>
      </w:r>
      <w:r w:rsidR="00E32025">
        <w:t>see Section 10, “Stability and Reactivity”</w:t>
      </w:r>
      <w:r w:rsidR="000B4BD9">
        <w:t>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0C039606" w14:textId="77777777" w:rsidTr="001D7FE4">
        <w:tc>
          <w:tcPr>
            <w:tcW w:w="9576" w:type="dxa"/>
            <w:vAlign w:val="center"/>
          </w:tcPr>
          <w:p w14:paraId="32B2AF80" w14:textId="77777777" w:rsidR="001D7FE4" w:rsidRDefault="001D7FE4" w:rsidP="00B07BF3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8.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09F1377" w14:textId="4C3155B8" w:rsidR="009212BD" w:rsidRPr="00741014" w:rsidRDefault="001D7FE4" w:rsidP="00403FB7">
      <w:pPr>
        <w:widowControl/>
        <w:spacing w:before="120"/>
        <w:rPr>
          <w:rFonts w:eastAsia="Times New Roman"/>
          <w:szCs w:val="20"/>
        </w:rPr>
      </w:pPr>
      <w:r w:rsidRPr="00741014">
        <w:rPr>
          <w:rFonts w:eastAsia="Times New Roman"/>
          <w:b/>
          <w:bCs/>
          <w:spacing w:val="-1"/>
          <w:szCs w:val="20"/>
        </w:rPr>
        <w:t>Ex</w:t>
      </w:r>
      <w:r w:rsidRPr="00741014">
        <w:rPr>
          <w:rFonts w:eastAsia="Times New Roman"/>
          <w:b/>
          <w:bCs/>
          <w:szCs w:val="20"/>
        </w:rPr>
        <w:t>p</w:t>
      </w:r>
      <w:r w:rsidRPr="00741014">
        <w:rPr>
          <w:rFonts w:eastAsia="Times New Roman"/>
          <w:b/>
          <w:bCs/>
          <w:spacing w:val="1"/>
          <w:szCs w:val="20"/>
        </w:rPr>
        <w:t>o</w:t>
      </w:r>
      <w:r w:rsidRPr="00741014">
        <w:rPr>
          <w:rFonts w:eastAsia="Times New Roman"/>
          <w:b/>
          <w:bCs/>
          <w:spacing w:val="-1"/>
          <w:szCs w:val="20"/>
        </w:rPr>
        <w:t>s</w:t>
      </w:r>
      <w:r w:rsidRPr="00741014">
        <w:rPr>
          <w:rFonts w:eastAsia="Times New Roman"/>
          <w:b/>
          <w:bCs/>
          <w:szCs w:val="20"/>
        </w:rPr>
        <w:t>ure</w:t>
      </w:r>
      <w:r w:rsidRPr="00741014">
        <w:rPr>
          <w:rFonts w:eastAsia="Times New Roman"/>
          <w:b/>
          <w:bCs/>
          <w:spacing w:val="-7"/>
          <w:szCs w:val="20"/>
        </w:rPr>
        <w:t xml:space="preserve"> </w:t>
      </w:r>
      <w:r w:rsidRPr="00741014">
        <w:rPr>
          <w:rFonts w:eastAsia="Times New Roman"/>
          <w:b/>
          <w:bCs/>
          <w:spacing w:val="-1"/>
          <w:szCs w:val="20"/>
        </w:rPr>
        <w:t>L</w:t>
      </w:r>
      <w:r w:rsidRPr="00741014">
        <w:rPr>
          <w:rFonts w:eastAsia="Times New Roman"/>
          <w:b/>
          <w:bCs/>
          <w:szCs w:val="20"/>
        </w:rPr>
        <w:t>i</w:t>
      </w:r>
      <w:r w:rsidRPr="00741014">
        <w:rPr>
          <w:rFonts w:eastAsia="Times New Roman"/>
          <w:b/>
          <w:bCs/>
          <w:spacing w:val="-5"/>
          <w:szCs w:val="20"/>
        </w:rPr>
        <w:t>m</w:t>
      </w:r>
      <w:r w:rsidRPr="00741014">
        <w:rPr>
          <w:rFonts w:eastAsia="Times New Roman"/>
          <w:b/>
          <w:bCs/>
          <w:szCs w:val="20"/>
        </w:rPr>
        <w:t>i</w:t>
      </w:r>
      <w:r w:rsidRPr="00741014">
        <w:rPr>
          <w:rFonts w:eastAsia="Times New Roman"/>
          <w:b/>
          <w:bCs/>
          <w:spacing w:val="1"/>
          <w:szCs w:val="20"/>
        </w:rPr>
        <w:t>t</w:t>
      </w:r>
      <w:r w:rsidRPr="00741014">
        <w:rPr>
          <w:rFonts w:eastAsia="Times New Roman"/>
          <w:b/>
          <w:bCs/>
          <w:szCs w:val="20"/>
        </w:rPr>
        <w:t>s</w:t>
      </w:r>
      <w:r w:rsidR="00403FB7">
        <w:rPr>
          <w:rFonts w:eastAsia="Times New Roman"/>
          <w:szCs w:val="20"/>
        </w:rPr>
        <w:t>:</w:t>
      </w:r>
    </w:p>
    <w:p w14:paraId="0079F304" w14:textId="367415DD" w:rsidR="00403FB7" w:rsidRPr="005D20D8" w:rsidRDefault="00403FB7" w:rsidP="00403FB7">
      <w:pPr>
        <w:widowControl/>
        <w:tabs>
          <w:tab w:val="decimal" w:pos="2430"/>
        </w:tabs>
        <w:spacing w:before="120"/>
        <w:ind w:left="450"/>
        <w:rPr>
          <w:rFonts w:eastAsia="Times New Roman"/>
          <w:b/>
          <w:szCs w:val="20"/>
        </w:rPr>
      </w:pPr>
      <w:r w:rsidRPr="005D20D8">
        <w:rPr>
          <w:rFonts w:eastAsia="Times New Roman"/>
          <w:b/>
          <w:szCs w:val="20"/>
        </w:rPr>
        <w:t>Crude oil</w:t>
      </w:r>
    </w:p>
    <w:p w14:paraId="71BA60F1" w14:textId="77777777" w:rsidR="009212BD" w:rsidRPr="00741014" w:rsidRDefault="009212BD" w:rsidP="00403FB7">
      <w:pPr>
        <w:widowControl/>
        <w:tabs>
          <w:tab w:val="decimal" w:pos="2430"/>
        </w:tabs>
        <w:spacing w:before="120"/>
        <w:ind w:left="720"/>
        <w:rPr>
          <w:rFonts w:eastAsia="Times New Roman"/>
          <w:szCs w:val="20"/>
        </w:rPr>
      </w:pPr>
      <w:r w:rsidRPr="00741014">
        <w:rPr>
          <w:rFonts w:eastAsia="Times New Roman"/>
          <w:szCs w:val="20"/>
        </w:rPr>
        <w:t xml:space="preserve">NIOSH (REL): </w:t>
      </w:r>
      <w:r w:rsidRPr="00741014">
        <w:rPr>
          <w:rFonts w:eastAsia="Times New Roman"/>
          <w:szCs w:val="20"/>
        </w:rPr>
        <w:tab/>
        <w:t>350 mg/m</w:t>
      </w:r>
      <w:r w:rsidRPr="00741014">
        <w:rPr>
          <w:rFonts w:eastAsia="Times New Roman"/>
          <w:szCs w:val="20"/>
          <w:vertAlign w:val="superscript"/>
        </w:rPr>
        <w:t>3</w:t>
      </w:r>
      <w:r w:rsidRPr="00741014">
        <w:rPr>
          <w:rFonts w:eastAsia="Times New Roman"/>
          <w:szCs w:val="20"/>
        </w:rPr>
        <w:t xml:space="preserve"> (TWA)</w:t>
      </w:r>
    </w:p>
    <w:p w14:paraId="1625FDE8" w14:textId="1469DEEC" w:rsidR="009212BD" w:rsidRPr="00741014" w:rsidRDefault="009212BD" w:rsidP="00403FB7">
      <w:pPr>
        <w:widowControl/>
        <w:tabs>
          <w:tab w:val="decimal" w:pos="2430"/>
        </w:tabs>
        <w:ind w:left="720"/>
        <w:rPr>
          <w:rFonts w:eastAsia="Times New Roman"/>
          <w:szCs w:val="20"/>
        </w:rPr>
      </w:pPr>
      <w:r w:rsidRPr="00741014">
        <w:rPr>
          <w:rFonts w:eastAsia="Times New Roman"/>
          <w:szCs w:val="20"/>
        </w:rPr>
        <w:tab/>
        <w:t>1800 mg/m</w:t>
      </w:r>
      <w:r w:rsidRPr="00741014">
        <w:rPr>
          <w:rFonts w:eastAsia="Times New Roman"/>
          <w:szCs w:val="20"/>
          <w:vertAlign w:val="superscript"/>
        </w:rPr>
        <w:t>3</w:t>
      </w:r>
      <w:r w:rsidRPr="00741014">
        <w:rPr>
          <w:rFonts w:eastAsia="Times New Roman"/>
          <w:szCs w:val="20"/>
        </w:rPr>
        <w:t xml:space="preserve"> (Ceiling</w:t>
      </w:r>
      <w:r w:rsidR="005505DA" w:rsidRPr="00741014">
        <w:rPr>
          <w:rFonts w:eastAsia="Times New Roman"/>
          <w:szCs w:val="20"/>
        </w:rPr>
        <w:t>,</w:t>
      </w:r>
      <w:r w:rsidRPr="00741014">
        <w:rPr>
          <w:rFonts w:eastAsia="Times New Roman"/>
          <w:szCs w:val="20"/>
        </w:rPr>
        <w:t xml:space="preserve"> 15 min)</w:t>
      </w:r>
    </w:p>
    <w:p w14:paraId="4A8A7224" w14:textId="77777777" w:rsidR="00550D9B" w:rsidRPr="00741014" w:rsidRDefault="009212BD" w:rsidP="00403FB7">
      <w:pPr>
        <w:widowControl/>
        <w:tabs>
          <w:tab w:val="decimal" w:pos="2430"/>
        </w:tabs>
        <w:ind w:left="720"/>
        <w:rPr>
          <w:rFonts w:eastAsia="Times New Roman"/>
          <w:szCs w:val="20"/>
        </w:rPr>
      </w:pPr>
      <w:r w:rsidRPr="00741014">
        <w:rPr>
          <w:rFonts w:eastAsia="Times New Roman"/>
          <w:szCs w:val="20"/>
        </w:rPr>
        <w:tab/>
        <w:t>1100 ppm (IDLH, 10 % LEL)</w:t>
      </w:r>
    </w:p>
    <w:p w14:paraId="7D3835C9" w14:textId="013E0D87" w:rsidR="005D20D8" w:rsidRPr="00741014" w:rsidRDefault="005D20D8" w:rsidP="005D20D8">
      <w:pPr>
        <w:widowControl/>
        <w:spacing w:before="120"/>
        <w:ind w:left="450"/>
        <w:rPr>
          <w:rFonts w:eastAsia="Times New Roman"/>
          <w:szCs w:val="20"/>
        </w:rPr>
      </w:pPr>
      <w:r w:rsidRPr="005D20D8">
        <w:rPr>
          <w:rFonts w:eastAsia="Times New Roman"/>
          <w:szCs w:val="20"/>
        </w:rPr>
        <w:t xml:space="preserve">There are no occupational exposure limits established for </w:t>
      </w:r>
      <w:r>
        <w:rPr>
          <w:rFonts w:eastAsia="Times New Roman"/>
          <w:szCs w:val="20"/>
        </w:rPr>
        <w:t xml:space="preserve">crude oil by OSHA.  The exposure limit for </w:t>
      </w:r>
      <w:r w:rsidRPr="005D20D8">
        <w:rPr>
          <w:rFonts w:eastAsia="Times New Roman"/>
          <w:szCs w:val="20"/>
        </w:rPr>
        <w:t xml:space="preserve">oil </w:t>
      </w:r>
      <w:r>
        <w:rPr>
          <w:rFonts w:eastAsia="Times New Roman"/>
          <w:szCs w:val="20"/>
        </w:rPr>
        <w:t xml:space="preserve">mist is </w:t>
      </w:r>
      <w:r w:rsidRPr="005D20D8">
        <w:rPr>
          <w:rFonts w:eastAsia="Times New Roman"/>
          <w:szCs w:val="20"/>
        </w:rPr>
        <w:t>provided below as a reference.</w:t>
      </w:r>
    </w:p>
    <w:p w14:paraId="2A70021C" w14:textId="2A62FBED" w:rsidR="00403FB7" w:rsidRDefault="00403FB7" w:rsidP="005D20D8">
      <w:pPr>
        <w:widowControl/>
        <w:tabs>
          <w:tab w:val="decimal" w:pos="2520"/>
        </w:tabs>
        <w:autoSpaceDE w:val="0"/>
        <w:autoSpaceDN w:val="0"/>
        <w:adjustRightInd w:val="0"/>
        <w:spacing w:before="120"/>
        <w:ind w:left="720"/>
        <w:jc w:val="left"/>
        <w:rPr>
          <w:szCs w:val="20"/>
        </w:rPr>
      </w:pPr>
      <w:r>
        <w:rPr>
          <w:szCs w:val="20"/>
        </w:rPr>
        <w:t xml:space="preserve">OSHA (PEL): </w:t>
      </w:r>
      <w:r w:rsidR="005D20D8">
        <w:rPr>
          <w:szCs w:val="20"/>
        </w:rPr>
        <w:tab/>
      </w:r>
      <w:r>
        <w:rPr>
          <w:szCs w:val="20"/>
        </w:rPr>
        <w:t>5 mg/m</w:t>
      </w:r>
      <w:r w:rsidRPr="00403FB7">
        <w:rPr>
          <w:szCs w:val="20"/>
          <w:vertAlign w:val="superscript"/>
        </w:rPr>
        <w:t>3</w:t>
      </w:r>
      <w:r>
        <w:rPr>
          <w:szCs w:val="20"/>
        </w:rPr>
        <w:t xml:space="preserve"> (TWA)</w:t>
      </w:r>
    </w:p>
    <w:p w14:paraId="4499977C" w14:textId="77777777" w:rsidR="005D20D8" w:rsidRPr="00403FB7" w:rsidRDefault="005D20D8" w:rsidP="005D20D8">
      <w:pPr>
        <w:widowControl/>
        <w:autoSpaceDE w:val="0"/>
        <w:autoSpaceDN w:val="0"/>
        <w:adjustRightInd w:val="0"/>
        <w:ind w:left="720"/>
        <w:jc w:val="left"/>
        <w:rPr>
          <w:szCs w:val="20"/>
        </w:rPr>
      </w:pPr>
    </w:p>
    <w:p w14:paraId="3C49A625" w14:textId="77777777" w:rsidR="0031663D" w:rsidRPr="00741014" w:rsidRDefault="0031663D" w:rsidP="00CA1914">
      <w:pPr>
        <w:widowControl/>
        <w:spacing w:before="60"/>
        <w:rPr>
          <w:rFonts w:eastAsia="Times New Roman"/>
          <w:szCs w:val="20"/>
        </w:rPr>
      </w:pPr>
      <w:r w:rsidRPr="00741014">
        <w:rPr>
          <w:rFonts w:eastAsia="Times New Roman"/>
          <w:b/>
          <w:bCs/>
          <w:szCs w:val="20"/>
        </w:rPr>
        <w:t>Engineering Controls:</w:t>
      </w:r>
      <w:r w:rsidRPr="00741014">
        <w:rPr>
          <w:rFonts w:eastAsia="Times New Roman"/>
          <w:bCs/>
          <w:szCs w:val="20"/>
        </w:rPr>
        <w:t xml:space="preserve"> </w:t>
      </w:r>
      <w:r w:rsidRPr="00741014">
        <w:rPr>
          <w:rFonts w:eastAsia="Times New Roman"/>
          <w:bCs/>
          <w:spacing w:val="50"/>
          <w:szCs w:val="20"/>
        </w:rPr>
        <w:t xml:space="preserve"> </w:t>
      </w:r>
      <w:r w:rsidRPr="00741014">
        <w:rPr>
          <w:rFonts w:eastAsia="Times New Roman"/>
          <w:spacing w:val="2"/>
          <w:szCs w:val="20"/>
        </w:rPr>
        <w:t>P</w:t>
      </w:r>
      <w:r w:rsidRPr="00741014">
        <w:rPr>
          <w:rFonts w:eastAsia="Times New Roman"/>
          <w:spacing w:val="1"/>
          <w:szCs w:val="20"/>
        </w:rPr>
        <w:t>ro</w:t>
      </w:r>
      <w:r w:rsidRPr="00741014">
        <w:rPr>
          <w:rFonts w:eastAsia="Times New Roman"/>
          <w:spacing w:val="-1"/>
          <w:szCs w:val="20"/>
        </w:rPr>
        <w:t>v</w:t>
      </w:r>
      <w:r w:rsidRPr="00741014">
        <w:rPr>
          <w:rFonts w:eastAsia="Times New Roman"/>
          <w:szCs w:val="20"/>
        </w:rPr>
        <w:t>i</w:t>
      </w:r>
      <w:r w:rsidRPr="00741014">
        <w:rPr>
          <w:rFonts w:eastAsia="Times New Roman"/>
          <w:spacing w:val="1"/>
          <w:szCs w:val="20"/>
        </w:rPr>
        <w:t>d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24"/>
          <w:szCs w:val="20"/>
        </w:rPr>
        <w:t xml:space="preserve"> </w:t>
      </w:r>
      <w:r w:rsidRPr="00741014">
        <w:rPr>
          <w:rFonts w:eastAsia="Times New Roman"/>
          <w:szCs w:val="20"/>
        </w:rPr>
        <w:t>l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zCs w:val="20"/>
        </w:rPr>
        <w:t>cal</w:t>
      </w:r>
      <w:r w:rsidRPr="00741014">
        <w:rPr>
          <w:rFonts w:eastAsia="Times New Roman"/>
          <w:spacing w:val="25"/>
          <w:szCs w:val="20"/>
        </w:rPr>
        <w:t xml:space="preserve"> 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-1"/>
          <w:szCs w:val="20"/>
        </w:rPr>
        <w:t>xh</w:t>
      </w:r>
      <w:r w:rsidRPr="00741014">
        <w:rPr>
          <w:rFonts w:eastAsia="Times New Roman"/>
          <w:szCs w:val="20"/>
        </w:rPr>
        <w:t>a</w:t>
      </w:r>
      <w:r w:rsidRPr="00741014">
        <w:rPr>
          <w:rFonts w:eastAsia="Times New Roman"/>
          <w:spacing w:val="-1"/>
          <w:szCs w:val="20"/>
        </w:rPr>
        <w:t>us</w:t>
      </w:r>
      <w:r w:rsidRPr="00741014">
        <w:rPr>
          <w:rFonts w:eastAsia="Times New Roman"/>
          <w:szCs w:val="20"/>
        </w:rPr>
        <w:t>t</w:t>
      </w:r>
      <w:r w:rsidRPr="00741014">
        <w:rPr>
          <w:rFonts w:eastAsia="Times New Roman"/>
          <w:spacing w:val="23"/>
          <w:szCs w:val="20"/>
        </w:rPr>
        <w:t xml:space="preserve"> 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zCs w:val="20"/>
        </w:rPr>
        <w:t>r</w:t>
      </w:r>
      <w:r w:rsidRPr="00741014">
        <w:rPr>
          <w:rFonts w:eastAsia="Times New Roman"/>
          <w:spacing w:val="28"/>
          <w:szCs w:val="20"/>
        </w:rPr>
        <w:t xml:space="preserve"> </w:t>
      </w:r>
      <w:r w:rsidRPr="00741014">
        <w:rPr>
          <w:rFonts w:eastAsia="Times New Roman"/>
          <w:spacing w:val="1"/>
          <w:szCs w:val="20"/>
        </w:rPr>
        <w:t>pro</w:t>
      </w:r>
      <w:r w:rsidRPr="00741014">
        <w:rPr>
          <w:rFonts w:eastAsia="Times New Roman"/>
          <w:szCs w:val="20"/>
        </w:rPr>
        <w:t>ce</w:t>
      </w:r>
      <w:r w:rsidRPr="00741014">
        <w:rPr>
          <w:rFonts w:eastAsia="Times New Roman"/>
          <w:spacing w:val="-1"/>
          <w:szCs w:val="20"/>
        </w:rPr>
        <w:t>s</w:t>
      </w:r>
      <w:r w:rsidRPr="00741014">
        <w:rPr>
          <w:rFonts w:eastAsia="Times New Roman"/>
          <w:szCs w:val="20"/>
        </w:rPr>
        <w:t>s</w:t>
      </w:r>
      <w:r w:rsidRPr="00741014">
        <w:rPr>
          <w:rFonts w:eastAsia="Times New Roman"/>
          <w:spacing w:val="22"/>
          <w:szCs w:val="20"/>
        </w:rPr>
        <w:t xml:space="preserve"> 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-1"/>
          <w:szCs w:val="20"/>
        </w:rPr>
        <w:t>n</w:t>
      </w:r>
      <w:r w:rsidRPr="00741014">
        <w:rPr>
          <w:rFonts w:eastAsia="Times New Roman"/>
          <w:szCs w:val="20"/>
        </w:rPr>
        <w:t>cl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pacing w:val="-1"/>
          <w:szCs w:val="20"/>
        </w:rPr>
        <w:t>su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22"/>
          <w:szCs w:val="20"/>
        </w:rPr>
        <w:t xml:space="preserve"> </w:t>
      </w:r>
      <w:r w:rsidRPr="00741014">
        <w:rPr>
          <w:rFonts w:eastAsia="Times New Roman"/>
          <w:spacing w:val="-1"/>
          <w:szCs w:val="20"/>
        </w:rPr>
        <w:t>v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-1"/>
          <w:szCs w:val="20"/>
        </w:rPr>
        <w:t>n</w:t>
      </w:r>
      <w:r w:rsidRPr="00741014">
        <w:rPr>
          <w:rFonts w:eastAsia="Times New Roman"/>
          <w:szCs w:val="20"/>
        </w:rPr>
        <w:t>tilati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zCs w:val="20"/>
        </w:rPr>
        <w:t>n</w:t>
      </w:r>
      <w:r w:rsidRPr="00741014">
        <w:rPr>
          <w:rFonts w:eastAsia="Times New Roman"/>
          <w:spacing w:val="19"/>
          <w:szCs w:val="20"/>
        </w:rPr>
        <w:t xml:space="preserve"> </w:t>
      </w:r>
      <w:r w:rsidRPr="00741014">
        <w:rPr>
          <w:rFonts w:eastAsia="Times New Roman"/>
          <w:spacing w:val="-1"/>
          <w:szCs w:val="20"/>
        </w:rPr>
        <w:t>s</w:t>
      </w:r>
      <w:r w:rsidRPr="00741014">
        <w:rPr>
          <w:rFonts w:eastAsia="Times New Roman"/>
          <w:spacing w:val="-4"/>
          <w:szCs w:val="20"/>
        </w:rPr>
        <w:t>y</w:t>
      </w:r>
      <w:r w:rsidRPr="00741014">
        <w:rPr>
          <w:rFonts w:eastAsia="Times New Roman"/>
          <w:spacing w:val="-1"/>
          <w:szCs w:val="20"/>
        </w:rPr>
        <w:t>s</w:t>
      </w:r>
      <w:r w:rsidRPr="00741014">
        <w:rPr>
          <w:rFonts w:eastAsia="Times New Roman"/>
          <w:szCs w:val="20"/>
        </w:rPr>
        <w:t>te</w:t>
      </w:r>
      <w:r w:rsidRPr="00741014">
        <w:rPr>
          <w:rFonts w:eastAsia="Times New Roman"/>
          <w:spacing w:val="-4"/>
          <w:szCs w:val="20"/>
        </w:rPr>
        <w:t>m</w:t>
      </w:r>
      <w:r w:rsidRPr="00741014">
        <w:rPr>
          <w:rFonts w:eastAsia="Times New Roman"/>
          <w:szCs w:val="20"/>
        </w:rPr>
        <w:t xml:space="preserve">.  </w:t>
      </w:r>
      <w:r w:rsidRPr="00741014">
        <w:rPr>
          <w:rFonts w:eastAsia="Times New Roman"/>
          <w:spacing w:val="1"/>
          <w:szCs w:val="20"/>
        </w:rPr>
        <w:t>E</w:t>
      </w:r>
      <w:r w:rsidRPr="00741014">
        <w:rPr>
          <w:rFonts w:eastAsia="Times New Roman"/>
          <w:spacing w:val="-1"/>
          <w:szCs w:val="20"/>
        </w:rPr>
        <w:t>nsu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24"/>
          <w:szCs w:val="20"/>
        </w:rPr>
        <w:t xml:space="preserve"> </w:t>
      </w:r>
      <w:r w:rsidRPr="00741014">
        <w:rPr>
          <w:rFonts w:eastAsia="Times New Roman"/>
          <w:szCs w:val="20"/>
        </w:rPr>
        <w:t>c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pacing w:val="-4"/>
          <w:szCs w:val="20"/>
        </w:rPr>
        <w:t>m</w:t>
      </w:r>
      <w:r w:rsidRPr="00741014">
        <w:rPr>
          <w:rFonts w:eastAsia="Times New Roman"/>
          <w:spacing w:val="1"/>
          <w:szCs w:val="20"/>
        </w:rPr>
        <w:t>p</w:t>
      </w:r>
      <w:r w:rsidRPr="00741014">
        <w:rPr>
          <w:rFonts w:eastAsia="Times New Roman"/>
          <w:szCs w:val="20"/>
        </w:rPr>
        <w:t>lia</w:t>
      </w:r>
      <w:r w:rsidRPr="00741014">
        <w:rPr>
          <w:rFonts w:eastAsia="Times New Roman"/>
          <w:spacing w:val="-1"/>
          <w:szCs w:val="20"/>
        </w:rPr>
        <w:t>n</w:t>
      </w:r>
      <w:r w:rsidRPr="00741014">
        <w:rPr>
          <w:rFonts w:eastAsia="Times New Roman"/>
          <w:szCs w:val="20"/>
        </w:rPr>
        <w:t>ce</w:t>
      </w:r>
      <w:r w:rsidRPr="00741014">
        <w:rPr>
          <w:rFonts w:eastAsia="Times New Roman"/>
          <w:spacing w:val="18"/>
          <w:szCs w:val="20"/>
        </w:rPr>
        <w:t xml:space="preserve"> </w:t>
      </w:r>
      <w:r w:rsidRPr="00741014">
        <w:rPr>
          <w:rFonts w:eastAsia="Times New Roman"/>
          <w:spacing w:val="-5"/>
          <w:szCs w:val="20"/>
        </w:rPr>
        <w:t>w</w:t>
      </w:r>
      <w:r w:rsidRPr="00741014">
        <w:rPr>
          <w:rFonts w:eastAsia="Times New Roman"/>
          <w:szCs w:val="20"/>
        </w:rPr>
        <w:t>ith</w:t>
      </w:r>
      <w:r w:rsidRPr="00741014">
        <w:rPr>
          <w:rFonts w:eastAsia="Times New Roman"/>
          <w:spacing w:val="21"/>
          <w:szCs w:val="20"/>
        </w:rPr>
        <w:t xml:space="preserve"> </w:t>
      </w:r>
      <w:r w:rsidRPr="00741014">
        <w:rPr>
          <w:rFonts w:eastAsia="Times New Roman"/>
          <w:szCs w:val="20"/>
        </w:rPr>
        <w:t>a</w:t>
      </w:r>
      <w:r w:rsidRPr="00741014">
        <w:rPr>
          <w:rFonts w:eastAsia="Times New Roman"/>
          <w:spacing w:val="1"/>
          <w:szCs w:val="20"/>
        </w:rPr>
        <w:t>pp</w:t>
      </w:r>
      <w:r w:rsidRPr="00741014">
        <w:rPr>
          <w:rFonts w:eastAsia="Times New Roman"/>
          <w:szCs w:val="20"/>
        </w:rPr>
        <w:t>lica</w:t>
      </w:r>
      <w:r w:rsidRPr="00741014">
        <w:rPr>
          <w:rFonts w:eastAsia="Times New Roman"/>
          <w:spacing w:val="1"/>
          <w:szCs w:val="20"/>
        </w:rPr>
        <w:t>b</w:t>
      </w:r>
      <w:r w:rsidRPr="00741014">
        <w:rPr>
          <w:rFonts w:eastAsia="Times New Roman"/>
          <w:szCs w:val="20"/>
        </w:rPr>
        <w:t>le e</w:t>
      </w:r>
      <w:r w:rsidRPr="00741014">
        <w:rPr>
          <w:rFonts w:eastAsia="Times New Roman"/>
          <w:spacing w:val="-1"/>
          <w:szCs w:val="20"/>
        </w:rPr>
        <w:t>x</w:t>
      </w:r>
      <w:r w:rsidRPr="00741014">
        <w:rPr>
          <w:rFonts w:eastAsia="Times New Roman"/>
          <w:spacing w:val="1"/>
          <w:szCs w:val="20"/>
        </w:rPr>
        <w:t>po</w:t>
      </w:r>
      <w:r w:rsidRPr="00741014">
        <w:rPr>
          <w:rFonts w:eastAsia="Times New Roman"/>
          <w:spacing w:val="-1"/>
          <w:szCs w:val="20"/>
        </w:rPr>
        <w:t>su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-6"/>
          <w:szCs w:val="20"/>
        </w:rPr>
        <w:t xml:space="preserve"> </w:t>
      </w:r>
      <w:r w:rsidRPr="00741014">
        <w:rPr>
          <w:rFonts w:eastAsia="Times New Roman"/>
          <w:szCs w:val="20"/>
        </w:rPr>
        <w:t>li</w:t>
      </w:r>
      <w:r w:rsidRPr="00741014">
        <w:rPr>
          <w:rFonts w:eastAsia="Times New Roman"/>
          <w:spacing w:val="-4"/>
          <w:szCs w:val="20"/>
        </w:rPr>
        <w:t>m</w:t>
      </w:r>
      <w:r w:rsidRPr="00741014">
        <w:rPr>
          <w:rFonts w:eastAsia="Times New Roman"/>
          <w:szCs w:val="20"/>
        </w:rPr>
        <w:t>it</w:t>
      </w:r>
      <w:r w:rsidRPr="00741014">
        <w:rPr>
          <w:rFonts w:eastAsia="Times New Roman"/>
          <w:spacing w:val="-1"/>
          <w:szCs w:val="20"/>
        </w:rPr>
        <w:t>s</w:t>
      </w:r>
      <w:r w:rsidR="00194A53" w:rsidRPr="00741014">
        <w:rPr>
          <w:rFonts w:eastAsia="Times New Roman"/>
          <w:spacing w:val="-1"/>
          <w:szCs w:val="20"/>
        </w:rPr>
        <w:t>.</w:t>
      </w:r>
    </w:p>
    <w:p w14:paraId="7077B5D3" w14:textId="77777777" w:rsidR="0031663D" w:rsidRPr="00741014" w:rsidRDefault="00194A53" w:rsidP="00F941BF">
      <w:pPr>
        <w:widowControl/>
        <w:spacing w:before="60"/>
        <w:rPr>
          <w:rFonts w:eastAsia="Times New Roman"/>
          <w:szCs w:val="20"/>
        </w:rPr>
      </w:pPr>
      <w:r w:rsidRPr="00741014">
        <w:rPr>
          <w:rFonts w:eastAsia="Times New Roman"/>
          <w:b/>
          <w:bCs/>
          <w:szCs w:val="20"/>
        </w:rPr>
        <w:t xml:space="preserve">Personal </w:t>
      </w:r>
      <w:r w:rsidR="0031663D" w:rsidRPr="00741014">
        <w:rPr>
          <w:rFonts w:eastAsia="Times New Roman"/>
          <w:b/>
          <w:bCs/>
          <w:szCs w:val="20"/>
        </w:rPr>
        <w:t>Protection Measures</w:t>
      </w:r>
      <w:r w:rsidR="00011CAC" w:rsidRPr="00741014">
        <w:rPr>
          <w:rFonts w:eastAsia="Times New Roman"/>
          <w:b/>
          <w:bCs/>
          <w:szCs w:val="20"/>
        </w:rPr>
        <w:t>:</w:t>
      </w:r>
      <w:r w:rsidR="00011CAC" w:rsidRPr="00741014">
        <w:rPr>
          <w:rFonts w:eastAsia="Times New Roman"/>
          <w:bCs/>
          <w:szCs w:val="20"/>
        </w:rPr>
        <w:t xml:space="preserve">  </w:t>
      </w:r>
      <w:r w:rsidR="00011CAC" w:rsidRPr="00741014">
        <w:rPr>
          <w:rFonts w:eastAsia="Times New Roman"/>
          <w:spacing w:val="1"/>
          <w:szCs w:val="20"/>
        </w:rPr>
        <w:t>I</w:t>
      </w:r>
      <w:r w:rsidR="00011CAC" w:rsidRPr="00741014">
        <w:rPr>
          <w:rFonts w:eastAsia="Times New Roman"/>
          <w:szCs w:val="20"/>
        </w:rPr>
        <w:t>n</w:t>
      </w:r>
      <w:r w:rsidR="00011CAC" w:rsidRPr="00741014">
        <w:rPr>
          <w:rFonts w:eastAsia="Times New Roman"/>
          <w:spacing w:val="2"/>
          <w:szCs w:val="20"/>
        </w:rPr>
        <w:t xml:space="preserve"> </w:t>
      </w:r>
      <w:r w:rsidR="00011CAC" w:rsidRPr="00741014">
        <w:rPr>
          <w:rFonts w:eastAsia="Times New Roman"/>
          <w:szCs w:val="20"/>
        </w:rPr>
        <w:t>acc</w:t>
      </w:r>
      <w:r w:rsidR="00011CAC" w:rsidRPr="00741014">
        <w:rPr>
          <w:rFonts w:eastAsia="Times New Roman"/>
          <w:spacing w:val="1"/>
          <w:szCs w:val="20"/>
        </w:rPr>
        <w:t>ord</w:t>
      </w:r>
      <w:r w:rsidR="00011CAC" w:rsidRPr="00741014">
        <w:rPr>
          <w:rFonts w:eastAsia="Times New Roman"/>
          <w:szCs w:val="20"/>
        </w:rPr>
        <w:t>a</w:t>
      </w:r>
      <w:r w:rsidR="00011CAC" w:rsidRPr="00741014">
        <w:rPr>
          <w:rFonts w:eastAsia="Times New Roman"/>
          <w:spacing w:val="-1"/>
          <w:szCs w:val="20"/>
        </w:rPr>
        <w:t>n</w:t>
      </w:r>
      <w:r w:rsidR="00011CAC" w:rsidRPr="00741014">
        <w:rPr>
          <w:rFonts w:eastAsia="Times New Roman"/>
          <w:szCs w:val="20"/>
        </w:rPr>
        <w:t>ce</w:t>
      </w:r>
      <w:r w:rsidR="00011CAC" w:rsidRPr="00741014">
        <w:rPr>
          <w:rFonts w:eastAsia="Times New Roman"/>
          <w:spacing w:val="-3"/>
          <w:szCs w:val="20"/>
        </w:rPr>
        <w:t xml:space="preserve"> </w:t>
      </w:r>
      <w:r w:rsidR="00011CAC" w:rsidRPr="00741014">
        <w:rPr>
          <w:rFonts w:eastAsia="Times New Roman"/>
          <w:spacing w:val="-5"/>
          <w:szCs w:val="20"/>
        </w:rPr>
        <w:t>w</w:t>
      </w:r>
      <w:r w:rsidR="00011CAC" w:rsidRPr="00741014">
        <w:rPr>
          <w:rFonts w:eastAsia="Times New Roman"/>
          <w:szCs w:val="20"/>
        </w:rPr>
        <w:t>ith OSHA</w:t>
      </w:r>
      <w:r w:rsidR="00011CAC" w:rsidRPr="00741014">
        <w:rPr>
          <w:rFonts w:eastAsia="Times New Roman"/>
          <w:spacing w:val="-2"/>
          <w:szCs w:val="20"/>
        </w:rPr>
        <w:t> </w:t>
      </w:r>
      <w:r w:rsidR="00011CAC" w:rsidRPr="00741014">
        <w:rPr>
          <w:rFonts w:eastAsia="Times New Roman"/>
          <w:spacing w:val="1"/>
          <w:szCs w:val="20"/>
        </w:rPr>
        <w:t>2</w:t>
      </w:r>
      <w:r w:rsidR="00011CAC" w:rsidRPr="00741014">
        <w:rPr>
          <w:rFonts w:eastAsia="Times New Roman"/>
          <w:szCs w:val="20"/>
        </w:rPr>
        <w:t>9</w:t>
      </w:r>
      <w:r w:rsidR="00011CAC" w:rsidRPr="00741014">
        <w:rPr>
          <w:rFonts w:eastAsia="Times New Roman"/>
          <w:spacing w:val="4"/>
          <w:szCs w:val="20"/>
        </w:rPr>
        <w:t xml:space="preserve"> </w:t>
      </w:r>
      <w:r w:rsidR="00011CAC" w:rsidRPr="00741014">
        <w:rPr>
          <w:rFonts w:eastAsia="Times New Roman"/>
          <w:spacing w:val="-1"/>
          <w:szCs w:val="20"/>
        </w:rPr>
        <w:t>C</w:t>
      </w:r>
      <w:r w:rsidR="00011CAC" w:rsidRPr="00741014">
        <w:rPr>
          <w:rFonts w:eastAsia="Times New Roman"/>
          <w:szCs w:val="20"/>
        </w:rPr>
        <w:t>FR </w:t>
      </w:r>
      <w:r w:rsidR="00011CAC" w:rsidRPr="00741014">
        <w:rPr>
          <w:rFonts w:eastAsia="Times New Roman"/>
          <w:spacing w:val="1"/>
          <w:szCs w:val="20"/>
        </w:rPr>
        <w:t>1910.132</w:t>
      </w:r>
      <w:r w:rsidR="00011CAC" w:rsidRPr="00741014">
        <w:rPr>
          <w:rFonts w:eastAsia="Times New Roman"/>
          <w:szCs w:val="20"/>
        </w:rPr>
        <w:t>,</w:t>
      </w:r>
      <w:r w:rsidR="00011CAC" w:rsidRPr="00741014">
        <w:rPr>
          <w:rFonts w:eastAsia="Times New Roman"/>
          <w:spacing w:val="-2"/>
          <w:szCs w:val="20"/>
        </w:rPr>
        <w:t xml:space="preserve"> </w:t>
      </w:r>
      <w:r w:rsidR="00011CAC" w:rsidRPr="00741014">
        <w:rPr>
          <w:rFonts w:eastAsia="Times New Roman"/>
          <w:spacing w:val="-1"/>
          <w:szCs w:val="20"/>
        </w:rPr>
        <w:t>su</w:t>
      </w:r>
      <w:r w:rsidR="00011CAC" w:rsidRPr="00741014">
        <w:rPr>
          <w:rFonts w:eastAsia="Times New Roman"/>
          <w:spacing w:val="1"/>
          <w:szCs w:val="20"/>
        </w:rPr>
        <w:t>bp</w:t>
      </w:r>
      <w:r w:rsidR="00011CAC" w:rsidRPr="00741014">
        <w:rPr>
          <w:rFonts w:eastAsia="Times New Roman"/>
          <w:szCs w:val="20"/>
        </w:rPr>
        <w:t>a</w:t>
      </w:r>
      <w:r w:rsidR="00011CAC" w:rsidRPr="00741014">
        <w:rPr>
          <w:rFonts w:eastAsia="Times New Roman"/>
          <w:spacing w:val="1"/>
          <w:szCs w:val="20"/>
        </w:rPr>
        <w:t>r</w:t>
      </w:r>
      <w:r w:rsidR="00011CAC" w:rsidRPr="00741014">
        <w:rPr>
          <w:rFonts w:eastAsia="Times New Roman"/>
          <w:szCs w:val="20"/>
        </w:rPr>
        <w:t>t</w:t>
      </w:r>
      <w:r w:rsidR="00011CAC" w:rsidRPr="00741014">
        <w:rPr>
          <w:rFonts w:eastAsia="Times New Roman"/>
          <w:spacing w:val="-1"/>
          <w:szCs w:val="20"/>
        </w:rPr>
        <w:t xml:space="preserve"> </w:t>
      </w:r>
      <w:r w:rsidR="00011CAC" w:rsidRPr="00741014">
        <w:rPr>
          <w:rFonts w:eastAsia="Times New Roman"/>
          <w:spacing w:val="1"/>
          <w:szCs w:val="20"/>
        </w:rPr>
        <w:t>I</w:t>
      </w:r>
      <w:r w:rsidR="00011CAC" w:rsidRPr="00741014">
        <w:rPr>
          <w:rFonts w:eastAsia="Times New Roman"/>
          <w:szCs w:val="20"/>
        </w:rPr>
        <w:t>,</w:t>
      </w:r>
      <w:r w:rsidR="00011CAC" w:rsidRPr="00741014">
        <w:rPr>
          <w:rFonts w:eastAsia="Times New Roman"/>
          <w:spacing w:val="2"/>
          <w:szCs w:val="20"/>
        </w:rPr>
        <w:t xml:space="preserve"> </w:t>
      </w:r>
      <w:r w:rsidR="00011CAC" w:rsidRPr="00741014">
        <w:rPr>
          <w:rFonts w:eastAsia="Times New Roman"/>
          <w:spacing w:val="-5"/>
          <w:szCs w:val="20"/>
        </w:rPr>
        <w:t>w</w:t>
      </w:r>
      <w:r w:rsidR="00011CAC" w:rsidRPr="00741014">
        <w:rPr>
          <w:rFonts w:eastAsia="Times New Roman"/>
          <w:szCs w:val="20"/>
        </w:rPr>
        <w:t>ear a</w:t>
      </w:r>
      <w:r w:rsidR="00011CAC" w:rsidRPr="00741014">
        <w:rPr>
          <w:rFonts w:eastAsia="Times New Roman"/>
          <w:spacing w:val="1"/>
          <w:szCs w:val="20"/>
        </w:rPr>
        <w:t>ppropr</w:t>
      </w:r>
      <w:r w:rsidR="00011CAC" w:rsidRPr="00741014">
        <w:rPr>
          <w:rFonts w:eastAsia="Times New Roman"/>
          <w:szCs w:val="20"/>
        </w:rPr>
        <w:t>iate</w:t>
      </w:r>
      <w:r w:rsidR="00011CAC" w:rsidRPr="00741014">
        <w:rPr>
          <w:rFonts w:eastAsia="Times New Roman"/>
          <w:spacing w:val="-6"/>
          <w:szCs w:val="20"/>
        </w:rPr>
        <w:t xml:space="preserve"> </w:t>
      </w:r>
      <w:r w:rsidR="00011CAC" w:rsidRPr="00741014">
        <w:rPr>
          <w:rFonts w:eastAsia="Times New Roman"/>
          <w:spacing w:val="2"/>
          <w:szCs w:val="20"/>
        </w:rPr>
        <w:t>P</w:t>
      </w:r>
      <w:r w:rsidR="00011CAC" w:rsidRPr="00741014">
        <w:rPr>
          <w:rFonts w:eastAsia="Times New Roman"/>
          <w:szCs w:val="20"/>
        </w:rPr>
        <w:t>e</w:t>
      </w:r>
      <w:r w:rsidR="00011CAC" w:rsidRPr="00741014">
        <w:rPr>
          <w:rFonts w:eastAsia="Times New Roman"/>
          <w:spacing w:val="1"/>
          <w:szCs w:val="20"/>
        </w:rPr>
        <w:t>r</w:t>
      </w:r>
      <w:r w:rsidR="00011CAC" w:rsidRPr="00741014">
        <w:rPr>
          <w:rFonts w:eastAsia="Times New Roman"/>
          <w:spacing w:val="-1"/>
          <w:szCs w:val="20"/>
        </w:rPr>
        <w:t>s</w:t>
      </w:r>
      <w:r w:rsidR="00011CAC" w:rsidRPr="00741014">
        <w:rPr>
          <w:rFonts w:eastAsia="Times New Roman"/>
          <w:spacing w:val="1"/>
          <w:szCs w:val="20"/>
        </w:rPr>
        <w:t>o</w:t>
      </w:r>
      <w:r w:rsidR="00011CAC" w:rsidRPr="00741014">
        <w:rPr>
          <w:rFonts w:eastAsia="Times New Roman"/>
          <w:spacing w:val="-1"/>
          <w:szCs w:val="20"/>
        </w:rPr>
        <w:t>n</w:t>
      </w:r>
      <w:r w:rsidR="00011CAC" w:rsidRPr="00741014">
        <w:rPr>
          <w:rFonts w:eastAsia="Times New Roman"/>
          <w:szCs w:val="20"/>
        </w:rPr>
        <w:t>al</w:t>
      </w:r>
      <w:r w:rsidR="00011CAC" w:rsidRPr="00741014">
        <w:rPr>
          <w:rFonts w:eastAsia="Times New Roman"/>
          <w:spacing w:val="-4"/>
          <w:szCs w:val="20"/>
        </w:rPr>
        <w:t xml:space="preserve"> </w:t>
      </w:r>
      <w:r w:rsidR="00011CAC" w:rsidRPr="00741014">
        <w:rPr>
          <w:rFonts w:eastAsia="Times New Roman"/>
          <w:spacing w:val="2"/>
          <w:szCs w:val="20"/>
        </w:rPr>
        <w:t>P</w:t>
      </w:r>
      <w:r w:rsidR="00011CAC" w:rsidRPr="00741014">
        <w:rPr>
          <w:rFonts w:eastAsia="Times New Roman"/>
          <w:spacing w:val="1"/>
          <w:szCs w:val="20"/>
        </w:rPr>
        <w:t>ro</w:t>
      </w:r>
      <w:r w:rsidR="00011CAC" w:rsidRPr="00741014">
        <w:rPr>
          <w:rFonts w:eastAsia="Times New Roman"/>
          <w:szCs w:val="20"/>
        </w:rPr>
        <w:t>tecti</w:t>
      </w:r>
      <w:r w:rsidR="00011CAC" w:rsidRPr="00741014">
        <w:rPr>
          <w:rFonts w:eastAsia="Times New Roman"/>
          <w:spacing w:val="-1"/>
          <w:szCs w:val="20"/>
        </w:rPr>
        <w:t>v</w:t>
      </w:r>
      <w:r w:rsidR="00011CAC" w:rsidRPr="00741014">
        <w:rPr>
          <w:rFonts w:eastAsia="Times New Roman"/>
          <w:szCs w:val="20"/>
        </w:rPr>
        <w:t xml:space="preserve">e </w:t>
      </w:r>
      <w:r w:rsidR="00011CAC" w:rsidRPr="00741014">
        <w:rPr>
          <w:rFonts w:eastAsia="Times New Roman"/>
          <w:spacing w:val="1"/>
          <w:szCs w:val="20"/>
        </w:rPr>
        <w:t>Eq</w:t>
      </w:r>
      <w:r w:rsidR="00011CAC" w:rsidRPr="00741014">
        <w:rPr>
          <w:rFonts w:eastAsia="Times New Roman"/>
          <w:spacing w:val="-1"/>
          <w:szCs w:val="20"/>
        </w:rPr>
        <w:t>u</w:t>
      </w:r>
      <w:r w:rsidR="00011CAC" w:rsidRPr="00741014">
        <w:rPr>
          <w:rFonts w:eastAsia="Times New Roman"/>
          <w:szCs w:val="20"/>
        </w:rPr>
        <w:t>i</w:t>
      </w:r>
      <w:r w:rsidR="00011CAC" w:rsidRPr="00741014">
        <w:rPr>
          <w:rFonts w:eastAsia="Times New Roman"/>
          <w:spacing w:val="1"/>
          <w:szCs w:val="20"/>
        </w:rPr>
        <w:t>p</w:t>
      </w:r>
      <w:r w:rsidR="00011CAC" w:rsidRPr="00741014">
        <w:rPr>
          <w:rFonts w:eastAsia="Times New Roman"/>
          <w:spacing w:val="-4"/>
          <w:szCs w:val="20"/>
        </w:rPr>
        <w:t>m</w:t>
      </w:r>
      <w:r w:rsidR="00011CAC" w:rsidRPr="00741014">
        <w:rPr>
          <w:rFonts w:eastAsia="Times New Roman"/>
          <w:szCs w:val="20"/>
        </w:rPr>
        <w:t>e</w:t>
      </w:r>
      <w:r w:rsidR="00011CAC" w:rsidRPr="00741014">
        <w:rPr>
          <w:rFonts w:eastAsia="Times New Roman"/>
          <w:spacing w:val="-1"/>
          <w:szCs w:val="20"/>
        </w:rPr>
        <w:t>n</w:t>
      </w:r>
      <w:r w:rsidR="00011CAC" w:rsidRPr="00741014">
        <w:rPr>
          <w:rFonts w:eastAsia="Times New Roman"/>
          <w:szCs w:val="20"/>
        </w:rPr>
        <w:t>t</w:t>
      </w:r>
      <w:r w:rsidR="00011CAC" w:rsidRPr="00741014">
        <w:rPr>
          <w:rFonts w:eastAsia="Times New Roman"/>
          <w:spacing w:val="-9"/>
          <w:szCs w:val="20"/>
        </w:rPr>
        <w:t xml:space="preserve"> </w:t>
      </w:r>
      <w:r w:rsidR="00011CAC" w:rsidRPr="00741014">
        <w:rPr>
          <w:rFonts w:eastAsia="Times New Roman"/>
          <w:spacing w:val="1"/>
          <w:szCs w:val="20"/>
        </w:rPr>
        <w:t>(</w:t>
      </w:r>
      <w:r w:rsidR="00011CAC" w:rsidRPr="00741014">
        <w:rPr>
          <w:rFonts w:eastAsia="Times New Roman"/>
          <w:spacing w:val="2"/>
          <w:szCs w:val="20"/>
        </w:rPr>
        <w:t>PP</w:t>
      </w:r>
      <w:r w:rsidR="00011CAC" w:rsidRPr="00741014">
        <w:rPr>
          <w:rFonts w:eastAsia="Times New Roman"/>
          <w:spacing w:val="1"/>
          <w:szCs w:val="20"/>
        </w:rPr>
        <w:t>E</w:t>
      </w:r>
      <w:r w:rsidR="00011CAC" w:rsidRPr="00741014">
        <w:rPr>
          <w:rFonts w:eastAsia="Times New Roman"/>
          <w:szCs w:val="20"/>
        </w:rPr>
        <w:t>)</w:t>
      </w:r>
      <w:r w:rsidR="00011CAC" w:rsidRPr="00741014">
        <w:rPr>
          <w:rFonts w:eastAsia="Times New Roman"/>
          <w:spacing w:val="-3"/>
          <w:szCs w:val="20"/>
        </w:rPr>
        <w:t xml:space="preserve"> </w:t>
      </w:r>
      <w:r w:rsidR="00011CAC" w:rsidRPr="00741014">
        <w:rPr>
          <w:rFonts w:eastAsia="Times New Roman"/>
          <w:szCs w:val="20"/>
        </w:rPr>
        <w:t xml:space="preserve">to </w:t>
      </w:r>
      <w:r w:rsidR="00011CAC" w:rsidRPr="00741014">
        <w:rPr>
          <w:rFonts w:eastAsia="Times New Roman"/>
          <w:spacing w:val="-4"/>
          <w:szCs w:val="20"/>
        </w:rPr>
        <w:t>m</w:t>
      </w:r>
      <w:r w:rsidR="00011CAC" w:rsidRPr="00741014">
        <w:rPr>
          <w:rFonts w:eastAsia="Times New Roman"/>
          <w:szCs w:val="20"/>
        </w:rPr>
        <w:t>i</w:t>
      </w:r>
      <w:r w:rsidR="00011CAC" w:rsidRPr="00741014">
        <w:rPr>
          <w:rFonts w:eastAsia="Times New Roman"/>
          <w:spacing w:val="-1"/>
          <w:szCs w:val="20"/>
        </w:rPr>
        <w:t>n</w:t>
      </w:r>
      <w:r w:rsidR="00011CAC" w:rsidRPr="00741014">
        <w:rPr>
          <w:rFonts w:eastAsia="Times New Roman"/>
          <w:szCs w:val="20"/>
        </w:rPr>
        <w:t>i</w:t>
      </w:r>
      <w:r w:rsidR="00011CAC" w:rsidRPr="00741014">
        <w:rPr>
          <w:rFonts w:eastAsia="Times New Roman"/>
          <w:spacing w:val="-4"/>
          <w:szCs w:val="20"/>
        </w:rPr>
        <w:t>m</w:t>
      </w:r>
      <w:r w:rsidR="00011CAC" w:rsidRPr="00741014">
        <w:rPr>
          <w:rFonts w:eastAsia="Times New Roman"/>
          <w:szCs w:val="20"/>
        </w:rPr>
        <w:t>ize</w:t>
      </w:r>
      <w:r w:rsidR="00011CAC" w:rsidRPr="00741014">
        <w:rPr>
          <w:rFonts w:eastAsia="Times New Roman"/>
          <w:spacing w:val="-7"/>
          <w:szCs w:val="20"/>
        </w:rPr>
        <w:t xml:space="preserve"> </w:t>
      </w:r>
      <w:r w:rsidR="00011CAC" w:rsidRPr="00741014">
        <w:rPr>
          <w:rFonts w:eastAsia="Times New Roman"/>
          <w:szCs w:val="20"/>
        </w:rPr>
        <w:t>e</w:t>
      </w:r>
      <w:r w:rsidR="00011CAC" w:rsidRPr="00741014">
        <w:rPr>
          <w:rFonts w:eastAsia="Times New Roman"/>
          <w:spacing w:val="-1"/>
          <w:szCs w:val="20"/>
        </w:rPr>
        <w:t>x</w:t>
      </w:r>
      <w:r w:rsidR="00011CAC" w:rsidRPr="00741014">
        <w:rPr>
          <w:rFonts w:eastAsia="Times New Roman"/>
          <w:spacing w:val="1"/>
          <w:szCs w:val="20"/>
        </w:rPr>
        <w:t>po</w:t>
      </w:r>
      <w:r w:rsidR="00011CAC" w:rsidRPr="00741014">
        <w:rPr>
          <w:rFonts w:eastAsia="Times New Roman"/>
          <w:spacing w:val="-1"/>
          <w:szCs w:val="20"/>
        </w:rPr>
        <w:t>su</w:t>
      </w:r>
      <w:r w:rsidR="00011CAC" w:rsidRPr="00741014">
        <w:rPr>
          <w:rFonts w:eastAsia="Times New Roman"/>
          <w:spacing w:val="1"/>
          <w:szCs w:val="20"/>
        </w:rPr>
        <w:t>r</w:t>
      </w:r>
      <w:r w:rsidR="00011CAC" w:rsidRPr="00741014">
        <w:rPr>
          <w:rFonts w:eastAsia="Times New Roman"/>
          <w:szCs w:val="20"/>
        </w:rPr>
        <w:t>e</w:t>
      </w:r>
      <w:r w:rsidR="00011CAC" w:rsidRPr="00741014">
        <w:rPr>
          <w:rFonts w:eastAsia="Times New Roman"/>
          <w:spacing w:val="-6"/>
          <w:szCs w:val="20"/>
        </w:rPr>
        <w:t xml:space="preserve"> </w:t>
      </w:r>
      <w:r w:rsidR="00011CAC" w:rsidRPr="00741014">
        <w:rPr>
          <w:rFonts w:eastAsia="Times New Roman"/>
          <w:szCs w:val="20"/>
        </w:rPr>
        <w:t>to t</w:t>
      </w:r>
      <w:r w:rsidR="00011CAC" w:rsidRPr="00741014">
        <w:rPr>
          <w:rFonts w:eastAsia="Times New Roman"/>
          <w:spacing w:val="-1"/>
          <w:szCs w:val="20"/>
        </w:rPr>
        <w:t>h</w:t>
      </w:r>
      <w:r w:rsidR="00011CAC" w:rsidRPr="00741014">
        <w:rPr>
          <w:rFonts w:eastAsia="Times New Roman"/>
          <w:szCs w:val="20"/>
        </w:rPr>
        <w:t>is</w:t>
      </w:r>
      <w:r w:rsidR="00011CAC" w:rsidRPr="00741014">
        <w:rPr>
          <w:rFonts w:eastAsia="Times New Roman"/>
          <w:spacing w:val="-3"/>
          <w:szCs w:val="20"/>
        </w:rPr>
        <w:t xml:space="preserve"> </w:t>
      </w:r>
      <w:r w:rsidR="00011CAC" w:rsidRPr="00741014">
        <w:rPr>
          <w:rFonts w:eastAsia="Times New Roman"/>
          <w:spacing w:val="-4"/>
          <w:szCs w:val="20"/>
        </w:rPr>
        <w:t>m</w:t>
      </w:r>
      <w:r w:rsidR="00011CAC" w:rsidRPr="00741014">
        <w:rPr>
          <w:rFonts w:eastAsia="Times New Roman"/>
          <w:szCs w:val="20"/>
        </w:rPr>
        <w:t>ate</w:t>
      </w:r>
      <w:r w:rsidR="00011CAC" w:rsidRPr="00741014">
        <w:rPr>
          <w:rFonts w:eastAsia="Times New Roman"/>
          <w:spacing w:val="1"/>
          <w:szCs w:val="20"/>
        </w:rPr>
        <w:t>r</w:t>
      </w:r>
      <w:r w:rsidR="00011CAC" w:rsidRPr="00741014">
        <w:rPr>
          <w:rFonts w:eastAsia="Times New Roman"/>
          <w:szCs w:val="20"/>
        </w:rPr>
        <w:t>ial.</w:t>
      </w:r>
    </w:p>
    <w:p w14:paraId="3B875E6E" w14:textId="77777777" w:rsidR="0031663D" w:rsidRPr="00741014" w:rsidRDefault="0031663D" w:rsidP="009212BD">
      <w:pPr>
        <w:widowControl/>
        <w:spacing w:before="60" w:after="60"/>
        <w:ind w:left="360"/>
        <w:rPr>
          <w:rFonts w:eastAsia="Times New Roman"/>
          <w:szCs w:val="20"/>
        </w:rPr>
      </w:pPr>
      <w:r w:rsidRPr="00741014">
        <w:rPr>
          <w:rFonts w:eastAsia="Times New Roman"/>
          <w:b/>
          <w:bCs/>
          <w:szCs w:val="20"/>
        </w:rPr>
        <w:t>Re</w:t>
      </w:r>
      <w:r w:rsidRPr="00741014">
        <w:rPr>
          <w:rFonts w:eastAsia="Times New Roman"/>
          <w:b/>
          <w:bCs/>
          <w:spacing w:val="-1"/>
          <w:szCs w:val="20"/>
        </w:rPr>
        <w:t>s</w:t>
      </w:r>
      <w:r w:rsidRPr="00741014">
        <w:rPr>
          <w:rFonts w:eastAsia="Times New Roman"/>
          <w:b/>
          <w:bCs/>
          <w:szCs w:val="20"/>
        </w:rPr>
        <w:t>pir</w:t>
      </w:r>
      <w:r w:rsidRPr="00741014">
        <w:rPr>
          <w:rFonts w:eastAsia="Times New Roman"/>
          <w:b/>
          <w:bCs/>
          <w:spacing w:val="1"/>
          <w:szCs w:val="20"/>
        </w:rPr>
        <w:t>ato</w:t>
      </w:r>
      <w:r w:rsidRPr="00741014">
        <w:rPr>
          <w:rFonts w:eastAsia="Times New Roman"/>
          <w:b/>
          <w:bCs/>
          <w:szCs w:val="20"/>
        </w:rPr>
        <w:t>r</w:t>
      </w:r>
      <w:r w:rsidR="00011CAC" w:rsidRPr="00741014">
        <w:rPr>
          <w:rFonts w:eastAsia="Times New Roman"/>
          <w:b/>
          <w:bCs/>
          <w:szCs w:val="20"/>
        </w:rPr>
        <w:t>y Protection</w:t>
      </w:r>
      <w:r w:rsidRPr="00741014">
        <w:rPr>
          <w:rFonts w:eastAsia="Times New Roman"/>
          <w:b/>
          <w:bCs/>
          <w:szCs w:val="20"/>
        </w:rPr>
        <w:t>:</w:t>
      </w:r>
      <w:r w:rsidR="00783F68" w:rsidRPr="00741014">
        <w:rPr>
          <w:rFonts w:eastAsia="Times New Roman"/>
          <w:bCs/>
          <w:spacing w:val="42"/>
          <w:szCs w:val="20"/>
        </w:rPr>
        <w:t xml:space="preserve">  </w:t>
      </w:r>
      <w:r w:rsidRPr="00741014">
        <w:rPr>
          <w:rFonts w:eastAsia="Times New Roman"/>
          <w:spacing w:val="1"/>
          <w:szCs w:val="20"/>
        </w:rPr>
        <w:t>I</w:t>
      </w:r>
      <w:r w:rsidRPr="00741014">
        <w:rPr>
          <w:rFonts w:eastAsia="Times New Roman"/>
          <w:szCs w:val="20"/>
        </w:rPr>
        <w:t>f</w:t>
      </w:r>
      <w:r w:rsidRPr="00741014">
        <w:rPr>
          <w:rFonts w:eastAsia="Times New Roman"/>
          <w:spacing w:val="-2"/>
          <w:szCs w:val="20"/>
        </w:rPr>
        <w:t xml:space="preserve"> </w:t>
      </w:r>
      <w:r w:rsidRPr="00741014">
        <w:rPr>
          <w:rFonts w:eastAsia="Times New Roman"/>
          <w:spacing w:val="-5"/>
          <w:szCs w:val="20"/>
        </w:rPr>
        <w:t>w</w:t>
      </w:r>
      <w:r w:rsidRPr="00741014">
        <w:rPr>
          <w:rFonts w:eastAsia="Times New Roman"/>
          <w:spacing w:val="1"/>
          <w:szCs w:val="20"/>
        </w:rPr>
        <w:t>or</w:t>
      </w:r>
      <w:r w:rsidRPr="00741014">
        <w:rPr>
          <w:rFonts w:eastAsia="Times New Roman"/>
          <w:spacing w:val="-1"/>
          <w:szCs w:val="20"/>
        </w:rPr>
        <w:t>k</w:t>
      </w:r>
      <w:r w:rsidRPr="00741014">
        <w:rPr>
          <w:rFonts w:eastAsia="Times New Roman"/>
          <w:spacing w:val="1"/>
          <w:szCs w:val="20"/>
        </w:rPr>
        <w:t>p</w:t>
      </w:r>
      <w:r w:rsidRPr="00741014">
        <w:rPr>
          <w:rFonts w:eastAsia="Times New Roman"/>
          <w:szCs w:val="20"/>
        </w:rPr>
        <w:t>lace</w:t>
      </w:r>
      <w:r w:rsidRPr="00741014">
        <w:rPr>
          <w:rFonts w:eastAsia="Times New Roman"/>
          <w:spacing w:val="-7"/>
          <w:szCs w:val="20"/>
        </w:rPr>
        <w:t xml:space="preserve"> </w:t>
      </w:r>
      <w:r w:rsidRPr="00741014">
        <w:rPr>
          <w:rFonts w:eastAsia="Times New Roman"/>
          <w:szCs w:val="20"/>
        </w:rPr>
        <w:t>c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pacing w:val="-1"/>
          <w:szCs w:val="20"/>
        </w:rPr>
        <w:t>n</w:t>
      </w:r>
      <w:r w:rsidRPr="00741014">
        <w:rPr>
          <w:rFonts w:eastAsia="Times New Roman"/>
          <w:spacing w:val="1"/>
          <w:szCs w:val="20"/>
        </w:rPr>
        <w:t>d</w:t>
      </w:r>
      <w:r w:rsidRPr="00741014">
        <w:rPr>
          <w:rFonts w:eastAsia="Times New Roman"/>
          <w:szCs w:val="20"/>
        </w:rPr>
        <w:t>iti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pacing w:val="-1"/>
          <w:szCs w:val="20"/>
        </w:rPr>
        <w:t>n</w:t>
      </w:r>
      <w:r w:rsidRPr="00741014">
        <w:rPr>
          <w:rFonts w:eastAsia="Times New Roman"/>
          <w:szCs w:val="20"/>
        </w:rPr>
        <w:t>s</w:t>
      </w:r>
      <w:r w:rsidRPr="00741014">
        <w:rPr>
          <w:rFonts w:eastAsia="Times New Roman"/>
          <w:spacing w:val="-8"/>
          <w:szCs w:val="20"/>
        </w:rPr>
        <w:t xml:space="preserve"> </w:t>
      </w:r>
      <w:r w:rsidRPr="00741014">
        <w:rPr>
          <w:rFonts w:eastAsia="Times New Roman"/>
          <w:spacing w:val="-5"/>
          <w:szCs w:val="20"/>
        </w:rPr>
        <w:t>w</w:t>
      </w:r>
      <w:r w:rsidRPr="00741014">
        <w:rPr>
          <w:rFonts w:eastAsia="Times New Roman"/>
          <w:szCs w:val="20"/>
        </w:rPr>
        <w:t>a</w:t>
      </w:r>
      <w:r w:rsidRPr="00741014">
        <w:rPr>
          <w:rFonts w:eastAsia="Times New Roman"/>
          <w:spacing w:val="1"/>
          <w:szCs w:val="20"/>
        </w:rPr>
        <w:t>rr</w:t>
      </w:r>
      <w:r w:rsidRPr="00741014">
        <w:rPr>
          <w:rFonts w:eastAsia="Times New Roman"/>
          <w:szCs w:val="20"/>
        </w:rPr>
        <w:t>a</w:t>
      </w:r>
      <w:r w:rsidRPr="00741014">
        <w:rPr>
          <w:rFonts w:eastAsia="Times New Roman"/>
          <w:spacing w:val="-1"/>
          <w:szCs w:val="20"/>
        </w:rPr>
        <w:t>n</w:t>
      </w:r>
      <w:r w:rsidRPr="00741014">
        <w:rPr>
          <w:rFonts w:eastAsia="Times New Roman"/>
          <w:szCs w:val="20"/>
        </w:rPr>
        <w:t>t</w:t>
      </w:r>
      <w:r w:rsidRPr="00741014">
        <w:rPr>
          <w:rFonts w:eastAsia="Times New Roman"/>
          <w:spacing w:val="-6"/>
          <w:szCs w:val="20"/>
        </w:rPr>
        <w:t xml:space="preserve"> </w:t>
      </w:r>
      <w:r w:rsidRPr="00741014">
        <w:rPr>
          <w:rFonts w:eastAsia="Times New Roman"/>
          <w:szCs w:val="20"/>
        </w:rPr>
        <w:t xml:space="preserve">a 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-1"/>
          <w:szCs w:val="20"/>
        </w:rPr>
        <w:t>s</w:t>
      </w:r>
      <w:r w:rsidRPr="00741014">
        <w:rPr>
          <w:rFonts w:eastAsia="Times New Roman"/>
          <w:spacing w:val="1"/>
          <w:szCs w:val="20"/>
        </w:rPr>
        <w:t>p</w:t>
      </w:r>
      <w:r w:rsidRPr="00741014">
        <w:rPr>
          <w:rFonts w:eastAsia="Times New Roman"/>
          <w:szCs w:val="20"/>
        </w:rPr>
        <w:t>i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at</w:t>
      </w:r>
      <w:r w:rsidRPr="00741014">
        <w:rPr>
          <w:rFonts w:eastAsia="Times New Roman"/>
          <w:spacing w:val="1"/>
          <w:szCs w:val="20"/>
        </w:rPr>
        <w:t>or</w:t>
      </w:r>
      <w:r w:rsidRPr="00741014">
        <w:rPr>
          <w:rFonts w:eastAsia="Times New Roman"/>
          <w:szCs w:val="20"/>
        </w:rPr>
        <w:t>,</w:t>
      </w:r>
      <w:r w:rsidRPr="00741014">
        <w:rPr>
          <w:rFonts w:eastAsia="Times New Roman"/>
          <w:spacing w:val="-7"/>
          <w:szCs w:val="20"/>
        </w:rPr>
        <w:t xml:space="preserve"> </w:t>
      </w:r>
      <w:r w:rsidRPr="00741014">
        <w:rPr>
          <w:rFonts w:eastAsia="Times New Roman"/>
          <w:szCs w:val="20"/>
        </w:rPr>
        <w:t xml:space="preserve">a 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-1"/>
          <w:szCs w:val="20"/>
        </w:rPr>
        <w:t>s</w:t>
      </w:r>
      <w:r w:rsidRPr="00741014">
        <w:rPr>
          <w:rFonts w:eastAsia="Times New Roman"/>
          <w:spacing w:val="1"/>
          <w:szCs w:val="20"/>
        </w:rPr>
        <w:t>p</w:t>
      </w:r>
      <w:r w:rsidRPr="00741014">
        <w:rPr>
          <w:rFonts w:eastAsia="Times New Roman"/>
          <w:szCs w:val="20"/>
        </w:rPr>
        <w:t>i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at</w:t>
      </w:r>
      <w:r w:rsidRPr="00741014">
        <w:rPr>
          <w:rFonts w:eastAsia="Times New Roman"/>
          <w:spacing w:val="1"/>
          <w:szCs w:val="20"/>
        </w:rPr>
        <w:t>or</w:t>
      </w:r>
      <w:r w:rsidRPr="00741014">
        <w:rPr>
          <w:rFonts w:eastAsia="Times New Roman"/>
          <w:szCs w:val="20"/>
        </w:rPr>
        <w:t>y</w:t>
      </w:r>
      <w:r w:rsidRPr="00741014">
        <w:rPr>
          <w:rFonts w:eastAsia="Times New Roman"/>
          <w:spacing w:val="-12"/>
          <w:szCs w:val="20"/>
        </w:rPr>
        <w:t xml:space="preserve"> </w:t>
      </w:r>
      <w:r w:rsidRPr="00741014">
        <w:rPr>
          <w:rFonts w:eastAsia="Times New Roman"/>
          <w:spacing w:val="1"/>
          <w:szCs w:val="20"/>
        </w:rPr>
        <w:t>pro</w:t>
      </w:r>
      <w:r w:rsidRPr="00741014">
        <w:rPr>
          <w:rFonts w:eastAsia="Times New Roman"/>
          <w:szCs w:val="20"/>
        </w:rPr>
        <w:t>tecti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zCs w:val="20"/>
        </w:rPr>
        <w:t>n</w:t>
      </w:r>
      <w:r w:rsidRPr="00741014">
        <w:rPr>
          <w:rFonts w:eastAsia="Times New Roman"/>
          <w:spacing w:val="-9"/>
          <w:szCs w:val="20"/>
        </w:rPr>
        <w:t xml:space="preserve"> </w:t>
      </w:r>
      <w:r w:rsidRPr="00741014">
        <w:rPr>
          <w:rFonts w:eastAsia="Times New Roman"/>
          <w:spacing w:val="1"/>
          <w:szCs w:val="20"/>
        </w:rPr>
        <w:t>pro</w:t>
      </w:r>
      <w:r w:rsidRPr="00741014">
        <w:rPr>
          <w:rFonts w:eastAsia="Times New Roman"/>
          <w:spacing w:val="-1"/>
          <w:szCs w:val="20"/>
        </w:rPr>
        <w:t>g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am</w:t>
      </w:r>
      <w:r w:rsidRPr="00741014">
        <w:rPr>
          <w:rFonts w:eastAsia="Times New Roman"/>
          <w:spacing w:val="-10"/>
          <w:szCs w:val="20"/>
        </w:rPr>
        <w:t xml:space="preserve"> </w:t>
      </w:r>
      <w:r w:rsidRPr="00741014">
        <w:rPr>
          <w:rFonts w:eastAsia="Times New Roman"/>
          <w:szCs w:val="20"/>
        </w:rPr>
        <w:t>t</w:t>
      </w:r>
      <w:r w:rsidRPr="00741014">
        <w:rPr>
          <w:rFonts w:eastAsia="Times New Roman"/>
          <w:spacing w:val="-1"/>
          <w:szCs w:val="20"/>
        </w:rPr>
        <w:t>h</w:t>
      </w:r>
      <w:r w:rsidRPr="00741014">
        <w:rPr>
          <w:rFonts w:eastAsia="Times New Roman"/>
          <w:szCs w:val="20"/>
        </w:rPr>
        <w:t>at</w:t>
      </w:r>
      <w:r w:rsidRPr="00741014">
        <w:rPr>
          <w:rFonts w:eastAsia="Times New Roman"/>
          <w:spacing w:val="-3"/>
          <w:szCs w:val="20"/>
        </w:rPr>
        <w:t xml:space="preserve"> </w:t>
      </w:r>
      <w:r w:rsidRPr="00741014">
        <w:rPr>
          <w:rFonts w:eastAsia="Times New Roman"/>
          <w:spacing w:val="-4"/>
          <w:szCs w:val="20"/>
        </w:rPr>
        <w:t>m</w:t>
      </w:r>
      <w:r w:rsidRPr="00741014">
        <w:rPr>
          <w:rFonts w:eastAsia="Times New Roman"/>
          <w:szCs w:val="20"/>
        </w:rPr>
        <w:t>eets</w:t>
      </w:r>
      <w:r w:rsidRPr="00741014">
        <w:rPr>
          <w:rFonts w:eastAsia="Times New Roman"/>
          <w:spacing w:val="-5"/>
          <w:szCs w:val="20"/>
        </w:rPr>
        <w:t xml:space="preserve"> </w:t>
      </w:r>
      <w:r w:rsidRPr="00741014">
        <w:rPr>
          <w:rFonts w:eastAsia="Times New Roman"/>
          <w:szCs w:val="20"/>
        </w:rPr>
        <w:t>OSHA</w:t>
      </w:r>
      <w:r w:rsidR="00F4046F" w:rsidRPr="00741014">
        <w:rPr>
          <w:rFonts w:eastAsia="Times New Roman"/>
          <w:spacing w:val="-7"/>
          <w:szCs w:val="20"/>
        </w:rPr>
        <w:t> </w:t>
      </w:r>
      <w:r w:rsidRPr="00741014">
        <w:rPr>
          <w:rFonts w:eastAsia="Times New Roman"/>
          <w:spacing w:val="1"/>
          <w:szCs w:val="20"/>
        </w:rPr>
        <w:t>2</w:t>
      </w:r>
      <w:r w:rsidRPr="00741014">
        <w:rPr>
          <w:rFonts w:eastAsia="Times New Roman"/>
          <w:szCs w:val="20"/>
        </w:rPr>
        <w:t>9</w:t>
      </w:r>
      <w:r w:rsidRPr="00741014">
        <w:rPr>
          <w:rFonts w:eastAsia="Times New Roman"/>
          <w:spacing w:val="-1"/>
          <w:szCs w:val="20"/>
        </w:rPr>
        <w:t>C</w:t>
      </w:r>
      <w:r w:rsidRPr="00741014">
        <w:rPr>
          <w:rFonts w:eastAsia="Times New Roman"/>
          <w:szCs w:val="20"/>
        </w:rPr>
        <w:t>FR</w:t>
      </w:r>
      <w:r w:rsidR="00F4046F" w:rsidRPr="00741014">
        <w:rPr>
          <w:rFonts w:eastAsia="Times New Roman"/>
          <w:spacing w:val="-4"/>
          <w:szCs w:val="20"/>
        </w:rPr>
        <w:t> </w:t>
      </w:r>
      <w:r w:rsidRPr="00741014">
        <w:rPr>
          <w:rFonts w:eastAsia="Times New Roman"/>
          <w:spacing w:val="1"/>
          <w:szCs w:val="20"/>
        </w:rPr>
        <w:t>1910.13</w:t>
      </w:r>
      <w:r w:rsidRPr="00741014">
        <w:rPr>
          <w:rFonts w:eastAsia="Times New Roman"/>
          <w:szCs w:val="20"/>
        </w:rPr>
        <w:t>4</w:t>
      </w:r>
      <w:r w:rsidRPr="00741014">
        <w:rPr>
          <w:rFonts w:eastAsia="Times New Roman"/>
          <w:spacing w:val="-5"/>
          <w:szCs w:val="20"/>
        </w:rPr>
        <w:t xml:space="preserve"> </w:t>
      </w:r>
      <w:r w:rsidRPr="00741014">
        <w:rPr>
          <w:rFonts w:eastAsia="Times New Roman"/>
          <w:spacing w:val="-4"/>
          <w:szCs w:val="20"/>
        </w:rPr>
        <w:t>m</w:t>
      </w:r>
      <w:r w:rsidRPr="00741014">
        <w:rPr>
          <w:rFonts w:eastAsia="Times New Roman"/>
          <w:spacing w:val="-1"/>
          <w:szCs w:val="20"/>
        </w:rPr>
        <w:t>us</w:t>
      </w:r>
      <w:r w:rsidRPr="00741014">
        <w:rPr>
          <w:rFonts w:eastAsia="Times New Roman"/>
          <w:szCs w:val="20"/>
        </w:rPr>
        <w:t>t</w:t>
      </w:r>
      <w:r w:rsidRPr="00741014">
        <w:rPr>
          <w:rFonts w:eastAsia="Times New Roman"/>
          <w:spacing w:val="-4"/>
          <w:szCs w:val="20"/>
        </w:rPr>
        <w:t xml:space="preserve"> </w:t>
      </w:r>
      <w:r w:rsidRPr="00741014">
        <w:rPr>
          <w:rFonts w:eastAsia="Times New Roman"/>
          <w:spacing w:val="1"/>
          <w:szCs w:val="20"/>
        </w:rPr>
        <w:t>b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-1"/>
          <w:szCs w:val="20"/>
        </w:rPr>
        <w:t xml:space="preserve"> </w:t>
      </w:r>
      <w:r w:rsidRPr="00741014">
        <w:rPr>
          <w:rFonts w:eastAsia="Times New Roman"/>
          <w:spacing w:val="-2"/>
          <w:szCs w:val="20"/>
        </w:rPr>
        <w:t>f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zCs w:val="20"/>
        </w:rPr>
        <w:t>ll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pacing w:val="-5"/>
          <w:szCs w:val="20"/>
        </w:rPr>
        <w:t>w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1"/>
          <w:szCs w:val="20"/>
        </w:rPr>
        <w:t>d</w:t>
      </w:r>
      <w:r w:rsidRPr="00741014">
        <w:rPr>
          <w:rFonts w:eastAsia="Times New Roman"/>
          <w:szCs w:val="20"/>
        </w:rPr>
        <w:t>.</w:t>
      </w:r>
      <w:r w:rsidR="00F4046F" w:rsidRPr="00741014">
        <w:rPr>
          <w:rFonts w:eastAsia="Times New Roman"/>
          <w:szCs w:val="20"/>
        </w:rPr>
        <w:t xml:space="preserve"> </w:t>
      </w:r>
      <w:r w:rsidRPr="00741014">
        <w:rPr>
          <w:rFonts w:eastAsia="Times New Roman"/>
          <w:spacing w:val="43"/>
          <w:szCs w:val="20"/>
        </w:rPr>
        <w:t xml:space="preserve"> </w:t>
      </w:r>
      <w:r w:rsidRPr="00741014">
        <w:rPr>
          <w:rFonts w:eastAsia="Times New Roman"/>
          <w:spacing w:val="-1"/>
          <w:szCs w:val="20"/>
        </w:rPr>
        <w:t>R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-2"/>
          <w:szCs w:val="20"/>
        </w:rPr>
        <w:t>f</w:t>
      </w:r>
      <w:r w:rsidRPr="00741014">
        <w:rPr>
          <w:rFonts w:eastAsia="Times New Roman"/>
          <w:szCs w:val="20"/>
        </w:rPr>
        <w:t>er</w:t>
      </w:r>
      <w:r w:rsidRPr="00741014">
        <w:rPr>
          <w:rFonts w:eastAsia="Times New Roman"/>
          <w:spacing w:val="-3"/>
          <w:szCs w:val="20"/>
        </w:rPr>
        <w:t xml:space="preserve"> </w:t>
      </w:r>
      <w:r w:rsidRPr="00741014">
        <w:rPr>
          <w:rFonts w:eastAsia="Times New Roman"/>
          <w:szCs w:val="20"/>
        </w:rPr>
        <w:t>to N</w:t>
      </w:r>
      <w:r w:rsidRPr="00741014">
        <w:rPr>
          <w:rFonts w:eastAsia="Times New Roman"/>
          <w:spacing w:val="1"/>
          <w:szCs w:val="20"/>
        </w:rPr>
        <w:t>I</w:t>
      </w:r>
      <w:r w:rsidRPr="00741014">
        <w:rPr>
          <w:rFonts w:eastAsia="Times New Roman"/>
          <w:szCs w:val="20"/>
        </w:rPr>
        <w:t>OSH</w:t>
      </w:r>
      <w:r w:rsidRPr="00741014">
        <w:rPr>
          <w:rFonts w:eastAsia="Times New Roman"/>
          <w:spacing w:val="-5"/>
          <w:szCs w:val="20"/>
        </w:rPr>
        <w:t xml:space="preserve"> </w:t>
      </w:r>
      <w:r w:rsidRPr="00741014">
        <w:rPr>
          <w:rFonts w:eastAsia="Times New Roman"/>
          <w:spacing w:val="1"/>
          <w:szCs w:val="20"/>
        </w:rPr>
        <w:t>4</w:t>
      </w:r>
      <w:r w:rsidRPr="00741014">
        <w:rPr>
          <w:rFonts w:eastAsia="Times New Roman"/>
          <w:szCs w:val="20"/>
        </w:rPr>
        <w:t>2</w:t>
      </w:r>
      <w:r w:rsidR="00F4046F" w:rsidRPr="00741014">
        <w:rPr>
          <w:rFonts w:eastAsia="Times New Roman"/>
          <w:szCs w:val="20"/>
        </w:rPr>
        <w:t> </w:t>
      </w:r>
      <w:r w:rsidRPr="00741014">
        <w:rPr>
          <w:rFonts w:eastAsia="Times New Roman"/>
          <w:spacing w:val="-1"/>
          <w:szCs w:val="20"/>
        </w:rPr>
        <w:t>C</w:t>
      </w:r>
      <w:r w:rsidRPr="00741014">
        <w:rPr>
          <w:rFonts w:eastAsia="Times New Roman"/>
          <w:szCs w:val="20"/>
        </w:rPr>
        <w:t>FR</w:t>
      </w:r>
      <w:r w:rsidR="00F4046F" w:rsidRPr="00741014">
        <w:rPr>
          <w:rFonts w:eastAsia="Times New Roman"/>
          <w:spacing w:val="-4"/>
          <w:szCs w:val="20"/>
        </w:rPr>
        <w:t> </w:t>
      </w:r>
      <w:r w:rsidRPr="00741014">
        <w:rPr>
          <w:rFonts w:eastAsia="Times New Roman"/>
          <w:spacing w:val="1"/>
          <w:szCs w:val="20"/>
        </w:rPr>
        <w:t>8</w:t>
      </w:r>
      <w:r w:rsidRPr="00741014">
        <w:rPr>
          <w:rFonts w:eastAsia="Times New Roman"/>
          <w:szCs w:val="20"/>
        </w:rPr>
        <w:t xml:space="preserve">4 </w:t>
      </w:r>
      <w:r w:rsidRPr="00741014">
        <w:rPr>
          <w:rFonts w:eastAsia="Times New Roman"/>
          <w:spacing w:val="-2"/>
          <w:szCs w:val="20"/>
        </w:rPr>
        <w:t>f</w:t>
      </w:r>
      <w:r w:rsidRPr="00741014">
        <w:rPr>
          <w:rFonts w:eastAsia="Times New Roman"/>
          <w:spacing w:val="1"/>
          <w:szCs w:val="20"/>
        </w:rPr>
        <w:t>o</w:t>
      </w:r>
      <w:r w:rsidRPr="00741014">
        <w:rPr>
          <w:rFonts w:eastAsia="Times New Roman"/>
          <w:szCs w:val="20"/>
        </w:rPr>
        <w:t>r</w:t>
      </w:r>
      <w:r w:rsidRPr="00741014">
        <w:rPr>
          <w:rFonts w:eastAsia="Times New Roman"/>
          <w:spacing w:val="-1"/>
          <w:szCs w:val="20"/>
        </w:rPr>
        <w:t xml:space="preserve"> </w:t>
      </w:r>
      <w:r w:rsidRPr="00741014">
        <w:rPr>
          <w:rFonts w:eastAsia="Times New Roman"/>
          <w:szCs w:val="20"/>
        </w:rPr>
        <w:t>a</w:t>
      </w:r>
      <w:r w:rsidRPr="00741014">
        <w:rPr>
          <w:rFonts w:eastAsia="Times New Roman"/>
          <w:spacing w:val="1"/>
          <w:szCs w:val="20"/>
        </w:rPr>
        <w:t>pp</w:t>
      </w:r>
      <w:r w:rsidRPr="00741014">
        <w:rPr>
          <w:rFonts w:eastAsia="Times New Roman"/>
          <w:szCs w:val="20"/>
        </w:rPr>
        <w:t>lica</w:t>
      </w:r>
      <w:r w:rsidRPr="00741014">
        <w:rPr>
          <w:rFonts w:eastAsia="Times New Roman"/>
          <w:spacing w:val="1"/>
          <w:szCs w:val="20"/>
        </w:rPr>
        <w:t>b</w:t>
      </w:r>
      <w:r w:rsidRPr="00741014">
        <w:rPr>
          <w:rFonts w:eastAsia="Times New Roman"/>
          <w:szCs w:val="20"/>
        </w:rPr>
        <w:t>le</w:t>
      </w:r>
      <w:r w:rsidRPr="00741014">
        <w:rPr>
          <w:rFonts w:eastAsia="Times New Roman"/>
          <w:spacing w:val="-7"/>
          <w:szCs w:val="20"/>
        </w:rPr>
        <w:t xml:space="preserve"> </w:t>
      </w:r>
      <w:r w:rsidRPr="00741014">
        <w:rPr>
          <w:rFonts w:eastAsia="Times New Roman"/>
          <w:szCs w:val="20"/>
        </w:rPr>
        <w:t>ce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ti</w:t>
      </w:r>
      <w:r w:rsidRPr="00741014">
        <w:rPr>
          <w:rFonts w:eastAsia="Times New Roman"/>
          <w:spacing w:val="-2"/>
          <w:szCs w:val="20"/>
        </w:rPr>
        <w:t>f</w:t>
      </w:r>
      <w:r w:rsidRPr="00741014">
        <w:rPr>
          <w:rFonts w:eastAsia="Times New Roman"/>
          <w:szCs w:val="20"/>
        </w:rPr>
        <w:t>ied</w:t>
      </w:r>
      <w:r w:rsidRPr="00741014">
        <w:rPr>
          <w:rFonts w:eastAsia="Times New Roman"/>
          <w:spacing w:val="-5"/>
          <w:szCs w:val="20"/>
        </w:rPr>
        <w:t xml:space="preserve"> 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e</w:t>
      </w:r>
      <w:r w:rsidRPr="00741014">
        <w:rPr>
          <w:rFonts w:eastAsia="Times New Roman"/>
          <w:spacing w:val="-1"/>
          <w:szCs w:val="20"/>
        </w:rPr>
        <w:t>s</w:t>
      </w:r>
      <w:r w:rsidRPr="00741014">
        <w:rPr>
          <w:rFonts w:eastAsia="Times New Roman"/>
          <w:spacing w:val="1"/>
          <w:szCs w:val="20"/>
        </w:rPr>
        <w:t>p</w:t>
      </w:r>
      <w:r w:rsidRPr="00741014">
        <w:rPr>
          <w:rFonts w:eastAsia="Times New Roman"/>
          <w:szCs w:val="20"/>
        </w:rPr>
        <w:t>i</w:t>
      </w:r>
      <w:r w:rsidRPr="00741014">
        <w:rPr>
          <w:rFonts w:eastAsia="Times New Roman"/>
          <w:spacing w:val="1"/>
          <w:szCs w:val="20"/>
        </w:rPr>
        <w:t>r</w:t>
      </w:r>
      <w:r w:rsidRPr="00741014">
        <w:rPr>
          <w:rFonts w:eastAsia="Times New Roman"/>
          <w:szCs w:val="20"/>
        </w:rPr>
        <w:t>at</w:t>
      </w:r>
      <w:r w:rsidRPr="00741014">
        <w:rPr>
          <w:rFonts w:eastAsia="Times New Roman"/>
          <w:spacing w:val="1"/>
          <w:szCs w:val="20"/>
        </w:rPr>
        <w:t>or</w:t>
      </w:r>
      <w:r w:rsidRPr="00741014">
        <w:rPr>
          <w:rFonts w:eastAsia="Times New Roman"/>
          <w:spacing w:val="-1"/>
          <w:szCs w:val="20"/>
        </w:rPr>
        <w:t>s</w:t>
      </w:r>
      <w:r w:rsidRPr="00741014">
        <w:rPr>
          <w:rFonts w:eastAsia="Times New Roman"/>
          <w:szCs w:val="20"/>
        </w:rPr>
        <w:t>.</w:t>
      </w:r>
    </w:p>
    <w:p w14:paraId="533E88B0" w14:textId="77777777" w:rsidR="0031663D" w:rsidRPr="00741014" w:rsidRDefault="0031663D" w:rsidP="009212BD">
      <w:pPr>
        <w:widowControl/>
        <w:spacing w:before="60" w:after="60"/>
        <w:ind w:left="360"/>
        <w:rPr>
          <w:rFonts w:eastAsia="Times New Roman"/>
          <w:szCs w:val="20"/>
        </w:rPr>
      </w:pPr>
      <w:r w:rsidRPr="00741014">
        <w:rPr>
          <w:rFonts w:eastAsia="Times New Roman"/>
          <w:b/>
          <w:bCs/>
          <w:spacing w:val="-1"/>
          <w:szCs w:val="20"/>
        </w:rPr>
        <w:t>E</w:t>
      </w:r>
      <w:r w:rsidRPr="00741014">
        <w:rPr>
          <w:rFonts w:eastAsia="Times New Roman"/>
          <w:b/>
          <w:bCs/>
          <w:spacing w:val="1"/>
          <w:szCs w:val="20"/>
        </w:rPr>
        <w:t>y</w:t>
      </w:r>
      <w:r w:rsidRPr="00741014">
        <w:rPr>
          <w:rFonts w:eastAsia="Times New Roman"/>
          <w:b/>
          <w:bCs/>
          <w:szCs w:val="20"/>
        </w:rPr>
        <w:t>e</w:t>
      </w:r>
      <w:r w:rsidRPr="00741014">
        <w:rPr>
          <w:rFonts w:eastAsia="Times New Roman"/>
          <w:b/>
          <w:bCs/>
          <w:spacing w:val="-2"/>
          <w:szCs w:val="20"/>
        </w:rPr>
        <w:t xml:space="preserve"> </w:t>
      </w:r>
      <w:r w:rsidRPr="00741014">
        <w:rPr>
          <w:rFonts w:eastAsia="Times New Roman"/>
          <w:b/>
          <w:bCs/>
          <w:spacing w:val="1"/>
          <w:szCs w:val="20"/>
        </w:rPr>
        <w:t>P</w:t>
      </w:r>
      <w:r w:rsidRPr="00741014">
        <w:rPr>
          <w:rFonts w:eastAsia="Times New Roman"/>
          <w:b/>
          <w:bCs/>
          <w:szCs w:val="20"/>
        </w:rPr>
        <w:t>r</w:t>
      </w:r>
      <w:r w:rsidRPr="00741014">
        <w:rPr>
          <w:rFonts w:eastAsia="Times New Roman"/>
          <w:b/>
          <w:bCs/>
          <w:spacing w:val="1"/>
          <w:szCs w:val="20"/>
        </w:rPr>
        <w:t>ot</w:t>
      </w:r>
      <w:r w:rsidRPr="00741014">
        <w:rPr>
          <w:rFonts w:eastAsia="Times New Roman"/>
          <w:b/>
          <w:bCs/>
          <w:szCs w:val="20"/>
        </w:rPr>
        <w:t>ec</w:t>
      </w:r>
      <w:r w:rsidRPr="00741014">
        <w:rPr>
          <w:rFonts w:eastAsia="Times New Roman"/>
          <w:b/>
          <w:bCs/>
          <w:spacing w:val="1"/>
          <w:szCs w:val="20"/>
        </w:rPr>
        <w:t>t</w:t>
      </w:r>
      <w:r w:rsidRPr="00741014">
        <w:rPr>
          <w:rFonts w:eastAsia="Times New Roman"/>
          <w:b/>
          <w:bCs/>
          <w:szCs w:val="20"/>
        </w:rPr>
        <w:t>i</w:t>
      </w:r>
      <w:r w:rsidRPr="00741014">
        <w:rPr>
          <w:rFonts w:eastAsia="Times New Roman"/>
          <w:b/>
          <w:bCs/>
          <w:spacing w:val="1"/>
          <w:szCs w:val="20"/>
        </w:rPr>
        <w:t>o</w:t>
      </w:r>
      <w:r w:rsidRPr="00741014">
        <w:rPr>
          <w:rFonts w:eastAsia="Times New Roman"/>
          <w:b/>
          <w:bCs/>
          <w:szCs w:val="20"/>
        </w:rPr>
        <w:t>n:</w:t>
      </w:r>
      <w:r w:rsidR="00783F68" w:rsidRPr="00741014">
        <w:rPr>
          <w:rFonts w:eastAsia="Times New Roman"/>
          <w:bCs/>
          <w:szCs w:val="20"/>
        </w:rPr>
        <w:t xml:space="preserve">  </w:t>
      </w:r>
      <w:r w:rsidR="00F55E2E" w:rsidRPr="00741014">
        <w:rPr>
          <w:rFonts w:eastAsia="Times New Roman"/>
          <w:bCs/>
          <w:szCs w:val="20"/>
        </w:rPr>
        <w:t xml:space="preserve">Splash resistant safety </w:t>
      </w:r>
      <w:r w:rsidR="00C605BC" w:rsidRPr="00741014">
        <w:rPr>
          <w:rFonts w:eastAsia="Times New Roman"/>
          <w:bCs/>
          <w:szCs w:val="20"/>
        </w:rPr>
        <w:t>goggles</w:t>
      </w:r>
      <w:r w:rsidR="00F55E2E" w:rsidRPr="00741014">
        <w:rPr>
          <w:rFonts w:eastAsia="Times New Roman"/>
          <w:bCs/>
          <w:szCs w:val="20"/>
        </w:rPr>
        <w:t xml:space="preserve"> and emergency eyewash are re</w:t>
      </w:r>
      <w:r w:rsidR="00C605BC" w:rsidRPr="00741014">
        <w:rPr>
          <w:rFonts w:eastAsia="Times New Roman"/>
          <w:bCs/>
          <w:szCs w:val="20"/>
        </w:rPr>
        <w:t>c</w:t>
      </w:r>
      <w:r w:rsidR="00F55E2E" w:rsidRPr="00741014">
        <w:rPr>
          <w:rFonts w:eastAsia="Times New Roman"/>
          <w:bCs/>
          <w:szCs w:val="20"/>
        </w:rPr>
        <w:t>ommended</w:t>
      </w:r>
      <w:r w:rsidR="00676339" w:rsidRPr="00741014">
        <w:rPr>
          <w:rFonts w:eastAsia="Times New Roman"/>
          <w:bCs/>
          <w:szCs w:val="20"/>
        </w:rPr>
        <w:t>.</w:t>
      </w:r>
    </w:p>
    <w:p w14:paraId="210EA2E7" w14:textId="77777777" w:rsidR="0031663D" w:rsidRPr="00741014" w:rsidRDefault="00194A53" w:rsidP="009212BD">
      <w:pPr>
        <w:widowControl/>
        <w:spacing w:before="60" w:after="120"/>
        <w:ind w:left="360"/>
        <w:rPr>
          <w:rFonts w:eastAsia="Times New Roman"/>
          <w:b/>
          <w:bCs/>
          <w:spacing w:val="1"/>
          <w:szCs w:val="20"/>
        </w:rPr>
      </w:pPr>
      <w:r w:rsidRPr="00741014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741014">
        <w:rPr>
          <w:rFonts w:eastAsia="Times New Roman"/>
          <w:b/>
          <w:bCs/>
          <w:spacing w:val="1"/>
          <w:szCs w:val="20"/>
        </w:rPr>
        <w:t xml:space="preserve">and Body </w:t>
      </w:r>
      <w:r w:rsidRPr="00741014">
        <w:rPr>
          <w:rFonts w:eastAsia="Times New Roman"/>
          <w:b/>
          <w:bCs/>
          <w:spacing w:val="1"/>
          <w:szCs w:val="20"/>
        </w:rPr>
        <w:t>Protection:</w:t>
      </w:r>
      <w:r w:rsidRPr="00741014">
        <w:rPr>
          <w:rFonts w:eastAsia="Times New Roman"/>
          <w:bCs/>
          <w:spacing w:val="1"/>
          <w:szCs w:val="20"/>
        </w:rPr>
        <w:t xml:space="preserve"> </w:t>
      </w:r>
      <w:r w:rsidR="00676339" w:rsidRPr="00741014">
        <w:rPr>
          <w:rFonts w:eastAsia="Times New Roman"/>
          <w:bCs/>
          <w:spacing w:val="1"/>
          <w:szCs w:val="20"/>
        </w:rPr>
        <w:t xml:space="preserve"> </w:t>
      </w:r>
      <w:r w:rsidR="00F55E2E" w:rsidRPr="00741014">
        <w:rPr>
          <w:rFonts w:eastAsia="Times New Roman"/>
          <w:bCs/>
          <w:spacing w:val="1"/>
          <w:szCs w:val="20"/>
        </w:rPr>
        <w:t xml:space="preserve">Chemical resistant </w:t>
      </w:r>
      <w:r w:rsidR="00676339" w:rsidRPr="00741014">
        <w:rPr>
          <w:rFonts w:eastAsia="Times New Roman"/>
          <w:bCs/>
          <w:spacing w:val="1"/>
          <w:szCs w:val="20"/>
        </w:rPr>
        <w:t>clothing and gloves are recommended.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245AB17B" w14:textId="77777777" w:rsidTr="00DB53D1">
        <w:trPr>
          <w:trHeight w:hRule="exact" w:val="360"/>
        </w:trPr>
        <w:tc>
          <w:tcPr>
            <w:tcW w:w="9576" w:type="dxa"/>
            <w:vAlign w:val="center"/>
          </w:tcPr>
          <w:p w14:paraId="498C3F06" w14:textId="77777777" w:rsidR="00DB53D1" w:rsidRDefault="00DB53D1" w:rsidP="006B75AB">
            <w:pPr>
              <w:keepNext/>
              <w:widowControl/>
              <w:rPr>
                <w:rFonts w:eastAsia="Times New Roman"/>
                <w:szCs w:val="20"/>
              </w:rPr>
            </w:pPr>
            <w:r w:rsidRPr="00741014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Pr="0074101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41014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74101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741014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Pr="0074101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741014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741014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741014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41014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41014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74101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74101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Pr="00741014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741014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741014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74101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74101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Pr="0074101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74101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74101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46578F87" w14:textId="77777777" w:rsidR="00893F73" w:rsidRPr="00F941BF" w:rsidRDefault="00893F73" w:rsidP="006B75AB">
      <w:pPr>
        <w:pStyle w:val="Default"/>
        <w:rPr>
          <w:sz w:val="16"/>
          <w:szCs w:val="16"/>
        </w:rPr>
      </w:pPr>
    </w:p>
    <w:tbl>
      <w:tblPr>
        <w:tblStyle w:val="TableGrid"/>
        <w:tblW w:w="7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9"/>
        <w:gridCol w:w="3859"/>
      </w:tblGrid>
      <w:tr w:rsidR="00F55E2E" w:rsidRPr="00BE7951" w14:paraId="204CC700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282A11B3" w14:textId="5F77D432" w:rsidR="00F55E2E" w:rsidRPr="00BE7951" w:rsidRDefault="00BE7951" w:rsidP="006B75AB">
            <w:pPr>
              <w:pStyle w:val="Default"/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Descriptive </w:t>
            </w:r>
            <w:r w:rsidR="00F55E2E" w:rsidRPr="00BE7951">
              <w:rPr>
                <w:b/>
                <w:sz w:val="20"/>
                <w:szCs w:val="20"/>
              </w:rPr>
              <w:t>Properties</w:t>
            </w:r>
          </w:p>
        </w:tc>
        <w:tc>
          <w:tcPr>
            <w:tcW w:w="3859" w:type="dxa"/>
          </w:tcPr>
          <w:p w14:paraId="70F5C9D4" w14:textId="77777777" w:rsidR="00F55E2E" w:rsidRPr="00BE7951" w:rsidRDefault="00F55E2E" w:rsidP="006B75AB">
            <w:pPr>
              <w:pStyle w:val="Default"/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F55E2E" w:rsidRPr="00BE7951" w14:paraId="33FF75FA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3C7AFD94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859" w:type="dxa"/>
          </w:tcPr>
          <w:p w14:paraId="555EE18B" w14:textId="77777777" w:rsidR="00F55E2E" w:rsidRPr="00BE7951" w:rsidRDefault="00DD6DEB" w:rsidP="00651DCA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not applicable</w:t>
            </w:r>
          </w:p>
        </w:tc>
      </w:tr>
      <w:tr w:rsidR="00F55E2E" w:rsidRPr="00BE7951" w14:paraId="3A3C0113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6A5DC18C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Molecular Formula</w:t>
            </w:r>
          </w:p>
        </w:tc>
        <w:tc>
          <w:tcPr>
            <w:tcW w:w="3859" w:type="dxa"/>
          </w:tcPr>
          <w:p w14:paraId="29D70DE0" w14:textId="77777777" w:rsidR="00F55E2E" w:rsidRPr="00BE7951" w:rsidRDefault="00DD6DEB" w:rsidP="00651DCA">
            <w:pPr>
              <w:pStyle w:val="Default"/>
              <w:rPr>
                <w:sz w:val="20"/>
                <w:szCs w:val="20"/>
                <w:vertAlign w:val="subscript"/>
              </w:rPr>
            </w:pPr>
            <w:r w:rsidRPr="00BE7951">
              <w:rPr>
                <w:sz w:val="20"/>
                <w:szCs w:val="20"/>
              </w:rPr>
              <w:t>not applicable</w:t>
            </w:r>
          </w:p>
        </w:tc>
      </w:tr>
      <w:tr w:rsidR="00F55E2E" w:rsidRPr="00BE7951" w14:paraId="582AF993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2B02004F" w14:textId="77777777" w:rsidR="00F55E2E" w:rsidRPr="00BE7951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Appearance (physical state, color, etc.)</w:t>
            </w:r>
          </w:p>
        </w:tc>
        <w:tc>
          <w:tcPr>
            <w:tcW w:w="3859" w:type="dxa"/>
          </w:tcPr>
          <w:p w14:paraId="06D29857" w14:textId="72DD0CAE" w:rsidR="00F55E2E" w:rsidRPr="00BE7951" w:rsidRDefault="00536018" w:rsidP="00693635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amber</w:t>
            </w:r>
            <w:r w:rsidR="00B07BF3" w:rsidRPr="00BE7951">
              <w:rPr>
                <w:sz w:val="20"/>
                <w:szCs w:val="20"/>
              </w:rPr>
              <w:t xml:space="preserve"> to black</w:t>
            </w:r>
            <w:r w:rsidRPr="00BE7951">
              <w:rPr>
                <w:sz w:val="20"/>
                <w:szCs w:val="20"/>
              </w:rPr>
              <w:t xml:space="preserve"> viscous</w:t>
            </w:r>
            <w:r w:rsidR="00B07BF3" w:rsidRPr="00BE7951">
              <w:rPr>
                <w:sz w:val="20"/>
                <w:szCs w:val="20"/>
              </w:rPr>
              <w:t xml:space="preserve"> liquid</w:t>
            </w:r>
          </w:p>
        </w:tc>
      </w:tr>
      <w:tr w:rsidR="00F55E2E" w:rsidRPr="00BE7951" w14:paraId="60AE392D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03B5708C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Odor</w:t>
            </w:r>
          </w:p>
        </w:tc>
        <w:tc>
          <w:tcPr>
            <w:tcW w:w="3859" w:type="dxa"/>
          </w:tcPr>
          <w:p w14:paraId="62AB4CCD" w14:textId="4B8D175A" w:rsidR="00F55E2E" w:rsidRPr="00BE7951" w:rsidRDefault="00693635" w:rsidP="005360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petroleum odor</w:t>
            </w:r>
          </w:p>
        </w:tc>
      </w:tr>
      <w:tr w:rsidR="00F55E2E" w:rsidRPr="00BE7951" w14:paraId="17EC1091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16D451FC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Odor threshold</w:t>
            </w:r>
          </w:p>
        </w:tc>
        <w:tc>
          <w:tcPr>
            <w:tcW w:w="3859" w:type="dxa"/>
          </w:tcPr>
          <w:p w14:paraId="6A59F3D5" w14:textId="77777777" w:rsidR="00F55E2E" w:rsidRPr="00BE7951" w:rsidRDefault="00DD6DEB" w:rsidP="00651DCA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not available</w:t>
            </w:r>
          </w:p>
        </w:tc>
      </w:tr>
      <w:tr w:rsidR="00F55E2E" w:rsidRPr="00BE7951" w14:paraId="28C76475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56444A83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pH</w:t>
            </w:r>
          </w:p>
        </w:tc>
        <w:tc>
          <w:tcPr>
            <w:tcW w:w="3859" w:type="dxa"/>
          </w:tcPr>
          <w:p w14:paraId="14EB7A81" w14:textId="162B88E0" w:rsidR="00F55E2E" w:rsidRPr="00BE7951" w:rsidRDefault="00144273" w:rsidP="005360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</w:tc>
      </w:tr>
      <w:tr w:rsidR="00F55E2E" w:rsidRPr="00BE7951" w14:paraId="279942AD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04659BD3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Evaporation rate</w:t>
            </w:r>
          </w:p>
        </w:tc>
        <w:tc>
          <w:tcPr>
            <w:tcW w:w="3859" w:type="dxa"/>
          </w:tcPr>
          <w:p w14:paraId="49178D6C" w14:textId="77777777" w:rsidR="00F55E2E" w:rsidRPr="00BE7951" w:rsidRDefault="00DD6DEB" w:rsidP="00651DCA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not available</w:t>
            </w:r>
          </w:p>
        </w:tc>
      </w:tr>
      <w:tr w:rsidR="00F55E2E" w:rsidRPr="00BE7951" w14:paraId="4BD5DF98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3D9FA38A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Melting point/freezing point</w:t>
            </w:r>
          </w:p>
        </w:tc>
        <w:tc>
          <w:tcPr>
            <w:tcW w:w="3859" w:type="dxa"/>
          </w:tcPr>
          <w:p w14:paraId="3051C3EB" w14:textId="77777777" w:rsidR="00F55E2E" w:rsidRPr="00BE7951" w:rsidRDefault="00BA5ADF" w:rsidP="0027763A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–60 °C to –20 °C (–</w:t>
            </w:r>
            <w:r w:rsidR="0027763A" w:rsidRPr="00BE7951">
              <w:rPr>
                <w:sz w:val="20"/>
                <w:szCs w:val="20"/>
              </w:rPr>
              <w:t>7</w:t>
            </w:r>
            <w:r w:rsidRPr="00BE7951">
              <w:rPr>
                <w:sz w:val="20"/>
                <w:szCs w:val="20"/>
              </w:rPr>
              <w:t>6 °F to –</w:t>
            </w:r>
            <w:r w:rsidR="0027763A" w:rsidRPr="00BE7951">
              <w:rPr>
                <w:sz w:val="20"/>
                <w:szCs w:val="20"/>
              </w:rPr>
              <w:t>4</w:t>
            </w:r>
            <w:r w:rsidRPr="00BE7951">
              <w:rPr>
                <w:sz w:val="20"/>
                <w:szCs w:val="20"/>
              </w:rPr>
              <w:t> °F)</w:t>
            </w:r>
          </w:p>
        </w:tc>
      </w:tr>
      <w:tr w:rsidR="00492454" w:rsidRPr="00BE7951" w14:paraId="59D52968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08F48E17" w14:textId="505D7265" w:rsidR="00492454" w:rsidRPr="00BE7951" w:rsidRDefault="00E32025" w:rsidP="00536018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Density</w:t>
            </w:r>
            <w:r w:rsidRPr="00BE795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9" w:type="dxa"/>
          </w:tcPr>
          <w:p w14:paraId="28FBAAD3" w14:textId="3E7328B4" w:rsidR="00492454" w:rsidRPr="00BE7951" w:rsidRDefault="00693635" w:rsidP="005360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</w:tc>
      </w:tr>
      <w:tr w:rsidR="00536018" w:rsidRPr="00BE7951" w14:paraId="35DB6054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22D49182" w14:textId="47DB8D07" w:rsidR="00536018" w:rsidRPr="00BE7951" w:rsidRDefault="00536018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Specific Gravity (water=1)</w:t>
            </w:r>
          </w:p>
        </w:tc>
        <w:tc>
          <w:tcPr>
            <w:tcW w:w="3859" w:type="dxa"/>
          </w:tcPr>
          <w:p w14:paraId="4FDEEA9D" w14:textId="3E470748" w:rsidR="00536018" w:rsidRPr="00BE7951" w:rsidRDefault="00536018" w:rsidP="00536018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 xml:space="preserve">0.8 to </w:t>
            </w:r>
            <w:r w:rsidR="00362040" w:rsidRPr="001C1434">
              <w:rPr>
                <w:sz w:val="20"/>
                <w:szCs w:val="20"/>
              </w:rPr>
              <w:t>0.9</w:t>
            </w:r>
          </w:p>
        </w:tc>
      </w:tr>
      <w:tr w:rsidR="00F55E2E" w:rsidRPr="00BE7951" w14:paraId="4485EC5F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1E1A35AE" w14:textId="77777777" w:rsidR="00F55E2E" w:rsidRPr="00BE7951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Vapor Pressure</w:t>
            </w:r>
          </w:p>
        </w:tc>
        <w:tc>
          <w:tcPr>
            <w:tcW w:w="3859" w:type="dxa"/>
          </w:tcPr>
          <w:p w14:paraId="6E8A23A2" w14:textId="26FC3864" w:rsidR="00F55E2E" w:rsidRPr="00BE7951" w:rsidRDefault="006F7CBD" w:rsidP="0069363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&gt;0.36 kPa at </w:t>
            </w:r>
            <w:r w:rsidRPr="00BE7951">
              <w:rPr>
                <w:sz w:val="20"/>
                <w:szCs w:val="20"/>
              </w:rPr>
              <w:t>20 °C</w:t>
            </w:r>
          </w:p>
        </w:tc>
      </w:tr>
      <w:tr w:rsidR="00F55E2E" w:rsidRPr="00BE7951" w14:paraId="4CBC9BE9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60C9CF5A" w14:textId="77777777" w:rsidR="00F55E2E" w:rsidRPr="00BE7951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Vapor Density (air = 1)</w:t>
            </w:r>
          </w:p>
        </w:tc>
        <w:tc>
          <w:tcPr>
            <w:tcW w:w="3859" w:type="dxa"/>
          </w:tcPr>
          <w:p w14:paraId="39249D8A" w14:textId="778BD6A0" w:rsidR="00F55E2E" w:rsidRPr="00BE7951" w:rsidRDefault="00693635" w:rsidP="00651DC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</w:t>
            </w:r>
          </w:p>
        </w:tc>
      </w:tr>
      <w:tr w:rsidR="00F55E2E" w:rsidRPr="00BE7951" w14:paraId="31DF5625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7AB61F3E" w14:textId="77777777" w:rsidR="00F55E2E" w:rsidRPr="00BE7951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Viscosity</w:t>
            </w:r>
          </w:p>
        </w:tc>
        <w:tc>
          <w:tcPr>
            <w:tcW w:w="3859" w:type="dxa"/>
          </w:tcPr>
          <w:p w14:paraId="37D9996A" w14:textId="77777777" w:rsidR="00F55E2E" w:rsidRPr="00BE7951" w:rsidRDefault="0027763A" w:rsidP="0027763A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not available</w:t>
            </w:r>
          </w:p>
        </w:tc>
      </w:tr>
      <w:tr w:rsidR="005840FA" w:rsidRPr="00BE7951" w14:paraId="52866751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5FF88CBA" w14:textId="361A14BC" w:rsidR="005840FA" w:rsidRPr="00BE7951" w:rsidRDefault="005840FA" w:rsidP="00536018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Kinematic Viscosity</w:t>
            </w:r>
          </w:p>
        </w:tc>
        <w:tc>
          <w:tcPr>
            <w:tcW w:w="3859" w:type="dxa"/>
          </w:tcPr>
          <w:p w14:paraId="5D3B99C1" w14:textId="2461821C" w:rsidR="005840FA" w:rsidRPr="00BE7951" w:rsidRDefault="00693635" w:rsidP="00E3202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</w:tc>
      </w:tr>
      <w:tr w:rsidR="00F55E2E" w:rsidRPr="00BE7951" w14:paraId="712753D2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09365EFA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Solubilities</w:t>
            </w:r>
          </w:p>
        </w:tc>
        <w:tc>
          <w:tcPr>
            <w:tcW w:w="3859" w:type="dxa"/>
          </w:tcPr>
          <w:p w14:paraId="05E65A6A" w14:textId="77777777" w:rsidR="00F55E2E" w:rsidRPr="00BE7951" w:rsidRDefault="00DD6DEB" w:rsidP="00651DCA">
            <w:pPr>
              <w:pStyle w:val="Default"/>
              <w:ind w:left="349" w:hanging="349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water:  insoluble</w:t>
            </w:r>
          </w:p>
        </w:tc>
      </w:tr>
      <w:tr w:rsidR="00F55E2E" w:rsidRPr="00BE7951" w14:paraId="69FC038F" w14:textId="77777777" w:rsidTr="0093415F">
        <w:trPr>
          <w:cantSplit/>
          <w:trHeight w:val="288"/>
          <w:tblHeader/>
        </w:trPr>
        <w:tc>
          <w:tcPr>
            <w:tcW w:w="3989" w:type="dxa"/>
          </w:tcPr>
          <w:p w14:paraId="0CC78BCA" w14:textId="77777777" w:rsidR="00F55E2E" w:rsidRPr="00BE7951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Partition coefficient (n</w:t>
            </w:r>
            <w:r w:rsidRPr="00BE7951">
              <w:rPr>
                <w:b/>
                <w:sz w:val="20"/>
                <w:szCs w:val="20"/>
              </w:rPr>
              <w:noBreakHyphen/>
              <w:t>octanol/water)</w:t>
            </w:r>
          </w:p>
        </w:tc>
        <w:tc>
          <w:tcPr>
            <w:tcW w:w="3859" w:type="dxa"/>
          </w:tcPr>
          <w:p w14:paraId="5E4A7875" w14:textId="1BAD020B" w:rsidR="00F55E2E" w:rsidRPr="00BE7951" w:rsidRDefault="00693635" w:rsidP="00651DC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</w:tc>
      </w:tr>
      <w:tr w:rsidR="00F55E2E" w:rsidRPr="00BE7951" w14:paraId="4FE06842" w14:textId="77777777" w:rsidTr="0093415F">
        <w:trPr>
          <w:cantSplit/>
          <w:trHeight w:val="288"/>
          <w:tblHeader/>
        </w:trPr>
        <w:tc>
          <w:tcPr>
            <w:tcW w:w="3989" w:type="dxa"/>
          </w:tcPr>
          <w:p w14:paraId="042163BD" w14:textId="77777777" w:rsidR="00F55E2E" w:rsidRPr="00BE7951" w:rsidRDefault="00F55E2E" w:rsidP="0093415F">
            <w:pPr>
              <w:pStyle w:val="Default"/>
              <w:widowControl w:val="0"/>
              <w:spacing w:before="12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859" w:type="dxa"/>
          </w:tcPr>
          <w:p w14:paraId="0FFBF486" w14:textId="77777777" w:rsidR="00F55E2E" w:rsidRPr="00BE7951" w:rsidRDefault="00F55E2E" w:rsidP="00651DCA">
            <w:pPr>
              <w:pStyle w:val="Default"/>
              <w:rPr>
                <w:sz w:val="20"/>
                <w:szCs w:val="20"/>
              </w:rPr>
            </w:pPr>
          </w:p>
        </w:tc>
      </w:tr>
      <w:tr w:rsidR="00F55E2E" w:rsidRPr="00BE7951" w14:paraId="13864DEA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6F0C92ED" w14:textId="77777777" w:rsidR="00F55E2E" w:rsidRPr="00BE7951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Autoignition Temperature</w:t>
            </w:r>
          </w:p>
        </w:tc>
        <w:tc>
          <w:tcPr>
            <w:tcW w:w="3859" w:type="dxa"/>
          </w:tcPr>
          <w:p w14:paraId="506D7DF7" w14:textId="77777777" w:rsidR="00F55E2E" w:rsidRPr="00BE7951" w:rsidRDefault="0027763A" w:rsidP="0027763A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&gt;</w:t>
            </w:r>
            <w:r w:rsidR="00C605BC" w:rsidRPr="00BE7951">
              <w:rPr>
                <w:sz w:val="20"/>
                <w:szCs w:val="20"/>
              </w:rPr>
              <w:t>40</w:t>
            </w:r>
            <w:r w:rsidRPr="00BE7951">
              <w:rPr>
                <w:sz w:val="20"/>
                <w:szCs w:val="20"/>
              </w:rPr>
              <w:t>0</w:t>
            </w:r>
            <w:r w:rsidR="00C605BC" w:rsidRPr="00BE7951">
              <w:rPr>
                <w:sz w:val="20"/>
                <w:szCs w:val="20"/>
              </w:rPr>
              <w:t> °C</w:t>
            </w:r>
            <w:r w:rsidR="008D3C28" w:rsidRPr="00BE7951">
              <w:rPr>
                <w:sz w:val="20"/>
                <w:szCs w:val="20"/>
              </w:rPr>
              <w:t xml:space="preserve"> (</w:t>
            </w:r>
            <w:r w:rsidRPr="00BE7951">
              <w:rPr>
                <w:sz w:val="20"/>
                <w:szCs w:val="20"/>
              </w:rPr>
              <w:t>&gt;</w:t>
            </w:r>
            <w:r w:rsidR="008D3C28" w:rsidRPr="00BE7951">
              <w:rPr>
                <w:sz w:val="20"/>
                <w:szCs w:val="20"/>
              </w:rPr>
              <w:t>75</w:t>
            </w:r>
            <w:r w:rsidRPr="00BE7951">
              <w:rPr>
                <w:sz w:val="20"/>
                <w:szCs w:val="20"/>
              </w:rPr>
              <w:t>2</w:t>
            </w:r>
            <w:r w:rsidR="008D3C28" w:rsidRPr="00BE7951">
              <w:rPr>
                <w:sz w:val="20"/>
                <w:szCs w:val="20"/>
              </w:rPr>
              <w:t> °F)</w:t>
            </w:r>
          </w:p>
        </w:tc>
      </w:tr>
      <w:tr w:rsidR="00F55E2E" w:rsidRPr="00BE7951" w14:paraId="647B6052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2267D40A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Thermal Decomposition</w:t>
            </w:r>
          </w:p>
        </w:tc>
        <w:tc>
          <w:tcPr>
            <w:tcW w:w="3859" w:type="dxa"/>
          </w:tcPr>
          <w:p w14:paraId="043E48CC" w14:textId="77777777" w:rsidR="00F55E2E" w:rsidRPr="00BE7951" w:rsidRDefault="00C605BC" w:rsidP="00651DCA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not available</w:t>
            </w:r>
          </w:p>
        </w:tc>
      </w:tr>
      <w:tr w:rsidR="00F55E2E" w:rsidRPr="00BE7951" w14:paraId="4D121BA4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6C2B1C0D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Initial boiling point and boiling range</w:t>
            </w:r>
          </w:p>
        </w:tc>
        <w:tc>
          <w:tcPr>
            <w:tcW w:w="3859" w:type="dxa"/>
          </w:tcPr>
          <w:p w14:paraId="4CE01F00" w14:textId="67853EFB" w:rsidR="00F55E2E" w:rsidRPr="00BE7951" w:rsidRDefault="006F7CBD" w:rsidP="008175F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</w:tc>
      </w:tr>
      <w:tr w:rsidR="00F55E2E" w:rsidRPr="00BE7951" w14:paraId="227FC08F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4ABB37D9" w14:textId="77777777" w:rsidR="00F55E2E" w:rsidRPr="00BE7951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Explosive Limits, LEL</w:t>
            </w:r>
          </w:p>
        </w:tc>
        <w:tc>
          <w:tcPr>
            <w:tcW w:w="3859" w:type="dxa"/>
          </w:tcPr>
          <w:p w14:paraId="0B5A4E6F" w14:textId="77777777" w:rsidR="00F55E2E" w:rsidRPr="00BE7951" w:rsidRDefault="00BA5ADF" w:rsidP="0027763A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≈0.6</w:t>
            </w:r>
            <w:r w:rsidR="00C605BC" w:rsidRPr="00BE7951">
              <w:rPr>
                <w:sz w:val="20"/>
                <w:szCs w:val="20"/>
              </w:rPr>
              <w:t> %</w:t>
            </w:r>
          </w:p>
        </w:tc>
      </w:tr>
      <w:tr w:rsidR="00F55E2E" w:rsidRPr="00BE7951" w14:paraId="086D86C6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1A0AE553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Explosive Limits, UEL</w:t>
            </w:r>
          </w:p>
        </w:tc>
        <w:tc>
          <w:tcPr>
            <w:tcW w:w="3859" w:type="dxa"/>
          </w:tcPr>
          <w:p w14:paraId="2F0C5D8C" w14:textId="77777777" w:rsidR="00F55E2E" w:rsidRPr="00BE7951" w:rsidRDefault="00BA5ADF" w:rsidP="0027763A">
            <w:pPr>
              <w:tabs>
                <w:tab w:val="left" w:pos="330"/>
              </w:tabs>
              <w:rPr>
                <w:szCs w:val="20"/>
              </w:rPr>
            </w:pPr>
            <w:r w:rsidRPr="00BE7951">
              <w:rPr>
                <w:szCs w:val="20"/>
              </w:rPr>
              <w:t>≈1</w:t>
            </w:r>
            <w:r w:rsidR="00C605BC" w:rsidRPr="00BE7951">
              <w:rPr>
                <w:szCs w:val="20"/>
              </w:rPr>
              <w:t>5 %</w:t>
            </w:r>
          </w:p>
        </w:tc>
      </w:tr>
      <w:tr w:rsidR="00F55E2E" w:rsidRPr="00BE7951" w14:paraId="10D64A21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6CD81545" w14:textId="035C8CF2" w:rsidR="00F55E2E" w:rsidRPr="00BE7951" w:rsidRDefault="00F55E2E" w:rsidP="00536018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Flash Point</w:t>
            </w:r>
          </w:p>
        </w:tc>
        <w:tc>
          <w:tcPr>
            <w:tcW w:w="3859" w:type="dxa"/>
          </w:tcPr>
          <w:p w14:paraId="38B4F2E0" w14:textId="20A2FEA4" w:rsidR="00F55E2E" w:rsidRPr="00BE7951" w:rsidRDefault="00B44147" w:rsidP="00B44147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7</w:t>
            </w:r>
            <w:r w:rsidR="00DD6DEB" w:rsidRPr="00BE7951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 </w:t>
            </w:r>
            <w:r w:rsidR="00DD6DEB" w:rsidRPr="00BE7951">
              <w:rPr>
                <w:sz w:val="20"/>
                <w:szCs w:val="20"/>
              </w:rPr>
              <w:t>C</w:t>
            </w:r>
            <w:r w:rsidR="008D3C28" w:rsidRPr="00BE7951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20</w:t>
            </w:r>
            <w:r w:rsidR="008D3C28" w:rsidRPr="00BE7951">
              <w:rPr>
                <w:sz w:val="20"/>
                <w:szCs w:val="20"/>
              </w:rPr>
              <w:t> °F)</w:t>
            </w:r>
          </w:p>
        </w:tc>
      </w:tr>
      <w:tr w:rsidR="00F55E2E" w:rsidRPr="00BE7951" w14:paraId="05267FAB" w14:textId="77777777" w:rsidTr="00CE436D">
        <w:trPr>
          <w:cantSplit/>
          <w:trHeight w:val="144"/>
          <w:tblHeader/>
        </w:trPr>
        <w:tc>
          <w:tcPr>
            <w:tcW w:w="3989" w:type="dxa"/>
          </w:tcPr>
          <w:p w14:paraId="07E683CC" w14:textId="77777777" w:rsidR="00F55E2E" w:rsidRPr="00BE7951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BE7951">
              <w:rPr>
                <w:b/>
                <w:sz w:val="20"/>
                <w:szCs w:val="20"/>
              </w:rPr>
              <w:t>Flammability (solid, gas)</w:t>
            </w:r>
          </w:p>
        </w:tc>
        <w:tc>
          <w:tcPr>
            <w:tcW w:w="3859" w:type="dxa"/>
          </w:tcPr>
          <w:p w14:paraId="315AD83E" w14:textId="77777777" w:rsidR="00F55E2E" w:rsidRPr="00BE7951" w:rsidRDefault="00E4393B" w:rsidP="00651DCA">
            <w:pPr>
              <w:pStyle w:val="Default"/>
              <w:rPr>
                <w:sz w:val="20"/>
                <w:szCs w:val="20"/>
              </w:rPr>
            </w:pPr>
            <w:r w:rsidRPr="00BE7951">
              <w:rPr>
                <w:sz w:val="20"/>
                <w:szCs w:val="20"/>
              </w:rPr>
              <w:t>not applicable</w:t>
            </w:r>
          </w:p>
        </w:tc>
      </w:tr>
    </w:tbl>
    <w:p w14:paraId="1DB3E919" w14:textId="217E6BD8" w:rsidR="00BE7951" w:rsidRDefault="00BE7951" w:rsidP="005D20D8">
      <w:pPr>
        <w:widowControl/>
        <w:tabs>
          <w:tab w:val="left" w:pos="180"/>
        </w:tabs>
        <w:spacing w:after="120"/>
        <w:ind w:left="187" w:hanging="187"/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4046F" w14:paraId="6791F3C1" w14:textId="77777777" w:rsidTr="00BE7951">
        <w:trPr>
          <w:trHeight w:hRule="exact" w:val="360"/>
        </w:trPr>
        <w:tc>
          <w:tcPr>
            <w:tcW w:w="9360" w:type="dxa"/>
            <w:vAlign w:val="center"/>
          </w:tcPr>
          <w:p w14:paraId="61A08EC5" w14:textId="77777777" w:rsidR="00F4046F" w:rsidRDefault="00F4046F" w:rsidP="006B75AB">
            <w:pPr>
              <w:keepNext/>
              <w:widowControl/>
              <w:rPr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65412B4C" w14:textId="77777777" w:rsidR="00F4046F" w:rsidRPr="00373DC9" w:rsidRDefault="00F4046F" w:rsidP="006B75AB">
      <w:pPr>
        <w:keepNext/>
        <w:widowControl/>
        <w:spacing w:before="120" w:after="120"/>
        <w:rPr>
          <w:szCs w:val="20"/>
        </w:rPr>
      </w:pPr>
      <w:r>
        <w:rPr>
          <w:b/>
          <w:szCs w:val="20"/>
        </w:rPr>
        <w:t>Reactivity:</w:t>
      </w:r>
      <w:r w:rsidR="00373DC9" w:rsidRPr="00373DC9">
        <w:rPr>
          <w:szCs w:val="20"/>
        </w:rPr>
        <w:t xml:space="preserve">  </w:t>
      </w:r>
      <w:r w:rsidR="00B07BF3">
        <w:rPr>
          <w:szCs w:val="20"/>
        </w:rPr>
        <w:t>S</w:t>
      </w:r>
      <w:r w:rsidR="00007EFF">
        <w:rPr>
          <w:szCs w:val="20"/>
        </w:rPr>
        <w:t>table</w:t>
      </w:r>
      <w:r w:rsidR="00373DC9" w:rsidRPr="00373DC9">
        <w:rPr>
          <w:szCs w:val="20"/>
        </w:rPr>
        <w:t xml:space="preserve"> at normal temperatures and pressure.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4C4B8AB4" w14:textId="77777777" w:rsidTr="00E8191F">
        <w:tc>
          <w:tcPr>
            <w:tcW w:w="1440" w:type="dxa"/>
            <w:vAlign w:val="center"/>
          </w:tcPr>
          <w:p w14:paraId="1026E9F0" w14:textId="77777777" w:rsidR="00F4046F" w:rsidRPr="00F4046F" w:rsidRDefault="00F4046F" w:rsidP="00E8191F">
            <w:pPr>
              <w:widowControl/>
              <w:ind w:left="-108"/>
              <w:jc w:val="left"/>
              <w:rPr>
                <w:b/>
                <w:szCs w:val="20"/>
              </w:rPr>
            </w:pPr>
            <w:r w:rsidRPr="00F4046F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FE9622C" w14:textId="77777777" w:rsidR="00F4046F" w:rsidRDefault="00A14B09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7767FE7C" w14:textId="77777777" w:rsidR="00F4046F" w:rsidRDefault="00F4046F" w:rsidP="008A57C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B9AC658" w14:textId="77777777" w:rsidR="00F4046F" w:rsidRDefault="00F4046F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2BB7FC01" w14:textId="77777777" w:rsidR="00F4046F" w:rsidRDefault="00F4046F" w:rsidP="008A57C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Unstable</w:t>
            </w:r>
          </w:p>
        </w:tc>
      </w:tr>
    </w:tbl>
    <w:p w14:paraId="0914FB27" w14:textId="77777777" w:rsidR="00D2295A" w:rsidRPr="00A00A2B" w:rsidRDefault="00D2295A" w:rsidP="006B75AB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Possible Hazardous Reactions</w:t>
      </w:r>
      <w:r w:rsidR="00A00A2B">
        <w:rPr>
          <w:rFonts w:eastAsia="Times New Roman"/>
          <w:b/>
          <w:bCs/>
          <w:szCs w:val="20"/>
        </w:rPr>
        <w:t>:</w:t>
      </w:r>
      <w:r w:rsidR="00A00A2B">
        <w:rPr>
          <w:rFonts w:eastAsia="Times New Roman"/>
          <w:bCs/>
          <w:szCs w:val="20"/>
        </w:rPr>
        <w:t xml:space="preserve">  </w:t>
      </w:r>
      <w:r w:rsidR="00373DC9">
        <w:rPr>
          <w:rFonts w:eastAsia="Times New Roman"/>
          <w:bCs/>
          <w:szCs w:val="20"/>
        </w:rPr>
        <w:t>Not applicable.</w:t>
      </w:r>
    </w:p>
    <w:p w14:paraId="04F3BFE5" w14:textId="77777777" w:rsidR="00DC1232" w:rsidRPr="00373DC9" w:rsidRDefault="00BF5DD9" w:rsidP="006B75AB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ndi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ns</w:t>
      </w:r>
      <w:r>
        <w:rPr>
          <w:rFonts w:eastAsia="Times New Roman"/>
          <w:b/>
          <w:bCs/>
          <w:spacing w:val="-9"/>
          <w:szCs w:val="20"/>
        </w:rPr>
        <w:t xml:space="preserve"> 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o A</w:t>
      </w:r>
      <w:r>
        <w:rPr>
          <w:rFonts w:eastAsia="Times New Roman"/>
          <w:b/>
          <w:bCs/>
          <w:spacing w:val="1"/>
          <w:szCs w:val="20"/>
        </w:rPr>
        <w:t>vo</w:t>
      </w:r>
      <w:r>
        <w:rPr>
          <w:rFonts w:eastAsia="Times New Roman"/>
          <w:b/>
          <w:bCs/>
          <w:szCs w:val="20"/>
        </w:rPr>
        <w:t>id:</w:t>
      </w:r>
      <w:r w:rsidRPr="00373DC9">
        <w:rPr>
          <w:rFonts w:eastAsia="Times New Roman"/>
          <w:bCs/>
          <w:szCs w:val="20"/>
        </w:rPr>
        <w:t xml:space="preserve"> </w:t>
      </w:r>
      <w:r w:rsidR="00373DC9">
        <w:rPr>
          <w:rFonts w:eastAsia="Times New Roman"/>
          <w:bCs/>
          <w:szCs w:val="20"/>
        </w:rPr>
        <w:t xml:space="preserve"> </w:t>
      </w:r>
      <w:r w:rsidR="00651DCA" w:rsidRPr="00651DCA">
        <w:rPr>
          <w:rFonts w:eastAsia="Times New Roman"/>
          <w:bCs/>
          <w:szCs w:val="20"/>
        </w:rPr>
        <w:t>Avoid heat, flames, sparks, and other ignition sources.  Avoid contact with incompatible materials.  Containers may rupture or explode if exposed to heat</w:t>
      </w:r>
      <w:r w:rsidR="00EB76F7">
        <w:rPr>
          <w:rFonts w:eastAsia="Times New Roman"/>
          <w:bCs/>
          <w:szCs w:val="20"/>
        </w:rPr>
        <w:t xml:space="preserve">.  Keep out of water supplies and sewers.  Dangerous gases may accumulate in confined spaces. </w:t>
      </w:r>
    </w:p>
    <w:p w14:paraId="16155490" w14:textId="77777777" w:rsidR="00E24579" w:rsidRPr="00A00A2B" w:rsidRDefault="00BF5DD9" w:rsidP="006B75AB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lastRenderedPageBreak/>
        <w:t>I</w:t>
      </w:r>
      <w:r>
        <w:rPr>
          <w:rFonts w:eastAsia="Times New Roman"/>
          <w:b/>
          <w:bCs/>
          <w:szCs w:val="20"/>
        </w:rPr>
        <w:t>nc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ible</w:t>
      </w:r>
      <w:r>
        <w:rPr>
          <w:rFonts w:eastAsia="Times New Roman"/>
          <w:b/>
          <w:bCs/>
          <w:spacing w:val="-10"/>
          <w:szCs w:val="20"/>
        </w:rPr>
        <w:t xml:space="preserve"> </w:t>
      </w:r>
      <w:r>
        <w:rPr>
          <w:rFonts w:eastAsia="Times New Roman"/>
          <w:b/>
          <w:bCs/>
          <w:spacing w:val="4"/>
          <w:szCs w:val="20"/>
        </w:rPr>
        <w:t>M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eri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l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:</w:t>
      </w:r>
      <w:r w:rsidR="00A00A2B">
        <w:rPr>
          <w:rFonts w:eastAsia="Times New Roman"/>
          <w:bCs/>
          <w:szCs w:val="20"/>
        </w:rPr>
        <w:t xml:space="preserve">  </w:t>
      </w:r>
      <w:r w:rsidR="00E4393B">
        <w:rPr>
          <w:rFonts w:eastAsia="Times New Roman"/>
          <w:bCs/>
          <w:szCs w:val="20"/>
        </w:rPr>
        <w:t>Oxid</w:t>
      </w:r>
      <w:r w:rsidR="00EF3E03">
        <w:rPr>
          <w:rFonts w:eastAsia="Times New Roman"/>
          <w:bCs/>
          <w:szCs w:val="20"/>
        </w:rPr>
        <w:t>iz</w:t>
      </w:r>
      <w:r w:rsidR="00E4393B">
        <w:rPr>
          <w:rFonts w:eastAsia="Times New Roman"/>
          <w:bCs/>
          <w:szCs w:val="20"/>
        </w:rPr>
        <w:t>ing materials</w:t>
      </w:r>
      <w:r w:rsidR="00C34D5C">
        <w:rPr>
          <w:rFonts w:eastAsia="Times New Roman"/>
          <w:bCs/>
          <w:szCs w:val="20"/>
        </w:rPr>
        <w:t>.</w:t>
      </w:r>
    </w:p>
    <w:p w14:paraId="4B59DDC5" w14:textId="77777777" w:rsidR="00E24579" w:rsidRPr="00A00A2B" w:rsidRDefault="00BF5DD9" w:rsidP="002840E1">
      <w:pPr>
        <w:keepNext/>
        <w:widowControl/>
        <w:spacing w:before="120" w:after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>Ha</w:t>
      </w:r>
      <w:r>
        <w:rPr>
          <w:rFonts w:eastAsia="Times New Roman"/>
          <w:b/>
          <w:bCs/>
          <w:szCs w:val="20"/>
        </w:rPr>
        <w:t>z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rd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us</w:t>
      </w:r>
      <w:r>
        <w:rPr>
          <w:rFonts w:eastAsia="Times New Roman"/>
          <w:b/>
          <w:bCs/>
          <w:spacing w:val="-9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Dec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A00A2B">
        <w:rPr>
          <w:rFonts w:eastAsia="Times New Roman"/>
          <w:bCs/>
          <w:szCs w:val="20"/>
        </w:rPr>
        <w:t xml:space="preserve">  </w:t>
      </w:r>
      <w:r w:rsidR="00373DC9">
        <w:rPr>
          <w:rFonts w:eastAsia="Times New Roman"/>
          <w:bCs/>
          <w:szCs w:val="20"/>
        </w:rPr>
        <w:t xml:space="preserve">Oxides of </w:t>
      </w:r>
      <w:r w:rsidR="00E4393B">
        <w:rPr>
          <w:rFonts w:eastAsia="Times New Roman"/>
          <w:bCs/>
          <w:szCs w:val="20"/>
        </w:rPr>
        <w:t>carbon</w:t>
      </w:r>
      <w:r w:rsidR="00651DCA">
        <w:rPr>
          <w:rFonts w:eastAsia="Times New Roman"/>
          <w:bCs/>
          <w:szCs w:val="20"/>
        </w:rPr>
        <w:t xml:space="preserve"> and sulfur</w:t>
      </w:r>
      <w:r w:rsidR="00C34D5C">
        <w:rPr>
          <w:rFonts w:eastAsia="Times New Roman"/>
          <w:bCs/>
          <w:szCs w:val="20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76"/>
        <w:gridCol w:w="1728"/>
        <w:gridCol w:w="576"/>
        <w:gridCol w:w="1728"/>
        <w:gridCol w:w="1854"/>
      </w:tblGrid>
      <w:tr w:rsidR="00A00A2B" w14:paraId="389513EA" w14:textId="77777777" w:rsidTr="00EB5E4A">
        <w:trPr>
          <w:gridAfter w:val="1"/>
          <w:wAfter w:w="1854" w:type="dxa"/>
        </w:trPr>
        <w:tc>
          <w:tcPr>
            <w:tcW w:w="2898" w:type="dxa"/>
            <w:vAlign w:val="center"/>
          </w:tcPr>
          <w:p w14:paraId="519DB704" w14:textId="77777777" w:rsidR="00A00A2B" w:rsidRPr="00F4046F" w:rsidRDefault="00A00A2B" w:rsidP="00C866ED">
            <w:pPr>
              <w:widowControl/>
              <w:ind w:left="-108"/>
              <w:rPr>
                <w:b/>
                <w:szCs w:val="20"/>
              </w:rPr>
            </w:pP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Ha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rd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us</w:t>
            </w:r>
            <w:r>
              <w:rPr>
                <w:rFonts w:eastAsia="Times New Roman"/>
                <w:b/>
                <w:bCs/>
                <w:spacing w:val="-9"/>
                <w:position w:val="-1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Po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l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</w:t>
            </w:r>
            <w:r>
              <w:rPr>
                <w:rFonts w:eastAsia="Times New Roman"/>
                <w:b/>
                <w:bCs/>
                <w:spacing w:val="-5"/>
                <w:position w:val="-1"/>
                <w:szCs w:val="20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eriz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at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i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2A82F63C" w14:textId="77777777" w:rsidR="00A00A2B" w:rsidRDefault="00A00A2B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7D2D3735" w14:textId="77777777" w:rsidR="00A00A2B" w:rsidRDefault="00A00A2B" w:rsidP="006B75A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4AABDD2C" w14:textId="77777777" w:rsidR="00A00A2B" w:rsidRDefault="00A14B09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728" w:type="dxa"/>
            <w:vAlign w:val="center"/>
          </w:tcPr>
          <w:p w14:paraId="3E50B0A2" w14:textId="77777777" w:rsidR="00A00A2B" w:rsidRDefault="00A00A2B" w:rsidP="006B75A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N</w:t>
            </w:r>
            <w:r>
              <w:rPr>
                <w:rFonts w:eastAsia="Times New Roman"/>
                <w:spacing w:val="1"/>
                <w:szCs w:val="20"/>
              </w:rPr>
              <w:t>o</w:t>
            </w:r>
            <w:r>
              <w:rPr>
                <w:rFonts w:eastAsia="Times New Roman"/>
                <w:szCs w:val="20"/>
              </w:rPr>
              <w:t>t</w:t>
            </w:r>
            <w:r>
              <w:rPr>
                <w:rFonts w:eastAsia="Times New Roman"/>
                <w:spacing w:val="-3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</w:tr>
      <w:tr w:rsidR="005D20D8" w14:paraId="14169DD6" w14:textId="77777777" w:rsidTr="00EB5E4A">
        <w:trPr>
          <w:gridAfter w:val="1"/>
          <w:wAfter w:w="1854" w:type="dxa"/>
        </w:trPr>
        <w:tc>
          <w:tcPr>
            <w:tcW w:w="2898" w:type="dxa"/>
            <w:vAlign w:val="center"/>
          </w:tcPr>
          <w:p w14:paraId="05973CF6" w14:textId="77777777" w:rsidR="005D20D8" w:rsidRDefault="005D20D8" w:rsidP="00C866ED">
            <w:pPr>
              <w:widowControl/>
              <w:ind w:left="-108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160A641D" w14:textId="77777777" w:rsidR="005D20D8" w:rsidRDefault="005D20D8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27AF6F99" w14:textId="77777777" w:rsidR="005D20D8" w:rsidRDefault="005D20D8" w:rsidP="006B75AB">
            <w:pPr>
              <w:widowControl/>
              <w:rPr>
                <w:rFonts w:eastAsia="Times New Roman"/>
                <w:spacing w:val="2"/>
                <w:szCs w:val="20"/>
              </w:rPr>
            </w:pP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105909DD" w14:textId="77777777" w:rsidR="005D20D8" w:rsidRDefault="005D20D8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42DC2F7D" w14:textId="77777777" w:rsidR="005D20D8" w:rsidRDefault="005D20D8" w:rsidP="006B75AB">
            <w:pPr>
              <w:widowControl/>
              <w:rPr>
                <w:rFonts w:eastAsia="Times New Roman"/>
                <w:spacing w:val="2"/>
                <w:szCs w:val="20"/>
              </w:rPr>
            </w:pPr>
          </w:p>
        </w:tc>
      </w:tr>
      <w:tr w:rsidR="00783F68" w14:paraId="01D54FC8" w14:textId="77777777" w:rsidTr="00E3202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0"/>
        </w:trPr>
        <w:tc>
          <w:tcPr>
            <w:tcW w:w="9360" w:type="dxa"/>
            <w:gridSpan w:val="6"/>
            <w:vAlign w:val="center"/>
          </w:tcPr>
          <w:p w14:paraId="3F141E25" w14:textId="77777777" w:rsidR="00783F68" w:rsidRDefault="00783F68" w:rsidP="006B75AB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6F625311" w14:textId="77777777" w:rsidR="00A00A2B" w:rsidRPr="00A00A2B" w:rsidRDefault="00A00A2B" w:rsidP="006B75AB">
      <w:pPr>
        <w:keepNext/>
        <w:widowControl/>
        <w:rPr>
          <w:rFonts w:eastAsia="Times New Roman"/>
          <w:bCs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8C4669" w14:paraId="737812A5" w14:textId="77777777" w:rsidTr="00EB5E4A">
        <w:tc>
          <w:tcPr>
            <w:tcW w:w="2016" w:type="dxa"/>
            <w:vAlign w:val="center"/>
          </w:tcPr>
          <w:p w14:paraId="2A19A1D9" w14:textId="77777777" w:rsidR="00EB5E4A" w:rsidRPr="008C4669" w:rsidRDefault="00EB5E4A" w:rsidP="00C866ED">
            <w:pPr>
              <w:widowControl/>
              <w:ind w:left="-108"/>
              <w:rPr>
                <w:b/>
                <w:szCs w:val="20"/>
              </w:rPr>
            </w:pPr>
            <w:r w:rsidRPr="008C4669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8C4669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8C4669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8C4669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8C466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8C466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8C4669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462D72D" w14:textId="77777777" w:rsidR="00EB5E4A" w:rsidRPr="008C4669" w:rsidRDefault="00E12D28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14:paraId="4EE5AEEA" w14:textId="77777777" w:rsidR="00EB5E4A" w:rsidRPr="008C4669" w:rsidRDefault="00EB5E4A" w:rsidP="006B75AB">
            <w:pPr>
              <w:widowControl/>
              <w:rPr>
                <w:szCs w:val="20"/>
              </w:rPr>
            </w:pPr>
            <w:r w:rsidRPr="008C4669">
              <w:rPr>
                <w:rFonts w:eastAsia="Times New Roman"/>
                <w:spacing w:val="1"/>
                <w:szCs w:val="20"/>
              </w:rPr>
              <w:t>I</w:t>
            </w:r>
            <w:r w:rsidRPr="008C4669">
              <w:rPr>
                <w:rFonts w:eastAsia="Times New Roman"/>
                <w:spacing w:val="-1"/>
                <w:szCs w:val="20"/>
              </w:rPr>
              <w:t>nh</w:t>
            </w:r>
            <w:r w:rsidRPr="008C4669">
              <w:rPr>
                <w:rFonts w:eastAsia="Times New Roman"/>
                <w:szCs w:val="20"/>
              </w:rPr>
              <w:t>alati</w:t>
            </w:r>
            <w:r w:rsidRPr="008C4669">
              <w:rPr>
                <w:rFonts w:eastAsia="Times New Roman"/>
                <w:spacing w:val="1"/>
                <w:szCs w:val="20"/>
              </w:rPr>
              <w:t>o</w:t>
            </w:r>
            <w:r w:rsidRPr="008C4669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C74317B" w14:textId="77777777" w:rsidR="00EB5E4A" w:rsidRPr="008C4669" w:rsidRDefault="00D76D7D" w:rsidP="006B75AB">
            <w:pPr>
              <w:widowControl/>
              <w:jc w:val="center"/>
              <w:rPr>
                <w:szCs w:val="20"/>
              </w:rPr>
            </w:pPr>
            <w:r w:rsidRPr="008C4669">
              <w:rPr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14:paraId="709B19CA" w14:textId="77777777" w:rsidR="00EB5E4A" w:rsidRPr="008C4669" w:rsidRDefault="00EB5E4A" w:rsidP="006B75AB">
            <w:pPr>
              <w:widowControl/>
              <w:rPr>
                <w:szCs w:val="20"/>
              </w:rPr>
            </w:pPr>
            <w:r w:rsidRPr="008C4669">
              <w:rPr>
                <w:rFonts w:eastAsia="Times New Roman"/>
                <w:szCs w:val="20"/>
              </w:rPr>
              <w:t>S</w:t>
            </w:r>
            <w:r w:rsidRPr="008C4669">
              <w:rPr>
                <w:rFonts w:eastAsia="Times New Roman"/>
                <w:spacing w:val="-1"/>
                <w:szCs w:val="20"/>
              </w:rPr>
              <w:t>k</w:t>
            </w:r>
            <w:r w:rsidRPr="008C4669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9395FFC" w14:textId="77777777" w:rsidR="00EB5E4A" w:rsidRPr="008C4669" w:rsidRDefault="00484EF6" w:rsidP="006B75AB">
            <w:pPr>
              <w:widowControl/>
              <w:jc w:val="center"/>
              <w:rPr>
                <w:szCs w:val="20"/>
              </w:rPr>
            </w:pPr>
            <w:r w:rsidRPr="008C4669">
              <w:rPr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14:paraId="7923F4ED" w14:textId="77777777" w:rsidR="00EB5E4A" w:rsidRPr="008C4669" w:rsidRDefault="00EB5E4A" w:rsidP="006B75AB">
            <w:pPr>
              <w:widowControl/>
              <w:rPr>
                <w:szCs w:val="20"/>
              </w:rPr>
            </w:pPr>
            <w:r w:rsidRPr="008C4669">
              <w:rPr>
                <w:rFonts w:eastAsia="Times New Roman"/>
                <w:spacing w:val="1"/>
                <w:szCs w:val="20"/>
              </w:rPr>
              <w:t>I</w:t>
            </w:r>
            <w:r w:rsidRPr="008C4669">
              <w:rPr>
                <w:rFonts w:eastAsia="Times New Roman"/>
                <w:spacing w:val="-1"/>
                <w:szCs w:val="20"/>
              </w:rPr>
              <w:t>ng</w:t>
            </w:r>
            <w:r w:rsidRPr="008C4669">
              <w:rPr>
                <w:rFonts w:eastAsia="Times New Roman"/>
                <w:szCs w:val="20"/>
              </w:rPr>
              <w:t>e</w:t>
            </w:r>
            <w:r w:rsidRPr="008C4669">
              <w:rPr>
                <w:rFonts w:eastAsia="Times New Roman"/>
                <w:spacing w:val="-1"/>
                <w:szCs w:val="20"/>
              </w:rPr>
              <w:t>s</w:t>
            </w:r>
            <w:r w:rsidRPr="008C4669">
              <w:rPr>
                <w:rFonts w:eastAsia="Times New Roman"/>
                <w:szCs w:val="20"/>
              </w:rPr>
              <w:t>ti</w:t>
            </w:r>
            <w:r w:rsidRPr="008C4669">
              <w:rPr>
                <w:rFonts w:eastAsia="Times New Roman"/>
                <w:spacing w:val="1"/>
                <w:szCs w:val="20"/>
              </w:rPr>
              <w:t>o</w:t>
            </w:r>
            <w:r w:rsidRPr="008C4669">
              <w:rPr>
                <w:rFonts w:eastAsia="Times New Roman"/>
                <w:szCs w:val="20"/>
              </w:rPr>
              <w:t>n</w:t>
            </w:r>
          </w:p>
        </w:tc>
      </w:tr>
    </w:tbl>
    <w:p w14:paraId="6070292B" w14:textId="77777777" w:rsidR="00522E29" w:rsidRPr="008A57C6" w:rsidRDefault="00C12A63" w:rsidP="006B75AB">
      <w:pPr>
        <w:widowControl/>
        <w:spacing w:before="120"/>
        <w:rPr>
          <w:rFonts w:eastAsia="Times New Roman"/>
          <w:bCs/>
          <w:szCs w:val="20"/>
        </w:rPr>
      </w:pPr>
      <w:r w:rsidRPr="008A57C6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A31815" w:rsidRPr="008A57C6">
        <w:rPr>
          <w:rFonts w:eastAsia="Times New Roman"/>
          <w:bCs/>
          <w:szCs w:val="20"/>
        </w:rPr>
        <w:t xml:space="preserve">  </w:t>
      </w:r>
      <w:r w:rsidR="00A32EA2" w:rsidRPr="00A32EA2">
        <w:rPr>
          <w:rFonts w:eastAsia="Times New Roman"/>
          <w:bCs/>
          <w:szCs w:val="20"/>
        </w:rPr>
        <w:t>Irritation, cough, difficulty breathing, dermatitis</w:t>
      </w:r>
      <w:r w:rsidR="00522E29" w:rsidRPr="008A57C6">
        <w:rPr>
          <w:rFonts w:eastAsia="Times New Roman"/>
          <w:bCs/>
          <w:szCs w:val="20"/>
        </w:rPr>
        <w:t>.</w:t>
      </w:r>
    </w:p>
    <w:p w14:paraId="49E83FBF" w14:textId="77777777" w:rsidR="00A00A2B" w:rsidRPr="008C4669" w:rsidRDefault="00EB5E4A" w:rsidP="00A32EA2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Potential Health Effects (Acute</w:t>
      </w:r>
      <w:r w:rsidR="00957B26" w:rsidRPr="008C4669">
        <w:rPr>
          <w:rFonts w:eastAsia="Times New Roman"/>
          <w:b/>
          <w:bCs/>
          <w:szCs w:val="20"/>
        </w:rPr>
        <w:t>,</w:t>
      </w:r>
      <w:r w:rsidRPr="008C4669">
        <w:rPr>
          <w:rFonts w:eastAsia="Times New Roman"/>
          <w:b/>
          <w:bCs/>
          <w:szCs w:val="20"/>
        </w:rPr>
        <w:t xml:space="preserve"> </w:t>
      </w:r>
      <w:r w:rsidR="00957B26" w:rsidRPr="008C4669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hronic</w:t>
      </w:r>
      <w:r w:rsidR="00373DC9" w:rsidRPr="008C4669">
        <w:rPr>
          <w:rFonts w:eastAsia="Times New Roman"/>
          <w:b/>
          <w:bCs/>
          <w:szCs w:val="20"/>
        </w:rPr>
        <w:t>,</w:t>
      </w:r>
      <w:r w:rsidR="00957B26" w:rsidRPr="008C4669">
        <w:rPr>
          <w:rFonts w:eastAsia="Times New Roman"/>
          <w:b/>
          <w:bCs/>
          <w:szCs w:val="20"/>
        </w:rPr>
        <w:t xml:space="preserve"> and Delayed</w:t>
      </w:r>
      <w:r w:rsidRPr="008C4669">
        <w:rPr>
          <w:rFonts w:eastAsia="Times New Roman"/>
          <w:b/>
          <w:bCs/>
          <w:szCs w:val="20"/>
        </w:rPr>
        <w:t>)</w:t>
      </w:r>
    </w:p>
    <w:p w14:paraId="6DE25627" w14:textId="77777777" w:rsidR="00A00A2B" w:rsidRPr="008C4669" w:rsidRDefault="00EB5E4A" w:rsidP="002D2549">
      <w:pPr>
        <w:keepNext/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Inhalation:</w:t>
      </w:r>
      <w:r w:rsidRPr="008C4669">
        <w:rPr>
          <w:rFonts w:eastAsia="Times New Roman"/>
          <w:bCs/>
          <w:szCs w:val="20"/>
        </w:rPr>
        <w:t xml:space="preserve">  </w:t>
      </w:r>
      <w:r w:rsidR="00484EF6" w:rsidRPr="008C4669">
        <w:rPr>
          <w:rFonts w:eastAsia="Times New Roman"/>
          <w:bCs/>
          <w:szCs w:val="20"/>
        </w:rPr>
        <w:t xml:space="preserve">Irritation </w:t>
      </w:r>
      <w:r w:rsidR="00522E29" w:rsidRPr="008C4669">
        <w:rPr>
          <w:rFonts w:eastAsia="Times New Roman"/>
          <w:bCs/>
          <w:szCs w:val="20"/>
        </w:rPr>
        <w:t xml:space="preserve">hazard is low unless heated or misted.  </w:t>
      </w:r>
      <w:r w:rsidR="00A32EA2">
        <w:rPr>
          <w:rFonts w:eastAsia="Times New Roman"/>
          <w:bCs/>
          <w:szCs w:val="20"/>
        </w:rPr>
        <w:t>V</w:t>
      </w:r>
      <w:r w:rsidR="00522E29" w:rsidRPr="008C4669">
        <w:rPr>
          <w:rFonts w:eastAsia="Times New Roman"/>
          <w:bCs/>
          <w:szCs w:val="20"/>
        </w:rPr>
        <w:t xml:space="preserve">apor or mist may cause </w:t>
      </w:r>
      <w:r w:rsidR="00A32EA2" w:rsidRPr="00A32EA2">
        <w:rPr>
          <w:rFonts w:eastAsia="Times New Roman"/>
          <w:bCs/>
          <w:szCs w:val="20"/>
        </w:rPr>
        <w:t>irritation, headache, drowsiness, dizziness, loss of coordinati</w:t>
      </w:r>
      <w:r w:rsidR="00A32EA2">
        <w:rPr>
          <w:rFonts w:eastAsia="Times New Roman"/>
          <w:bCs/>
          <w:szCs w:val="20"/>
        </w:rPr>
        <w:t>on</w:t>
      </w:r>
      <w:r w:rsidR="00522E29" w:rsidRPr="008C4669">
        <w:rPr>
          <w:rFonts w:eastAsia="Times New Roman"/>
          <w:bCs/>
          <w:szCs w:val="20"/>
        </w:rPr>
        <w:t>.  Prolonged contact may cause irritation.</w:t>
      </w:r>
    </w:p>
    <w:p w14:paraId="1F101938" w14:textId="77777777" w:rsidR="00B7052B" w:rsidRPr="008C4669" w:rsidRDefault="00EB5E4A" w:rsidP="002D2549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Skin Contact:</w:t>
      </w:r>
      <w:r w:rsidRPr="008C4669">
        <w:rPr>
          <w:rFonts w:eastAsia="Times New Roman"/>
          <w:bCs/>
          <w:szCs w:val="20"/>
        </w:rPr>
        <w:t xml:space="preserve"> </w:t>
      </w:r>
      <w:r w:rsidR="00484EF6" w:rsidRPr="008C4669">
        <w:rPr>
          <w:rFonts w:eastAsia="Times New Roman"/>
          <w:bCs/>
          <w:szCs w:val="20"/>
        </w:rPr>
        <w:t xml:space="preserve"> </w:t>
      </w:r>
      <w:r w:rsidR="00A31815" w:rsidRPr="008C4669">
        <w:rPr>
          <w:rFonts w:eastAsia="Times New Roman"/>
          <w:bCs/>
          <w:szCs w:val="20"/>
        </w:rPr>
        <w:t xml:space="preserve">May cause </w:t>
      </w:r>
      <w:r w:rsidR="00A32EA2" w:rsidRPr="00A32EA2">
        <w:rPr>
          <w:rFonts w:eastAsia="Times New Roman"/>
          <w:bCs/>
          <w:szCs w:val="20"/>
        </w:rPr>
        <w:t>skin disorders</w:t>
      </w:r>
      <w:r w:rsidR="00A32EA2">
        <w:rPr>
          <w:rFonts w:eastAsia="Times New Roman"/>
          <w:bCs/>
          <w:szCs w:val="20"/>
        </w:rPr>
        <w:t xml:space="preserve">, </w:t>
      </w:r>
      <w:r w:rsidR="00A32EA2" w:rsidRPr="00A32EA2">
        <w:rPr>
          <w:rFonts w:eastAsia="Times New Roman"/>
          <w:bCs/>
          <w:szCs w:val="20"/>
        </w:rPr>
        <w:t>dermatitis</w:t>
      </w:r>
      <w:r w:rsidR="00A32EA2">
        <w:rPr>
          <w:rFonts w:eastAsia="Times New Roman"/>
          <w:bCs/>
          <w:szCs w:val="20"/>
        </w:rPr>
        <w:t>, and</w:t>
      </w:r>
      <w:r w:rsidR="00A32EA2" w:rsidRPr="00A32EA2">
        <w:rPr>
          <w:rFonts w:eastAsia="Times New Roman"/>
          <w:bCs/>
          <w:szCs w:val="20"/>
        </w:rPr>
        <w:t xml:space="preserve"> rash</w:t>
      </w:r>
      <w:r w:rsidR="00522E29" w:rsidRPr="008C4669">
        <w:rPr>
          <w:rFonts w:eastAsia="Times New Roman"/>
          <w:bCs/>
          <w:szCs w:val="20"/>
        </w:rPr>
        <w:t>.</w:t>
      </w:r>
    </w:p>
    <w:p w14:paraId="47A44758" w14:textId="77777777" w:rsidR="00B7052B" w:rsidRPr="008C4669" w:rsidRDefault="00EB5E4A" w:rsidP="002D2549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Eye Contact:</w:t>
      </w:r>
      <w:r w:rsidRPr="008C4669">
        <w:rPr>
          <w:rFonts w:eastAsia="Times New Roman"/>
          <w:bCs/>
          <w:szCs w:val="20"/>
        </w:rPr>
        <w:t xml:space="preserve">  </w:t>
      </w:r>
      <w:r w:rsidR="00D22C9B" w:rsidRPr="008C4669">
        <w:rPr>
          <w:rFonts w:eastAsia="Times New Roman"/>
          <w:bCs/>
          <w:szCs w:val="20"/>
        </w:rPr>
        <w:t>I</w:t>
      </w:r>
      <w:r w:rsidR="006B75AB" w:rsidRPr="008C4669">
        <w:rPr>
          <w:rFonts w:eastAsia="Times New Roman"/>
          <w:bCs/>
          <w:szCs w:val="20"/>
        </w:rPr>
        <w:t>rritation</w:t>
      </w:r>
      <w:r w:rsidR="00A32EA2">
        <w:rPr>
          <w:rFonts w:eastAsia="Times New Roman"/>
          <w:bCs/>
          <w:szCs w:val="20"/>
        </w:rPr>
        <w:t xml:space="preserve">, </w:t>
      </w:r>
      <w:r w:rsidR="00A32EA2" w:rsidRPr="00AB0950">
        <w:rPr>
          <w:bCs/>
        </w:rPr>
        <w:t>conjunctivitis</w:t>
      </w:r>
      <w:r w:rsidR="006B75AB" w:rsidRPr="008C4669">
        <w:rPr>
          <w:rFonts w:eastAsia="Times New Roman"/>
          <w:bCs/>
          <w:szCs w:val="20"/>
        </w:rPr>
        <w:t>.</w:t>
      </w:r>
    </w:p>
    <w:p w14:paraId="0451D82F" w14:textId="4C781AEE" w:rsidR="00B7052B" w:rsidRPr="008C4669" w:rsidRDefault="00EB5E4A" w:rsidP="002D2549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Ingestion:</w:t>
      </w:r>
      <w:r w:rsidRPr="008C4669">
        <w:rPr>
          <w:rFonts w:eastAsia="Times New Roman"/>
          <w:bCs/>
          <w:szCs w:val="20"/>
        </w:rPr>
        <w:t xml:space="preserve">  </w:t>
      </w:r>
      <w:r w:rsidR="00A32EA2" w:rsidRPr="00A32EA2">
        <w:rPr>
          <w:rFonts w:eastAsia="Times New Roman"/>
          <w:bCs/>
          <w:szCs w:val="20"/>
        </w:rPr>
        <w:t xml:space="preserve">May cause nausea vomiting, diarrhea, other gastrointestinal disturbances, </w:t>
      </w:r>
      <w:r w:rsidR="002E46A1">
        <w:rPr>
          <w:rFonts w:eastAsia="Times New Roman"/>
          <w:bCs/>
          <w:szCs w:val="20"/>
        </w:rPr>
        <w:t xml:space="preserve">and </w:t>
      </w:r>
      <w:r w:rsidR="00A32EA2" w:rsidRPr="00A32EA2">
        <w:rPr>
          <w:rFonts w:eastAsia="Times New Roman"/>
          <w:bCs/>
          <w:szCs w:val="20"/>
        </w:rPr>
        <w:t>aspiration to the lungs may cause pneumonitis</w:t>
      </w:r>
      <w:r w:rsidR="00B7052B" w:rsidRPr="008C4669">
        <w:rPr>
          <w:rFonts w:eastAsia="Times New Roman"/>
          <w:bCs/>
          <w:szCs w:val="20"/>
        </w:rPr>
        <w:t>.</w:t>
      </w:r>
    </w:p>
    <w:p w14:paraId="52DF350D" w14:textId="77777777" w:rsidR="00A00A2B" w:rsidRPr="008C4669" w:rsidRDefault="00EB5E4A" w:rsidP="006B75AB">
      <w:pPr>
        <w:widowControl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Numerical Measures of Toxicity</w:t>
      </w:r>
    </w:p>
    <w:p w14:paraId="5803137B" w14:textId="13437191" w:rsidR="00B7052B" w:rsidRPr="008C4669" w:rsidRDefault="00651DCA" w:rsidP="006B75AB">
      <w:pPr>
        <w:widowControl/>
        <w:ind w:left="3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Acute T</w:t>
      </w:r>
      <w:r w:rsidR="00EB5E4A" w:rsidRPr="008C4669">
        <w:rPr>
          <w:rFonts w:eastAsia="Times New Roman"/>
          <w:b/>
          <w:bCs/>
          <w:szCs w:val="20"/>
        </w:rPr>
        <w:t>oxici</w:t>
      </w:r>
      <w:r w:rsidR="00EB5E4A" w:rsidRPr="009A18FB">
        <w:rPr>
          <w:rFonts w:eastAsia="Times New Roman"/>
          <w:b/>
          <w:bCs/>
          <w:szCs w:val="20"/>
        </w:rPr>
        <w:t>ty</w:t>
      </w:r>
      <w:r w:rsidR="00DF7399" w:rsidRPr="009A18FB">
        <w:rPr>
          <w:rFonts w:eastAsia="Times New Roman"/>
          <w:b/>
          <w:bCs/>
          <w:szCs w:val="20"/>
        </w:rPr>
        <w:t>:</w:t>
      </w:r>
      <w:r w:rsidR="00B7052B" w:rsidRPr="009A18FB">
        <w:rPr>
          <w:rFonts w:eastAsia="Times New Roman"/>
          <w:bCs/>
          <w:szCs w:val="20"/>
        </w:rPr>
        <w:t xml:space="preserve"> </w:t>
      </w:r>
      <w:r w:rsidR="009A18FB">
        <w:rPr>
          <w:rFonts w:eastAsia="Times New Roman"/>
          <w:bCs/>
          <w:szCs w:val="20"/>
        </w:rPr>
        <w:t xml:space="preserve"> </w:t>
      </w:r>
      <w:r w:rsidR="009A18FB" w:rsidRPr="009A18FB">
        <w:rPr>
          <w:rFonts w:eastAsia="Times New Roman"/>
          <w:bCs/>
          <w:szCs w:val="20"/>
        </w:rPr>
        <w:t>Not classified.</w:t>
      </w:r>
    </w:p>
    <w:p w14:paraId="090F34C5" w14:textId="2D760B14" w:rsidR="00C34D5C" w:rsidRPr="008C4669" w:rsidRDefault="00C34D5C" w:rsidP="006B75AB">
      <w:pPr>
        <w:widowControl/>
        <w:tabs>
          <w:tab w:val="left" w:pos="2700"/>
        </w:tabs>
        <w:ind w:left="360" w:firstLine="360"/>
        <w:rPr>
          <w:rFonts w:eastAsia="Times New Roman"/>
          <w:bCs/>
          <w:szCs w:val="20"/>
        </w:rPr>
      </w:pPr>
      <w:r w:rsidRPr="008C4669">
        <w:rPr>
          <w:rFonts w:eastAsia="Times New Roman"/>
          <w:bCs/>
          <w:szCs w:val="20"/>
        </w:rPr>
        <w:t xml:space="preserve">Rat, Oral, LD50:  </w:t>
      </w:r>
      <w:r w:rsidR="0062772F">
        <w:rPr>
          <w:rFonts w:eastAsia="Times New Roman"/>
          <w:bCs/>
          <w:szCs w:val="20"/>
        </w:rPr>
        <w:t>&gt;</w:t>
      </w:r>
      <w:r w:rsidR="00D76D7D" w:rsidRPr="008C4669">
        <w:rPr>
          <w:rFonts w:eastAsia="Times New Roman"/>
          <w:bCs/>
          <w:szCs w:val="20"/>
        </w:rPr>
        <w:t>43</w:t>
      </w:r>
      <w:r w:rsidR="00651DCA">
        <w:rPr>
          <w:rFonts w:eastAsia="Times New Roman"/>
          <w:bCs/>
          <w:szCs w:val="20"/>
        </w:rPr>
        <w:t>0</w:t>
      </w:r>
      <w:r w:rsidR="00D76D7D" w:rsidRPr="008C4669">
        <w:rPr>
          <w:rFonts w:eastAsia="Times New Roman"/>
          <w:bCs/>
          <w:szCs w:val="20"/>
        </w:rPr>
        <w:t>0</w:t>
      </w:r>
      <w:r w:rsidRPr="008C4669">
        <w:rPr>
          <w:rFonts w:eastAsia="Times New Roman"/>
          <w:bCs/>
          <w:szCs w:val="20"/>
        </w:rPr>
        <w:t> mg/kg</w:t>
      </w:r>
    </w:p>
    <w:p w14:paraId="2768304D" w14:textId="77777777" w:rsidR="00AF68F9" w:rsidRPr="008C4669" w:rsidRDefault="00AF68F9" w:rsidP="006B75AB">
      <w:pPr>
        <w:widowControl/>
        <w:tabs>
          <w:tab w:val="left" w:pos="2700"/>
        </w:tabs>
        <w:ind w:left="360" w:firstLine="360"/>
        <w:rPr>
          <w:rFonts w:eastAsia="Times New Roman"/>
          <w:bCs/>
          <w:szCs w:val="20"/>
        </w:rPr>
      </w:pPr>
      <w:r w:rsidRPr="008C4669">
        <w:rPr>
          <w:rFonts w:eastAsia="Times New Roman"/>
          <w:bCs/>
          <w:szCs w:val="20"/>
        </w:rPr>
        <w:t xml:space="preserve">Rabbit, Dermal, LD50:  </w:t>
      </w:r>
      <w:r w:rsidR="00D76D7D" w:rsidRPr="008C4669">
        <w:rPr>
          <w:rFonts w:eastAsia="Times New Roman"/>
          <w:bCs/>
          <w:szCs w:val="20"/>
        </w:rPr>
        <w:t>&gt;</w:t>
      </w:r>
      <w:r w:rsidRPr="008C4669">
        <w:rPr>
          <w:rFonts w:eastAsia="Times New Roman"/>
          <w:bCs/>
          <w:szCs w:val="20"/>
        </w:rPr>
        <w:t>2000 mg/kg</w:t>
      </w:r>
    </w:p>
    <w:p w14:paraId="6311BF6E" w14:textId="77777777" w:rsidR="003E0999" w:rsidRPr="008C4669" w:rsidRDefault="00651DCA" w:rsidP="009F4E12">
      <w:pPr>
        <w:widowControl/>
        <w:spacing w:before="60"/>
        <w:ind w:left="720" w:hanging="3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Skin C</w:t>
      </w:r>
      <w:r w:rsidR="00EE1F37" w:rsidRPr="008C4669">
        <w:rPr>
          <w:rFonts w:eastAsia="Times New Roman"/>
          <w:b/>
          <w:bCs/>
          <w:szCs w:val="20"/>
        </w:rPr>
        <w:t>orrosion/</w:t>
      </w:r>
      <w:r>
        <w:rPr>
          <w:rFonts w:eastAsia="Times New Roman"/>
          <w:b/>
          <w:bCs/>
          <w:szCs w:val="20"/>
        </w:rPr>
        <w:t>I</w:t>
      </w:r>
      <w:r w:rsidR="00EE1F37"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484EF6" w:rsidRPr="008C4669">
        <w:rPr>
          <w:rFonts w:eastAsia="Times New Roman"/>
          <w:bCs/>
          <w:szCs w:val="20"/>
        </w:rPr>
        <w:t xml:space="preserve">  Not classified.</w:t>
      </w:r>
    </w:p>
    <w:p w14:paraId="3AE9C769" w14:textId="664BABF6" w:rsidR="00FB5F8A" w:rsidRPr="008C4669" w:rsidRDefault="00484EF6" w:rsidP="008C4669">
      <w:pPr>
        <w:keepNext/>
        <w:widowControl/>
        <w:tabs>
          <w:tab w:val="left" w:pos="2700"/>
        </w:tabs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Cs/>
          <w:szCs w:val="20"/>
        </w:rPr>
        <w:tab/>
      </w:r>
      <w:r w:rsidR="00651DCA">
        <w:rPr>
          <w:rFonts w:eastAsia="Times New Roman"/>
          <w:bCs/>
          <w:szCs w:val="20"/>
        </w:rPr>
        <w:t>Human</w:t>
      </w:r>
      <w:r w:rsidR="00FB5F8A" w:rsidRPr="008C4669">
        <w:rPr>
          <w:rFonts w:eastAsia="Times New Roman"/>
          <w:bCs/>
          <w:szCs w:val="20"/>
        </w:rPr>
        <w:t xml:space="preserve">, </w:t>
      </w:r>
      <w:r w:rsidR="001B6C4E">
        <w:rPr>
          <w:rFonts w:eastAsia="Times New Roman"/>
          <w:bCs/>
          <w:szCs w:val="20"/>
        </w:rPr>
        <w:t>O</w:t>
      </w:r>
      <w:r w:rsidR="00651DCA">
        <w:rPr>
          <w:rFonts w:eastAsia="Times New Roman"/>
          <w:bCs/>
          <w:szCs w:val="20"/>
        </w:rPr>
        <w:t xml:space="preserve">pen </w:t>
      </w:r>
      <w:r w:rsidR="00FB5F8A" w:rsidRPr="008C4669">
        <w:rPr>
          <w:rFonts w:eastAsia="Times New Roman"/>
          <w:bCs/>
          <w:szCs w:val="20"/>
        </w:rPr>
        <w:t>skin</w:t>
      </w:r>
      <w:r w:rsidR="00522E29" w:rsidRPr="008C4669">
        <w:rPr>
          <w:rFonts w:eastAsia="Times New Roman"/>
          <w:bCs/>
          <w:szCs w:val="20"/>
        </w:rPr>
        <w:t>:</w:t>
      </w:r>
      <w:r w:rsidR="00FB5F8A" w:rsidRPr="008C4669">
        <w:rPr>
          <w:rFonts w:eastAsia="Times New Roman"/>
          <w:bCs/>
          <w:szCs w:val="20"/>
        </w:rPr>
        <w:t xml:space="preserve"> </w:t>
      </w:r>
      <w:r w:rsidR="00651DCA" w:rsidRPr="00651DCA">
        <w:rPr>
          <w:rFonts w:eastAsia="Times New Roman"/>
          <w:bCs/>
          <w:szCs w:val="20"/>
        </w:rPr>
        <w:t>100</w:t>
      </w:r>
      <w:r w:rsidR="005A130F">
        <w:rPr>
          <w:rFonts w:eastAsia="Times New Roman"/>
          <w:bCs/>
          <w:szCs w:val="20"/>
        </w:rPr>
        <w:t> %</w:t>
      </w:r>
      <w:r w:rsidR="00651DCA" w:rsidRPr="00651DCA">
        <w:rPr>
          <w:rFonts w:eastAsia="Times New Roman"/>
          <w:bCs/>
          <w:szCs w:val="20"/>
        </w:rPr>
        <w:t xml:space="preserve">; </w:t>
      </w:r>
      <w:r w:rsidR="00651DCA">
        <w:rPr>
          <w:rFonts w:eastAsia="Times New Roman"/>
          <w:bCs/>
          <w:szCs w:val="20"/>
        </w:rPr>
        <w:t xml:space="preserve">Rabbit, skin: </w:t>
      </w:r>
      <w:r w:rsidR="00651DCA" w:rsidRPr="00651DCA">
        <w:rPr>
          <w:rFonts w:eastAsia="Times New Roman"/>
          <w:bCs/>
          <w:szCs w:val="20"/>
        </w:rPr>
        <w:t>500 mg</w:t>
      </w:r>
      <w:r w:rsidR="00651DCA">
        <w:rPr>
          <w:rFonts w:eastAsia="Times New Roman"/>
          <w:bCs/>
          <w:szCs w:val="20"/>
        </w:rPr>
        <w:t xml:space="preserve"> (</w:t>
      </w:r>
      <w:r w:rsidR="00651DCA" w:rsidRPr="00651DCA">
        <w:rPr>
          <w:rFonts w:eastAsia="Times New Roman"/>
          <w:bCs/>
          <w:szCs w:val="20"/>
        </w:rPr>
        <w:t>24 h</w:t>
      </w:r>
      <w:r w:rsidR="00651DCA">
        <w:rPr>
          <w:rFonts w:eastAsia="Times New Roman"/>
          <w:bCs/>
          <w:szCs w:val="20"/>
        </w:rPr>
        <w:t>)</w:t>
      </w:r>
      <w:r w:rsidR="00651DCA" w:rsidRPr="00651DCA">
        <w:rPr>
          <w:rFonts w:eastAsia="Times New Roman"/>
          <w:bCs/>
          <w:szCs w:val="20"/>
        </w:rPr>
        <w:t xml:space="preserve"> moderate</w:t>
      </w:r>
    </w:p>
    <w:p w14:paraId="3593E8ED" w14:textId="77777777" w:rsidR="00F53018" w:rsidRPr="008C4669" w:rsidRDefault="00EE1F37" w:rsidP="009F4E12">
      <w:pPr>
        <w:widowControl/>
        <w:spacing w:before="6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Serious </w:t>
      </w:r>
      <w:r w:rsidR="00651DCA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651DCA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zCs w:val="20"/>
        </w:rPr>
        <w:t>amage/</w:t>
      </w:r>
      <w:r w:rsidR="00651DCA">
        <w:rPr>
          <w:rFonts w:eastAsia="Times New Roman"/>
          <w:b/>
          <w:bCs/>
          <w:szCs w:val="20"/>
        </w:rPr>
        <w:t>Eye 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</w:t>
      </w:r>
      <w:r w:rsidR="00B7052B" w:rsidRPr="008C4669">
        <w:rPr>
          <w:rFonts w:eastAsia="Times New Roman"/>
          <w:bCs/>
          <w:szCs w:val="20"/>
        </w:rPr>
        <w:t xml:space="preserve"> </w:t>
      </w:r>
      <w:r w:rsidR="006E0117" w:rsidRPr="008C4669">
        <w:rPr>
          <w:rFonts w:eastAsia="Times New Roman"/>
          <w:bCs/>
          <w:szCs w:val="20"/>
        </w:rPr>
        <w:t>Not classified.</w:t>
      </w:r>
    </w:p>
    <w:p w14:paraId="065BA784" w14:textId="22359293" w:rsidR="006E0117" w:rsidRPr="008C4669" w:rsidRDefault="006E0117" w:rsidP="006E0117">
      <w:pPr>
        <w:widowControl/>
        <w:tabs>
          <w:tab w:val="left" w:pos="2700"/>
        </w:tabs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Cs/>
          <w:szCs w:val="20"/>
        </w:rPr>
        <w:tab/>
        <w:t xml:space="preserve">Rabbit, </w:t>
      </w:r>
      <w:r w:rsidR="001B6C4E">
        <w:rPr>
          <w:rFonts w:eastAsia="Times New Roman"/>
          <w:bCs/>
          <w:szCs w:val="20"/>
        </w:rPr>
        <w:t>E</w:t>
      </w:r>
      <w:r w:rsidRPr="008C4669">
        <w:rPr>
          <w:rFonts w:eastAsia="Times New Roman"/>
          <w:bCs/>
          <w:szCs w:val="20"/>
        </w:rPr>
        <w:t>yes</w:t>
      </w:r>
      <w:r w:rsidR="00522E29" w:rsidRPr="008C4669">
        <w:rPr>
          <w:rFonts w:eastAsia="Times New Roman"/>
          <w:bCs/>
          <w:szCs w:val="20"/>
        </w:rPr>
        <w:t xml:space="preserve">: </w:t>
      </w:r>
      <w:r w:rsidRPr="008C4669">
        <w:rPr>
          <w:rFonts w:eastAsia="Times New Roman"/>
          <w:bCs/>
          <w:szCs w:val="20"/>
        </w:rPr>
        <w:t xml:space="preserve"> </w:t>
      </w:r>
      <w:r w:rsidR="00651DCA" w:rsidRPr="00651DCA">
        <w:rPr>
          <w:rFonts w:eastAsia="Times New Roman"/>
          <w:bCs/>
          <w:szCs w:val="20"/>
        </w:rPr>
        <w:t>100 mg mild</w:t>
      </w:r>
    </w:p>
    <w:p w14:paraId="05361726" w14:textId="77777777" w:rsidR="00EE1F37" w:rsidRPr="008C4669" w:rsidRDefault="00EE1F37" w:rsidP="009F4E12">
      <w:pPr>
        <w:widowControl/>
        <w:spacing w:before="6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Respiratory </w:t>
      </w:r>
      <w:r w:rsidR="0048509D">
        <w:rPr>
          <w:rFonts w:eastAsia="Times New Roman"/>
          <w:b/>
          <w:bCs/>
          <w:szCs w:val="20"/>
        </w:rPr>
        <w:t>S</w:t>
      </w:r>
      <w:r w:rsidRPr="008C4669">
        <w:rPr>
          <w:rFonts w:eastAsia="Times New Roman"/>
          <w:b/>
          <w:bCs/>
          <w:szCs w:val="20"/>
        </w:rPr>
        <w:t>ensitization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01504A" w:rsidRPr="008C4669">
        <w:rPr>
          <w:rFonts w:eastAsia="Times New Roman"/>
          <w:bCs/>
          <w:szCs w:val="20"/>
        </w:rPr>
        <w:t xml:space="preserve">  </w:t>
      </w:r>
      <w:r w:rsidR="004355ED" w:rsidRPr="008C4669">
        <w:rPr>
          <w:rFonts w:eastAsia="Times New Roman"/>
          <w:bCs/>
          <w:szCs w:val="20"/>
        </w:rPr>
        <w:t>No data available.</w:t>
      </w:r>
    </w:p>
    <w:p w14:paraId="0722B605" w14:textId="77777777" w:rsidR="00C3000E" w:rsidRPr="008C4669" w:rsidRDefault="0048509D" w:rsidP="009F4E12">
      <w:pPr>
        <w:widowControl/>
        <w:spacing w:before="60"/>
        <w:ind w:left="720" w:hanging="3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Skin S</w:t>
      </w:r>
      <w:r w:rsidR="00EE1F37" w:rsidRPr="008C4669">
        <w:rPr>
          <w:rFonts w:eastAsia="Times New Roman"/>
          <w:b/>
          <w:bCs/>
          <w:szCs w:val="20"/>
        </w:rPr>
        <w:t>ensitization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</w:t>
      </w:r>
      <w:r w:rsidR="0001504A" w:rsidRPr="008C4669">
        <w:rPr>
          <w:rFonts w:eastAsia="Times New Roman"/>
          <w:bCs/>
          <w:szCs w:val="20"/>
        </w:rPr>
        <w:t xml:space="preserve"> </w:t>
      </w:r>
      <w:r w:rsidR="004355ED" w:rsidRPr="008C4669">
        <w:rPr>
          <w:rFonts w:eastAsia="Times New Roman"/>
          <w:bCs/>
          <w:szCs w:val="20"/>
        </w:rPr>
        <w:t>No data available.</w:t>
      </w:r>
    </w:p>
    <w:p w14:paraId="59AD8D8B" w14:textId="77777777" w:rsidR="00DA74AE" w:rsidRPr="008C4669" w:rsidRDefault="00EE1F37" w:rsidP="009F4E12">
      <w:pPr>
        <w:widowControl/>
        <w:spacing w:before="6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Germ Cell Mutagenicity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 </w:t>
      </w:r>
      <w:r w:rsidR="004355ED" w:rsidRPr="008C4669">
        <w:rPr>
          <w:rFonts w:eastAsia="Times New Roman"/>
          <w:bCs/>
          <w:szCs w:val="20"/>
        </w:rPr>
        <w:t>No data available.</w:t>
      </w:r>
    </w:p>
    <w:p w14:paraId="721C0262" w14:textId="77777777" w:rsidR="00EE1F37" w:rsidRPr="00B07BF3" w:rsidRDefault="00EE1F37" w:rsidP="009F4E12">
      <w:pPr>
        <w:widowControl/>
        <w:spacing w:before="60"/>
        <w:ind w:left="720" w:hanging="360"/>
        <w:rPr>
          <w:rFonts w:eastAsia="Times New Roman"/>
          <w:bCs/>
          <w:szCs w:val="20"/>
        </w:rPr>
      </w:pPr>
      <w:r w:rsidRPr="00B07BF3">
        <w:rPr>
          <w:rFonts w:eastAsia="Times New Roman"/>
          <w:b/>
          <w:bCs/>
          <w:szCs w:val="20"/>
        </w:rPr>
        <w:t>Carcinogenicity</w:t>
      </w:r>
      <w:r w:rsidR="00405269" w:rsidRPr="00B07BF3">
        <w:rPr>
          <w:rFonts w:eastAsia="Times New Roman"/>
          <w:b/>
          <w:bCs/>
          <w:szCs w:val="20"/>
        </w:rPr>
        <w:t>:</w:t>
      </w:r>
      <w:r w:rsidR="008F1308" w:rsidRPr="00B07BF3">
        <w:rPr>
          <w:rFonts w:eastAsia="Times New Roman"/>
          <w:bCs/>
          <w:szCs w:val="20"/>
        </w:rPr>
        <w:t xml:space="preserve">  </w:t>
      </w:r>
      <w:r w:rsidR="0048509D" w:rsidRPr="00B07BF3">
        <w:rPr>
          <w:rFonts w:eastAsia="Times New Roman"/>
          <w:bCs/>
          <w:szCs w:val="20"/>
        </w:rPr>
        <w:t>Not classified</w:t>
      </w:r>
      <w:r w:rsidR="008F1308" w:rsidRPr="00B07BF3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76"/>
        <w:gridCol w:w="1440"/>
        <w:gridCol w:w="576"/>
        <w:gridCol w:w="720"/>
      </w:tblGrid>
      <w:tr w:rsidR="00CA4187" w:rsidRPr="00B07BF3" w14:paraId="4B144EC6" w14:textId="77777777" w:rsidTr="00C67550">
        <w:tc>
          <w:tcPr>
            <w:tcW w:w="4698" w:type="dxa"/>
          </w:tcPr>
          <w:p w14:paraId="3794513A" w14:textId="77777777" w:rsidR="00CA4187" w:rsidRPr="00B07BF3" w:rsidRDefault="00CA4187" w:rsidP="00C866ED">
            <w:pPr>
              <w:widowControl/>
              <w:ind w:left="252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B07BF3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B07BF3">
              <w:rPr>
                <w:rFonts w:eastAsia="Times New Roman"/>
                <w:b/>
                <w:bCs/>
                <w:szCs w:val="20"/>
              </w:rPr>
              <w:t>i</w:t>
            </w:r>
            <w:r w:rsidRPr="00B07BF3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B07BF3">
              <w:rPr>
                <w:rFonts w:eastAsia="Times New Roman"/>
                <w:b/>
                <w:bCs/>
                <w:szCs w:val="20"/>
              </w:rPr>
              <w:t>ed</w:t>
            </w:r>
            <w:r w:rsidRPr="00B07BF3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B07BF3">
              <w:rPr>
                <w:rFonts w:eastAsia="Times New Roman"/>
                <w:b/>
                <w:bCs/>
                <w:szCs w:val="20"/>
              </w:rPr>
              <w:t>s</w:t>
            </w:r>
            <w:r w:rsidRPr="00B07BF3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B07BF3">
              <w:rPr>
                <w:rFonts w:eastAsia="Times New Roman"/>
                <w:b/>
                <w:bCs/>
                <w:szCs w:val="20"/>
              </w:rPr>
              <w:t>a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B07BF3">
              <w:rPr>
                <w:rFonts w:eastAsia="Times New Roman"/>
                <w:b/>
                <w:bCs/>
                <w:szCs w:val="20"/>
              </w:rPr>
              <w:t>C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B07BF3">
              <w:rPr>
                <w:rFonts w:eastAsia="Times New Roman"/>
                <w:b/>
                <w:bCs/>
                <w:szCs w:val="20"/>
              </w:rPr>
              <w:t>rcin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B07BF3">
              <w:rPr>
                <w:rFonts w:eastAsia="Times New Roman"/>
                <w:b/>
                <w:bCs/>
                <w:szCs w:val="20"/>
              </w:rPr>
              <w:t>en/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B07BF3">
              <w:rPr>
                <w:rFonts w:eastAsia="Times New Roman"/>
                <w:b/>
                <w:bCs/>
                <w:szCs w:val="20"/>
              </w:rPr>
              <w:t>en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B07BF3">
              <w:rPr>
                <w:rFonts w:eastAsia="Times New Roman"/>
                <w:b/>
                <w:bCs/>
                <w:szCs w:val="20"/>
              </w:rPr>
              <w:t>i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B07BF3">
              <w:rPr>
                <w:rFonts w:eastAsia="Times New Roman"/>
                <w:b/>
                <w:bCs/>
                <w:szCs w:val="20"/>
              </w:rPr>
              <w:t>l</w:t>
            </w:r>
            <w:r w:rsidRPr="00B07BF3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B07BF3">
              <w:rPr>
                <w:rFonts w:eastAsia="Times New Roman"/>
                <w:b/>
                <w:bCs/>
                <w:szCs w:val="20"/>
              </w:rPr>
              <w:t>C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B07BF3">
              <w:rPr>
                <w:rFonts w:eastAsia="Times New Roman"/>
                <w:b/>
                <w:bCs/>
                <w:szCs w:val="20"/>
              </w:rPr>
              <w:t>rcin</w:t>
            </w:r>
            <w:r w:rsidRPr="00B07BF3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B07BF3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4FFD0000" w14:textId="77777777" w:rsidR="00CA4187" w:rsidRPr="00B07BF3" w:rsidRDefault="00CA418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7F5E95A" w14:textId="77777777" w:rsidR="00CA4187" w:rsidRPr="00B07BF3" w:rsidRDefault="00CA418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B07BF3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7005E401" w14:textId="77777777" w:rsidR="00CA4187" w:rsidRPr="00B07BF3" w:rsidRDefault="0048509D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B07BF3"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2D08F10D" w14:textId="77777777" w:rsidR="00CA4187" w:rsidRPr="00B07BF3" w:rsidRDefault="00CA418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B07BF3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651ECD9B" w14:textId="77777777" w:rsidR="008C4669" w:rsidRDefault="00B07BF3" w:rsidP="00B07BF3">
      <w:pPr>
        <w:widowControl/>
        <w:tabs>
          <w:tab w:val="left" w:pos="720"/>
        </w:tabs>
        <w:ind w:left="720"/>
        <w:rPr>
          <w:rFonts w:eastAsia="Times New Roman"/>
          <w:bCs/>
          <w:iCs/>
          <w:szCs w:val="20"/>
        </w:rPr>
      </w:pPr>
      <w:r w:rsidRPr="00B07BF3">
        <w:rPr>
          <w:rFonts w:eastAsia="Times New Roman"/>
          <w:bCs/>
          <w:szCs w:val="20"/>
        </w:rPr>
        <w:t xml:space="preserve">Crude oils are listed by IARC as a Group 3, </w:t>
      </w:r>
      <w:r w:rsidRPr="00B07BF3">
        <w:rPr>
          <w:rFonts w:eastAsia="Times New Roman"/>
          <w:bCs/>
          <w:i/>
          <w:iCs/>
          <w:szCs w:val="20"/>
        </w:rPr>
        <w:t>not classifiable as its carcinogenicity to humans</w:t>
      </w:r>
      <w:r w:rsidRPr="00B07BF3">
        <w:rPr>
          <w:rFonts w:eastAsia="Times New Roman"/>
          <w:bCs/>
          <w:iCs/>
          <w:szCs w:val="20"/>
        </w:rPr>
        <w:t>.</w:t>
      </w:r>
    </w:p>
    <w:p w14:paraId="1D6879CF" w14:textId="18D4F5B2" w:rsidR="009A18FB" w:rsidRDefault="009A18FB" w:rsidP="001B6C4E">
      <w:pPr>
        <w:widowControl/>
        <w:tabs>
          <w:tab w:val="left" w:pos="720"/>
          <w:tab w:val="left" w:pos="1890"/>
        </w:tabs>
        <w:spacing w:before="120"/>
        <w:ind w:left="720"/>
        <w:rPr>
          <w:rFonts w:eastAsia="Times New Roman"/>
          <w:bCs/>
          <w:iCs/>
          <w:szCs w:val="20"/>
        </w:rPr>
      </w:pPr>
      <w:r w:rsidRPr="001B6C4E">
        <w:rPr>
          <w:rFonts w:eastAsia="Times New Roman"/>
          <w:b/>
          <w:bCs/>
          <w:iCs/>
          <w:szCs w:val="20"/>
        </w:rPr>
        <w:t>Tumorigenic:</w:t>
      </w:r>
      <w:r w:rsidR="001B6C4E">
        <w:rPr>
          <w:rFonts w:eastAsia="Times New Roman"/>
          <w:bCs/>
          <w:iCs/>
          <w:szCs w:val="20"/>
        </w:rPr>
        <w:tab/>
      </w:r>
      <w:r>
        <w:rPr>
          <w:rFonts w:eastAsia="Times New Roman"/>
          <w:bCs/>
          <w:iCs/>
          <w:szCs w:val="20"/>
        </w:rPr>
        <w:t xml:space="preserve">Mouse, </w:t>
      </w:r>
      <w:r w:rsidR="001B6C4E">
        <w:rPr>
          <w:rFonts w:eastAsia="Times New Roman"/>
          <w:bCs/>
          <w:iCs/>
          <w:szCs w:val="20"/>
        </w:rPr>
        <w:t>S</w:t>
      </w:r>
      <w:r>
        <w:rPr>
          <w:rFonts w:eastAsia="Times New Roman"/>
          <w:bCs/>
          <w:iCs/>
          <w:szCs w:val="20"/>
        </w:rPr>
        <w:t>kin, T</w:t>
      </w:r>
      <w:r w:rsidR="001B6C4E">
        <w:rPr>
          <w:rFonts w:eastAsia="Times New Roman"/>
          <w:bCs/>
          <w:iCs/>
          <w:szCs w:val="20"/>
        </w:rPr>
        <w:t xml:space="preserve">DLo: </w:t>
      </w:r>
      <w:r w:rsidR="001B6C4E" w:rsidRPr="001B6C4E">
        <w:rPr>
          <w:rFonts w:eastAsia="Times New Roman"/>
          <w:bCs/>
          <w:iCs/>
          <w:szCs w:val="20"/>
        </w:rPr>
        <w:t>288</w:t>
      </w:r>
      <w:r w:rsidR="001B6C4E">
        <w:rPr>
          <w:rFonts w:eastAsia="Times New Roman"/>
          <w:bCs/>
          <w:iCs/>
          <w:szCs w:val="20"/>
        </w:rPr>
        <w:t> </w:t>
      </w:r>
      <w:r w:rsidR="001B6C4E" w:rsidRPr="001B6C4E">
        <w:rPr>
          <w:rFonts w:eastAsia="Times New Roman"/>
          <w:bCs/>
          <w:iCs/>
          <w:szCs w:val="20"/>
        </w:rPr>
        <w:t>000</w:t>
      </w:r>
      <w:r w:rsidR="001B6C4E">
        <w:rPr>
          <w:rFonts w:eastAsia="Times New Roman"/>
          <w:bCs/>
          <w:iCs/>
          <w:szCs w:val="20"/>
        </w:rPr>
        <w:t> </w:t>
      </w:r>
      <w:r w:rsidR="001B6C4E" w:rsidRPr="001B6C4E">
        <w:rPr>
          <w:rFonts w:eastAsia="Times New Roman"/>
          <w:bCs/>
          <w:iCs/>
          <w:szCs w:val="20"/>
        </w:rPr>
        <w:t>mg/kg</w:t>
      </w:r>
      <w:r w:rsidR="001B6C4E">
        <w:rPr>
          <w:rFonts w:eastAsia="Times New Roman"/>
          <w:bCs/>
          <w:iCs/>
          <w:szCs w:val="20"/>
        </w:rPr>
        <w:t xml:space="preserve"> (72 weeks); 3744</w:t>
      </w:r>
      <w:r w:rsidR="00417829">
        <w:rPr>
          <w:rFonts w:eastAsia="Times New Roman"/>
          <w:bCs/>
          <w:iCs/>
          <w:szCs w:val="20"/>
        </w:rPr>
        <w:t xml:space="preserve"> mg/kg</w:t>
      </w:r>
      <w:r w:rsidR="001B6C4E">
        <w:rPr>
          <w:rFonts w:eastAsia="Times New Roman"/>
          <w:bCs/>
          <w:iCs/>
          <w:szCs w:val="20"/>
        </w:rPr>
        <w:t> (2 years)</w:t>
      </w:r>
    </w:p>
    <w:p w14:paraId="1423F4E1" w14:textId="1FD0843A" w:rsidR="001B6C4E" w:rsidRPr="00B07BF3" w:rsidRDefault="001B6C4E" w:rsidP="001B6C4E">
      <w:pPr>
        <w:widowControl/>
        <w:tabs>
          <w:tab w:val="left" w:pos="720"/>
          <w:tab w:val="left" w:pos="1890"/>
        </w:tabs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iCs/>
          <w:szCs w:val="20"/>
        </w:rPr>
        <w:tab/>
        <w:t>Rat, Intrapleural:  182g/kg (85 weeks)</w:t>
      </w:r>
    </w:p>
    <w:p w14:paraId="69C29EAE" w14:textId="77777777" w:rsidR="005A130F" w:rsidRDefault="00EE1F37" w:rsidP="009F4E12">
      <w:pPr>
        <w:widowControl/>
        <w:spacing w:before="60"/>
        <w:ind w:left="720" w:hanging="360"/>
        <w:rPr>
          <w:rFonts w:eastAsia="Times New Roman"/>
          <w:bCs/>
          <w:szCs w:val="20"/>
        </w:rPr>
      </w:pPr>
      <w:r w:rsidRPr="00B07BF3">
        <w:rPr>
          <w:rFonts w:eastAsia="Times New Roman"/>
          <w:b/>
          <w:bCs/>
          <w:szCs w:val="20"/>
        </w:rPr>
        <w:t>Reproductive Toxicity</w:t>
      </w:r>
      <w:r w:rsidR="00B208C0" w:rsidRPr="00B07BF3">
        <w:rPr>
          <w:rFonts w:eastAsia="Times New Roman"/>
          <w:b/>
          <w:bCs/>
          <w:szCs w:val="20"/>
        </w:rPr>
        <w:t>:</w:t>
      </w:r>
      <w:r w:rsidR="004355ED" w:rsidRPr="00B07BF3">
        <w:rPr>
          <w:rFonts w:eastAsia="Times New Roman"/>
          <w:bCs/>
          <w:szCs w:val="20"/>
        </w:rPr>
        <w:t xml:space="preserve"> </w:t>
      </w:r>
      <w:r w:rsidR="00B208C0" w:rsidRPr="00B07BF3">
        <w:rPr>
          <w:rFonts w:eastAsia="Times New Roman"/>
          <w:bCs/>
          <w:szCs w:val="20"/>
        </w:rPr>
        <w:t xml:space="preserve"> </w:t>
      </w:r>
      <w:r w:rsidR="005A130F">
        <w:rPr>
          <w:rFonts w:eastAsia="Times New Roman"/>
          <w:bCs/>
          <w:szCs w:val="20"/>
        </w:rPr>
        <w:t>Not classified.</w:t>
      </w:r>
    </w:p>
    <w:p w14:paraId="6A4E5E36" w14:textId="21B05ABC" w:rsidR="006B75AB" w:rsidRPr="00B07BF3" w:rsidRDefault="005A130F" w:rsidP="005A130F">
      <w:pPr>
        <w:widowControl/>
        <w:ind w:left="720"/>
        <w:rPr>
          <w:rFonts w:eastAsia="Times New Roman"/>
          <w:bCs/>
          <w:szCs w:val="20"/>
        </w:rPr>
      </w:pPr>
      <w:r w:rsidRPr="005A130F">
        <w:rPr>
          <w:rFonts w:eastAsia="Times New Roman"/>
          <w:bCs/>
          <w:szCs w:val="20"/>
        </w:rPr>
        <w:t>Rat</w:t>
      </w:r>
      <w:r>
        <w:rPr>
          <w:rFonts w:eastAsia="Times New Roman"/>
          <w:bCs/>
          <w:szCs w:val="20"/>
        </w:rPr>
        <w:t xml:space="preserve">, </w:t>
      </w:r>
      <w:r w:rsidR="001B6C4E">
        <w:rPr>
          <w:rFonts w:eastAsia="Times New Roman"/>
          <w:bCs/>
          <w:szCs w:val="20"/>
        </w:rPr>
        <w:t>S</w:t>
      </w:r>
      <w:r>
        <w:rPr>
          <w:rFonts w:eastAsia="Times New Roman"/>
          <w:bCs/>
          <w:szCs w:val="20"/>
        </w:rPr>
        <w:t>kin,</w:t>
      </w:r>
      <w:r w:rsidRPr="005A130F">
        <w:rPr>
          <w:rFonts w:eastAsia="Times New Roman"/>
          <w:bCs/>
          <w:szCs w:val="20"/>
        </w:rPr>
        <w:t xml:space="preserve"> TDLo</w:t>
      </w:r>
      <w:r>
        <w:rPr>
          <w:rFonts w:eastAsia="Times New Roman"/>
          <w:bCs/>
          <w:szCs w:val="20"/>
        </w:rPr>
        <w:t xml:space="preserve">: </w:t>
      </w:r>
      <w:r w:rsidRPr="005A130F">
        <w:rPr>
          <w:rFonts w:eastAsia="Times New Roman"/>
          <w:bCs/>
          <w:szCs w:val="20"/>
        </w:rPr>
        <w:t>200 mg/kg (pregnant 1</w:t>
      </w:r>
      <w:r>
        <w:rPr>
          <w:rFonts w:eastAsia="Times New Roman"/>
          <w:bCs/>
          <w:szCs w:val="20"/>
        </w:rPr>
        <w:t xml:space="preserve"> d to </w:t>
      </w:r>
      <w:r w:rsidRPr="005A130F">
        <w:rPr>
          <w:rFonts w:eastAsia="Times New Roman"/>
          <w:bCs/>
          <w:szCs w:val="20"/>
        </w:rPr>
        <w:t>19 d)</w:t>
      </w:r>
      <w:r>
        <w:rPr>
          <w:rFonts w:eastAsia="Times New Roman"/>
          <w:bCs/>
          <w:szCs w:val="20"/>
        </w:rPr>
        <w:t>,</w:t>
      </w:r>
      <w:r w:rsidRPr="005A130F">
        <w:rPr>
          <w:rFonts w:eastAsia="Times New Roman"/>
          <w:bCs/>
          <w:szCs w:val="20"/>
        </w:rPr>
        <w:t xml:space="preserve"> 10</w:t>
      </w:r>
      <w:r>
        <w:rPr>
          <w:rFonts w:eastAsia="Times New Roman"/>
          <w:bCs/>
          <w:szCs w:val="20"/>
        </w:rPr>
        <w:t> g</w:t>
      </w:r>
      <w:r w:rsidRPr="005A130F">
        <w:rPr>
          <w:rFonts w:eastAsia="Times New Roman"/>
          <w:bCs/>
          <w:szCs w:val="20"/>
        </w:rPr>
        <w:t xml:space="preserve">/kg </w:t>
      </w:r>
      <w:r>
        <w:rPr>
          <w:rFonts w:eastAsia="Times New Roman"/>
          <w:bCs/>
          <w:szCs w:val="20"/>
        </w:rPr>
        <w:t xml:space="preserve">(pregnant 0 to </w:t>
      </w:r>
      <w:r w:rsidRPr="005A130F">
        <w:rPr>
          <w:rFonts w:eastAsia="Times New Roman"/>
          <w:bCs/>
          <w:szCs w:val="20"/>
        </w:rPr>
        <w:t>19 d)</w:t>
      </w:r>
    </w:p>
    <w:p w14:paraId="5B813820" w14:textId="77777777" w:rsidR="004355ED" w:rsidRPr="008C4669" w:rsidRDefault="00EE1F37" w:rsidP="009F4E12">
      <w:pPr>
        <w:widowControl/>
        <w:spacing w:before="60"/>
        <w:ind w:left="720" w:hanging="360"/>
        <w:rPr>
          <w:rFonts w:eastAsia="Times New Roman"/>
          <w:bCs/>
          <w:szCs w:val="20"/>
        </w:rPr>
      </w:pPr>
      <w:r w:rsidRPr="00B07BF3">
        <w:rPr>
          <w:rFonts w:eastAsia="Times New Roman"/>
          <w:b/>
          <w:bCs/>
          <w:szCs w:val="20"/>
        </w:rPr>
        <w:t xml:space="preserve">Specific </w:t>
      </w:r>
      <w:r w:rsidR="0048509D" w:rsidRPr="00B07BF3">
        <w:rPr>
          <w:rFonts w:eastAsia="Times New Roman"/>
          <w:b/>
          <w:bCs/>
          <w:szCs w:val="20"/>
        </w:rPr>
        <w:t>Target O</w:t>
      </w:r>
      <w:r w:rsidRPr="00B07BF3">
        <w:rPr>
          <w:rFonts w:eastAsia="Times New Roman"/>
          <w:b/>
          <w:bCs/>
          <w:szCs w:val="20"/>
        </w:rPr>
        <w:t xml:space="preserve">rgan </w:t>
      </w:r>
      <w:r w:rsidR="0048509D" w:rsidRPr="00B07BF3">
        <w:rPr>
          <w:rFonts w:eastAsia="Times New Roman"/>
          <w:b/>
          <w:bCs/>
          <w:szCs w:val="20"/>
        </w:rPr>
        <w:t>T</w:t>
      </w:r>
      <w:r w:rsidRPr="00B07BF3">
        <w:rPr>
          <w:rFonts w:eastAsia="Times New Roman"/>
          <w:b/>
          <w:bCs/>
          <w:szCs w:val="20"/>
        </w:rPr>
        <w:t xml:space="preserve">oxicity, </w:t>
      </w:r>
      <w:r w:rsidR="0048509D" w:rsidRPr="00B07BF3">
        <w:rPr>
          <w:rFonts w:eastAsia="Times New Roman"/>
          <w:b/>
          <w:bCs/>
          <w:szCs w:val="20"/>
        </w:rPr>
        <w:t>Single E</w:t>
      </w:r>
      <w:r w:rsidRPr="00B07BF3">
        <w:rPr>
          <w:rFonts w:eastAsia="Times New Roman"/>
          <w:b/>
          <w:bCs/>
          <w:szCs w:val="20"/>
        </w:rPr>
        <w:t>xposure</w:t>
      </w:r>
      <w:r w:rsidR="00405269" w:rsidRPr="00B07BF3">
        <w:rPr>
          <w:rFonts w:eastAsia="Times New Roman"/>
          <w:b/>
          <w:bCs/>
          <w:szCs w:val="20"/>
        </w:rPr>
        <w:t>:</w:t>
      </w:r>
      <w:r w:rsidR="0009639E" w:rsidRPr="00B07BF3">
        <w:rPr>
          <w:rFonts w:eastAsia="Times New Roman"/>
          <w:bCs/>
          <w:szCs w:val="20"/>
        </w:rPr>
        <w:t xml:space="preserve">  </w:t>
      </w:r>
      <w:r w:rsidR="004355ED" w:rsidRPr="00B07BF3">
        <w:rPr>
          <w:rFonts w:eastAsia="Times New Roman"/>
          <w:bCs/>
          <w:szCs w:val="20"/>
        </w:rPr>
        <w:t>No data available.</w:t>
      </w:r>
    </w:p>
    <w:p w14:paraId="0752FCCB" w14:textId="77777777" w:rsidR="0063268F" w:rsidRPr="008C4669" w:rsidRDefault="0048509D" w:rsidP="009F4E12">
      <w:pPr>
        <w:widowControl/>
        <w:spacing w:before="60"/>
        <w:ind w:left="720" w:hanging="3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Specific T</w:t>
      </w:r>
      <w:r w:rsidR="00EE1F37" w:rsidRPr="008C4669">
        <w:rPr>
          <w:rFonts w:eastAsia="Times New Roman"/>
          <w:b/>
          <w:bCs/>
          <w:szCs w:val="20"/>
        </w:rPr>
        <w:t xml:space="preserve">arget </w:t>
      </w:r>
      <w:r>
        <w:rPr>
          <w:rFonts w:eastAsia="Times New Roman"/>
          <w:b/>
          <w:bCs/>
          <w:szCs w:val="20"/>
        </w:rPr>
        <w:t>Organ Toxicity, Repeated E</w:t>
      </w:r>
      <w:r w:rsidR="00EE1F37" w:rsidRPr="008C4669">
        <w:rPr>
          <w:rFonts w:eastAsia="Times New Roman"/>
          <w:b/>
          <w:bCs/>
          <w:szCs w:val="20"/>
        </w:rPr>
        <w:t>xposure</w:t>
      </w:r>
      <w:r w:rsidR="00405269" w:rsidRPr="008C4669">
        <w:rPr>
          <w:rFonts w:eastAsia="Times New Roman"/>
          <w:b/>
          <w:bCs/>
          <w:szCs w:val="20"/>
        </w:rPr>
        <w:t>:</w:t>
      </w:r>
      <w:r w:rsidR="00EC06B0" w:rsidRPr="008C4669">
        <w:rPr>
          <w:rFonts w:eastAsia="Times New Roman"/>
          <w:bCs/>
          <w:szCs w:val="20"/>
        </w:rPr>
        <w:t xml:space="preserve">  </w:t>
      </w:r>
      <w:r w:rsidR="008C4669" w:rsidRPr="008C4669">
        <w:rPr>
          <w:rFonts w:eastAsia="Times New Roman"/>
          <w:bCs/>
          <w:szCs w:val="20"/>
        </w:rPr>
        <w:t>No data available.</w:t>
      </w:r>
    </w:p>
    <w:p w14:paraId="15B8B112" w14:textId="77777777" w:rsidR="004521E9" w:rsidRPr="00B7052B" w:rsidRDefault="0048509D" w:rsidP="009F4E12">
      <w:pPr>
        <w:widowControl/>
        <w:spacing w:before="60" w:after="120"/>
        <w:ind w:left="3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Aspiration H</w:t>
      </w:r>
      <w:r w:rsidR="00EE1F37" w:rsidRPr="008C4669">
        <w:rPr>
          <w:rFonts w:eastAsia="Times New Roman"/>
          <w:b/>
          <w:bCs/>
          <w:szCs w:val="20"/>
        </w:rPr>
        <w:t>azard</w:t>
      </w:r>
      <w:r w:rsidR="00405269" w:rsidRPr="008C4669">
        <w:rPr>
          <w:rFonts w:eastAsia="Times New Roman"/>
          <w:b/>
          <w:bCs/>
          <w:szCs w:val="20"/>
        </w:rPr>
        <w:t>:</w:t>
      </w:r>
      <w:r w:rsidR="00405269" w:rsidRPr="008C4669">
        <w:rPr>
          <w:rFonts w:eastAsia="Times New Roman"/>
          <w:bCs/>
          <w:szCs w:val="20"/>
        </w:rPr>
        <w:t xml:space="preserve"> </w:t>
      </w:r>
      <w:r w:rsidR="00B7052B" w:rsidRPr="008C4669">
        <w:t xml:space="preserve"> </w:t>
      </w:r>
      <w:r w:rsidR="0021772B" w:rsidRPr="008C4669">
        <w:t>No</w:t>
      </w:r>
      <w:r w:rsidR="00D22C9B" w:rsidRPr="008C4669">
        <w:t>t applicable</w:t>
      </w:r>
      <w:r w:rsidR="00AB1DE0" w:rsidRPr="008C4669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3037551A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696DB14A" w14:textId="77777777" w:rsidR="004521E9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99DA605" w14:textId="4023BF71" w:rsidR="00C82019" w:rsidRPr="00D22C9B" w:rsidRDefault="004521E9" w:rsidP="005D20D8">
      <w:pPr>
        <w:keepNext/>
        <w:widowControl/>
        <w:spacing w:before="120"/>
        <w:rPr>
          <w:rFonts w:eastAsia="Times New Roman"/>
          <w:bCs/>
          <w:spacing w:val="-1"/>
          <w:szCs w:val="20"/>
        </w:rPr>
      </w:pPr>
      <w:r w:rsidRPr="00B07BF3">
        <w:rPr>
          <w:rFonts w:eastAsia="Times New Roman"/>
          <w:b/>
          <w:bCs/>
          <w:spacing w:val="-1"/>
          <w:szCs w:val="20"/>
        </w:rPr>
        <w:t>E</w:t>
      </w:r>
      <w:r w:rsidRPr="00B07BF3">
        <w:rPr>
          <w:rFonts w:eastAsia="Times New Roman"/>
          <w:b/>
          <w:bCs/>
          <w:szCs w:val="20"/>
        </w:rPr>
        <w:t>c</w:t>
      </w:r>
      <w:r w:rsidRPr="00B07BF3">
        <w:rPr>
          <w:rFonts w:eastAsia="Times New Roman"/>
          <w:b/>
          <w:bCs/>
          <w:spacing w:val="1"/>
          <w:szCs w:val="20"/>
        </w:rPr>
        <w:t>oto</w:t>
      </w:r>
      <w:r w:rsidRPr="00B07BF3">
        <w:rPr>
          <w:rFonts w:eastAsia="Times New Roman"/>
          <w:b/>
          <w:bCs/>
          <w:spacing w:val="-1"/>
          <w:szCs w:val="20"/>
        </w:rPr>
        <w:t>x</w:t>
      </w:r>
      <w:r w:rsidRPr="00B07BF3">
        <w:rPr>
          <w:rFonts w:eastAsia="Times New Roman"/>
          <w:b/>
          <w:bCs/>
          <w:szCs w:val="20"/>
        </w:rPr>
        <w:t>ici</w:t>
      </w:r>
      <w:r w:rsidRPr="00B07BF3">
        <w:rPr>
          <w:rFonts w:eastAsia="Times New Roman"/>
          <w:b/>
          <w:bCs/>
          <w:spacing w:val="1"/>
          <w:szCs w:val="20"/>
        </w:rPr>
        <w:t>t</w:t>
      </w:r>
      <w:r w:rsidRPr="00B07BF3">
        <w:rPr>
          <w:rFonts w:eastAsia="Times New Roman"/>
          <w:b/>
          <w:bCs/>
          <w:szCs w:val="20"/>
        </w:rPr>
        <w:t>y</w:t>
      </w:r>
      <w:r w:rsidRPr="00B07BF3">
        <w:rPr>
          <w:rFonts w:eastAsia="Times New Roman"/>
          <w:b/>
          <w:bCs/>
          <w:spacing w:val="-8"/>
          <w:szCs w:val="20"/>
        </w:rPr>
        <w:t xml:space="preserve"> </w:t>
      </w:r>
      <w:r w:rsidRPr="00B07BF3">
        <w:rPr>
          <w:rFonts w:eastAsia="Times New Roman"/>
          <w:b/>
          <w:bCs/>
          <w:szCs w:val="20"/>
        </w:rPr>
        <w:t>D</w:t>
      </w:r>
      <w:r w:rsidRPr="00B07BF3">
        <w:rPr>
          <w:rFonts w:eastAsia="Times New Roman"/>
          <w:b/>
          <w:bCs/>
          <w:spacing w:val="1"/>
          <w:szCs w:val="20"/>
        </w:rPr>
        <w:t>at</w:t>
      </w:r>
      <w:r w:rsidRPr="00B07BF3">
        <w:rPr>
          <w:rFonts w:eastAsia="Times New Roman"/>
          <w:b/>
          <w:bCs/>
          <w:szCs w:val="20"/>
        </w:rPr>
        <w:t>a</w:t>
      </w:r>
      <w:r w:rsidR="005A130F">
        <w:rPr>
          <w:rFonts w:eastAsia="Times New Roman"/>
          <w:b/>
          <w:bCs/>
          <w:szCs w:val="20"/>
        </w:rPr>
        <w:t>:</w:t>
      </w:r>
      <w:r w:rsidR="005D20D8" w:rsidRPr="005D20D8">
        <w:rPr>
          <w:rFonts w:eastAsia="Times New Roman"/>
          <w:bCs/>
          <w:szCs w:val="20"/>
        </w:rPr>
        <w:t xml:space="preserve">  </w:t>
      </w:r>
      <w:r w:rsidR="00B07BF3" w:rsidRPr="00B07BF3">
        <w:rPr>
          <w:rFonts w:eastAsia="Times New Roman"/>
          <w:bCs/>
          <w:spacing w:val="-1"/>
          <w:szCs w:val="20"/>
        </w:rPr>
        <w:t>Invertebrate:</w:t>
      </w:r>
      <w:r w:rsidR="002779BE" w:rsidRPr="00B07BF3">
        <w:rPr>
          <w:rFonts w:eastAsia="Times New Roman"/>
          <w:bCs/>
          <w:spacing w:val="-1"/>
          <w:szCs w:val="20"/>
        </w:rPr>
        <w:t xml:space="preserve"> </w:t>
      </w:r>
      <w:r w:rsidR="00B07BF3" w:rsidRPr="00B07BF3">
        <w:rPr>
          <w:rFonts w:eastAsia="Times New Roman"/>
          <w:bCs/>
          <w:spacing w:val="-1"/>
          <w:szCs w:val="20"/>
        </w:rPr>
        <w:t>Water flea (</w:t>
      </w:r>
      <w:r w:rsidR="00B07BF3" w:rsidRPr="00B07BF3">
        <w:rPr>
          <w:rFonts w:eastAsia="Times New Roman"/>
          <w:bCs/>
          <w:i/>
          <w:spacing w:val="-1"/>
          <w:szCs w:val="20"/>
        </w:rPr>
        <w:t>Daphnia magna</w:t>
      </w:r>
      <w:r w:rsidR="00B07BF3" w:rsidRPr="00B07BF3">
        <w:rPr>
          <w:rFonts w:eastAsia="Times New Roman"/>
          <w:bCs/>
          <w:spacing w:val="-1"/>
          <w:szCs w:val="20"/>
        </w:rPr>
        <w:t>)</w:t>
      </w:r>
      <w:r w:rsidR="00C82019" w:rsidRPr="00B07BF3">
        <w:rPr>
          <w:rFonts w:eastAsia="Times New Roman"/>
          <w:bCs/>
          <w:spacing w:val="-1"/>
          <w:szCs w:val="20"/>
        </w:rPr>
        <w:t xml:space="preserve">, </w:t>
      </w:r>
      <w:r w:rsidR="00B07BF3" w:rsidRPr="00B07BF3">
        <w:rPr>
          <w:rFonts w:eastAsia="Times New Roman"/>
          <w:bCs/>
          <w:spacing w:val="-1"/>
          <w:szCs w:val="20"/>
        </w:rPr>
        <w:t>E</w:t>
      </w:r>
      <w:r w:rsidR="00C82019" w:rsidRPr="00B07BF3">
        <w:rPr>
          <w:rFonts w:eastAsia="Times New Roman"/>
          <w:bCs/>
          <w:spacing w:val="-1"/>
          <w:szCs w:val="20"/>
        </w:rPr>
        <w:t xml:space="preserve">C50:  </w:t>
      </w:r>
      <w:r w:rsidR="00B07BF3" w:rsidRPr="00B07BF3">
        <w:rPr>
          <w:rFonts w:eastAsia="Times New Roman"/>
          <w:bCs/>
          <w:spacing w:val="-1"/>
          <w:szCs w:val="20"/>
        </w:rPr>
        <w:t>&lt;0.26 mg/L</w:t>
      </w:r>
      <w:r w:rsidR="00C82019" w:rsidRPr="00B07BF3">
        <w:rPr>
          <w:rFonts w:eastAsia="Times New Roman"/>
          <w:bCs/>
          <w:spacing w:val="-1"/>
          <w:szCs w:val="20"/>
        </w:rPr>
        <w:t>, static</w:t>
      </w:r>
      <w:r w:rsidR="00B07BF3" w:rsidRPr="00B07BF3">
        <w:rPr>
          <w:rFonts w:eastAsia="Times New Roman"/>
          <w:bCs/>
          <w:spacing w:val="-1"/>
          <w:szCs w:val="20"/>
        </w:rPr>
        <w:t xml:space="preserve"> (</w:t>
      </w:r>
      <w:r w:rsidR="005F1008" w:rsidRPr="00B07BF3">
        <w:rPr>
          <w:rFonts w:eastAsia="Times New Roman"/>
          <w:bCs/>
          <w:spacing w:val="-1"/>
          <w:szCs w:val="20"/>
        </w:rPr>
        <w:t>48</w:t>
      </w:r>
      <w:r w:rsidR="005F1008">
        <w:rPr>
          <w:rFonts w:eastAsia="Times New Roman"/>
          <w:bCs/>
          <w:spacing w:val="-1"/>
          <w:szCs w:val="20"/>
        </w:rPr>
        <w:t> </w:t>
      </w:r>
      <w:r w:rsidR="00C82019" w:rsidRPr="00B07BF3">
        <w:rPr>
          <w:rFonts w:eastAsia="Times New Roman"/>
          <w:bCs/>
          <w:spacing w:val="-1"/>
          <w:szCs w:val="20"/>
        </w:rPr>
        <w:t>h)</w:t>
      </w:r>
      <w:r w:rsidR="002779BE" w:rsidRPr="00B07BF3">
        <w:rPr>
          <w:rFonts w:eastAsia="Times New Roman"/>
          <w:bCs/>
          <w:spacing w:val="-1"/>
          <w:szCs w:val="20"/>
        </w:rPr>
        <w:t>.</w:t>
      </w:r>
    </w:p>
    <w:p w14:paraId="7FF6B779" w14:textId="74050AF8" w:rsidR="004521E9" w:rsidRPr="0009639E" w:rsidRDefault="004521E9" w:rsidP="00AA55EE">
      <w:pPr>
        <w:widowControl/>
        <w:spacing w:before="60"/>
        <w:rPr>
          <w:rFonts w:eastAsia="Times New Roman"/>
          <w:b/>
          <w:bCs/>
          <w:spacing w:val="-1"/>
          <w:szCs w:val="20"/>
        </w:rPr>
      </w:pPr>
      <w:r w:rsidRPr="00125FD4">
        <w:rPr>
          <w:rFonts w:eastAsia="Times New Roman"/>
          <w:b/>
          <w:bCs/>
          <w:spacing w:val="-1"/>
          <w:szCs w:val="20"/>
        </w:rPr>
        <w:t>Persi</w:t>
      </w:r>
      <w:r>
        <w:rPr>
          <w:rFonts w:eastAsia="Times New Roman"/>
          <w:b/>
          <w:bCs/>
          <w:spacing w:val="-1"/>
          <w:szCs w:val="20"/>
        </w:rPr>
        <w:t>s</w:t>
      </w:r>
      <w:r w:rsidRPr="00125FD4">
        <w:rPr>
          <w:rFonts w:eastAsia="Times New Roman"/>
          <w:b/>
          <w:bCs/>
          <w:spacing w:val="-1"/>
          <w:szCs w:val="20"/>
        </w:rPr>
        <w:t>tence and Degradability</w:t>
      </w:r>
      <w:r>
        <w:rPr>
          <w:rFonts w:eastAsia="Times New Roman"/>
          <w:b/>
          <w:bCs/>
          <w:spacing w:val="-1"/>
          <w:szCs w:val="20"/>
        </w:rPr>
        <w:t>:</w:t>
      </w:r>
      <w:r w:rsidR="0009639E" w:rsidRPr="0009639E">
        <w:rPr>
          <w:rFonts w:eastAsia="Times New Roman"/>
          <w:bCs/>
          <w:spacing w:val="-1"/>
          <w:szCs w:val="20"/>
        </w:rPr>
        <w:t xml:space="preserve">  </w:t>
      </w:r>
      <w:r w:rsidR="00B7052B">
        <w:rPr>
          <w:rFonts w:eastAsia="Times New Roman"/>
          <w:bCs/>
          <w:spacing w:val="-1"/>
          <w:szCs w:val="20"/>
        </w:rPr>
        <w:t>No data available</w:t>
      </w:r>
      <w:r w:rsidR="0009639E">
        <w:rPr>
          <w:rFonts w:eastAsia="Times New Roman"/>
          <w:bCs/>
          <w:spacing w:val="-1"/>
          <w:szCs w:val="20"/>
        </w:rPr>
        <w:t>.</w:t>
      </w:r>
    </w:p>
    <w:p w14:paraId="36E99CDC" w14:textId="77777777" w:rsidR="00EE34CA" w:rsidRPr="0009639E" w:rsidRDefault="004521E9" w:rsidP="00AA55EE">
      <w:pPr>
        <w:widowControl/>
        <w:spacing w:before="60"/>
        <w:rPr>
          <w:rFonts w:eastAsia="Times New Roman"/>
          <w:b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Bioaccumulative Potential:</w:t>
      </w:r>
      <w:r w:rsidR="00652654">
        <w:rPr>
          <w:rFonts w:eastAsia="Times New Roman"/>
          <w:bCs/>
          <w:spacing w:val="-1"/>
          <w:szCs w:val="20"/>
        </w:rPr>
        <w:t xml:space="preserve">  </w:t>
      </w:r>
      <w:r w:rsidR="00EE34CA">
        <w:rPr>
          <w:rFonts w:eastAsia="Times New Roman"/>
          <w:bCs/>
          <w:spacing w:val="-1"/>
          <w:szCs w:val="20"/>
        </w:rPr>
        <w:t>No data available.</w:t>
      </w:r>
    </w:p>
    <w:p w14:paraId="3B338029" w14:textId="77777777" w:rsidR="004521E9" w:rsidRDefault="004521E9" w:rsidP="00AA55EE">
      <w:pPr>
        <w:widowControl/>
        <w:spacing w:before="60"/>
        <w:rPr>
          <w:rFonts w:eastAsia="Times New Roman"/>
          <w:b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Mobility in Soil:</w:t>
      </w:r>
      <w:r w:rsidR="0009639E" w:rsidRPr="0009639E">
        <w:rPr>
          <w:rFonts w:eastAsia="Times New Roman"/>
          <w:bCs/>
          <w:spacing w:val="-1"/>
          <w:szCs w:val="20"/>
        </w:rPr>
        <w:t xml:space="preserve">  </w:t>
      </w:r>
      <w:r w:rsidR="00B7052B">
        <w:rPr>
          <w:rFonts w:eastAsia="Times New Roman"/>
          <w:bCs/>
          <w:spacing w:val="-1"/>
          <w:szCs w:val="20"/>
        </w:rPr>
        <w:t>No data available.</w:t>
      </w:r>
    </w:p>
    <w:p w14:paraId="41C86F60" w14:textId="77777777" w:rsidR="004521E9" w:rsidRPr="00B7052B" w:rsidRDefault="004521E9" w:rsidP="00AA55EE">
      <w:pPr>
        <w:widowControl/>
        <w:spacing w:before="60" w:after="120"/>
        <w:rPr>
          <w:rFonts w:eastAsia="Times New Roman"/>
          <w:b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Other Adverse effects:</w:t>
      </w:r>
      <w:r>
        <w:rPr>
          <w:rFonts w:eastAsia="Times New Roman"/>
          <w:bCs/>
          <w:spacing w:val="-1"/>
          <w:szCs w:val="20"/>
        </w:rPr>
        <w:t xml:space="preserve">  </w:t>
      </w:r>
      <w:r w:rsidR="00B7052B">
        <w:rPr>
          <w:rFonts w:eastAsia="Times New Roman"/>
          <w:bCs/>
          <w:spacing w:val="-1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6DB20EE5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41657E7B" w14:textId="77777777" w:rsidR="004521E9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2F25BB4" w14:textId="5060F8AA" w:rsidR="005D20D8" w:rsidRDefault="004521E9" w:rsidP="006B75AB">
      <w:pPr>
        <w:widowControl/>
        <w:spacing w:before="120" w:after="120"/>
        <w:rPr>
          <w:rFonts w:eastAsia="Times New Roman"/>
          <w:szCs w:val="20"/>
        </w:rPr>
      </w:pPr>
      <w:r w:rsidRPr="00BA3B52">
        <w:rPr>
          <w:rFonts w:eastAsia="Times New Roman"/>
          <w:b/>
          <w:bCs/>
          <w:szCs w:val="20"/>
        </w:rPr>
        <w:t>W</w:t>
      </w:r>
      <w:r w:rsidRPr="00BA3B52">
        <w:rPr>
          <w:rFonts w:eastAsia="Times New Roman"/>
          <w:b/>
          <w:bCs/>
          <w:spacing w:val="1"/>
          <w:szCs w:val="20"/>
        </w:rPr>
        <w:t>a</w:t>
      </w:r>
      <w:r w:rsidRPr="00BA3B52">
        <w:rPr>
          <w:rFonts w:eastAsia="Times New Roman"/>
          <w:b/>
          <w:bCs/>
          <w:spacing w:val="-1"/>
          <w:szCs w:val="20"/>
        </w:rPr>
        <w:t>s</w:t>
      </w:r>
      <w:r w:rsidRPr="00BA3B52">
        <w:rPr>
          <w:rFonts w:eastAsia="Times New Roman"/>
          <w:b/>
          <w:bCs/>
          <w:spacing w:val="1"/>
          <w:szCs w:val="20"/>
        </w:rPr>
        <w:t>t</w:t>
      </w:r>
      <w:r w:rsidRPr="00BA3B52">
        <w:rPr>
          <w:rFonts w:eastAsia="Times New Roman"/>
          <w:b/>
          <w:bCs/>
          <w:szCs w:val="20"/>
        </w:rPr>
        <w:t>e</w:t>
      </w:r>
      <w:r w:rsidRPr="00BA3B52">
        <w:rPr>
          <w:rFonts w:eastAsia="Times New Roman"/>
          <w:b/>
          <w:bCs/>
          <w:spacing w:val="5"/>
          <w:szCs w:val="20"/>
        </w:rPr>
        <w:t xml:space="preserve"> </w:t>
      </w:r>
      <w:r w:rsidRPr="00BA3B52">
        <w:rPr>
          <w:rFonts w:eastAsia="Times New Roman"/>
          <w:b/>
          <w:bCs/>
          <w:szCs w:val="20"/>
        </w:rPr>
        <w:t>Di</w:t>
      </w:r>
      <w:r w:rsidRPr="00BA3B52">
        <w:rPr>
          <w:rFonts w:eastAsia="Times New Roman"/>
          <w:b/>
          <w:bCs/>
          <w:spacing w:val="-1"/>
          <w:szCs w:val="20"/>
        </w:rPr>
        <w:t>s</w:t>
      </w:r>
      <w:r w:rsidRPr="00BA3B52">
        <w:rPr>
          <w:rFonts w:eastAsia="Times New Roman"/>
          <w:b/>
          <w:bCs/>
          <w:szCs w:val="20"/>
        </w:rPr>
        <w:t>p</w:t>
      </w:r>
      <w:r w:rsidRPr="00BA3B52">
        <w:rPr>
          <w:rFonts w:eastAsia="Times New Roman"/>
          <w:b/>
          <w:bCs/>
          <w:spacing w:val="1"/>
          <w:szCs w:val="20"/>
        </w:rPr>
        <w:t>o</w:t>
      </w:r>
      <w:r w:rsidRPr="00BA3B52">
        <w:rPr>
          <w:rFonts w:eastAsia="Times New Roman"/>
          <w:b/>
          <w:bCs/>
          <w:spacing w:val="-1"/>
          <w:szCs w:val="20"/>
        </w:rPr>
        <w:t>s</w:t>
      </w:r>
      <w:r w:rsidRPr="00BA3B52">
        <w:rPr>
          <w:rFonts w:eastAsia="Times New Roman"/>
          <w:b/>
          <w:bCs/>
          <w:spacing w:val="1"/>
          <w:szCs w:val="20"/>
        </w:rPr>
        <w:t>a</w:t>
      </w:r>
      <w:r w:rsidRPr="00BA3B52">
        <w:rPr>
          <w:rFonts w:eastAsia="Times New Roman"/>
          <w:b/>
          <w:bCs/>
          <w:szCs w:val="20"/>
        </w:rPr>
        <w:t xml:space="preserve">l: </w:t>
      </w:r>
      <w:r w:rsidRPr="00BA3B52">
        <w:rPr>
          <w:rFonts w:eastAsia="Times New Roman"/>
          <w:b/>
          <w:bCs/>
          <w:spacing w:val="13"/>
          <w:szCs w:val="20"/>
        </w:rPr>
        <w:t xml:space="preserve"> </w:t>
      </w:r>
      <w:r w:rsidRPr="00BA3B52">
        <w:rPr>
          <w:rFonts w:eastAsia="Times New Roman"/>
          <w:szCs w:val="20"/>
        </w:rPr>
        <w:t>Di</w:t>
      </w:r>
      <w:r w:rsidRPr="00BA3B52">
        <w:rPr>
          <w:rFonts w:eastAsia="Times New Roman"/>
          <w:spacing w:val="-1"/>
          <w:szCs w:val="20"/>
        </w:rPr>
        <w:t>s</w:t>
      </w:r>
      <w:r w:rsidRPr="00BA3B52">
        <w:rPr>
          <w:rFonts w:eastAsia="Times New Roman"/>
          <w:spacing w:val="1"/>
          <w:szCs w:val="20"/>
        </w:rPr>
        <w:t>po</w:t>
      </w:r>
      <w:r w:rsidRPr="00BA3B52">
        <w:rPr>
          <w:rFonts w:eastAsia="Times New Roman"/>
          <w:spacing w:val="-1"/>
          <w:szCs w:val="20"/>
        </w:rPr>
        <w:t>s</w:t>
      </w:r>
      <w:r w:rsidRPr="00BA3B52">
        <w:rPr>
          <w:rFonts w:eastAsia="Times New Roman"/>
          <w:szCs w:val="20"/>
        </w:rPr>
        <w:t>e</w:t>
      </w:r>
      <w:r w:rsidRPr="00BA3B52">
        <w:rPr>
          <w:rFonts w:eastAsia="Times New Roman"/>
          <w:spacing w:val="4"/>
          <w:szCs w:val="20"/>
        </w:rPr>
        <w:t xml:space="preserve"> </w:t>
      </w:r>
      <w:r w:rsidRPr="00BA3B52">
        <w:rPr>
          <w:rFonts w:eastAsia="Times New Roman"/>
          <w:szCs w:val="20"/>
        </w:rPr>
        <w:t>in</w:t>
      </w:r>
      <w:r w:rsidRPr="00BA3B52">
        <w:rPr>
          <w:rFonts w:eastAsia="Times New Roman"/>
          <w:spacing w:val="7"/>
          <w:szCs w:val="20"/>
        </w:rPr>
        <w:t xml:space="preserve"> </w:t>
      </w:r>
      <w:r w:rsidRPr="00BA3B52">
        <w:rPr>
          <w:rFonts w:eastAsia="Times New Roman"/>
          <w:szCs w:val="20"/>
        </w:rPr>
        <w:t>acc</w:t>
      </w:r>
      <w:r w:rsidRPr="00BA3B52">
        <w:rPr>
          <w:rFonts w:eastAsia="Times New Roman"/>
          <w:spacing w:val="1"/>
          <w:szCs w:val="20"/>
        </w:rPr>
        <w:t>ord</w:t>
      </w:r>
      <w:r w:rsidRPr="00BA3B52">
        <w:rPr>
          <w:rFonts w:eastAsia="Times New Roman"/>
          <w:szCs w:val="20"/>
        </w:rPr>
        <w:t>a</w:t>
      </w:r>
      <w:r w:rsidRPr="00BA3B52">
        <w:rPr>
          <w:rFonts w:eastAsia="Times New Roman"/>
          <w:spacing w:val="-1"/>
          <w:szCs w:val="20"/>
        </w:rPr>
        <w:t>n</w:t>
      </w:r>
      <w:r w:rsidRPr="00BA3B52">
        <w:rPr>
          <w:rFonts w:eastAsia="Times New Roman"/>
          <w:szCs w:val="20"/>
        </w:rPr>
        <w:t>ce</w:t>
      </w:r>
      <w:r w:rsidRPr="00BA3B52">
        <w:rPr>
          <w:rFonts w:eastAsia="Times New Roman"/>
          <w:spacing w:val="1"/>
          <w:szCs w:val="20"/>
        </w:rPr>
        <w:t xml:space="preserve"> </w:t>
      </w:r>
      <w:r w:rsidRPr="00BA3B52">
        <w:rPr>
          <w:rFonts w:eastAsia="Times New Roman"/>
          <w:spacing w:val="-5"/>
          <w:szCs w:val="20"/>
        </w:rPr>
        <w:t>w</w:t>
      </w:r>
      <w:r w:rsidRPr="00BA3B52">
        <w:rPr>
          <w:rFonts w:eastAsia="Times New Roman"/>
          <w:szCs w:val="20"/>
        </w:rPr>
        <w:t>ith</w:t>
      </w:r>
      <w:r w:rsidRPr="00BA3B52">
        <w:rPr>
          <w:rFonts w:eastAsia="Times New Roman"/>
          <w:spacing w:val="2"/>
          <w:szCs w:val="20"/>
        </w:rPr>
        <w:t xml:space="preserve"> </w:t>
      </w:r>
      <w:r w:rsidRPr="00BA3B52">
        <w:rPr>
          <w:rFonts w:eastAsia="Times New Roman"/>
          <w:szCs w:val="20"/>
        </w:rPr>
        <w:t>all</w:t>
      </w:r>
      <w:r w:rsidRPr="00BA3B52">
        <w:rPr>
          <w:rFonts w:eastAsia="Times New Roman"/>
          <w:spacing w:val="5"/>
          <w:szCs w:val="20"/>
        </w:rPr>
        <w:t xml:space="preserve"> </w:t>
      </w:r>
      <w:r w:rsidRPr="00BA3B52">
        <w:rPr>
          <w:rFonts w:eastAsia="Times New Roman"/>
          <w:szCs w:val="20"/>
        </w:rPr>
        <w:t>a</w:t>
      </w:r>
      <w:r w:rsidRPr="00BA3B52">
        <w:rPr>
          <w:rFonts w:eastAsia="Times New Roman"/>
          <w:spacing w:val="1"/>
          <w:szCs w:val="20"/>
        </w:rPr>
        <w:t>pp</w:t>
      </w:r>
      <w:r w:rsidRPr="00BA3B52">
        <w:rPr>
          <w:rFonts w:eastAsia="Times New Roman"/>
          <w:szCs w:val="20"/>
        </w:rPr>
        <w:t>lica</w:t>
      </w:r>
      <w:r w:rsidRPr="00BA3B52">
        <w:rPr>
          <w:rFonts w:eastAsia="Times New Roman"/>
          <w:spacing w:val="1"/>
          <w:szCs w:val="20"/>
        </w:rPr>
        <w:t>b</w:t>
      </w:r>
      <w:r w:rsidRPr="00BA3B52">
        <w:rPr>
          <w:rFonts w:eastAsia="Times New Roman"/>
          <w:szCs w:val="20"/>
        </w:rPr>
        <w:t xml:space="preserve">le </w:t>
      </w:r>
      <w:r w:rsidRPr="00BA3B52">
        <w:rPr>
          <w:rFonts w:eastAsia="Times New Roman"/>
          <w:spacing w:val="-2"/>
          <w:szCs w:val="20"/>
        </w:rPr>
        <w:t>f</w:t>
      </w:r>
      <w:r w:rsidRPr="00BA3B52">
        <w:rPr>
          <w:rFonts w:eastAsia="Times New Roman"/>
          <w:szCs w:val="20"/>
        </w:rPr>
        <w:t>e</w:t>
      </w:r>
      <w:r w:rsidRPr="00BA3B52">
        <w:rPr>
          <w:rFonts w:eastAsia="Times New Roman"/>
          <w:spacing w:val="1"/>
          <w:szCs w:val="20"/>
        </w:rPr>
        <w:t>d</w:t>
      </w:r>
      <w:r w:rsidRPr="00BA3B52">
        <w:rPr>
          <w:rFonts w:eastAsia="Times New Roman"/>
          <w:szCs w:val="20"/>
        </w:rPr>
        <w:t>e</w:t>
      </w:r>
      <w:r w:rsidRPr="00BA3B52">
        <w:rPr>
          <w:rFonts w:eastAsia="Times New Roman"/>
          <w:spacing w:val="1"/>
          <w:szCs w:val="20"/>
        </w:rPr>
        <w:t>r</w:t>
      </w:r>
      <w:r w:rsidRPr="00BA3B52">
        <w:rPr>
          <w:rFonts w:eastAsia="Times New Roman"/>
          <w:szCs w:val="20"/>
        </w:rPr>
        <w:t>al,</w:t>
      </w:r>
      <w:r w:rsidRPr="00BA3B52">
        <w:rPr>
          <w:rFonts w:eastAsia="Times New Roman"/>
          <w:spacing w:val="2"/>
          <w:szCs w:val="20"/>
        </w:rPr>
        <w:t xml:space="preserve"> </w:t>
      </w:r>
      <w:r w:rsidRPr="00BA3B52">
        <w:rPr>
          <w:rFonts w:eastAsia="Times New Roman"/>
          <w:spacing w:val="-1"/>
          <w:szCs w:val="20"/>
        </w:rPr>
        <w:t>s</w:t>
      </w:r>
      <w:r w:rsidRPr="00BA3B52">
        <w:rPr>
          <w:rFonts w:eastAsia="Times New Roman"/>
          <w:szCs w:val="20"/>
        </w:rPr>
        <w:t>tate,</w:t>
      </w:r>
      <w:r w:rsidRPr="00BA3B52">
        <w:rPr>
          <w:rFonts w:eastAsia="Times New Roman"/>
          <w:spacing w:val="4"/>
          <w:szCs w:val="20"/>
        </w:rPr>
        <w:t xml:space="preserve"> </w:t>
      </w:r>
      <w:r w:rsidRPr="00BA3B52">
        <w:rPr>
          <w:rFonts w:eastAsia="Times New Roman"/>
          <w:szCs w:val="20"/>
        </w:rPr>
        <w:t>a</w:t>
      </w:r>
      <w:r w:rsidRPr="00BA3B52">
        <w:rPr>
          <w:rFonts w:eastAsia="Times New Roman"/>
          <w:spacing w:val="-1"/>
          <w:szCs w:val="20"/>
        </w:rPr>
        <w:t>n</w:t>
      </w:r>
      <w:r w:rsidRPr="00BA3B52">
        <w:rPr>
          <w:rFonts w:eastAsia="Times New Roman"/>
          <w:szCs w:val="20"/>
        </w:rPr>
        <w:t>d</w:t>
      </w:r>
      <w:r w:rsidRPr="00BA3B52">
        <w:rPr>
          <w:rFonts w:eastAsia="Times New Roman"/>
          <w:spacing w:val="6"/>
          <w:szCs w:val="20"/>
        </w:rPr>
        <w:t xml:space="preserve"> </w:t>
      </w:r>
      <w:r w:rsidRPr="00BA3B52">
        <w:rPr>
          <w:rFonts w:eastAsia="Times New Roman"/>
          <w:szCs w:val="20"/>
        </w:rPr>
        <w:t>l</w:t>
      </w:r>
      <w:r w:rsidRPr="00BA3B52">
        <w:rPr>
          <w:rFonts w:eastAsia="Times New Roman"/>
          <w:spacing w:val="1"/>
          <w:szCs w:val="20"/>
        </w:rPr>
        <w:t>o</w:t>
      </w:r>
      <w:r w:rsidRPr="00BA3B52">
        <w:rPr>
          <w:rFonts w:eastAsia="Times New Roman"/>
          <w:szCs w:val="20"/>
        </w:rPr>
        <w:t>cal</w:t>
      </w:r>
      <w:r w:rsidRPr="00BA3B52">
        <w:rPr>
          <w:rFonts w:eastAsia="Times New Roman"/>
          <w:spacing w:val="3"/>
          <w:szCs w:val="20"/>
        </w:rPr>
        <w:t xml:space="preserve"> </w:t>
      </w:r>
      <w:r w:rsidRPr="00BA3B52">
        <w:rPr>
          <w:rFonts w:eastAsia="Times New Roman"/>
          <w:spacing w:val="1"/>
          <w:szCs w:val="20"/>
        </w:rPr>
        <w:t>r</w:t>
      </w:r>
      <w:r w:rsidRPr="00BA3B52">
        <w:rPr>
          <w:rFonts w:eastAsia="Times New Roman"/>
          <w:szCs w:val="20"/>
        </w:rPr>
        <w:t>e</w:t>
      </w:r>
      <w:r w:rsidRPr="00BA3B52">
        <w:rPr>
          <w:rFonts w:eastAsia="Times New Roman"/>
          <w:spacing w:val="-1"/>
          <w:szCs w:val="20"/>
        </w:rPr>
        <w:t>gu</w:t>
      </w:r>
      <w:r w:rsidRPr="00BA3B52">
        <w:rPr>
          <w:rFonts w:eastAsia="Times New Roman"/>
          <w:szCs w:val="20"/>
        </w:rPr>
        <w:t>lati</w:t>
      </w:r>
      <w:r w:rsidRPr="00BA3B52">
        <w:rPr>
          <w:rFonts w:eastAsia="Times New Roman"/>
          <w:spacing w:val="1"/>
          <w:szCs w:val="20"/>
        </w:rPr>
        <w:t>o</w:t>
      </w:r>
      <w:r w:rsidRPr="00BA3B52">
        <w:rPr>
          <w:rFonts w:eastAsia="Times New Roman"/>
          <w:spacing w:val="-1"/>
          <w:szCs w:val="20"/>
        </w:rPr>
        <w:t>ns</w:t>
      </w:r>
      <w:r w:rsidR="001E7A76" w:rsidRPr="00BA3B52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BA3B52" w14:paraId="66F2A51A" w14:textId="77777777" w:rsidTr="005D20D8">
        <w:trPr>
          <w:trHeight w:hRule="exact" w:val="360"/>
        </w:trPr>
        <w:tc>
          <w:tcPr>
            <w:tcW w:w="9360" w:type="dxa"/>
            <w:vAlign w:val="center"/>
          </w:tcPr>
          <w:p w14:paraId="06B4F39E" w14:textId="1D6D6044" w:rsidR="004521E9" w:rsidRPr="00BA3B52" w:rsidRDefault="005D20D8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szCs w:val="20"/>
              </w:rPr>
              <w:br w:type="page"/>
            </w:r>
            <w:r w:rsidR="004521E9" w:rsidRPr="00BA3B52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="004521E9" w:rsidRPr="00BA3B52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4521E9" w:rsidRPr="00BA3B52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="004521E9" w:rsidRPr="00BA3B52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="004521E9" w:rsidRPr="00BA3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="004521E9" w:rsidRPr="00BA3B52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4521E9" w:rsidRPr="00BA3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="004521E9" w:rsidRPr="00BA3B52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="004521E9" w:rsidRPr="00BA3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="004521E9" w:rsidRPr="00BA3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="004521E9" w:rsidRPr="00BA3B52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="004521E9" w:rsidRPr="00BA3B52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="004521E9" w:rsidRPr="00BA3B5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="004521E9" w:rsidRPr="00BA3B52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="004521E9" w:rsidRPr="00BA3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="004521E9" w:rsidRPr="00BA3B52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4521E9" w:rsidRPr="00BA3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="004521E9" w:rsidRPr="00BA3B52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="004521E9" w:rsidRPr="00BA3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="004521E9" w:rsidRPr="00BA3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="004521E9" w:rsidRPr="00BA3B52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5B4B2D6" w14:textId="0F13F7BB" w:rsidR="00466137" w:rsidRPr="00BA3B52" w:rsidRDefault="004521E9" w:rsidP="008C4669">
      <w:pPr>
        <w:tabs>
          <w:tab w:val="left" w:pos="0"/>
        </w:tabs>
        <w:spacing w:before="120" w:after="120"/>
        <w:rPr>
          <w:bCs/>
        </w:rPr>
      </w:pPr>
      <w:r w:rsidRPr="00BA3B52">
        <w:rPr>
          <w:rFonts w:eastAsia="Times New Roman"/>
          <w:b/>
          <w:bCs/>
          <w:szCs w:val="20"/>
        </w:rPr>
        <w:t>U</w:t>
      </w:r>
      <w:r w:rsidRPr="00BA3B52">
        <w:rPr>
          <w:rFonts w:eastAsia="Times New Roman"/>
          <w:b/>
          <w:bCs/>
          <w:spacing w:val="1"/>
          <w:szCs w:val="20"/>
        </w:rPr>
        <w:t>.</w:t>
      </w:r>
      <w:r w:rsidRPr="00BA3B52">
        <w:rPr>
          <w:rFonts w:eastAsia="Times New Roman"/>
          <w:b/>
          <w:bCs/>
          <w:szCs w:val="20"/>
        </w:rPr>
        <w:t>S.</w:t>
      </w:r>
      <w:r w:rsidRPr="00BA3B52">
        <w:rPr>
          <w:rFonts w:eastAsia="Times New Roman"/>
          <w:b/>
          <w:bCs/>
          <w:spacing w:val="4"/>
          <w:szCs w:val="20"/>
        </w:rPr>
        <w:t xml:space="preserve"> </w:t>
      </w:r>
      <w:r w:rsidRPr="00BA3B52">
        <w:rPr>
          <w:rFonts w:eastAsia="Times New Roman"/>
          <w:b/>
          <w:bCs/>
          <w:szCs w:val="20"/>
        </w:rPr>
        <w:t>D</w:t>
      </w:r>
      <w:r w:rsidRPr="00BA3B52">
        <w:rPr>
          <w:rFonts w:eastAsia="Times New Roman"/>
          <w:b/>
          <w:bCs/>
          <w:spacing w:val="1"/>
          <w:szCs w:val="20"/>
        </w:rPr>
        <w:t>O</w:t>
      </w:r>
      <w:r w:rsidRPr="00BA3B52">
        <w:rPr>
          <w:rFonts w:eastAsia="Times New Roman"/>
          <w:b/>
          <w:bCs/>
          <w:szCs w:val="20"/>
        </w:rPr>
        <w:t>T</w:t>
      </w:r>
      <w:r w:rsidRPr="00BA3B52">
        <w:rPr>
          <w:rFonts w:eastAsia="Times New Roman"/>
          <w:b/>
          <w:bCs/>
          <w:spacing w:val="3"/>
          <w:szCs w:val="20"/>
        </w:rPr>
        <w:t xml:space="preserve"> </w:t>
      </w:r>
      <w:r w:rsidRPr="00BA3B52">
        <w:rPr>
          <w:rFonts w:eastAsia="Times New Roman"/>
          <w:b/>
          <w:bCs/>
          <w:spacing w:val="1"/>
          <w:szCs w:val="20"/>
        </w:rPr>
        <w:t>a</w:t>
      </w:r>
      <w:r w:rsidRPr="00BA3B52">
        <w:rPr>
          <w:rFonts w:eastAsia="Times New Roman"/>
          <w:b/>
          <w:bCs/>
          <w:szCs w:val="20"/>
        </w:rPr>
        <w:t>nd</w:t>
      </w:r>
      <w:r w:rsidRPr="00BA3B52">
        <w:rPr>
          <w:rFonts w:eastAsia="Times New Roman"/>
          <w:b/>
          <w:bCs/>
          <w:spacing w:val="4"/>
          <w:szCs w:val="20"/>
        </w:rPr>
        <w:t xml:space="preserve"> </w:t>
      </w:r>
      <w:r w:rsidRPr="00BA3B52">
        <w:rPr>
          <w:rFonts w:eastAsia="Times New Roman"/>
          <w:b/>
          <w:bCs/>
          <w:spacing w:val="-1"/>
          <w:szCs w:val="20"/>
        </w:rPr>
        <w:t>I</w:t>
      </w:r>
      <w:r w:rsidRPr="00BA3B52">
        <w:rPr>
          <w:rFonts w:eastAsia="Times New Roman"/>
          <w:b/>
          <w:bCs/>
          <w:szCs w:val="20"/>
        </w:rPr>
        <w:t>A</w:t>
      </w:r>
      <w:r w:rsidRPr="00BA3B52">
        <w:rPr>
          <w:rFonts w:eastAsia="Times New Roman"/>
          <w:b/>
          <w:bCs/>
          <w:spacing w:val="-1"/>
          <w:szCs w:val="20"/>
        </w:rPr>
        <w:t>T</w:t>
      </w:r>
      <w:r w:rsidRPr="00BA3B52">
        <w:rPr>
          <w:rFonts w:eastAsia="Times New Roman"/>
          <w:b/>
          <w:bCs/>
          <w:szCs w:val="20"/>
        </w:rPr>
        <w:t>A:</w:t>
      </w:r>
      <w:r w:rsidRPr="00BA3B52">
        <w:rPr>
          <w:rFonts w:eastAsia="Times New Roman"/>
          <w:bCs/>
          <w:szCs w:val="20"/>
        </w:rPr>
        <w:t xml:space="preserve"> </w:t>
      </w:r>
      <w:r w:rsidRPr="00BA3B52">
        <w:rPr>
          <w:rFonts w:eastAsia="Times New Roman"/>
          <w:bCs/>
          <w:spacing w:val="10"/>
          <w:szCs w:val="20"/>
        </w:rPr>
        <w:t xml:space="preserve"> </w:t>
      </w:r>
      <w:r w:rsidR="00BA3B52" w:rsidRPr="00BA3B52">
        <w:rPr>
          <w:bCs/>
        </w:rPr>
        <w:t>UN1267; Petroleum Crude Oil; Hazard Class 3; Packing Group II</w:t>
      </w:r>
      <w:r w:rsidR="001E7A76" w:rsidRPr="00BA3B52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4FA9EB79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003D6DCC" w14:textId="77777777" w:rsidR="003D5857" w:rsidRDefault="003D5857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BA3B52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15.</w:t>
            </w:r>
            <w:r w:rsidRPr="00BA3B52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BA3B52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BA3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BA3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BA3B52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BA3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BA3B52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BA3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BA3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BA3B52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BA3B52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BA3B5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A3B52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BA3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BA3B52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BA3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BA3B52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BA3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BA3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BA3B52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4BB5BEC" w14:textId="77777777" w:rsidR="003D5857" w:rsidRDefault="003D5857" w:rsidP="006B75AB">
      <w:pPr>
        <w:keepNext/>
        <w:widowControl/>
        <w:spacing w:before="120"/>
        <w:rPr>
          <w:rFonts w:eastAsia="Times New Roman"/>
          <w:bCs/>
          <w:spacing w:val="1"/>
          <w:position w:val="-1"/>
          <w:szCs w:val="20"/>
        </w:rPr>
      </w:pPr>
      <w:r>
        <w:rPr>
          <w:rFonts w:eastAsia="Times New Roman"/>
          <w:b/>
          <w:bCs/>
          <w:szCs w:val="20"/>
        </w:rPr>
        <w:t>U</w:t>
      </w:r>
      <w:r>
        <w:rPr>
          <w:rFonts w:eastAsia="Times New Roman"/>
          <w:b/>
          <w:bCs/>
          <w:spacing w:val="1"/>
          <w:szCs w:val="20"/>
        </w:rPr>
        <w:t>.</w:t>
      </w:r>
      <w:r>
        <w:rPr>
          <w:rFonts w:eastAsia="Times New Roman"/>
          <w:b/>
          <w:bCs/>
          <w:szCs w:val="20"/>
        </w:rPr>
        <w:t>S.</w:t>
      </w:r>
      <w:r>
        <w:rPr>
          <w:rFonts w:eastAsia="Times New Roman"/>
          <w:b/>
          <w:bCs/>
          <w:spacing w:val="-3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R</w:t>
      </w:r>
      <w:r w:rsidR="008E1B26">
        <w:rPr>
          <w:rFonts w:eastAsia="Times New Roman"/>
          <w:b/>
          <w:bCs/>
          <w:szCs w:val="20"/>
        </w:rPr>
        <w:t>egulations</w:t>
      </w:r>
    </w:p>
    <w:p w14:paraId="62C2423A" w14:textId="77777777" w:rsidR="003D5857" w:rsidRDefault="003D5857" w:rsidP="002D2549">
      <w:pPr>
        <w:widowControl/>
        <w:spacing w:before="120" w:after="120"/>
        <w:ind w:left="360"/>
        <w:rPr>
          <w:rFonts w:eastAsia="Times New Roman"/>
          <w:szCs w:val="20"/>
        </w:rPr>
      </w:pP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RC</w:t>
      </w:r>
      <w:r>
        <w:rPr>
          <w:rFonts w:eastAsia="Times New Roman"/>
          <w:spacing w:val="-2"/>
          <w:szCs w:val="20"/>
        </w:rPr>
        <w:t>L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Secti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102</w:t>
      </w:r>
      <w:r>
        <w:rPr>
          <w:rFonts w:eastAsia="Times New Roman"/>
          <w:szCs w:val="20"/>
        </w:rPr>
        <w:t>a/</w:t>
      </w:r>
      <w:r>
        <w:rPr>
          <w:rFonts w:eastAsia="Times New Roman"/>
          <w:spacing w:val="1"/>
          <w:szCs w:val="20"/>
        </w:rPr>
        <w:t>10</w:t>
      </w:r>
      <w:r>
        <w:rPr>
          <w:rFonts w:eastAsia="Times New Roman"/>
          <w:szCs w:val="20"/>
        </w:rPr>
        <w:t>3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(4</w:t>
      </w:r>
      <w:r>
        <w:rPr>
          <w:rFonts w:eastAsia="Times New Roman"/>
          <w:szCs w:val="20"/>
        </w:rPr>
        <w:t>0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FR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302.4)</w:t>
      </w:r>
      <w:r>
        <w:rPr>
          <w:rFonts w:eastAsia="Times New Roman"/>
          <w:szCs w:val="20"/>
        </w:rPr>
        <w:t>:</w:t>
      </w:r>
      <w:r w:rsidR="001E7A76">
        <w:rPr>
          <w:rFonts w:eastAsia="Times New Roman"/>
          <w:szCs w:val="20"/>
        </w:rPr>
        <w:t xml:space="preserve">  Not regulated.</w:t>
      </w:r>
    </w:p>
    <w:p w14:paraId="51738E93" w14:textId="77777777" w:rsidR="003D5857" w:rsidRDefault="003D5857" w:rsidP="002D2549">
      <w:pPr>
        <w:widowControl/>
        <w:spacing w:before="120" w:after="120"/>
        <w:ind w:left="360"/>
        <w:rPr>
          <w:rFonts w:eastAsia="Times New Roman"/>
          <w:szCs w:val="20"/>
        </w:rPr>
      </w:pPr>
      <w:r>
        <w:rPr>
          <w:rFonts w:eastAsia="Times New Roman"/>
          <w:szCs w:val="20"/>
        </w:rPr>
        <w:t>S</w:t>
      </w:r>
      <w:r>
        <w:rPr>
          <w:rFonts w:eastAsia="Times New Roman"/>
          <w:spacing w:val="-2"/>
          <w:szCs w:val="20"/>
        </w:rPr>
        <w:t>A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zCs w:val="20"/>
        </w:rPr>
        <w:t>itle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II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30</w:t>
      </w:r>
      <w:r>
        <w:rPr>
          <w:rFonts w:eastAsia="Times New Roman"/>
          <w:szCs w:val="20"/>
        </w:rPr>
        <w:t>2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(4</w:t>
      </w:r>
      <w:r>
        <w:rPr>
          <w:rFonts w:eastAsia="Times New Roman"/>
          <w:szCs w:val="20"/>
        </w:rPr>
        <w:t>0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FR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355.30)</w:t>
      </w:r>
      <w:r>
        <w:rPr>
          <w:rFonts w:eastAsia="Times New Roman"/>
          <w:szCs w:val="20"/>
        </w:rPr>
        <w:t>:</w:t>
      </w:r>
      <w:r w:rsidR="001E7A76">
        <w:rPr>
          <w:rFonts w:eastAsia="Times New Roman"/>
          <w:szCs w:val="20"/>
        </w:rPr>
        <w:t xml:space="preserve">  </w:t>
      </w:r>
      <w:r w:rsidR="00B7052B">
        <w:rPr>
          <w:rFonts w:eastAsia="Times New Roman"/>
          <w:szCs w:val="20"/>
        </w:rPr>
        <w:t>Not regulated.</w:t>
      </w:r>
    </w:p>
    <w:p w14:paraId="59317FA2" w14:textId="77777777" w:rsidR="003D5857" w:rsidRDefault="003D5857" w:rsidP="002D2549">
      <w:pPr>
        <w:widowControl/>
        <w:spacing w:before="120" w:after="120"/>
        <w:ind w:left="360"/>
        <w:rPr>
          <w:rFonts w:eastAsia="Times New Roman"/>
          <w:szCs w:val="20"/>
        </w:rPr>
      </w:pPr>
      <w:r>
        <w:rPr>
          <w:rFonts w:eastAsia="Times New Roman"/>
          <w:szCs w:val="20"/>
        </w:rPr>
        <w:t>S</w:t>
      </w:r>
      <w:r>
        <w:rPr>
          <w:rFonts w:eastAsia="Times New Roman"/>
          <w:spacing w:val="-2"/>
          <w:szCs w:val="20"/>
        </w:rPr>
        <w:t>A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zCs w:val="20"/>
        </w:rPr>
        <w:t>itle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II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30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(4</w:t>
      </w:r>
      <w:r>
        <w:rPr>
          <w:rFonts w:eastAsia="Times New Roman"/>
          <w:szCs w:val="20"/>
        </w:rPr>
        <w:t>0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FR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355.40)</w:t>
      </w:r>
      <w:r>
        <w:rPr>
          <w:rFonts w:eastAsia="Times New Roman"/>
          <w:szCs w:val="20"/>
        </w:rPr>
        <w:t>:</w:t>
      </w:r>
      <w:r w:rsidR="001E7A76">
        <w:rPr>
          <w:rFonts w:eastAsia="Times New Roman"/>
          <w:szCs w:val="20"/>
        </w:rPr>
        <w:t xml:space="preserve">  </w:t>
      </w:r>
      <w:r w:rsidR="00B7052B">
        <w:rPr>
          <w:rFonts w:eastAsia="Times New Roman"/>
          <w:szCs w:val="20"/>
        </w:rPr>
        <w:t>Not regulated.</w:t>
      </w:r>
    </w:p>
    <w:p w14:paraId="5AFA48B6" w14:textId="77777777" w:rsidR="003D5857" w:rsidRDefault="003D5857" w:rsidP="002D2549">
      <w:pPr>
        <w:widowControl/>
        <w:spacing w:before="120" w:after="120"/>
        <w:ind w:left="360"/>
        <w:rPr>
          <w:rFonts w:eastAsia="Times New Roman"/>
          <w:szCs w:val="20"/>
        </w:rPr>
      </w:pPr>
      <w:r>
        <w:rPr>
          <w:rFonts w:eastAsia="Times New Roman"/>
          <w:szCs w:val="20"/>
        </w:rPr>
        <w:t>S</w:t>
      </w:r>
      <w:r>
        <w:rPr>
          <w:rFonts w:eastAsia="Times New Roman"/>
          <w:spacing w:val="-2"/>
          <w:szCs w:val="20"/>
        </w:rPr>
        <w:t>A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zCs w:val="20"/>
        </w:rPr>
        <w:t>itle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II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31</w:t>
      </w:r>
      <w:r>
        <w:rPr>
          <w:rFonts w:eastAsia="Times New Roman"/>
          <w:szCs w:val="20"/>
        </w:rPr>
        <w:t>3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(4</w:t>
      </w:r>
      <w:r>
        <w:rPr>
          <w:rFonts w:eastAsia="Times New Roman"/>
          <w:szCs w:val="20"/>
        </w:rPr>
        <w:t>0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FR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372.65)</w:t>
      </w:r>
      <w:r>
        <w:rPr>
          <w:rFonts w:eastAsia="Times New Roman"/>
          <w:szCs w:val="20"/>
        </w:rPr>
        <w:t>:</w:t>
      </w:r>
      <w:r w:rsidR="001E7A76">
        <w:rPr>
          <w:rFonts w:eastAsia="Times New Roman"/>
          <w:szCs w:val="20"/>
        </w:rPr>
        <w:t xml:space="preserve">  Not regulated.</w:t>
      </w:r>
    </w:p>
    <w:p w14:paraId="4EC4464F" w14:textId="77777777" w:rsidR="003D5857" w:rsidRDefault="003D5857" w:rsidP="002D2549">
      <w:pPr>
        <w:widowControl/>
        <w:spacing w:before="120" w:after="120"/>
        <w:ind w:left="360"/>
        <w:rPr>
          <w:rFonts w:eastAsia="Times New Roman"/>
          <w:szCs w:val="20"/>
        </w:rPr>
      </w:pPr>
      <w:r>
        <w:rPr>
          <w:rFonts w:eastAsia="Times New Roman"/>
          <w:szCs w:val="20"/>
        </w:rPr>
        <w:t>OSHA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Sa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ety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(2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FR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1910.119)</w:t>
      </w:r>
      <w:r>
        <w:rPr>
          <w:rFonts w:eastAsia="Times New Roman"/>
          <w:szCs w:val="20"/>
        </w:rPr>
        <w:t>:</w:t>
      </w:r>
      <w:r w:rsidR="001E7A76">
        <w:rPr>
          <w:rFonts w:eastAsia="Times New Roman"/>
          <w:szCs w:val="20"/>
        </w:rPr>
        <w:t xml:space="preserve">  </w:t>
      </w:r>
      <w:r w:rsidR="00B7052B">
        <w:rPr>
          <w:rFonts w:eastAsia="Times New Roman"/>
          <w:szCs w:val="20"/>
        </w:rPr>
        <w:t>Not regulated.</w:t>
      </w:r>
    </w:p>
    <w:p w14:paraId="5ACA1685" w14:textId="77777777" w:rsidR="003D5857" w:rsidRDefault="003D5857" w:rsidP="009F4E12">
      <w:pPr>
        <w:keepNext/>
        <w:widowControl/>
        <w:spacing w:before="40"/>
        <w:ind w:left="360"/>
        <w:rPr>
          <w:rFonts w:eastAsia="Times New Roman"/>
          <w:spacing w:val="1"/>
          <w:szCs w:val="20"/>
        </w:rPr>
      </w:pPr>
      <w:r>
        <w:rPr>
          <w:rFonts w:eastAsia="Times New Roman"/>
          <w:szCs w:val="20"/>
        </w:rPr>
        <w:t>S</w:t>
      </w:r>
      <w:r>
        <w:rPr>
          <w:rFonts w:eastAsia="Times New Roman"/>
          <w:spacing w:val="-2"/>
          <w:szCs w:val="20"/>
        </w:rPr>
        <w:t>A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zCs w:val="20"/>
        </w:rPr>
        <w:t>itle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II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311</w:t>
      </w:r>
      <w:r>
        <w:rPr>
          <w:rFonts w:eastAsia="Times New Roman"/>
          <w:szCs w:val="20"/>
        </w:rPr>
        <w:t>/</w:t>
      </w:r>
      <w:r>
        <w:rPr>
          <w:rFonts w:eastAsia="Times New Roman"/>
          <w:spacing w:val="1"/>
          <w:szCs w:val="20"/>
        </w:rPr>
        <w:t>31</w:t>
      </w:r>
      <w:r>
        <w:rPr>
          <w:rFonts w:eastAsia="Times New Roman"/>
          <w:szCs w:val="20"/>
        </w:rPr>
        <w:t>2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Haza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ies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(4</w:t>
      </w:r>
      <w:r>
        <w:rPr>
          <w:rFonts w:eastAsia="Times New Roman"/>
          <w:szCs w:val="20"/>
        </w:rPr>
        <w:t>0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FR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370.21)</w:t>
      </w:r>
    </w:p>
    <w:p w14:paraId="15CED3A5" w14:textId="77777777" w:rsidR="003D5857" w:rsidRDefault="003D5857" w:rsidP="006B75AB">
      <w:pPr>
        <w:keepNext/>
        <w:widowControl/>
        <w:tabs>
          <w:tab w:val="left" w:pos="3240"/>
        </w:tabs>
        <w:spacing w:before="60"/>
        <w:ind w:left="940"/>
        <w:rPr>
          <w:rFonts w:eastAsia="Times New Roman"/>
          <w:szCs w:val="20"/>
        </w:rPr>
      </w:pPr>
      <w:r>
        <w:rPr>
          <w:rFonts w:eastAsia="Times New Roman"/>
          <w:spacing w:val="-2"/>
          <w:szCs w:val="20"/>
        </w:rPr>
        <w:t>A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U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H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2"/>
          <w:szCs w:val="20"/>
        </w:rPr>
        <w:t>AL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zCs w:val="20"/>
        </w:rPr>
        <w:t>H:</w:t>
      </w:r>
      <w:r w:rsidR="009F6A9E">
        <w:rPr>
          <w:rFonts w:eastAsia="Times New Roman"/>
          <w:szCs w:val="20"/>
        </w:rPr>
        <w:tab/>
      </w:r>
      <w:r w:rsidR="0048509D">
        <w:rPr>
          <w:rFonts w:eastAsia="Times New Roman"/>
          <w:szCs w:val="20"/>
        </w:rPr>
        <w:t>Yes</w:t>
      </w:r>
    </w:p>
    <w:p w14:paraId="3A9A26ED" w14:textId="77777777" w:rsidR="003D5857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H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ON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H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2"/>
          <w:szCs w:val="20"/>
        </w:rPr>
        <w:t>AL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zCs w:val="20"/>
        </w:rPr>
        <w:t>H:</w:t>
      </w:r>
      <w:r w:rsidR="009F6A9E">
        <w:rPr>
          <w:rFonts w:eastAsia="Times New Roman"/>
          <w:szCs w:val="20"/>
        </w:rPr>
        <w:tab/>
      </w:r>
      <w:r w:rsidR="00B7052B">
        <w:rPr>
          <w:rFonts w:eastAsia="Times New Roman"/>
          <w:szCs w:val="20"/>
        </w:rPr>
        <w:t>Yes</w:t>
      </w:r>
    </w:p>
    <w:p w14:paraId="46D41E99" w14:textId="492D417F" w:rsidR="003D5857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>
        <w:rPr>
          <w:rFonts w:eastAsia="Times New Roman"/>
          <w:szCs w:val="20"/>
        </w:rPr>
        <w:t>F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zCs w:val="20"/>
        </w:rPr>
        <w:t>:</w:t>
      </w:r>
      <w:r w:rsidR="009F6A9E">
        <w:rPr>
          <w:rFonts w:eastAsia="Times New Roman"/>
          <w:szCs w:val="20"/>
        </w:rPr>
        <w:tab/>
      </w:r>
      <w:r w:rsidR="00362040">
        <w:rPr>
          <w:rFonts w:eastAsia="Times New Roman"/>
          <w:szCs w:val="20"/>
        </w:rPr>
        <w:t>Yes</w:t>
      </w:r>
    </w:p>
    <w:p w14:paraId="52A6BEE1" w14:textId="77777777" w:rsidR="003D5857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2"/>
          <w:szCs w:val="20"/>
        </w:rPr>
        <w:t>A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V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zCs w:val="20"/>
        </w:rPr>
        <w:t>:</w:t>
      </w:r>
      <w:r w:rsidR="009F6A9E">
        <w:rPr>
          <w:rFonts w:eastAsia="Times New Roman"/>
          <w:szCs w:val="20"/>
        </w:rPr>
        <w:tab/>
        <w:t>No</w:t>
      </w:r>
    </w:p>
    <w:p w14:paraId="61F59BC6" w14:textId="77777777" w:rsidR="003D5857" w:rsidRPr="003D5857" w:rsidRDefault="003D5857" w:rsidP="006B75AB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zCs w:val="20"/>
        </w:rPr>
        <w:t>SSU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zCs w:val="20"/>
        </w:rPr>
        <w:t>:</w:t>
      </w:r>
      <w:r w:rsidR="009F6A9E">
        <w:rPr>
          <w:rFonts w:eastAsia="Times New Roman"/>
          <w:szCs w:val="20"/>
        </w:rPr>
        <w:tab/>
      </w:r>
      <w:r w:rsidR="00B7052B">
        <w:rPr>
          <w:rFonts w:eastAsia="Times New Roman"/>
          <w:szCs w:val="20"/>
        </w:rPr>
        <w:t>No</w:t>
      </w:r>
    </w:p>
    <w:p w14:paraId="2665D332" w14:textId="77777777" w:rsidR="003D5857" w:rsidRPr="0048509D" w:rsidRDefault="003D5857" w:rsidP="00E12D28">
      <w:pPr>
        <w:keepNext/>
        <w:widowControl/>
        <w:spacing w:before="60"/>
        <w:rPr>
          <w:rFonts w:eastAsia="Times New Roman"/>
          <w:szCs w:val="20"/>
        </w:rPr>
      </w:pPr>
      <w:r w:rsidRPr="0048509D">
        <w:rPr>
          <w:rFonts w:eastAsia="Times New Roman"/>
          <w:b/>
          <w:bCs/>
          <w:szCs w:val="20"/>
        </w:rPr>
        <w:t>S</w:t>
      </w:r>
      <w:r w:rsidR="008E1B26" w:rsidRPr="0048509D">
        <w:rPr>
          <w:rFonts w:eastAsia="Times New Roman"/>
          <w:b/>
          <w:bCs/>
          <w:szCs w:val="20"/>
        </w:rPr>
        <w:t>tate</w:t>
      </w:r>
      <w:r w:rsidRPr="0048509D">
        <w:rPr>
          <w:rFonts w:eastAsia="Times New Roman"/>
          <w:b/>
          <w:bCs/>
          <w:spacing w:val="-8"/>
          <w:szCs w:val="20"/>
        </w:rPr>
        <w:t xml:space="preserve"> </w:t>
      </w:r>
      <w:r w:rsidRPr="0048509D">
        <w:rPr>
          <w:rFonts w:eastAsia="Times New Roman"/>
          <w:b/>
          <w:bCs/>
          <w:szCs w:val="20"/>
        </w:rPr>
        <w:t>R</w:t>
      </w:r>
      <w:r w:rsidR="008E1B26" w:rsidRPr="0048509D">
        <w:rPr>
          <w:rFonts w:eastAsia="Times New Roman"/>
          <w:b/>
          <w:bCs/>
          <w:szCs w:val="20"/>
        </w:rPr>
        <w:t>egulations</w:t>
      </w:r>
      <w:r w:rsidR="008A57C6" w:rsidRPr="0048509D">
        <w:rPr>
          <w:rFonts w:eastAsia="Times New Roman"/>
          <w:b/>
          <w:bCs/>
          <w:szCs w:val="20"/>
        </w:rPr>
        <w:t>:</w:t>
      </w:r>
      <w:r w:rsidR="008A57C6" w:rsidRPr="0048509D">
        <w:rPr>
          <w:rFonts w:eastAsia="Times New Roman"/>
          <w:bCs/>
          <w:szCs w:val="20"/>
        </w:rPr>
        <w:t xml:space="preserve">  Not listed.</w:t>
      </w:r>
    </w:p>
    <w:p w14:paraId="2B63FDF5" w14:textId="77777777" w:rsidR="004521E9" w:rsidRPr="0048509D" w:rsidRDefault="008E1B26" w:rsidP="00E12D28">
      <w:pPr>
        <w:keepNext/>
        <w:widowControl/>
        <w:spacing w:before="60"/>
        <w:rPr>
          <w:rFonts w:eastAsia="Times New Roman"/>
          <w:bCs/>
          <w:szCs w:val="20"/>
        </w:rPr>
      </w:pPr>
      <w:r w:rsidRPr="0048509D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48509D">
        <w:rPr>
          <w:rFonts w:eastAsia="Times New Roman"/>
          <w:b/>
          <w:bCs/>
          <w:spacing w:val="-1"/>
          <w:szCs w:val="20"/>
        </w:rPr>
        <w:t>I</w:t>
      </w:r>
      <w:r w:rsidR="003D5857" w:rsidRPr="0048509D">
        <w:rPr>
          <w:rFonts w:eastAsia="Times New Roman"/>
          <w:b/>
          <w:bCs/>
          <w:szCs w:val="20"/>
        </w:rPr>
        <w:t>n</w:t>
      </w:r>
      <w:r w:rsidR="003D5857" w:rsidRPr="0048509D">
        <w:rPr>
          <w:rFonts w:eastAsia="Times New Roman"/>
          <w:b/>
          <w:bCs/>
          <w:spacing w:val="1"/>
          <w:szCs w:val="20"/>
        </w:rPr>
        <w:t>v</w:t>
      </w:r>
      <w:r w:rsidR="003D5857" w:rsidRPr="0048509D">
        <w:rPr>
          <w:rFonts w:eastAsia="Times New Roman"/>
          <w:b/>
          <w:bCs/>
          <w:szCs w:val="20"/>
        </w:rPr>
        <w:t>en</w:t>
      </w:r>
      <w:r w:rsidR="003D5857" w:rsidRPr="0048509D">
        <w:rPr>
          <w:rFonts w:eastAsia="Times New Roman"/>
          <w:b/>
          <w:bCs/>
          <w:spacing w:val="1"/>
          <w:szCs w:val="20"/>
        </w:rPr>
        <w:t>to</w:t>
      </w:r>
      <w:r w:rsidR="003D5857" w:rsidRPr="0048509D">
        <w:rPr>
          <w:rFonts w:eastAsia="Times New Roman"/>
          <w:b/>
          <w:bCs/>
          <w:szCs w:val="20"/>
        </w:rPr>
        <w:t>ry:</w:t>
      </w:r>
      <w:r w:rsidR="001E7A76" w:rsidRPr="0048509D">
        <w:rPr>
          <w:rFonts w:eastAsia="Times New Roman"/>
          <w:bCs/>
          <w:szCs w:val="20"/>
        </w:rPr>
        <w:t xml:space="preserve">  </w:t>
      </w:r>
      <w:r w:rsidR="0048509D" w:rsidRPr="0048509D">
        <w:rPr>
          <w:rFonts w:eastAsia="Times New Roman"/>
          <w:bCs/>
          <w:szCs w:val="20"/>
        </w:rPr>
        <w:t>Crude oil</w:t>
      </w:r>
      <w:r w:rsidR="008A57C6" w:rsidRPr="0048509D">
        <w:rPr>
          <w:rFonts w:eastAsia="Times New Roman"/>
          <w:bCs/>
          <w:szCs w:val="20"/>
        </w:rPr>
        <w:t xml:space="preserve"> is</w:t>
      </w:r>
      <w:r w:rsidR="001E7A76" w:rsidRPr="0048509D">
        <w:rPr>
          <w:rFonts w:eastAsia="Times New Roman"/>
          <w:bCs/>
          <w:szCs w:val="20"/>
        </w:rPr>
        <w:t xml:space="preserve"> listed.</w:t>
      </w:r>
    </w:p>
    <w:p w14:paraId="36125CD9" w14:textId="77777777" w:rsidR="003D5857" w:rsidRPr="001E7A76" w:rsidRDefault="003D5857" w:rsidP="00E12D28">
      <w:pPr>
        <w:widowControl/>
        <w:spacing w:before="60"/>
        <w:rPr>
          <w:rFonts w:eastAsia="Times New Roman"/>
          <w:bCs/>
          <w:szCs w:val="20"/>
        </w:rPr>
      </w:pPr>
      <w:r w:rsidRPr="0048509D">
        <w:rPr>
          <w:rFonts w:eastAsia="Times New Roman"/>
          <w:b/>
          <w:bCs/>
          <w:spacing w:val="-1"/>
          <w:szCs w:val="20"/>
        </w:rPr>
        <w:t>T</w:t>
      </w:r>
      <w:r w:rsidRPr="0048509D">
        <w:rPr>
          <w:rFonts w:eastAsia="Times New Roman"/>
          <w:b/>
          <w:bCs/>
          <w:szCs w:val="20"/>
        </w:rPr>
        <w:t>SCA</w:t>
      </w:r>
      <w:r w:rsidRPr="0048509D">
        <w:rPr>
          <w:rFonts w:eastAsia="Times New Roman"/>
          <w:b/>
          <w:bCs/>
          <w:spacing w:val="-4"/>
          <w:szCs w:val="20"/>
        </w:rPr>
        <w:t xml:space="preserve"> </w:t>
      </w:r>
      <w:r w:rsidRPr="0048509D">
        <w:rPr>
          <w:rFonts w:eastAsia="Times New Roman"/>
          <w:b/>
          <w:bCs/>
          <w:spacing w:val="1"/>
          <w:szCs w:val="20"/>
        </w:rPr>
        <w:t>12(</w:t>
      </w:r>
      <w:r w:rsidRPr="0048509D">
        <w:rPr>
          <w:rFonts w:eastAsia="Times New Roman"/>
          <w:b/>
          <w:bCs/>
          <w:szCs w:val="20"/>
        </w:rPr>
        <w:t>b</w:t>
      </w:r>
      <w:r w:rsidRPr="0048509D">
        <w:rPr>
          <w:rFonts w:eastAsia="Times New Roman"/>
          <w:b/>
          <w:bCs/>
          <w:spacing w:val="1"/>
          <w:szCs w:val="20"/>
        </w:rPr>
        <w:t>)</w:t>
      </w:r>
      <w:r w:rsidRPr="0048509D">
        <w:rPr>
          <w:rFonts w:eastAsia="Times New Roman"/>
          <w:b/>
          <w:bCs/>
          <w:szCs w:val="20"/>
        </w:rPr>
        <w:t>,</w:t>
      </w:r>
      <w:r w:rsidRPr="0048509D">
        <w:rPr>
          <w:rFonts w:eastAsia="Times New Roman"/>
          <w:b/>
          <w:bCs/>
          <w:spacing w:val="-4"/>
          <w:szCs w:val="20"/>
        </w:rPr>
        <w:t xml:space="preserve"> </w:t>
      </w:r>
      <w:r w:rsidRPr="0048509D">
        <w:rPr>
          <w:rFonts w:eastAsia="Times New Roman"/>
          <w:b/>
          <w:bCs/>
          <w:spacing w:val="-1"/>
          <w:szCs w:val="20"/>
        </w:rPr>
        <w:t>Ex</w:t>
      </w:r>
      <w:r w:rsidRPr="0048509D">
        <w:rPr>
          <w:rFonts w:eastAsia="Times New Roman"/>
          <w:b/>
          <w:bCs/>
          <w:szCs w:val="20"/>
        </w:rPr>
        <w:t>p</w:t>
      </w:r>
      <w:r w:rsidRPr="0048509D">
        <w:rPr>
          <w:rFonts w:eastAsia="Times New Roman"/>
          <w:b/>
          <w:bCs/>
          <w:spacing w:val="1"/>
          <w:szCs w:val="20"/>
        </w:rPr>
        <w:t>o</w:t>
      </w:r>
      <w:r w:rsidRPr="0048509D">
        <w:rPr>
          <w:rFonts w:eastAsia="Times New Roman"/>
          <w:b/>
          <w:bCs/>
          <w:szCs w:val="20"/>
        </w:rPr>
        <w:t>rt</w:t>
      </w:r>
      <w:r w:rsidRPr="0048509D">
        <w:rPr>
          <w:rFonts w:eastAsia="Times New Roman"/>
          <w:b/>
          <w:bCs/>
          <w:spacing w:val="-5"/>
          <w:szCs w:val="20"/>
        </w:rPr>
        <w:t xml:space="preserve"> </w:t>
      </w:r>
      <w:r w:rsidRPr="0048509D">
        <w:rPr>
          <w:rFonts w:eastAsia="Times New Roman"/>
          <w:b/>
          <w:bCs/>
          <w:szCs w:val="20"/>
        </w:rPr>
        <w:t>N</w:t>
      </w:r>
      <w:r w:rsidRPr="0048509D">
        <w:rPr>
          <w:rFonts w:eastAsia="Times New Roman"/>
          <w:b/>
          <w:bCs/>
          <w:spacing w:val="1"/>
          <w:szCs w:val="20"/>
        </w:rPr>
        <w:t>ot</w:t>
      </w:r>
      <w:r w:rsidRPr="0048509D">
        <w:rPr>
          <w:rFonts w:eastAsia="Times New Roman"/>
          <w:b/>
          <w:bCs/>
          <w:szCs w:val="20"/>
        </w:rPr>
        <w:t>i</w:t>
      </w:r>
      <w:r w:rsidRPr="0048509D">
        <w:rPr>
          <w:rFonts w:eastAsia="Times New Roman"/>
          <w:b/>
          <w:bCs/>
          <w:spacing w:val="1"/>
          <w:szCs w:val="20"/>
        </w:rPr>
        <w:t>f</w:t>
      </w:r>
      <w:r w:rsidRPr="0048509D">
        <w:rPr>
          <w:rFonts w:eastAsia="Times New Roman"/>
          <w:b/>
          <w:bCs/>
          <w:szCs w:val="20"/>
        </w:rPr>
        <w:t>ic</w:t>
      </w:r>
      <w:r w:rsidRPr="0048509D">
        <w:rPr>
          <w:rFonts w:eastAsia="Times New Roman"/>
          <w:b/>
          <w:bCs/>
          <w:spacing w:val="1"/>
          <w:szCs w:val="20"/>
        </w:rPr>
        <w:t>at</w:t>
      </w:r>
      <w:r w:rsidRPr="0048509D">
        <w:rPr>
          <w:rFonts w:eastAsia="Times New Roman"/>
          <w:b/>
          <w:bCs/>
          <w:szCs w:val="20"/>
        </w:rPr>
        <w:t>i</w:t>
      </w:r>
      <w:r w:rsidRPr="0048509D">
        <w:rPr>
          <w:rFonts w:eastAsia="Times New Roman"/>
          <w:b/>
          <w:bCs/>
          <w:spacing w:val="1"/>
          <w:szCs w:val="20"/>
        </w:rPr>
        <w:t>o</w:t>
      </w:r>
      <w:r w:rsidRPr="0048509D">
        <w:rPr>
          <w:rFonts w:eastAsia="Times New Roman"/>
          <w:b/>
          <w:bCs/>
          <w:szCs w:val="20"/>
        </w:rPr>
        <w:t>n:</w:t>
      </w:r>
      <w:r w:rsidR="001E7A76" w:rsidRPr="0048509D">
        <w:rPr>
          <w:rFonts w:eastAsia="Times New Roman"/>
          <w:bCs/>
          <w:szCs w:val="20"/>
        </w:rPr>
        <w:t xml:space="preserve">  Not listed.</w:t>
      </w:r>
    </w:p>
    <w:p w14:paraId="7980B730" w14:textId="77777777" w:rsidR="003D5857" w:rsidRDefault="003D5857" w:rsidP="00E12D28">
      <w:pPr>
        <w:widowControl/>
        <w:spacing w:before="60" w:after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>C</w:t>
      </w:r>
      <w:r w:rsidR="00F64644">
        <w:rPr>
          <w:rFonts w:eastAsia="Times New Roman"/>
          <w:b/>
          <w:bCs/>
          <w:szCs w:val="20"/>
        </w:rPr>
        <w:t>anadian Regulations</w:t>
      </w:r>
      <w:r w:rsidR="0095497C">
        <w:rPr>
          <w:rFonts w:eastAsia="Times New Roman"/>
          <w:b/>
          <w:bCs/>
          <w:szCs w:val="20"/>
        </w:rPr>
        <w:t>:</w:t>
      </w:r>
      <w:r w:rsidR="0095497C" w:rsidRPr="008A57C6">
        <w:rPr>
          <w:rFonts w:eastAsia="Times New Roman"/>
          <w:bCs/>
          <w:szCs w:val="20"/>
        </w:rPr>
        <w:t xml:space="preserve">  </w:t>
      </w:r>
      <w:r>
        <w:rPr>
          <w:rFonts w:eastAsia="Times New Roman"/>
          <w:spacing w:val="2"/>
          <w:szCs w:val="20"/>
        </w:rPr>
        <w:t>W</w:t>
      </w:r>
      <w:r>
        <w:rPr>
          <w:rFonts w:eastAsia="Times New Roman"/>
          <w:szCs w:val="20"/>
        </w:rPr>
        <w:t>H</w:t>
      </w:r>
      <w:r>
        <w:rPr>
          <w:rFonts w:eastAsia="Times New Roman"/>
          <w:spacing w:val="1"/>
          <w:szCs w:val="20"/>
        </w:rPr>
        <w:t>MI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: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64651E7F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5A009BC8" w14:textId="77777777" w:rsidR="0067534E" w:rsidRDefault="0067534E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164FDBFC" w14:textId="57F89AF1" w:rsidR="00622AE4" w:rsidRPr="00B07BF3" w:rsidRDefault="00622AE4" w:rsidP="00BA3B52">
      <w:pPr>
        <w:widowControl/>
        <w:spacing w:before="120" w:after="120"/>
        <w:rPr>
          <w:rFonts w:eastAsia="Times New Roman"/>
          <w:bCs/>
          <w:szCs w:val="20"/>
        </w:rPr>
      </w:pPr>
      <w:r w:rsidRPr="00B07BF3">
        <w:rPr>
          <w:rFonts w:eastAsia="Times New Roman"/>
          <w:b/>
          <w:bCs/>
          <w:szCs w:val="20"/>
        </w:rPr>
        <w:t>Issue Date:</w:t>
      </w:r>
      <w:r w:rsidR="00C14BD3" w:rsidRPr="00B07BF3">
        <w:rPr>
          <w:rFonts w:eastAsia="Times New Roman"/>
          <w:bCs/>
          <w:szCs w:val="20"/>
        </w:rPr>
        <w:t xml:space="preserve"> </w:t>
      </w:r>
      <w:r w:rsidRPr="00B07BF3">
        <w:rPr>
          <w:rFonts w:eastAsia="Times New Roman"/>
          <w:bCs/>
          <w:szCs w:val="20"/>
        </w:rPr>
        <w:t xml:space="preserve"> </w:t>
      </w:r>
      <w:r w:rsidR="00B44147">
        <w:rPr>
          <w:rFonts w:eastAsia="Times New Roman"/>
          <w:bCs/>
          <w:szCs w:val="20"/>
        </w:rPr>
        <w:t>03 </w:t>
      </w:r>
      <w:r w:rsidR="00D3438D">
        <w:rPr>
          <w:rFonts w:eastAsia="Times New Roman"/>
          <w:bCs/>
          <w:szCs w:val="20"/>
        </w:rPr>
        <w:t>November </w:t>
      </w:r>
      <w:r w:rsidR="00670A71">
        <w:rPr>
          <w:rFonts w:eastAsia="Times New Roman"/>
          <w:bCs/>
          <w:szCs w:val="20"/>
        </w:rPr>
        <w:t>2016</w:t>
      </w:r>
    </w:p>
    <w:p w14:paraId="10B710F7" w14:textId="26D25939" w:rsidR="004355ED" w:rsidRPr="00403FB7" w:rsidRDefault="00622AE4" w:rsidP="00BA3B52">
      <w:pPr>
        <w:widowControl/>
        <w:tabs>
          <w:tab w:val="left" w:pos="900"/>
        </w:tabs>
        <w:spacing w:before="120" w:after="120"/>
        <w:ind w:left="907" w:hanging="907"/>
        <w:rPr>
          <w:rFonts w:eastAsia="Times New Roman"/>
          <w:szCs w:val="20"/>
        </w:rPr>
      </w:pPr>
      <w:r w:rsidRPr="00B07BF3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B07BF3">
        <w:rPr>
          <w:rFonts w:eastAsia="Times New Roman"/>
          <w:bCs/>
          <w:spacing w:val="1"/>
          <w:position w:val="-1"/>
          <w:szCs w:val="20"/>
        </w:rPr>
        <w:tab/>
      </w:r>
      <w:r w:rsidR="008C4669" w:rsidRPr="00403FB7">
        <w:rPr>
          <w:rFonts w:eastAsia="Times New Roman"/>
          <w:spacing w:val="-1"/>
          <w:szCs w:val="20"/>
        </w:rPr>
        <w:t>Ch</w:t>
      </w:r>
      <w:r w:rsidR="008C4669" w:rsidRPr="00403FB7">
        <w:rPr>
          <w:rFonts w:eastAsia="Times New Roman"/>
          <w:szCs w:val="20"/>
        </w:rPr>
        <w:t>e</w:t>
      </w:r>
      <w:r w:rsidR="008C4669" w:rsidRPr="00403FB7">
        <w:rPr>
          <w:rFonts w:eastAsia="Times New Roman"/>
          <w:spacing w:val="-4"/>
          <w:szCs w:val="20"/>
        </w:rPr>
        <w:t>m</w:t>
      </w:r>
      <w:r w:rsidR="008C4669" w:rsidRPr="00403FB7">
        <w:rPr>
          <w:rFonts w:eastAsia="Times New Roman"/>
          <w:spacing w:val="-2"/>
          <w:szCs w:val="20"/>
        </w:rPr>
        <w:t>A</w:t>
      </w:r>
      <w:r w:rsidR="008C4669" w:rsidRPr="00403FB7">
        <w:rPr>
          <w:rFonts w:eastAsia="Times New Roman"/>
          <w:szCs w:val="20"/>
        </w:rPr>
        <w:t>DV</w:t>
      </w:r>
      <w:r w:rsidR="008C4669" w:rsidRPr="00403FB7">
        <w:rPr>
          <w:rFonts w:eastAsia="Times New Roman"/>
          <w:spacing w:val="1"/>
          <w:szCs w:val="20"/>
        </w:rPr>
        <w:t>I</w:t>
      </w:r>
      <w:r w:rsidR="008C4669" w:rsidRPr="00403FB7">
        <w:rPr>
          <w:rFonts w:eastAsia="Times New Roman"/>
          <w:szCs w:val="20"/>
        </w:rPr>
        <w:t>SO</w:t>
      </w:r>
      <w:r w:rsidR="008C4669" w:rsidRPr="00403FB7">
        <w:rPr>
          <w:rFonts w:eastAsia="Times New Roman"/>
          <w:spacing w:val="-1"/>
          <w:szCs w:val="20"/>
        </w:rPr>
        <w:t>R</w:t>
      </w:r>
      <w:r w:rsidR="008C4669" w:rsidRPr="00403FB7">
        <w:rPr>
          <w:rFonts w:eastAsia="Times New Roman"/>
          <w:szCs w:val="20"/>
        </w:rPr>
        <w:t>,</w:t>
      </w:r>
      <w:r w:rsidR="008C4669" w:rsidRPr="00403FB7">
        <w:rPr>
          <w:rFonts w:eastAsia="Times New Roman"/>
          <w:spacing w:val="-13"/>
          <w:szCs w:val="20"/>
        </w:rPr>
        <w:t xml:space="preserve"> </w:t>
      </w:r>
      <w:r w:rsidR="008C4669" w:rsidRPr="00403FB7">
        <w:rPr>
          <w:rFonts w:eastAsia="Times New Roman"/>
          <w:spacing w:val="1"/>
          <w:szCs w:val="20"/>
        </w:rPr>
        <w:t>I</w:t>
      </w:r>
      <w:r w:rsidR="008C4669" w:rsidRPr="00403FB7">
        <w:rPr>
          <w:rFonts w:eastAsia="Times New Roman"/>
          <w:spacing w:val="-1"/>
          <w:szCs w:val="20"/>
        </w:rPr>
        <w:t>n</w:t>
      </w:r>
      <w:r w:rsidR="008C4669" w:rsidRPr="00403FB7">
        <w:rPr>
          <w:rFonts w:eastAsia="Times New Roman"/>
          <w:szCs w:val="20"/>
        </w:rPr>
        <w:t>c</w:t>
      </w:r>
      <w:r w:rsidR="008C4669" w:rsidRPr="00403FB7">
        <w:rPr>
          <w:rFonts w:eastAsia="Times New Roman"/>
          <w:spacing w:val="1"/>
          <w:szCs w:val="20"/>
        </w:rPr>
        <w:t>.</w:t>
      </w:r>
      <w:r w:rsidR="008C4669" w:rsidRPr="00403FB7">
        <w:rPr>
          <w:rFonts w:eastAsia="Times New Roman"/>
          <w:szCs w:val="20"/>
        </w:rPr>
        <w:t>,</w:t>
      </w:r>
      <w:r w:rsidR="008C4669" w:rsidRPr="00403FB7">
        <w:rPr>
          <w:rFonts w:eastAsia="Times New Roman"/>
          <w:spacing w:val="-3"/>
          <w:szCs w:val="20"/>
        </w:rPr>
        <w:t xml:space="preserve"> </w:t>
      </w:r>
      <w:r w:rsidR="008C4669" w:rsidRPr="00403FB7">
        <w:rPr>
          <w:rFonts w:eastAsia="Times New Roman"/>
          <w:szCs w:val="20"/>
        </w:rPr>
        <w:t>SDS</w:t>
      </w:r>
      <w:r w:rsidR="008C4669" w:rsidRPr="00403FB7">
        <w:rPr>
          <w:rFonts w:eastAsia="Times New Roman"/>
          <w:spacing w:val="-5"/>
          <w:szCs w:val="20"/>
        </w:rPr>
        <w:t xml:space="preserve"> </w:t>
      </w:r>
      <w:r w:rsidR="009212BD" w:rsidRPr="00403FB7">
        <w:rPr>
          <w:rFonts w:eastAsia="Times New Roman"/>
          <w:i/>
          <w:spacing w:val="-1"/>
          <w:szCs w:val="20"/>
        </w:rPr>
        <w:t>Petroleum-Crude Oil (Untreated and Mildly-Treated)</w:t>
      </w:r>
      <w:r w:rsidR="008C4669" w:rsidRPr="00403FB7">
        <w:rPr>
          <w:rFonts w:eastAsia="Times New Roman"/>
          <w:szCs w:val="20"/>
        </w:rPr>
        <w:t>,</w:t>
      </w:r>
      <w:r w:rsidR="008C4669" w:rsidRPr="00403FB7">
        <w:rPr>
          <w:rFonts w:eastAsia="Times New Roman"/>
          <w:spacing w:val="-4"/>
          <w:szCs w:val="20"/>
        </w:rPr>
        <w:t xml:space="preserve"> </w:t>
      </w:r>
      <w:r w:rsidR="00670A71">
        <w:rPr>
          <w:rFonts w:eastAsia="Times New Roman"/>
          <w:spacing w:val="-4"/>
          <w:szCs w:val="20"/>
        </w:rPr>
        <w:t>0</w:t>
      </w:r>
      <w:r w:rsidR="0089374F">
        <w:rPr>
          <w:rFonts w:eastAsia="Times New Roman"/>
          <w:spacing w:val="-4"/>
          <w:szCs w:val="20"/>
        </w:rPr>
        <w:t>9 </w:t>
      </w:r>
      <w:r w:rsidR="00670A71">
        <w:rPr>
          <w:rFonts w:eastAsia="Times New Roman"/>
          <w:spacing w:val="-4"/>
          <w:szCs w:val="20"/>
        </w:rPr>
        <w:t>December 2015</w:t>
      </w:r>
      <w:r w:rsidR="008C4669" w:rsidRPr="00403FB7">
        <w:rPr>
          <w:rFonts w:eastAsia="Times New Roman"/>
          <w:szCs w:val="20"/>
        </w:rPr>
        <w:t>.</w:t>
      </w:r>
    </w:p>
    <w:p w14:paraId="5CEEBB4C" w14:textId="10103FE3" w:rsidR="0084716B" w:rsidRDefault="005E367B" w:rsidP="001B6C4E">
      <w:pPr>
        <w:widowControl/>
        <w:tabs>
          <w:tab w:val="left" w:pos="900"/>
        </w:tabs>
        <w:spacing w:before="120" w:after="120"/>
        <w:ind w:left="907" w:hanging="907"/>
        <w:rPr>
          <w:rFonts w:eastAsia="Times New Roman"/>
          <w:bCs/>
          <w:spacing w:val="1"/>
          <w:position w:val="-1"/>
          <w:szCs w:val="20"/>
        </w:rPr>
      </w:pPr>
      <w:r w:rsidRPr="00403FB7">
        <w:rPr>
          <w:rFonts w:eastAsia="Times New Roman"/>
          <w:bCs/>
          <w:spacing w:val="1"/>
          <w:position w:val="-1"/>
          <w:szCs w:val="20"/>
        </w:rPr>
        <w:tab/>
      </w:r>
      <w:r w:rsidR="0084716B" w:rsidRPr="0084716B">
        <w:rPr>
          <w:rFonts w:eastAsia="Times New Roman"/>
          <w:bCs/>
          <w:spacing w:val="1"/>
          <w:position w:val="-1"/>
          <w:szCs w:val="20"/>
        </w:rPr>
        <w:t>Hazardous Substances Data Bank (HSDB), National Library of Medicine's TOXNET system</w:t>
      </w:r>
      <w:r w:rsidR="0084716B" w:rsidRPr="0084716B">
        <w:rPr>
          <w:rFonts w:eastAsia="Times New Roman"/>
          <w:bCs/>
          <w:spacing w:val="1"/>
          <w:position w:val="-1"/>
          <w:szCs w:val="20"/>
        </w:rPr>
        <w:br/>
      </w:r>
      <w:r w:rsidR="0084716B">
        <w:rPr>
          <w:rFonts w:eastAsia="Times New Roman"/>
          <w:bCs/>
          <w:i/>
          <w:spacing w:val="1"/>
          <w:position w:val="-1"/>
          <w:szCs w:val="20"/>
        </w:rPr>
        <w:t xml:space="preserve">Crude Oil, </w:t>
      </w:r>
      <w:r w:rsidR="0084716B" w:rsidRPr="0084716B">
        <w:rPr>
          <w:rFonts w:eastAsia="Times New Roman"/>
          <w:bCs/>
          <w:spacing w:val="1"/>
          <w:position w:val="-1"/>
          <w:szCs w:val="20"/>
        </w:rPr>
        <w:t>CAS No. </w:t>
      </w:r>
      <w:r w:rsidR="0084716B">
        <w:rPr>
          <w:rFonts w:eastAsia="Times New Roman"/>
          <w:bCs/>
          <w:spacing w:val="1"/>
          <w:position w:val="-1"/>
          <w:szCs w:val="20"/>
        </w:rPr>
        <w:t>Not available</w:t>
      </w:r>
      <w:r w:rsidR="0084716B" w:rsidRPr="0084716B">
        <w:rPr>
          <w:rFonts w:eastAsia="Times New Roman"/>
          <w:bCs/>
          <w:spacing w:val="1"/>
          <w:position w:val="-1"/>
          <w:szCs w:val="20"/>
        </w:rPr>
        <w:t>, available at </w:t>
      </w:r>
      <w:hyperlink r:id="rId12" w:history="1">
        <w:r w:rsidR="0084716B" w:rsidRPr="0084716B">
          <w:rPr>
            <w:rStyle w:val="Hyperlink"/>
            <w:rFonts w:eastAsia="Times New Roman"/>
            <w:bCs/>
            <w:spacing w:val="1"/>
            <w:position w:val="-1"/>
            <w:szCs w:val="20"/>
          </w:rPr>
          <w:t>http://toxnet.nlm.nih.gov</w:t>
        </w:r>
      </w:hyperlink>
      <w:r w:rsidR="0084716B" w:rsidRPr="0084716B">
        <w:rPr>
          <w:rFonts w:eastAsia="Times New Roman"/>
          <w:bCs/>
          <w:spacing w:val="1"/>
          <w:position w:val="-1"/>
          <w:szCs w:val="20"/>
        </w:rPr>
        <w:t xml:space="preserve"> (accessed </w:t>
      </w:r>
      <w:r w:rsidR="0084716B">
        <w:rPr>
          <w:rFonts w:eastAsia="Times New Roman"/>
          <w:bCs/>
          <w:spacing w:val="1"/>
          <w:position w:val="-1"/>
          <w:szCs w:val="20"/>
        </w:rPr>
        <w:t>Oct</w:t>
      </w:r>
      <w:r w:rsidR="0084716B" w:rsidRPr="0084716B">
        <w:rPr>
          <w:rFonts w:eastAsia="Times New Roman"/>
          <w:bCs/>
          <w:spacing w:val="1"/>
          <w:position w:val="-1"/>
          <w:szCs w:val="20"/>
        </w:rPr>
        <w:t> 201</w:t>
      </w:r>
      <w:r w:rsidR="0084716B">
        <w:rPr>
          <w:rFonts w:eastAsia="Times New Roman"/>
          <w:bCs/>
          <w:spacing w:val="1"/>
          <w:position w:val="-1"/>
          <w:szCs w:val="20"/>
        </w:rPr>
        <w:t>6</w:t>
      </w:r>
      <w:r w:rsidR="0084716B" w:rsidRPr="0084716B">
        <w:rPr>
          <w:rFonts w:eastAsia="Times New Roman"/>
          <w:bCs/>
          <w:spacing w:val="1"/>
          <w:position w:val="-1"/>
          <w:szCs w:val="20"/>
        </w:rPr>
        <w:t>).</w:t>
      </w:r>
    </w:p>
    <w:p w14:paraId="7069D0C7" w14:textId="57B4AE61" w:rsidR="00E32025" w:rsidRPr="00403FB7" w:rsidRDefault="005E367B" w:rsidP="001B6C4E">
      <w:pPr>
        <w:widowControl/>
        <w:tabs>
          <w:tab w:val="left" w:pos="900"/>
        </w:tabs>
        <w:spacing w:before="120" w:after="120"/>
        <w:ind w:left="907" w:hanging="907"/>
      </w:pPr>
      <w:r w:rsidRPr="00403FB7">
        <w:rPr>
          <w:rFonts w:eastAsia="Times New Roman"/>
          <w:bCs/>
          <w:spacing w:val="1"/>
          <w:position w:val="-1"/>
          <w:szCs w:val="20"/>
        </w:rPr>
        <w:tab/>
      </w:r>
      <w:r w:rsidR="006802D6" w:rsidRPr="00403FB7">
        <w:rPr>
          <w:rFonts w:eastAsia="Times New Roman"/>
          <w:szCs w:val="20"/>
        </w:rPr>
        <w:t xml:space="preserve">World Health Organization, International Agency for Research on Cancer, </w:t>
      </w:r>
      <w:r w:rsidR="006802D6" w:rsidRPr="00403FB7">
        <w:rPr>
          <w:rFonts w:eastAsia="Times New Roman"/>
          <w:i/>
          <w:szCs w:val="20"/>
        </w:rPr>
        <w:t>Crude Oil</w:t>
      </w:r>
      <w:r w:rsidR="0011044B">
        <w:rPr>
          <w:rFonts w:eastAsia="Times New Roman"/>
          <w:i/>
          <w:szCs w:val="20"/>
        </w:rPr>
        <w:t>.</w:t>
      </w:r>
      <w:r w:rsidR="006802D6" w:rsidRPr="00403FB7">
        <w:rPr>
          <w:rFonts w:eastAsia="Times New Roman"/>
          <w:i/>
          <w:szCs w:val="20"/>
        </w:rPr>
        <w:t xml:space="preserve"> </w:t>
      </w:r>
      <w:r w:rsidR="006802D6" w:rsidRPr="00403FB7">
        <w:rPr>
          <w:rFonts w:eastAsia="Times New Roman"/>
          <w:szCs w:val="20"/>
        </w:rPr>
        <w:t xml:space="preserve">available at </w:t>
      </w:r>
      <w:hyperlink r:id="rId13" w:history="1">
        <w:r w:rsidR="0011044B" w:rsidRPr="007F32E9">
          <w:rPr>
            <w:rStyle w:val="Hyperlink"/>
            <w:rFonts w:eastAsia="Times New Roman"/>
            <w:szCs w:val="20"/>
          </w:rPr>
          <w:t>https://monographs.iarc.fr/ENG/Monographs/vol45/mono45-7.pdf</w:t>
        </w:r>
      </w:hyperlink>
      <w:r w:rsidR="006802D6" w:rsidRPr="00403FB7">
        <w:t xml:space="preserve"> (accessed </w:t>
      </w:r>
      <w:r w:rsidR="0011044B">
        <w:t>Oct 2016</w:t>
      </w:r>
      <w:r w:rsidR="006802D6" w:rsidRPr="00403FB7">
        <w:t>).</w:t>
      </w:r>
    </w:p>
    <w:p w14:paraId="267B5084" w14:textId="65DE6442" w:rsidR="005D20D8" w:rsidRDefault="005D20D8">
      <w:pPr>
        <w:widowControl/>
        <w:jc w:val="left"/>
      </w:pPr>
      <w:r>
        <w:br w:type="page"/>
      </w:r>
    </w:p>
    <w:p w14:paraId="1FB92107" w14:textId="77777777" w:rsidR="00E32025" w:rsidRDefault="00E32025" w:rsidP="005D20D8">
      <w:pPr>
        <w:widowControl/>
        <w:tabs>
          <w:tab w:val="left" w:pos="900"/>
        </w:tabs>
        <w:ind w:left="907" w:hanging="907"/>
      </w:pPr>
    </w:p>
    <w:p w14:paraId="1C34D659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320FCEC7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237C75D9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78C1B93B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3AEBFD80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5CF2AE06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650AFEB5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0A68F517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778F21CF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4910F3B7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2A629484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04B7E99B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1E8992C9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1ED0FAB2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22E8480C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4420C1C3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37B621AB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63CC92EB" w14:textId="77777777" w:rsidR="00E32025" w:rsidRPr="00B07BF3" w:rsidRDefault="00E32025" w:rsidP="005D20D8">
      <w:pPr>
        <w:widowControl/>
        <w:tabs>
          <w:tab w:val="left" w:pos="900"/>
        </w:tabs>
        <w:ind w:left="900" w:hanging="907"/>
      </w:pPr>
    </w:p>
    <w:p w14:paraId="7BC024AB" w14:textId="77777777" w:rsidR="0095497C" w:rsidRDefault="00EC2C72" w:rsidP="006B75AB">
      <w:pPr>
        <w:widowControl/>
        <w:spacing w:before="120" w:after="120"/>
        <w:ind w:right="-9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</w:t>
      </w: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95497C" w:rsidRPr="006545B0" w14:paraId="53C66C06" w14:textId="77777777" w:rsidTr="005D20D8">
        <w:trPr>
          <w:trHeight w:val="197"/>
        </w:trPr>
        <w:tc>
          <w:tcPr>
            <w:tcW w:w="1024" w:type="dxa"/>
          </w:tcPr>
          <w:p w14:paraId="154BACAF" w14:textId="77777777" w:rsidR="0095497C" w:rsidRPr="006545B0" w:rsidRDefault="0095497C" w:rsidP="009212BD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14:paraId="132C7318" w14:textId="77777777" w:rsidR="0095497C" w:rsidRPr="006545B0" w:rsidRDefault="0095497C" w:rsidP="009212BD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 xml:space="preserve">American Conference of </w:t>
            </w:r>
            <w:r>
              <w:rPr>
                <w:sz w:val="16"/>
                <w:szCs w:val="16"/>
              </w:rPr>
              <w:t>Government</w:t>
            </w:r>
            <w:r w:rsidR="00F941BF">
              <w:rPr>
                <w:sz w:val="16"/>
                <w:szCs w:val="16"/>
              </w:rPr>
              <w:t>al</w:t>
            </w:r>
            <w:r>
              <w:rPr>
                <w:sz w:val="16"/>
                <w:szCs w:val="16"/>
              </w:rPr>
              <w:t xml:space="preserve"> </w:t>
            </w:r>
            <w:r w:rsidRPr="006545B0">
              <w:rPr>
                <w:sz w:val="16"/>
                <w:szCs w:val="16"/>
              </w:rPr>
              <w:t>Industrial Hygienists</w:t>
            </w:r>
          </w:p>
        </w:tc>
        <w:tc>
          <w:tcPr>
            <w:tcW w:w="720" w:type="dxa"/>
          </w:tcPr>
          <w:p w14:paraId="2B481811" w14:textId="77777777" w:rsidR="0095497C" w:rsidRPr="006545B0" w:rsidRDefault="0095497C" w:rsidP="009212BD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NTP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7D00E6F" w14:textId="77777777" w:rsidR="0095497C" w:rsidRPr="006545B0" w:rsidRDefault="0095497C" w:rsidP="009212BD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Toxicology Program</w:t>
            </w:r>
          </w:p>
        </w:tc>
      </w:tr>
      <w:tr w:rsidR="0095497C" w:rsidRPr="006545B0" w14:paraId="4EC116A9" w14:textId="77777777" w:rsidTr="005D20D8">
        <w:trPr>
          <w:trHeight w:val="144"/>
        </w:trPr>
        <w:tc>
          <w:tcPr>
            <w:tcW w:w="1024" w:type="dxa"/>
          </w:tcPr>
          <w:p w14:paraId="7E2B08C1" w14:textId="77777777" w:rsidR="0095497C" w:rsidRPr="006545B0" w:rsidRDefault="0095497C" w:rsidP="009212BD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CAS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3FBC781" w14:textId="77777777" w:rsidR="0095497C" w:rsidRPr="006545B0" w:rsidRDefault="0095497C" w:rsidP="009212BD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Chemical Abstracts Service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D216F35" w14:textId="77777777" w:rsidR="0095497C" w:rsidRPr="006545B0" w:rsidRDefault="0095497C" w:rsidP="009212BD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OSHA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6B4522C" w14:textId="77777777" w:rsidR="0095497C" w:rsidRPr="006545B0" w:rsidRDefault="0095497C" w:rsidP="009212BD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Occupational Safety and Health Administration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477A9C0" w14:textId="77777777" w:rsidTr="005D20D8">
        <w:trPr>
          <w:trHeight w:val="144"/>
        </w:trPr>
        <w:tc>
          <w:tcPr>
            <w:tcW w:w="1024" w:type="dxa"/>
          </w:tcPr>
          <w:p w14:paraId="608F1F78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CERCLA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6DB722C5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Comprehensive Environmental Response, Compensation, and Liability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5BDDA27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F66C3EF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Permissible Exposure L</w:t>
            </w:r>
            <w:r w:rsidR="009212BD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09BB5914" w14:textId="77777777" w:rsidTr="005D20D8">
        <w:trPr>
          <w:trHeight w:val="144"/>
        </w:trPr>
        <w:tc>
          <w:tcPr>
            <w:tcW w:w="1024" w:type="dxa"/>
          </w:tcPr>
          <w:p w14:paraId="1DB80365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CFR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766E899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Code of Federal Regulations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1F60430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60B474E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Resource Conservation and Recovery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B94B914" w14:textId="77777777" w:rsidTr="005D20D8">
        <w:trPr>
          <w:trHeight w:val="144"/>
        </w:trPr>
        <w:tc>
          <w:tcPr>
            <w:tcW w:w="1024" w:type="dxa"/>
          </w:tcPr>
          <w:p w14:paraId="7355014B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DOT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1F1FA0D2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Department of Transportation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B695476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2D9E0E0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Recommended Exposure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10F3B90" w14:textId="77777777" w:rsidTr="005D20D8">
        <w:trPr>
          <w:trHeight w:val="144"/>
        </w:trPr>
        <w:tc>
          <w:tcPr>
            <w:tcW w:w="1024" w:type="dxa"/>
          </w:tcPr>
          <w:p w14:paraId="438D2DF3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14:paraId="1A289C85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European Inventory of Existing Commercial Chemical Substances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3095A9B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8E5C04E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Reportable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4ADB5E9" w14:textId="77777777" w:rsidTr="005D20D8">
        <w:trPr>
          <w:trHeight w:val="144"/>
        </w:trPr>
        <w:tc>
          <w:tcPr>
            <w:tcW w:w="1024" w:type="dxa"/>
          </w:tcPr>
          <w:p w14:paraId="206CEB3E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EPCRA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D895A88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Emergency Planning and Community Right-to-Know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6962BEF0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14:paraId="0C43EB7C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95497C" w:rsidRPr="006545B0" w14:paraId="08ECA21A" w14:textId="77777777" w:rsidTr="005D20D8">
        <w:trPr>
          <w:trHeight w:val="144"/>
        </w:trPr>
        <w:tc>
          <w:tcPr>
            <w:tcW w:w="1024" w:type="dxa"/>
          </w:tcPr>
          <w:p w14:paraId="37287886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IARC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6A46E18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Agency for Research on Cancer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D205827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SARA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2CE283F2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Superfund Amendments and Reauthorization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5F6D3D8" w14:textId="77777777" w:rsidTr="005D20D8">
        <w:trPr>
          <w:trHeight w:val="144"/>
        </w:trPr>
        <w:tc>
          <w:tcPr>
            <w:tcW w:w="1024" w:type="dxa"/>
          </w:tcPr>
          <w:p w14:paraId="791361FC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IATA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7A2F6A1" w14:textId="46D8E86E" w:rsidR="0095497C" w:rsidRPr="006545B0" w:rsidRDefault="0095497C" w:rsidP="007F32E9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 xml:space="preserve">International Air Transport </w:t>
            </w:r>
            <w:r w:rsidR="007F32E9">
              <w:rPr>
                <w:sz w:val="16"/>
                <w:szCs w:val="16"/>
              </w:rPr>
              <w:t>Association</w:t>
            </w:r>
          </w:p>
        </w:tc>
        <w:tc>
          <w:tcPr>
            <w:tcW w:w="720" w:type="dxa"/>
          </w:tcPr>
          <w:p w14:paraId="41DC88E2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SCBA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47C0C76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Self</w:t>
            </w:r>
            <w:r w:rsidRPr="006545B0">
              <w:rPr>
                <w:sz w:val="16"/>
                <w:szCs w:val="16"/>
              </w:rPr>
              <w:noBreakHyphen/>
              <w:t>Contained Breathing Apparatus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590AAE7E" w14:textId="77777777" w:rsidTr="005D20D8">
        <w:trPr>
          <w:trHeight w:val="144"/>
        </w:trPr>
        <w:tc>
          <w:tcPr>
            <w:tcW w:w="1024" w:type="dxa"/>
          </w:tcPr>
          <w:p w14:paraId="492A0286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IDLH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6BAFAE96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Immediately Dangerous to Life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DC99D83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SRM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AAC8F85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Standard Reference Material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F6A6DD9" w14:textId="77777777" w:rsidTr="005D20D8">
        <w:trPr>
          <w:trHeight w:val="144"/>
        </w:trPr>
        <w:tc>
          <w:tcPr>
            <w:tcW w:w="1024" w:type="dxa"/>
          </w:tcPr>
          <w:p w14:paraId="09D4F510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14:paraId="49CA1FC2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Lethal Concentration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6A31311D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C3604FE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Short  Term Exposure L</w:t>
            </w:r>
            <w:r w:rsidR="009212BD">
              <w:rPr>
                <w:sz w:val="16"/>
                <w:szCs w:val="16"/>
              </w:rPr>
              <w:t>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F2C1B92" w14:textId="77777777" w:rsidTr="005D20D8">
        <w:trPr>
          <w:trHeight w:val="144"/>
        </w:trPr>
        <w:tc>
          <w:tcPr>
            <w:tcW w:w="1024" w:type="dxa"/>
          </w:tcPr>
          <w:p w14:paraId="7104F51F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14:paraId="663C978D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</w:tcPr>
          <w:p w14:paraId="3D8EEEA3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TLV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2F65CB11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Limit Value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ECC3B7F" w14:textId="77777777" w:rsidTr="005D20D8">
        <w:trPr>
          <w:trHeight w:val="144"/>
        </w:trPr>
        <w:tc>
          <w:tcPr>
            <w:tcW w:w="1024" w:type="dxa"/>
          </w:tcPr>
          <w:p w14:paraId="0A2AAC6C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22572CB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Lower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1B19B22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TPQ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5992278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Planning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7FB76B4" w14:textId="77777777" w:rsidTr="005D20D8">
        <w:trPr>
          <w:trHeight w:val="144"/>
        </w:trPr>
        <w:tc>
          <w:tcPr>
            <w:tcW w:w="1024" w:type="dxa"/>
          </w:tcPr>
          <w:p w14:paraId="3C13522D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MSDS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C44566C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Material Safety Data Sheet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4B45169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TSCA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4A423BA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Toxic Substances Control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199C166E" w14:textId="77777777" w:rsidTr="005D20D8">
        <w:trPr>
          <w:trHeight w:val="144"/>
        </w:trPr>
        <w:tc>
          <w:tcPr>
            <w:tcW w:w="1024" w:type="dxa"/>
          </w:tcPr>
          <w:p w14:paraId="3505B2F4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NFPA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6AF1322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Fire Protection Association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57DC6AE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TWA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53BFE6A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Time Weighted Average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7B05FB2" w14:textId="77777777" w:rsidTr="005D20D8">
        <w:trPr>
          <w:trHeight w:val="144"/>
        </w:trPr>
        <w:tc>
          <w:tcPr>
            <w:tcW w:w="1024" w:type="dxa"/>
          </w:tcPr>
          <w:p w14:paraId="14153F6C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NIOSH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E2ED453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for Occupational Safety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5942F92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0F1CF74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Upper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54FB677" w14:textId="77777777" w:rsidTr="005D20D8">
        <w:trPr>
          <w:trHeight w:val="144"/>
        </w:trPr>
        <w:tc>
          <w:tcPr>
            <w:tcW w:w="1024" w:type="dxa"/>
          </w:tcPr>
          <w:p w14:paraId="3453FF3D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14:paraId="15739D41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</w:tcPr>
          <w:p w14:paraId="0F649524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14:paraId="20BA4758" w14:textId="77777777" w:rsidR="0095497C" w:rsidRPr="006545B0" w:rsidRDefault="0095497C" w:rsidP="009212BD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4CE003C7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48FDC9CD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4B339583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14FBACD7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16227D50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442E2B4C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3A3FD628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522E31B0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51352186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7E5403CB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78227515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3E078450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416BCB5A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5F6510D0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4342E297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77FB8B53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081CF281" w14:textId="77777777" w:rsidR="005D20D8" w:rsidRDefault="005D20D8" w:rsidP="005D20D8">
      <w:pPr>
        <w:widowControl/>
        <w:tabs>
          <w:tab w:val="left" w:pos="900"/>
        </w:tabs>
        <w:ind w:left="907" w:hanging="907"/>
      </w:pPr>
    </w:p>
    <w:p w14:paraId="5990025F" w14:textId="77777777" w:rsidR="005D20D8" w:rsidRPr="00B07BF3" w:rsidRDefault="005D20D8" w:rsidP="005D20D8">
      <w:pPr>
        <w:widowControl/>
        <w:tabs>
          <w:tab w:val="left" w:pos="900"/>
        </w:tabs>
        <w:ind w:left="900" w:hanging="907"/>
      </w:pPr>
    </w:p>
    <w:p w14:paraId="220B9C54" w14:textId="67E78143" w:rsidR="00537670" w:rsidRDefault="00BF5DD9" w:rsidP="006B75AB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9721CD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</w:t>
      </w:r>
      <w:r w:rsidR="00BA3B52">
        <w:rPr>
          <w:rFonts w:eastAsia="Times New Roman"/>
          <w:spacing w:val="-1"/>
          <w:szCs w:val="20"/>
        </w:rPr>
        <w:t>Certificate of Analysis</w:t>
      </w:r>
      <w:r>
        <w:rPr>
          <w:rFonts w:eastAsia="Times New Roman"/>
          <w:szCs w:val="20"/>
        </w:rPr>
        <w:t>.</w:t>
      </w:r>
    </w:p>
    <w:p w14:paraId="32790368" w14:textId="77777777" w:rsidR="0076501C" w:rsidRPr="00E2089A" w:rsidRDefault="001E2F4C" w:rsidP="006B75AB">
      <w:pPr>
        <w:widowControl/>
        <w:spacing w:before="120"/>
        <w:rPr>
          <w:rFonts w:eastAsia="Times New Roman"/>
          <w:szCs w:val="20"/>
        </w:rPr>
      </w:pPr>
      <w:r>
        <w:rPr>
          <w:iCs/>
          <w:szCs w:val="20"/>
        </w:rPr>
        <w:t xml:space="preserve">Users of this </w:t>
      </w:r>
      <w:r w:rsidR="008C4669">
        <w:rPr>
          <w:iCs/>
          <w:szCs w:val="20"/>
        </w:rPr>
        <w:t>S</w:t>
      </w:r>
      <w:r w:rsidR="001948EA" w:rsidRPr="001948EA">
        <w:rPr>
          <w:iCs/>
          <w:szCs w:val="20"/>
        </w:rPr>
        <w:t xml:space="preserve">RM should ensure that the SDS in their possession is current. </w:t>
      </w:r>
      <w:r w:rsidR="009721CD">
        <w:rPr>
          <w:iCs/>
          <w:szCs w:val="20"/>
        </w:rPr>
        <w:t xml:space="preserve"> </w:t>
      </w:r>
      <w:r w:rsidR="001948EA"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="001948EA" w:rsidRPr="001948EA">
        <w:rPr>
          <w:iCs/>
          <w:szCs w:val="20"/>
        </w:rPr>
        <w:t xml:space="preserve">@nist.gov; or via the Internet at </w:t>
      </w:r>
      <w:hyperlink r:id="rId14" w:history="1">
        <w:r w:rsidR="0076501C" w:rsidRPr="004F5806">
          <w:rPr>
            <w:rStyle w:val="Hyperlink"/>
            <w:iCs/>
            <w:szCs w:val="20"/>
          </w:rPr>
          <w:t>http://www.nist.gov/srm</w:t>
        </w:r>
      </w:hyperlink>
      <w:r w:rsidR="001948EA" w:rsidRPr="00E2089A">
        <w:rPr>
          <w:iCs/>
          <w:szCs w:val="20"/>
        </w:rPr>
        <w:t>.</w:t>
      </w:r>
    </w:p>
    <w:sectPr w:rsidR="0076501C" w:rsidRPr="00E2089A" w:rsidSect="00371ED3">
      <w:footerReference w:type="default" r:id="rId15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00723" w14:textId="77777777" w:rsidR="00100194" w:rsidRDefault="00100194" w:rsidP="00E24579">
      <w:r>
        <w:separator/>
      </w:r>
    </w:p>
  </w:endnote>
  <w:endnote w:type="continuationSeparator" w:id="0">
    <w:p w14:paraId="48FB356F" w14:textId="77777777" w:rsidR="00100194" w:rsidRDefault="00100194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4505C" w14:textId="7FCCFBFD" w:rsidR="00C67550" w:rsidRPr="00371ED3" w:rsidRDefault="007A774B" w:rsidP="006D10B0">
    <w:pPr>
      <w:pStyle w:val="Footer"/>
      <w:rPr>
        <w:szCs w:val="20"/>
      </w:rPr>
    </w:pPr>
    <w:r>
      <w:rPr>
        <w:szCs w:val="20"/>
      </w:rPr>
      <w:t>S</w:t>
    </w:r>
    <w:r w:rsidR="00C67550" w:rsidRPr="00371ED3">
      <w:rPr>
        <w:szCs w:val="20"/>
      </w:rPr>
      <w:t>RM</w:t>
    </w:r>
    <w:r w:rsidR="00C67550">
      <w:rPr>
        <w:szCs w:val="20"/>
      </w:rPr>
      <w:t xml:space="preserve"> </w:t>
    </w:r>
    <w:r w:rsidR="00C96E24">
      <w:rPr>
        <w:szCs w:val="20"/>
      </w:rPr>
      <w:t>1582</w:t>
    </w:r>
    <w:r w:rsidR="00C67550" w:rsidRPr="00371ED3">
      <w:rPr>
        <w:szCs w:val="20"/>
      </w:rPr>
      <w:tab/>
    </w:r>
    <w:r w:rsidR="00C67550" w:rsidRPr="00371ED3">
      <w:rPr>
        <w:szCs w:val="20"/>
      </w:rPr>
      <w:tab/>
      <w:t xml:space="preserve">Page </w:t>
    </w:r>
    <w:r w:rsidR="00C67550">
      <w:rPr>
        <w:szCs w:val="20"/>
      </w:rPr>
      <w:fldChar w:fldCharType="begin"/>
    </w:r>
    <w:r w:rsidR="00C67550">
      <w:rPr>
        <w:szCs w:val="20"/>
      </w:rPr>
      <w:instrText xml:space="preserve"> PAGE  \* Arabic  \* MERGEFORMAT </w:instrText>
    </w:r>
    <w:r w:rsidR="00C67550">
      <w:rPr>
        <w:szCs w:val="20"/>
      </w:rPr>
      <w:fldChar w:fldCharType="separate"/>
    </w:r>
    <w:r w:rsidR="00226A54">
      <w:rPr>
        <w:noProof/>
        <w:szCs w:val="20"/>
      </w:rPr>
      <w:t>1</w:t>
    </w:r>
    <w:r w:rsidR="00C67550">
      <w:rPr>
        <w:szCs w:val="20"/>
      </w:rPr>
      <w:fldChar w:fldCharType="end"/>
    </w:r>
    <w:r w:rsidR="00C67550" w:rsidRPr="00371ED3">
      <w:rPr>
        <w:szCs w:val="20"/>
      </w:rPr>
      <w:t xml:space="preserve"> of </w:t>
    </w:r>
    <w:r w:rsidR="00226A54">
      <w:fldChar w:fldCharType="begin"/>
    </w:r>
    <w:r w:rsidR="00226A54">
      <w:instrText xml:space="preserve"> SECTIONPAGES  \* Arabic  \* MERGEFORMAT </w:instrText>
    </w:r>
    <w:r w:rsidR="00226A54">
      <w:fldChar w:fldCharType="separate"/>
    </w:r>
    <w:r w:rsidR="00226A54" w:rsidRPr="00226A54">
      <w:rPr>
        <w:noProof/>
        <w:szCs w:val="20"/>
      </w:rPr>
      <w:t>6</w:t>
    </w:r>
    <w:r w:rsidR="00226A54">
      <w:rPr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1E268" w14:textId="77777777" w:rsidR="00100194" w:rsidRDefault="00100194" w:rsidP="00E24579">
      <w:r>
        <w:separator/>
      </w:r>
    </w:p>
  </w:footnote>
  <w:footnote w:type="continuationSeparator" w:id="0">
    <w:p w14:paraId="4AFF1CCA" w14:textId="77777777" w:rsidR="00100194" w:rsidRDefault="00100194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A32ABC"/>
    <w:multiLevelType w:val="hybridMultilevel"/>
    <w:tmpl w:val="F5AEB986"/>
    <w:lvl w:ilvl="0" w:tplc="038C7FF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7EFF"/>
    <w:rsid w:val="00011CAC"/>
    <w:rsid w:val="0001504A"/>
    <w:rsid w:val="0003048D"/>
    <w:rsid w:val="00041F06"/>
    <w:rsid w:val="000425F7"/>
    <w:rsid w:val="0005067D"/>
    <w:rsid w:val="00062493"/>
    <w:rsid w:val="00071655"/>
    <w:rsid w:val="00073E78"/>
    <w:rsid w:val="00081FFA"/>
    <w:rsid w:val="00083501"/>
    <w:rsid w:val="00085816"/>
    <w:rsid w:val="00092471"/>
    <w:rsid w:val="00092D45"/>
    <w:rsid w:val="000954E8"/>
    <w:rsid w:val="0009639E"/>
    <w:rsid w:val="000A4203"/>
    <w:rsid w:val="000B4BD9"/>
    <w:rsid w:val="000B79EB"/>
    <w:rsid w:val="000D31BB"/>
    <w:rsid w:val="000E147E"/>
    <w:rsid w:val="000E1EBF"/>
    <w:rsid w:val="000E7B8B"/>
    <w:rsid w:val="000F0A35"/>
    <w:rsid w:val="000F1959"/>
    <w:rsid w:val="000F255D"/>
    <w:rsid w:val="000F304F"/>
    <w:rsid w:val="00100194"/>
    <w:rsid w:val="0011044B"/>
    <w:rsid w:val="001248AA"/>
    <w:rsid w:val="00125FD4"/>
    <w:rsid w:val="001435A2"/>
    <w:rsid w:val="00144273"/>
    <w:rsid w:val="00144362"/>
    <w:rsid w:val="00145AD5"/>
    <w:rsid w:val="00150BAB"/>
    <w:rsid w:val="0015316C"/>
    <w:rsid w:val="00170F65"/>
    <w:rsid w:val="00172026"/>
    <w:rsid w:val="001768E0"/>
    <w:rsid w:val="00193FA9"/>
    <w:rsid w:val="001948EA"/>
    <w:rsid w:val="00194A53"/>
    <w:rsid w:val="0019668F"/>
    <w:rsid w:val="001A0E78"/>
    <w:rsid w:val="001B6C4E"/>
    <w:rsid w:val="001C1434"/>
    <w:rsid w:val="001C4515"/>
    <w:rsid w:val="001C4AA7"/>
    <w:rsid w:val="001C4F6D"/>
    <w:rsid w:val="001D7FE4"/>
    <w:rsid w:val="001E0E50"/>
    <w:rsid w:val="001E1EEB"/>
    <w:rsid w:val="001E2F4C"/>
    <w:rsid w:val="001E2FC8"/>
    <w:rsid w:val="001E3915"/>
    <w:rsid w:val="001E45BD"/>
    <w:rsid w:val="001E6672"/>
    <w:rsid w:val="001E7A76"/>
    <w:rsid w:val="001F0A6E"/>
    <w:rsid w:val="00205783"/>
    <w:rsid w:val="002065AA"/>
    <w:rsid w:val="00206AE7"/>
    <w:rsid w:val="0021772B"/>
    <w:rsid w:val="002214BB"/>
    <w:rsid w:val="00223D8D"/>
    <w:rsid w:val="002256F0"/>
    <w:rsid w:val="00226596"/>
    <w:rsid w:val="00226A54"/>
    <w:rsid w:val="0023218B"/>
    <w:rsid w:val="002326AE"/>
    <w:rsid w:val="00241BDC"/>
    <w:rsid w:val="00242591"/>
    <w:rsid w:val="002678D7"/>
    <w:rsid w:val="0027763A"/>
    <w:rsid w:val="002779BE"/>
    <w:rsid w:val="0028318C"/>
    <w:rsid w:val="002840E1"/>
    <w:rsid w:val="002A0775"/>
    <w:rsid w:val="002A4B34"/>
    <w:rsid w:val="002B22C8"/>
    <w:rsid w:val="002B61B6"/>
    <w:rsid w:val="002C593F"/>
    <w:rsid w:val="002D1849"/>
    <w:rsid w:val="002D2549"/>
    <w:rsid w:val="002D4E7C"/>
    <w:rsid w:val="002D63F4"/>
    <w:rsid w:val="002E46A1"/>
    <w:rsid w:val="002E6B30"/>
    <w:rsid w:val="002F0794"/>
    <w:rsid w:val="002F1207"/>
    <w:rsid w:val="002F3AF7"/>
    <w:rsid w:val="002F7FCE"/>
    <w:rsid w:val="00311CD5"/>
    <w:rsid w:val="0031663D"/>
    <w:rsid w:val="00326D41"/>
    <w:rsid w:val="00335DD7"/>
    <w:rsid w:val="00343B25"/>
    <w:rsid w:val="003466CD"/>
    <w:rsid w:val="00362040"/>
    <w:rsid w:val="00363F6B"/>
    <w:rsid w:val="00371ED3"/>
    <w:rsid w:val="0037222D"/>
    <w:rsid w:val="00373DC9"/>
    <w:rsid w:val="00377310"/>
    <w:rsid w:val="00377BA9"/>
    <w:rsid w:val="0039599D"/>
    <w:rsid w:val="00397BAA"/>
    <w:rsid w:val="003B54FB"/>
    <w:rsid w:val="003D5857"/>
    <w:rsid w:val="003D6279"/>
    <w:rsid w:val="003E0999"/>
    <w:rsid w:val="003F3387"/>
    <w:rsid w:val="003F4A45"/>
    <w:rsid w:val="0040210D"/>
    <w:rsid w:val="004021D2"/>
    <w:rsid w:val="004035D9"/>
    <w:rsid w:val="00403FB7"/>
    <w:rsid w:val="00405269"/>
    <w:rsid w:val="00416D54"/>
    <w:rsid w:val="00416E1E"/>
    <w:rsid w:val="00417829"/>
    <w:rsid w:val="00431A54"/>
    <w:rsid w:val="0043249C"/>
    <w:rsid w:val="004355ED"/>
    <w:rsid w:val="00444104"/>
    <w:rsid w:val="004457B0"/>
    <w:rsid w:val="004521E9"/>
    <w:rsid w:val="004616FA"/>
    <w:rsid w:val="004618AC"/>
    <w:rsid w:val="00466137"/>
    <w:rsid w:val="00470A5F"/>
    <w:rsid w:val="00476E72"/>
    <w:rsid w:val="00484293"/>
    <w:rsid w:val="00484EF6"/>
    <w:rsid w:val="0048509D"/>
    <w:rsid w:val="0048626D"/>
    <w:rsid w:val="00492454"/>
    <w:rsid w:val="00492783"/>
    <w:rsid w:val="004A741D"/>
    <w:rsid w:val="004C5973"/>
    <w:rsid w:val="004D676C"/>
    <w:rsid w:val="004E06D8"/>
    <w:rsid w:val="004F48BC"/>
    <w:rsid w:val="0051044F"/>
    <w:rsid w:val="00510CBD"/>
    <w:rsid w:val="00516658"/>
    <w:rsid w:val="00522E29"/>
    <w:rsid w:val="00523A63"/>
    <w:rsid w:val="00532227"/>
    <w:rsid w:val="00534548"/>
    <w:rsid w:val="0053508D"/>
    <w:rsid w:val="00536018"/>
    <w:rsid w:val="00537670"/>
    <w:rsid w:val="005505DA"/>
    <w:rsid w:val="00550D9B"/>
    <w:rsid w:val="0055271F"/>
    <w:rsid w:val="00556719"/>
    <w:rsid w:val="00560801"/>
    <w:rsid w:val="00565AA3"/>
    <w:rsid w:val="005840FA"/>
    <w:rsid w:val="00584A22"/>
    <w:rsid w:val="00592BBC"/>
    <w:rsid w:val="0059305E"/>
    <w:rsid w:val="005A130F"/>
    <w:rsid w:val="005A374B"/>
    <w:rsid w:val="005B71B4"/>
    <w:rsid w:val="005D0F87"/>
    <w:rsid w:val="005D20D8"/>
    <w:rsid w:val="005D3405"/>
    <w:rsid w:val="005D632D"/>
    <w:rsid w:val="005E0A42"/>
    <w:rsid w:val="005E367B"/>
    <w:rsid w:val="005E4F60"/>
    <w:rsid w:val="005F1008"/>
    <w:rsid w:val="00617BDE"/>
    <w:rsid w:val="00620718"/>
    <w:rsid w:val="00621C4C"/>
    <w:rsid w:val="00622AE4"/>
    <w:rsid w:val="00623C6E"/>
    <w:rsid w:val="006251CA"/>
    <w:rsid w:val="0062772F"/>
    <w:rsid w:val="00631E15"/>
    <w:rsid w:val="0063268F"/>
    <w:rsid w:val="00632742"/>
    <w:rsid w:val="006347B9"/>
    <w:rsid w:val="0064486D"/>
    <w:rsid w:val="00645989"/>
    <w:rsid w:val="00647101"/>
    <w:rsid w:val="00651DCA"/>
    <w:rsid w:val="00652654"/>
    <w:rsid w:val="00655EC3"/>
    <w:rsid w:val="00661CCC"/>
    <w:rsid w:val="0066464E"/>
    <w:rsid w:val="00667439"/>
    <w:rsid w:val="00670A71"/>
    <w:rsid w:val="0067534E"/>
    <w:rsid w:val="00676339"/>
    <w:rsid w:val="00676966"/>
    <w:rsid w:val="006802D6"/>
    <w:rsid w:val="0068405F"/>
    <w:rsid w:val="00690218"/>
    <w:rsid w:val="00693635"/>
    <w:rsid w:val="00697A43"/>
    <w:rsid w:val="006A150B"/>
    <w:rsid w:val="006A5336"/>
    <w:rsid w:val="006A7381"/>
    <w:rsid w:val="006B276B"/>
    <w:rsid w:val="006B33F5"/>
    <w:rsid w:val="006B75AB"/>
    <w:rsid w:val="006D10B0"/>
    <w:rsid w:val="006E0117"/>
    <w:rsid w:val="006E6A17"/>
    <w:rsid w:val="006F0F73"/>
    <w:rsid w:val="006F7CBD"/>
    <w:rsid w:val="00706664"/>
    <w:rsid w:val="0072264A"/>
    <w:rsid w:val="00730686"/>
    <w:rsid w:val="0073150A"/>
    <w:rsid w:val="007315EF"/>
    <w:rsid w:val="00741014"/>
    <w:rsid w:val="007502B5"/>
    <w:rsid w:val="0076501C"/>
    <w:rsid w:val="007666FB"/>
    <w:rsid w:val="00783F68"/>
    <w:rsid w:val="00792BC0"/>
    <w:rsid w:val="00795575"/>
    <w:rsid w:val="007971BD"/>
    <w:rsid w:val="00797B3C"/>
    <w:rsid w:val="007A47D1"/>
    <w:rsid w:val="007A774B"/>
    <w:rsid w:val="007C1CDE"/>
    <w:rsid w:val="007E453B"/>
    <w:rsid w:val="007E6EDD"/>
    <w:rsid w:val="007F32E9"/>
    <w:rsid w:val="007F5046"/>
    <w:rsid w:val="007F56B8"/>
    <w:rsid w:val="007F5C40"/>
    <w:rsid w:val="007F660E"/>
    <w:rsid w:val="008175F8"/>
    <w:rsid w:val="00832544"/>
    <w:rsid w:val="008348B9"/>
    <w:rsid w:val="008354ED"/>
    <w:rsid w:val="0084716B"/>
    <w:rsid w:val="008606FD"/>
    <w:rsid w:val="008609A4"/>
    <w:rsid w:val="008660ED"/>
    <w:rsid w:val="00880799"/>
    <w:rsid w:val="00886C5A"/>
    <w:rsid w:val="00891D1D"/>
    <w:rsid w:val="008925FA"/>
    <w:rsid w:val="0089374F"/>
    <w:rsid w:val="00893F73"/>
    <w:rsid w:val="008A3CC1"/>
    <w:rsid w:val="008A57C6"/>
    <w:rsid w:val="008C4669"/>
    <w:rsid w:val="008C79A0"/>
    <w:rsid w:val="008D3C28"/>
    <w:rsid w:val="008E1B26"/>
    <w:rsid w:val="008E5F63"/>
    <w:rsid w:val="008E63AA"/>
    <w:rsid w:val="008F1308"/>
    <w:rsid w:val="008F646B"/>
    <w:rsid w:val="0090699C"/>
    <w:rsid w:val="00910AEF"/>
    <w:rsid w:val="00910EA2"/>
    <w:rsid w:val="00911A75"/>
    <w:rsid w:val="00911DCF"/>
    <w:rsid w:val="00911E81"/>
    <w:rsid w:val="00915962"/>
    <w:rsid w:val="009175D1"/>
    <w:rsid w:val="009212BD"/>
    <w:rsid w:val="00922515"/>
    <w:rsid w:val="0093254E"/>
    <w:rsid w:val="00933412"/>
    <w:rsid w:val="0093415F"/>
    <w:rsid w:val="00944226"/>
    <w:rsid w:val="00953EFC"/>
    <w:rsid w:val="0095497C"/>
    <w:rsid w:val="00957B26"/>
    <w:rsid w:val="0096366D"/>
    <w:rsid w:val="009721CD"/>
    <w:rsid w:val="0097491F"/>
    <w:rsid w:val="00981AAE"/>
    <w:rsid w:val="0098347B"/>
    <w:rsid w:val="009838CE"/>
    <w:rsid w:val="0099505F"/>
    <w:rsid w:val="009A18FB"/>
    <w:rsid w:val="009B08AA"/>
    <w:rsid w:val="009C5E2F"/>
    <w:rsid w:val="009F18A8"/>
    <w:rsid w:val="009F3C46"/>
    <w:rsid w:val="009F4E12"/>
    <w:rsid w:val="009F6A9E"/>
    <w:rsid w:val="00A00A2B"/>
    <w:rsid w:val="00A148AB"/>
    <w:rsid w:val="00A14B09"/>
    <w:rsid w:val="00A161C5"/>
    <w:rsid w:val="00A17A70"/>
    <w:rsid w:val="00A2133B"/>
    <w:rsid w:val="00A267BD"/>
    <w:rsid w:val="00A31815"/>
    <w:rsid w:val="00A32EA2"/>
    <w:rsid w:val="00A5395F"/>
    <w:rsid w:val="00A55EFF"/>
    <w:rsid w:val="00A56380"/>
    <w:rsid w:val="00A73159"/>
    <w:rsid w:val="00A8310B"/>
    <w:rsid w:val="00AA55EE"/>
    <w:rsid w:val="00AA5906"/>
    <w:rsid w:val="00AB0EC3"/>
    <w:rsid w:val="00AB1DE0"/>
    <w:rsid w:val="00AC2A20"/>
    <w:rsid w:val="00AD050B"/>
    <w:rsid w:val="00AE0BA9"/>
    <w:rsid w:val="00AF1AA4"/>
    <w:rsid w:val="00AF3E0B"/>
    <w:rsid w:val="00AF488F"/>
    <w:rsid w:val="00AF68F9"/>
    <w:rsid w:val="00AF7E1C"/>
    <w:rsid w:val="00B0155D"/>
    <w:rsid w:val="00B0357D"/>
    <w:rsid w:val="00B07BF3"/>
    <w:rsid w:val="00B124D7"/>
    <w:rsid w:val="00B173FB"/>
    <w:rsid w:val="00B177FF"/>
    <w:rsid w:val="00B208C0"/>
    <w:rsid w:val="00B263D0"/>
    <w:rsid w:val="00B27449"/>
    <w:rsid w:val="00B27C79"/>
    <w:rsid w:val="00B33652"/>
    <w:rsid w:val="00B33D41"/>
    <w:rsid w:val="00B44147"/>
    <w:rsid w:val="00B45C19"/>
    <w:rsid w:val="00B4602F"/>
    <w:rsid w:val="00B52092"/>
    <w:rsid w:val="00B52943"/>
    <w:rsid w:val="00B54925"/>
    <w:rsid w:val="00B55CD5"/>
    <w:rsid w:val="00B7052B"/>
    <w:rsid w:val="00B84C4C"/>
    <w:rsid w:val="00B874FA"/>
    <w:rsid w:val="00B97847"/>
    <w:rsid w:val="00BA10D3"/>
    <w:rsid w:val="00BA3B52"/>
    <w:rsid w:val="00BA5ADF"/>
    <w:rsid w:val="00BA6BD4"/>
    <w:rsid w:val="00BB0995"/>
    <w:rsid w:val="00BB2176"/>
    <w:rsid w:val="00BB4528"/>
    <w:rsid w:val="00BB55E8"/>
    <w:rsid w:val="00BD0059"/>
    <w:rsid w:val="00BE3E93"/>
    <w:rsid w:val="00BE7951"/>
    <w:rsid w:val="00BF0592"/>
    <w:rsid w:val="00BF230B"/>
    <w:rsid w:val="00BF5DD9"/>
    <w:rsid w:val="00C04BAA"/>
    <w:rsid w:val="00C10BCF"/>
    <w:rsid w:val="00C12A63"/>
    <w:rsid w:val="00C131D0"/>
    <w:rsid w:val="00C1391B"/>
    <w:rsid w:val="00C14BD3"/>
    <w:rsid w:val="00C3000E"/>
    <w:rsid w:val="00C30FD3"/>
    <w:rsid w:val="00C34D5C"/>
    <w:rsid w:val="00C40E05"/>
    <w:rsid w:val="00C508A0"/>
    <w:rsid w:val="00C53DC1"/>
    <w:rsid w:val="00C54708"/>
    <w:rsid w:val="00C605BC"/>
    <w:rsid w:val="00C67550"/>
    <w:rsid w:val="00C82019"/>
    <w:rsid w:val="00C85DA2"/>
    <w:rsid w:val="00C866ED"/>
    <w:rsid w:val="00C87FA4"/>
    <w:rsid w:val="00C9625A"/>
    <w:rsid w:val="00C96E24"/>
    <w:rsid w:val="00CA1914"/>
    <w:rsid w:val="00CA4187"/>
    <w:rsid w:val="00CB43C7"/>
    <w:rsid w:val="00CD0FFB"/>
    <w:rsid w:val="00CD3DE8"/>
    <w:rsid w:val="00CD499C"/>
    <w:rsid w:val="00CE436D"/>
    <w:rsid w:val="00CF50B6"/>
    <w:rsid w:val="00D03028"/>
    <w:rsid w:val="00D055F5"/>
    <w:rsid w:val="00D2295A"/>
    <w:rsid w:val="00D22C9B"/>
    <w:rsid w:val="00D249AF"/>
    <w:rsid w:val="00D34188"/>
    <w:rsid w:val="00D3438D"/>
    <w:rsid w:val="00D378C0"/>
    <w:rsid w:val="00D409AB"/>
    <w:rsid w:val="00D420E2"/>
    <w:rsid w:val="00D50720"/>
    <w:rsid w:val="00D60A36"/>
    <w:rsid w:val="00D61695"/>
    <w:rsid w:val="00D71AC1"/>
    <w:rsid w:val="00D76D7D"/>
    <w:rsid w:val="00D77265"/>
    <w:rsid w:val="00D81C94"/>
    <w:rsid w:val="00D86180"/>
    <w:rsid w:val="00D90F89"/>
    <w:rsid w:val="00D97002"/>
    <w:rsid w:val="00DA74AE"/>
    <w:rsid w:val="00DB04B7"/>
    <w:rsid w:val="00DB4D63"/>
    <w:rsid w:val="00DB53D1"/>
    <w:rsid w:val="00DC1232"/>
    <w:rsid w:val="00DC2DCA"/>
    <w:rsid w:val="00DD4757"/>
    <w:rsid w:val="00DD6DEB"/>
    <w:rsid w:val="00DE0622"/>
    <w:rsid w:val="00DE64B4"/>
    <w:rsid w:val="00DF29FF"/>
    <w:rsid w:val="00DF36DB"/>
    <w:rsid w:val="00DF7399"/>
    <w:rsid w:val="00E01681"/>
    <w:rsid w:val="00E0337A"/>
    <w:rsid w:val="00E03A5D"/>
    <w:rsid w:val="00E05484"/>
    <w:rsid w:val="00E12D28"/>
    <w:rsid w:val="00E17C76"/>
    <w:rsid w:val="00E2089A"/>
    <w:rsid w:val="00E24579"/>
    <w:rsid w:val="00E31138"/>
    <w:rsid w:val="00E31762"/>
    <w:rsid w:val="00E31C5E"/>
    <w:rsid w:val="00E32025"/>
    <w:rsid w:val="00E37538"/>
    <w:rsid w:val="00E3778C"/>
    <w:rsid w:val="00E4393B"/>
    <w:rsid w:val="00E568E7"/>
    <w:rsid w:val="00E7130C"/>
    <w:rsid w:val="00E73C74"/>
    <w:rsid w:val="00E7608D"/>
    <w:rsid w:val="00E76DFD"/>
    <w:rsid w:val="00E81150"/>
    <w:rsid w:val="00E8191F"/>
    <w:rsid w:val="00E81BD0"/>
    <w:rsid w:val="00E87747"/>
    <w:rsid w:val="00E93DD1"/>
    <w:rsid w:val="00E97C87"/>
    <w:rsid w:val="00EB5E4A"/>
    <w:rsid w:val="00EB7190"/>
    <w:rsid w:val="00EB76F7"/>
    <w:rsid w:val="00EC06B0"/>
    <w:rsid w:val="00EC1B8F"/>
    <w:rsid w:val="00EC2C72"/>
    <w:rsid w:val="00ED34B6"/>
    <w:rsid w:val="00EE1F37"/>
    <w:rsid w:val="00EE34CA"/>
    <w:rsid w:val="00EF0F7C"/>
    <w:rsid w:val="00EF2775"/>
    <w:rsid w:val="00EF3E03"/>
    <w:rsid w:val="00F057E8"/>
    <w:rsid w:val="00F11E1B"/>
    <w:rsid w:val="00F14C49"/>
    <w:rsid w:val="00F2490E"/>
    <w:rsid w:val="00F25786"/>
    <w:rsid w:val="00F353D7"/>
    <w:rsid w:val="00F4046F"/>
    <w:rsid w:val="00F4079E"/>
    <w:rsid w:val="00F43E17"/>
    <w:rsid w:val="00F46DEC"/>
    <w:rsid w:val="00F471F0"/>
    <w:rsid w:val="00F53018"/>
    <w:rsid w:val="00F55E2E"/>
    <w:rsid w:val="00F5790E"/>
    <w:rsid w:val="00F64644"/>
    <w:rsid w:val="00F66E96"/>
    <w:rsid w:val="00F71E13"/>
    <w:rsid w:val="00F7360B"/>
    <w:rsid w:val="00F7593E"/>
    <w:rsid w:val="00F76F7E"/>
    <w:rsid w:val="00F77790"/>
    <w:rsid w:val="00F941BF"/>
    <w:rsid w:val="00FA5DC8"/>
    <w:rsid w:val="00FA673A"/>
    <w:rsid w:val="00FB05DA"/>
    <w:rsid w:val="00FB5F8A"/>
    <w:rsid w:val="00FC2284"/>
    <w:rsid w:val="00FC3C8B"/>
    <w:rsid w:val="00FC4026"/>
    <w:rsid w:val="00FC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99D6273"/>
  <w15:docId w15:val="{AA5083B8-E192-4F53-8B62-93EE3F9C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9278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07B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nographs.iarc.fr/ENG/Monographs/vol45/mono45-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xnet.nlm.nih.go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http://www.nist.gov/s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50690-D98F-4D83-A6D9-3D6B9701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13529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Shuggars, Thomas P. (Fed)</cp:lastModifiedBy>
  <cp:revision>2</cp:revision>
  <cp:lastPrinted>2014-05-14T15:15:00Z</cp:lastPrinted>
  <dcterms:created xsi:type="dcterms:W3CDTF">2016-11-03T13:52:00Z</dcterms:created>
  <dcterms:modified xsi:type="dcterms:W3CDTF">2016-11-03T13:52:00Z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