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9E" w:rsidRDefault="00B55CD5" w:rsidP="006B75AB">
      <w:pPr>
        <w:widowControl/>
        <w:ind w:left="2246"/>
        <w:jc w:val="right"/>
        <w:rPr>
          <w:rFonts w:eastAsia="Times New Roman"/>
          <w:bCs/>
          <w:sz w:val="24"/>
          <w:szCs w:val="24"/>
        </w:rPr>
      </w:pPr>
      <w:r>
        <w:rPr>
          <w:noProof/>
        </w:rPr>
        <w:drawing>
          <wp:anchor distT="0" distB="0" distL="114300" distR="114300" simplePos="0" relativeHeight="251679232" behindDoc="0" locked="0" layoutInCell="1" allowOverlap="1" wp14:anchorId="527F3565" wp14:editId="75304B9D">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Pr>
          <w:rFonts w:eastAsia="Times New Roman"/>
          <w:bCs/>
          <w:sz w:val="24"/>
          <w:szCs w:val="24"/>
        </w:rPr>
        <w:t>Date of Issue:</w:t>
      </w:r>
    </w:p>
    <w:p w:rsidR="006F0F73" w:rsidRPr="00D97002" w:rsidRDefault="0029714C" w:rsidP="006B75AB">
      <w:pPr>
        <w:widowControl/>
        <w:ind w:left="2246"/>
        <w:jc w:val="right"/>
        <w:rPr>
          <w:rFonts w:eastAsia="Times New Roman"/>
          <w:bCs/>
          <w:sz w:val="24"/>
          <w:szCs w:val="24"/>
        </w:rPr>
      </w:pPr>
      <w:bookmarkStart w:id="0" w:name="IssueDate"/>
      <w:r>
        <w:rPr>
          <w:rFonts w:eastAsia="Times New Roman"/>
          <w:bCs/>
          <w:sz w:val="24"/>
          <w:szCs w:val="24"/>
        </w:rPr>
        <w:t>1</w:t>
      </w:r>
      <w:r w:rsidR="00437975">
        <w:rPr>
          <w:rFonts w:eastAsia="Times New Roman"/>
          <w:bCs/>
          <w:sz w:val="24"/>
          <w:szCs w:val="24"/>
        </w:rPr>
        <w:t>0</w:t>
      </w:r>
      <w:r w:rsidR="00437975" w:rsidRPr="00D97002">
        <w:rPr>
          <w:rFonts w:eastAsia="Times New Roman"/>
          <w:bCs/>
          <w:sz w:val="24"/>
          <w:szCs w:val="24"/>
        </w:rPr>
        <w:t> </w:t>
      </w:r>
      <w:r w:rsidR="00437975">
        <w:rPr>
          <w:rFonts w:eastAsia="Times New Roman"/>
          <w:bCs/>
          <w:sz w:val="24"/>
          <w:szCs w:val="24"/>
        </w:rPr>
        <w:t>January</w:t>
      </w:r>
      <w:r w:rsidR="00437975" w:rsidRPr="00D97002">
        <w:rPr>
          <w:rFonts w:eastAsia="Times New Roman"/>
          <w:bCs/>
          <w:sz w:val="24"/>
          <w:szCs w:val="24"/>
        </w:rPr>
        <w:t> </w:t>
      </w:r>
      <w:bookmarkEnd w:id="0"/>
      <w:r w:rsidR="00437975" w:rsidRPr="00D97002">
        <w:rPr>
          <w:rFonts w:eastAsia="Times New Roman"/>
          <w:bCs/>
          <w:sz w:val="24"/>
          <w:szCs w:val="24"/>
        </w:rPr>
        <w:t>201</w:t>
      </w:r>
      <w:r w:rsidR="00437975">
        <w:rPr>
          <w:rFonts w:eastAsia="Times New Roman"/>
          <w:bCs/>
          <w:sz w:val="24"/>
          <w:szCs w:val="24"/>
        </w:rPr>
        <w:t>4</w:t>
      </w:r>
    </w:p>
    <w:p w:rsidR="006F0F73" w:rsidRPr="006F0F73" w:rsidRDefault="006F0F73" w:rsidP="006B75AB">
      <w:pPr>
        <w:widowControl/>
        <w:ind w:left="2246" w:right="-14"/>
        <w:jc w:val="right"/>
        <w:rPr>
          <w:rFonts w:eastAsia="Times New Roman"/>
          <w:bCs/>
          <w:sz w:val="24"/>
          <w:szCs w:val="24"/>
        </w:rPr>
      </w:pPr>
    </w:p>
    <w:p w:rsidR="00E24579" w:rsidRPr="00D34188" w:rsidRDefault="00BF5DD9" w:rsidP="006B75AB">
      <w:pPr>
        <w:widowControl/>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rsidR="006F0F73" w:rsidRDefault="006F0F73" w:rsidP="006B75AB">
      <w:pPr>
        <w:widowControl/>
      </w:pPr>
    </w:p>
    <w:p w:rsidR="00D60A36" w:rsidRDefault="00D60A36" w:rsidP="006B75A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60A36" w:rsidTr="00D60A36">
        <w:trPr>
          <w:trHeight w:hRule="exact" w:val="360"/>
        </w:trPr>
        <w:tc>
          <w:tcPr>
            <w:tcW w:w="9576" w:type="dxa"/>
            <w:vAlign w:val="center"/>
          </w:tcPr>
          <w:p w:rsidR="00D60A36" w:rsidRPr="00D60A36" w:rsidRDefault="00D60A36" w:rsidP="006B75AB">
            <w:pPr>
              <w:keepNext/>
              <w:widowControl/>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rsidR="00150BAB" w:rsidRPr="007666FB" w:rsidRDefault="007666FB" w:rsidP="006B75AB">
      <w:pPr>
        <w:widowControl/>
        <w:tabs>
          <w:tab w:val="left" w:pos="5440"/>
        </w:tabs>
        <w:spacing w:before="120"/>
        <w:rPr>
          <w:rFonts w:eastAsia="Times New Roman"/>
          <w:b/>
          <w:bCs/>
          <w:spacing w:val="1"/>
        </w:rPr>
      </w:pPr>
      <w:r w:rsidRPr="00D77265">
        <w:rPr>
          <w:rFonts w:eastAsia="Times New Roman"/>
          <w:b/>
          <w:bCs/>
          <w:spacing w:val="1"/>
          <w:szCs w:val="20"/>
        </w:rPr>
        <w:t>P</w:t>
      </w:r>
      <w:r w:rsidR="00150BAB" w:rsidRPr="00D77265">
        <w:rPr>
          <w:rFonts w:eastAsia="Times New Roman"/>
          <w:b/>
          <w:bCs/>
          <w:spacing w:val="1"/>
          <w:szCs w:val="20"/>
        </w:rPr>
        <w:t xml:space="preserve">roduct </w:t>
      </w:r>
      <w:r w:rsidR="00B124D7">
        <w:rPr>
          <w:rFonts w:eastAsia="Times New Roman"/>
          <w:b/>
          <w:bCs/>
          <w:spacing w:val="1"/>
          <w:szCs w:val="20"/>
        </w:rPr>
        <w:t>I</w:t>
      </w:r>
      <w:r w:rsidR="00B124D7" w:rsidRPr="00D77265">
        <w:rPr>
          <w:rFonts w:eastAsia="Times New Roman"/>
          <w:b/>
          <w:bCs/>
          <w:spacing w:val="1"/>
          <w:szCs w:val="20"/>
        </w:rPr>
        <w:t>dentifier</w:t>
      </w:r>
    </w:p>
    <w:p w:rsidR="001A0E78" w:rsidRPr="00944226" w:rsidRDefault="00E31762" w:rsidP="006B75AB">
      <w:pPr>
        <w:pStyle w:val="ListParagraph"/>
        <w:widowControl/>
        <w:tabs>
          <w:tab w:val="left" w:pos="5440"/>
        </w:tabs>
        <w:ind w:left="360"/>
        <w:rPr>
          <w:rFonts w:eastAsia="Times New Roman"/>
          <w:bCs/>
          <w:szCs w:val="20"/>
        </w:rPr>
      </w:pPr>
      <w:r>
        <w:rPr>
          <w:rFonts w:eastAsia="Times New Roman"/>
          <w:b/>
          <w:bCs/>
          <w:spacing w:val="1"/>
          <w:szCs w:val="20"/>
        </w:rPr>
        <w:t>S</w:t>
      </w:r>
      <w:r w:rsidR="00150BAB" w:rsidRPr="00D34188">
        <w:rPr>
          <w:rFonts w:eastAsia="Times New Roman"/>
          <w:b/>
          <w:bCs/>
          <w:spacing w:val="1"/>
          <w:szCs w:val="20"/>
        </w:rPr>
        <w:t>R</w:t>
      </w:r>
      <w:r w:rsidR="00150BAB" w:rsidRPr="00D34188">
        <w:rPr>
          <w:rFonts w:eastAsia="Times New Roman"/>
          <w:b/>
          <w:bCs/>
          <w:szCs w:val="20"/>
        </w:rPr>
        <w:t>M</w:t>
      </w:r>
      <w:r w:rsidR="00150BAB" w:rsidRPr="00D34188">
        <w:rPr>
          <w:rFonts w:eastAsia="Times New Roman"/>
          <w:b/>
          <w:bCs/>
          <w:spacing w:val="-5"/>
          <w:szCs w:val="20"/>
        </w:rPr>
        <w:t xml:space="preserve"> </w:t>
      </w:r>
      <w:r w:rsidR="00150BAB" w:rsidRPr="00D34188">
        <w:rPr>
          <w:rFonts w:eastAsia="Times New Roman"/>
          <w:b/>
          <w:bCs/>
          <w:spacing w:val="1"/>
          <w:szCs w:val="20"/>
        </w:rPr>
        <w:t>Nu</w:t>
      </w:r>
      <w:r w:rsidR="00150BAB" w:rsidRPr="00D34188">
        <w:rPr>
          <w:rFonts w:eastAsia="Times New Roman"/>
          <w:b/>
          <w:bCs/>
          <w:spacing w:val="3"/>
          <w:szCs w:val="20"/>
        </w:rPr>
        <w:t>m</w:t>
      </w:r>
      <w:r w:rsidR="00150BAB" w:rsidRPr="00D34188">
        <w:rPr>
          <w:rFonts w:eastAsia="Times New Roman"/>
          <w:b/>
          <w:bCs/>
          <w:spacing w:val="1"/>
          <w:szCs w:val="20"/>
        </w:rPr>
        <w:t>b</w:t>
      </w:r>
      <w:r w:rsidR="00150BAB" w:rsidRPr="00D34188">
        <w:rPr>
          <w:rFonts w:eastAsia="Times New Roman"/>
          <w:b/>
          <w:bCs/>
          <w:spacing w:val="-1"/>
          <w:szCs w:val="20"/>
        </w:rPr>
        <w:t>er</w:t>
      </w:r>
      <w:r w:rsidR="00150BAB" w:rsidRPr="00D34188">
        <w:rPr>
          <w:rFonts w:eastAsia="Times New Roman"/>
          <w:b/>
          <w:bCs/>
          <w:szCs w:val="20"/>
        </w:rPr>
        <w:t>:</w:t>
      </w:r>
      <w:r w:rsidR="00150BAB" w:rsidRPr="00944226">
        <w:rPr>
          <w:rFonts w:eastAsia="Times New Roman"/>
          <w:bCs/>
          <w:spacing w:val="46"/>
          <w:szCs w:val="20"/>
        </w:rPr>
        <w:t xml:space="preserve"> </w:t>
      </w:r>
      <w:r w:rsidR="00E7608D" w:rsidRPr="00944226">
        <w:rPr>
          <w:rFonts w:eastAsia="Times New Roman"/>
          <w:bCs/>
          <w:szCs w:val="20"/>
        </w:rPr>
        <w:t xml:space="preserve"> </w:t>
      </w:r>
      <w:r w:rsidR="00EA0D17">
        <w:rPr>
          <w:rFonts w:eastAsia="Times New Roman"/>
          <w:bCs/>
          <w:szCs w:val="20"/>
        </w:rPr>
        <w:t>1621e</w:t>
      </w:r>
    </w:p>
    <w:p w:rsidR="00150BAB" w:rsidRPr="00944226" w:rsidRDefault="00E31762" w:rsidP="006B75AB">
      <w:pPr>
        <w:pStyle w:val="ListParagraph"/>
        <w:widowControl/>
        <w:tabs>
          <w:tab w:val="left" w:pos="5440"/>
        </w:tabs>
        <w:ind w:left="360"/>
        <w:rPr>
          <w:rFonts w:eastAsia="Times New Roman"/>
          <w:bCs/>
          <w:szCs w:val="20"/>
        </w:rPr>
      </w:pPr>
      <w:r>
        <w:rPr>
          <w:rFonts w:eastAsia="Times New Roman"/>
          <w:b/>
          <w:bCs/>
          <w:spacing w:val="1"/>
          <w:szCs w:val="20"/>
        </w:rPr>
        <w:t>S</w:t>
      </w:r>
      <w:r w:rsidR="00150BAB" w:rsidRPr="00944226">
        <w:rPr>
          <w:rFonts w:eastAsia="Times New Roman"/>
          <w:b/>
          <w:bCs/>
          <w:spacing w:val="1"/>
          <w:szCs w:val="20"/>
        </w:rPr>
        <w:t>R</w:t>
      </w:r>
      <w:r w:rsidR="00150BAB" w:rsidRPr="00944226">
        <w:rPr>
          <w:rFonts w:eastAsia="Times New Roman"/>
          <w:b/>
          <w:bCs/>
          <w:szCs w:val="20"/>
        </w:rPr>
        <w:t>M</w:t>
      </w:r>
      <w:r w:rsidR="00150BAB" w:rsidRPr="00944226">
        <w:rPr>
          <w:rFonts w:eastAsia="Times New Roman"/>
          <w:b/>
          <w:bCs/>
          <w:spacing w:val="-5"/>
          <w:szCs w:val="20"/>
        </w:rPr>
        <w:t xml:space="preserve"> </w:t>
      </w:r>
      <w:r w:rsidR="00150BAB" w:rsidRPr="00944226">
        <w:rPr>
          <w:rFonts w:eastAsia="Times New Roman"/>
          <w:b/>
          <w:bCs/>
          <w:spacing w:val="1"/>
          <w:szCs w:val="20"/>
        </w:rPr>
        <w:t>Na</w:t>
      </w:r>
      <w:r w:rsidR="00150BAB" w:rsidRPr="00944226">
        <w:rPr>
          <w:rFonts w:eastAsia="Times New Roman"/>
          <w:b/>
          <w:bCs/>
          <w:spacing w:val="3"/>
          <w:szCs w:val="20"/>
        </w:rPr>
        <w:t>m</w:t>
      </w:r>
      <w:r w:rsidR="00150BAB" w:rsidRPr="00944226">
        <w:rPr>
          <w:rFonts w:eastAsia="Times New Roman"/>
          <w:b/>
          <w:bCs/>
          <w:spacing w:val="-1"/>
          <w:szCs w:val="20"/>
        </w:rPr>
        <w:t>e</w:t>
      </w:r>
      <w:r w:rsidR="00150BAB" w:rsidRPr="00944226">
        <w:rPr>
          <w:rFonts w:eastAsia="Times New Roman"/>
          <w:b/>
          <w:bCs/>
          <w:szCs w:val="20"/>
        </w:rPr>
        <w:t>:</w:t>
      </w:r>
      <w:r w:rsidR="00E7608D" w:rsidRPr="00944226">
        <w:rPr>
          <w:rFonts w:eastAsia="Times New Roman"/>
          <w:bCs/>
          <w:szCs w:val="20"/>
        </w:rPr>
        <w:t xml:space="preserve">  </w:t>
      </w:r>
      <w:r w:rsidR="00E568E7">
        <w:rPr>
          <w:rFonts w:eastAsia="Times New Roman"/>
          <w:bCs/>
          <w:szCs w:val="20"/>
        </w:rPr>
        <w:t>Sulfur in Residual Fuel Oil (</w:t>
      </w:r>
      <w:r w:rsidR="00EA0D17">
        <w:rPr>
          <w:rFonts w:eastAsia="Times New Roman"/>
          <w:bCs/>
          <w:szCs w:val="20"/>
        </w:rPr>
        <w:t>1</w:t>
      </w:r>
      <w:r w:rsidR="00E568E7">
        <w:rPr>
          <w:rFonts w:eastAsia="Times New Roman"/>
          <w:bCs/>
          <w:szCs w:val="20"/>
        </w:rPr>
        <w:t> %)</w:t>
      </w:r>
    </w:p>
    <w:p w:rsidR="004C5973" w:rsidRPr="004C5973" w:rsidRDefault="004C5973" w:rsidP="006B75AB">
      <w:pPr>
        <w:pStyle w:val="ListParagraph"/>
        <w:widowControl/>
        <w:tabs>
          <w:tab w:val="left" w:pos="5440"/>
        </w:tabs>
        <w:ind w:left="360"/>
        <w:rPr>
          <w:rFonts w:eastAsia="Times New Roman"/>
          <w:bCs/>
          <w:szCs w:val="20"/>
        </w:rPr>
      </w:pPr>
      <w:r>
        <w:rPr>
          <w:rFonts w:eastAsia="Times New Roman"/>
          <w:b/>
          <w:bCs/>
          <w:szCs w:val="20"/>
        </w:rPr>
        <w:t>Other Means of Identification:</w:t>
      </w:r>
      <w:r w:rsidRPr="004C5973">
        <w:rPr>
          <w:rFonts w:eastAsia="Times New Roman"/>
          <w:bCs/>
          <w:szCs w:val="20"/>
        </w:rPr>
        <w:t xml:space="preserve">  Not applicable</w:t>
      </w:r>
      <w:r w:rsidR="00832544">
        <w:rPr>
          <w:rFonts w:eastAsia="Times New Roman"/>
          <w:bCs/>
          <w:szCs w:val="20"/>
        </w:rPr>
        <w:t>.</w:t>
      </w:r>
    </w:p>
    <w:p w:rsidR="00150BAB" w:rsidRPr="00D77265" w:rsidRDefault="00150BAB" w:rsidP="006B75AB">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rsidR="00E7608D" w:rsidRPr="006E6A17" w:rsidRDefault="00E568E7" w:rsidP="006B75AB">
      <w:pPr>
        <w:widowControl/>
        <w:ind w:left="360"/>
        <w:rPr>
          <w:szCs w:val="20"/>
        </w:rPr>
      </w:pPr>
      <w:r>
        <w:t>This Standard Reference Material (SRM) is intended for use in the calibration of instruments and the evaluation of methods used in the determination of total sulfur in fuel oils or materials of similar matrix.  A unit of SRM </w:t>
      </w:r>
      <w:r w:rsidR="00EA0D17">
        <w:t>1621e</w:t>
      </w:r>
      <w:r>
        <w:t xml:space="preserve"> consists of 100 mL of commercial “No. 6” residual fuel oil as defined by ASTM D396</w:t>
      </w:r>
      <w:r>
        <w:noBreakHyphen/>
        <w:t>95 Standard Specification for Fuel Oils</w:t>
      </w:r>
      <w:r w:rsidR="00E7608D" w:rsidRPr="006E6A17">
        <w:rPr>
          <w:szCs w:val="20"/>
        </w:rPr>
        <w:t>.</w:t>
      </w:r>
    </w:p>
    <w:p w:rsidR="00150BAB" w:rsidRPr="00D77265" w:rsidRDefault="00150BAB" w:rsidP="006B75AB">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100 Bureau Drive, Stop 2300</w:t>
            </w:r>
          </w:p>
        </w:tc>
        <w:tc>
          <w:tcPr>
            <w:tcW w:w="4230" w:type="dxa"/>
          </w:tcPr>
          <w:p w:rsidR="00193FA9" w:rsidRPr="00193FA9" w:rsidRDefault="00193FA9" w:rsidP="006B75AB">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rsidR="00193FA9" w:rsidRPr="00193FA9" w:rsidRDefault="00193FA9" w:rsidP="006B75AB">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rsidR="00193FA9" w:rsidRPr="00193FA9"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Telephone:  301-975-2200</w:t>
            </w:r>
          </w:p>
        </w:tc>
        <w:tc>
          <w:tcPr>
            <w:tcW w:w="4230" w:type="dxa"/>
          </w:tcPr>
          <w:p w:rsidR="00193FA9" w:rsidRPr="00193FA9" w:rsidRDefault="00193FA9" w:rsidP="006B75AB">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Emergency Telephone ChemTrec:</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FAX:  301-948-3730</w:t>
            </w:r>
          </w:p>
        </w:tc>
        <w:tc>
          <w:tcPr>
            <w:tcW w:w="4230" w:type="dxa"/>
          </w:tcPr>
          <w:p w:rsidR="00193FA9" w:rsidRPr="00193FA9"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1-800-424-9300 (North America)</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 xml:space="preserve">E-mail:  </w:t>
            </w:r>
            <w:hyperlink r:id="rId10" w:history="1">
              <w:r w:rsidR="00981AAE" w:rsidRPr="007F0D83">
                <w:rPr>
                  <w:rStyle w:val="Hyperlink"/>
                  <w:rFonts w:eastAsia="Times New Roman"/>
                  <w:szCs w:val="20"/>
                </w:rPr>
                <w:t>SRMMSDS@nist.gov</w:t>
              </w:r>
            </w:hyperlink>
          </w:p>
        </w:tc>
        <w:tc>
          <w:tcPr>
            <w:tcW w:w="4230" w:type="dxa"/>
          </w:tcPr>
          <w:p w:rsidR="00193FA9" w:rsidRPr="00193FA9" w:rsidRDefault="00193FA9" w:rsidP="002A4B34">
            <w:pPr>
              <w:widowControl/>
              <w:tabs>
                <w:tab w:val="decimal" w:pos="522"/>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+1-703-527-3887 (International)</w:t>
            </w:r>
          </w:p>
        </w:tc>
      </w:tr>
      <w:tr w:rsidR="00193FA9" w:rsidRPr="00193FA9" w:rsidTr="00193FA9">
        <w:tc>
          <w:tcPr>
            <w:tcW w:w="4590" w:type="dxa"/>
          </w:tcPr>
          <w:p w:rsidR="00193FA9" w:rsidRPr="00193FA9" w:rsidRDefault="00193FA9" w:rsidP="006B75AB">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Pr>
                <w:rFonts w:eastAsia="Times New Roman"/>
                <w:szCs w:val="20"/>
              </w:rPr>
              <w:t xml:space="preserve">Website:  </w:t>
            </w:r>
            <w:hyperlink r:id="rId11" w:history="1">
              <w:r w:rsidR="00981AAE" w:rsidRPr="007F0D83">
                <w:rPr>
                  <w:rStyle w:val="Hyperlink"/>
                  <w:rFonts w:eastAsia="Times New Roman"/>
                  <w:szCs w:val="20"/>
                </w:rPr>
                <w:t>http://www.nist.gov/srm</w:t>
              </w:r>
            </w:hyperlink>
          </w:p>
        </w:tc>
        <w:tc>
          <w:tcPr>
            <w:tcW w:w="4230" w:type="dxa"/>
          </w:tcPr>
          <w:p w:rsidR="00193FA9" w:rsidRPr="00193FA9" w:rsidRDefault="00193FA9" w:rsidP="006B75AB">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rsidR="00915962" w:rsidRPr="00193FA9" w:rsidRDefault="00915962" w:rsidP="006B75AB">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2B22C8" w:rsidTr="002B22C8">
        <w:trPr>
          <w:trHeight w:hRule="exact" w:val="360"/>
        </w:trPr>
        <w:tc>
          <w:tcPr>
            <w:tcW w:w="9576" w:type="dxa"/>
            <w:vAlign w:val="center"/>
          </w:tcPr>
          <w:p w:rsidR="002B22C8" w:rsidRDefault="002B22C8" w:rsidP="006B75AB">
            <w:pPr>
              <w:keepNext/>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1C4F6D" w:rsidRPr="00E97C87" w:rsidRDefault="002B22C8" w:rsidP="006B75AB">
      <w:pPr>
        <w:widowControl/>
        <w:spacing w:before="120"/>
        <w:rPr>
          <w:rFonts w:eastAsia="Times New Roman"/>
          <w:b/>
          <w:bCs/>
          <w:szCs w:val="20"/>
        </w:rPr>
      </w:pPr>
      <w:r w:rsidRPr="00E97C87">
        <w:rPr>
          <w:rFonts w:eastAsia="Times New Roman"/>
          <w:b/>
          <w:bCs/>
          <w:szCs w:val="20"/>
        </w:rPr>
        <w:t>Classification</w:t>
      </w:r>
    </w:p>
    <w:p w:rsidR="0073150A" w:rsidRPr="00E97C87" w:rsidRDefault="0073150A" w:rsidP="002401F8">
      <w:pPr>
        <w:widowControl/>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568E7" w:rsidRPr="00AB0EC3">
        <w:rPr>
          <w:rFonts w:eastAsia="Times New Roman"/>
          <w:bCs/>
          <w:szCs w:val="20"/>
        </w:rPr>
        <w:t>Combustible Liquid</w:t>
      </w:r>
      <w:r w:rsidR="002E6B30" w:rsidRPr="00AB0EC3">
        <w:rPr>
          <w:rFonts w:eastAsia="Times New Roman"/>
          <w:bCs/>
          <w:szCs w:val="20"/>
        </w:rPr>
        <w:t>,</w:t>
      </w:r>
      <w:r w:rsidR="00E568E7" w:rsidRPr="00AB0EC3">
        <w:rPr>
          <w:rFonts w:eastAsia="Times New Roman"/>
          <w:bCs/>
          <w:szCs w:val="20"/>
        </w:rPr>
        <w:t xml:space="preserve"> Category 4</w:t>
      </w:r>
      <w:r w:rsidR="00E97C87" w:rsidRPr="00AB0EC3">
        <w:rPr>
          <w:rFonts w:eastAsia="Times New Roman"/>
          <w:bCs/>
          <w:szCs w:val="20"/>
        </w:rPr>
        <w:t>.</w:t>
      </w:r>
    </w:p>
    <w:p w:rsidR="002401F8" w:rsidRPr="002401F8" w:rsidRDefault="0073150A" w:rsidP="00964506">
      <w:pPr>
        <w:widowControl/>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6A5336" w:rsidRPr="00DE0622">
        <w:rPr>
          <w:rFonts w:eastAsia="Times New Roman"/>
          <w:bCs/>
          <w:szCs w:val="20"/>
        </w:rPr>
        <w:t>Carcinogen</w:t>
      </w:r>
      <w:r w:rsidR="00944226" w:rsidRPr="00DE0622">
        <w:rPr>
          <w:rFonts w:eastAsia="Times New Roman"/>
          <w:bCs/>
          <w:szCs w:val="20"/>
        </w:rPr>
        <w:t>ic</w:t>
      </w:r>
      <w:r w:rsidR="006A5336" w:rsidRPr="00DE0622">
        <w:rPr>
          <w:rFonts w:eastAsia="Times New Roman"/>
          <w:bCs/>
          <w:szCs w:val="20"/>
        </w:rPr>
        <w:t>ity, Category 2</w:t>
      </w:r>
      <w:r w:rsidR="00E97C87" w:rsidRPr="00DE0622">
        <w:rPr>
          <w:rFonts w:eastAsia="Times New Roman"/>
          <w:bCs/>
          <w:szCs w:val="20"/>
        </w:rPr>
        <w:t>.</w:t>
      </w:r>
    </w:p>
    <w:p w:rsidR="00730686" w:rsidRPr="00B0155D" w:rsidRDefault="00730686" w:rsidP="006B75AB">
      <w:pPr>
        <w:widowControl/>
        <w:spacing w:before="120"/>
        <w:rPr>
          <w:rFonts w:eastAsia="Times New Roman"/>
          <w:b/>
          <w:bCs/>
          <w:szCs w:val="20"/>
        </w:rPr>
      </w:pPr>
      <w:r w:rsidRPr="00B0155D">
        <w:rPr>
          <w:rFonts w:eastAsia="Times New Roman"/>
          <w:b/>
          <w:bCs/>
          <w:szCs w:val="20"/>
        </w:rPr>
        <w:t>Label Elements</w:t>
      </w:r>
    </w:p>
    <w:p w:rsidR="00910EA2" w:rsidRPr="00B0155D" w:rsidRDefault="00730686" w:rsidP="006B75AB">
      <w:pPr>
        <w:widowControl/>
        <w:ind w:left="360"/>
        <w:rPr>
          <w:rFonts w:eastAsia="Times New Roman"/>
          <w:b/>
          <w:bCs/>
          <w:szCs w:val="20"/>
        </w:rPr>
      </w:pPr>
      <w:r w:rsidRPr="00B0155D">
        <w:rPr>
          <w:rFonts w:eastAsia="Times New Roman"/>
          <w:b/>
          <w:bCs/>
          <w:szCs w:val="20"/>
        </w:rPr>
        <w:t>Symbol</w:t>
      </w:r>
      <w:r w:rsidR="00910EA2" w:rsidRPr="00B0155D">
        <w:rPr>
          <w:rFonts w:eastAsia="Times New Roman"/>
          <w:b/>
          <w:bCs/>
          <w:szCs w:val="20"/>
        </w:rPr>
        <w:t xml:space="preserve"> </w:t>
      </w:r>
    </w:p>
    <w:p w:rsidR="00910EA2" w:rsidRPr="00B0155D" w:rsidRDefault="006A5336" w:rsidP="006B75AB">
      <w:pPr>
        <w:widowControl/>
        <w:ind w:left="634"/>
        <w:rPr>
          <w:rFonts w:eastAsia="Times New Roman"/>
          <w:b/>
          <w:bCs/>
          <w:szCs w:val="20"/>
        </w:rPr>
      </w:pPr>
      <w:r w:rsidRPr="00A85A37">
        <w:rPr>
          <w:noProof/>
        </w:rPr>
        <w:drawing>
          <wp:inline distT="0" distB="0" distL="0" distR="0" wp14:anchorId="7CB1A458" wp14:editId="45FAC91E">
            <wp:extent cx="975815" cy="975815"/>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972572" cy="972572"/>
                    </a:xfrm>
                    <a:prstGeom prst="rect">
                      <a:avLst/>
                    </a:prstGeom>
                  </pic:spPr>
                </pic:pic>
              </a:graphicData>
            </a:graphic>
          </wp:inline>
        </w:drawing>
      </w:r>
    </w:p>
    <w:p w:rsidR="00910EA2" w:rsidRPr="00B0155D" w:rsidRDefault="00730686" w:rsidP="006B75AB">
      <w:pPr>
        <w:widowControl/>
        <w:spacing w:before="120"/>
        <w:ind w:left="360"/>
        <w:rPr>
          <w:rFonts w:eastAsia="Times New Roman"/>
          <w:b/>
          <w:bCs/>
          <w:szCs w:val="20"/>
        </w:rPr>
      </w:pPr>
      <w:r w:rsidRPr="00B0155D">
        <w:rPr>
          <w:rFonts w:eastAsia="Times New Roman"/>
          <w:b/>
          <w:bCs/>
          <w:szCs w:val="20"/>
        </w:rPr>
        <w:t>Signal Word</w:t>
      </w:r>
    </w:p>
    <w:p w:rsidR="00910EA2" w:rsidRPr="00A2133B" w:rsidRDefault="00523A63" w:rsidP="006B75AB">
      <w:pPr>
        <w:widowControl/>
        <w:ind w:left="360"/>
        <w:rPr>
          <w:szCs w:val="20"/>
        </w:rPr>
      </w:pPr>
      <w:r>
        <w:rPr>
          <w:szCs w:val="20"/>
        </w:rPr>
        <w:t>WARNING</w:t>
      </w:r>
    </w:p>
    <w:p w:rsidR="00730686" w:rsidRPr="00B0155D" w:rsidRDefault="00730686" w:rsidP="006B75AB">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rsidR="007C1CDE" w:rsidRDefault="007C1CDE" w:rsidP="00DB7CD8">
      <w:pPr>
        <w:widowControl/>
        <w:ind w:left="360"/>
        <w:rPr>
          <w:szCs w:val="20"/>
        </w:rPr>
      </w:pPr>
      <w:r>
        <w:rPr>
          <w:szCs w:val="20"/>
        </w:rPr>
        <w:t>H227</w:t>
      </w:r>
      <w:r w:rsidR="00CA1914">
        <w:rPr>
          <w:szCs w:val="20"/>
        </w:rPr>
        <w:tab/>
      </w:r>
      <w:r w:rsidR="00CA1914">
        <w:rPr>
          <w:szCs w:val="20"/>
        </w:rPr>
        <w:tab/>
      </w:r>
      <w:r w:rsidR="0093254E">
        <w:rPr>
          <w:szCs w:val="20"/>
        </w:rPr>
        <w:t>Combustible liquid.</w:t>
      </w:r>
    </w:p>
    <w:p w:rsidR="00910EA2" w:rsidRDefault="006A5336" w:rsidP="006B75AB">
      <w:pPr>
        <w:widowControl/>
        <w:ind w:left="360"/>
        <w:rPr>
          <w:szCs w:val="20"/>
        </w:rPr>
      </w:pPr>
      <w:r>
        <w:rPr>
          <w:szCs w:val="20"/>
        </w:rPr>
        <w:t>H3</w:t>
      </w:r>
      <w:r w:rsidR="001E2F4C">
        <w:rPr>
          <w:szCs w:val="20"/>
        </w:rPr>
        <w:t>51</w:t>
      </w:r>
      <w:r w:rsidR="001E2F4C">
        <w:rPr>
          <w:szCs w:val="20"/>
        </w:rPr>
        <w:tab/>
      </w:r>
      <w:r w:rsidR="001E2F4C">
        <w:rPr>
          <w:szCs w:val="20"/>
        </w:rPr>
        <w:tab/>
        <w:t>Suspected of causing cancer</w:t>
      </w:r>
      <w:r w:rsidR="007F56B8">
        <w:rPr>
          <w:szCs w:val="20"/>
        </w:rPr>
        <w:t xml:space="preserve"> (inhalation)</w:t>
      </w:r>
      <w:r w:rsidR="001E2F4C">
        <w:rPr>
          <w:szCs w:val="20"/>
        </w:rPr>
        <w:t>.</w:t>
      </w:r>
    </w:p>
    <w:p w:rsidR="00910EA2" w:rsidRPr="00B0155D" w:rsidRDefault="00730686" w:rsidP="006B75AB">
      <w:pPr>
        <w:widowControl/>
        <w:spacing w:before="120"/>
        <w:ind w:left="360"/>
        <w:rPr>
          <w:rFonts w:eastAsia="Times New Roman"/>
          <w:b/>
          <w:bCs/>
          <w:szCs w:val="20"/>
        </w:rPr>
      </w:pPr>
      <w:r w:rsidRPr="00B0155D">
        <w:rPr>
          <w:rFonts w:eastAsia="Times New Roman"/>
          <w:b/>
          <w:bCs/>
          <w:szCs w:val="20"/>
        </w:rPr>
        <w:t>Precautionary Statement(s)</w:t>
      </w:r>
    </w:p>
    <w:p w:rsidR="006A5336" w:rsidRDefault="006A5336" w:rsidP="006B75AB">
      <w:pPr>
        <w:widowControl/>
        <w:ind w:left="360"/>
        <w:rPr>
          <w:rFonts w:eastAsia="Times New Roman"/>
          <w:bCs/>
          <w:szCs w:val="20"/>
        </w:rPr>
      </w:pPr>
      <w:r>
        <w:rPr>
          <w:rFonts w:eastAsia="Times New Roman"/>
          <w:bCs/>
          <w:szCs w:val="20"/>
        </w:rPr>
        <w:t>P201</w:t>
      </w:r>
      <w:r>
        <w:rPr>
          <w:rFonts w:eastAsia="Times New Roman"/>
          <w:bCs/>
          <w:szCs w:val="20"/>
        </w:rPr>
        <w:tab/>
      </w:r>
      <w:r>
        <w:rPr>
          <w:rFonts w:eastAsia="Times New Roman"/>
          <w:bCs/>
          <w:szCs w:val="20"/>
        </w:rPr>
        <w:tab/>
        <w:t>Obtain special instructions before use.</w:t>
      </w:r>
    </w:p>
    <w:p w:rsidR="006A5336" w:rsidRDefault="00944226" w:rsidP="006B75AB">
      <w:pPr>
        <w:widowControl/>
        <w:ind w:left="360"/>
        <w:rPr>
          <w:rFonts w:eastAsia="Times New Roman"/>
          <w:bCs/>
          <w:szCs w:val="20"/>
        </w:rPr>
      </w:pPr>
      <w:r>
        <w:rPr>
          <w:rFonts w:eastAsia="Times New Roman"/>
          <w:bCs/>
          <w:szCs w:val="20"/>
        </w:rPr>
        <w:t>P202</w:t>
      </w:r>
      <w:r>
        <w:rPr>
          <w:rFonts w:eastAsia="Times New Roman"/>
          <w:bCs/>
          <w:szCs w:val="20"/>
        </w:rPr>
        <w:tab/>
      </w:r>
      <w:r>
        <w:rPr>
          <w:rFonts w:eastAsia="Times New Roman"/>
          <w:bCs/>
          <w:szCs w:val="20"/>
        </w:rPr>
        <w:tab/>
      </w:r>
      <w:r w:rsidR="006A5336">
        <w:rPr>
          <w:rFonts w:eastAsia="Times New Roman"/>
          <w:bCs/>
          <w:szCs w:val="20"/>
        </w:rPr>
        <w:t xml:space="preserve">Do not handle until all safety precautions have been </w:t>
      </w:r>
      <w:r w:rsidR="007F56B8">
        <w:rPr>
          <w:rFonts w:eastAsia="Times New Roman"/>
          <w:bCs/>
          <w:szCs w:val="20"/>
        </w:rPr>
        <w:t xml:space="preserve">read and </w:t>
      </w:r>
      <w:r w:rsidR="006A5336">
        <w:rPr>
          <w:rFonts w:eastAsia="Times New Roman"/>
          <w:bCs/>
          <w:szCs w:val="20"/>
        </w:rPr>
        <w:t>understood.</w:t>
      </w:r>
    </w:p>
    <w:p w:rsidR="007C1CDE" w:rsidRDefault="007C1CDE" w:rsidP="006B75AB">
      <w:pPr>
        <w:widowControl/>
        <w:ind w:left="360"/>
        <w:rPr>
          <w:szCs w:val="20"/>
        </w:rPr>
      </w:pPr>
      <w:r>
        <w:rPr>
          <w:rFonts w:eastAsia="Times New Roman"/>
          <w:bCs/>
          <w:szCs w:val="20"/>
        </w:rPr>
        <w:t>P235</w:t>
      </w:r>
      <w:r w:rsidR="00CA1914">
        <w:rPr>
          <w:rFonts w:eastAsia="Times New Roman"/>
          <w:bCs/>
          <w:szCs w:val="20"/>
        </w:rPr>
        <w:tab/>
      </w:r>
      <w:r w:rsidR="00CA1914">
        <w:rPr>
          <w:rFonts w:eastAsia="Times New Roman"/>
          <w:bCs/>
          <w:szCs w:val="20"/>
        </w:rPr>
        <w:tab/>
      </w:r>
      <w:r w:rsidR="0093254E">
        <w:rPr>
          <w:szCs w:val="20"/>
        </w:rPr>
        <w:t>Keep away from flames and hot surfaces.  – No Smoking.</w:t>
      </w:r>
    </w:p>
    <w:p w:rsidR="006A5336" w:rsidRDefault="008D3C28" w:rsidP="006B75AB">
      <w:pPr>
        <w:widowControl/>
        <w:ind w:left="360"/>
        <w:rPr>
          <w:rFonts w:eastAsia="Times New Roman"/>
          <w:bCs/>
          <w:szCs w:val="20"/>
        </w:rPr>
      </w:pPr>
      <w:r>
        <w:rPr>
          <w:rFonts w:eastAsia="Times New Roman"/>
          <w:bCs/>
          <w:szCs w:val="20"/>
        </w:rPr>
        <w:t>P280</w:t>
      </w:r>
      <w:r w:rsidR="006A5336">
        <w:rPr>
          <w:rFonts w:eastAsia="Times New Roman"/>
          <w:bCs/>
          <w:szCs w:val="20"/>
        </w:rPr>
        <w:tab/>
      </w:r>
      <w:r w:rsidR="006A5336">
        <w:rPr>
          <w:rFonts w:eastAsia="Times New Roman"/>
          <w:bCs/>
          <w:szCs w:val="20"/>
        </w:rPr>
        <w:tab/>
      </w:r>
      <w:r w:rsidR="0093254E">
        <w:rPr>
          <w:rFonts w:eastAsia="Times New Roman"/>
          <w:bCs/>
          <w:szCs w:val="20"/>
        </w:rPr>
        <w:t>Wear protective gloves/protective clothing/eye protection/face protection</w:t>
      </w:r>
      <w:r w:rsidR="007F56B8">
        <w:rPr>
          <w:rFonts w:eastAsia="Times New Roman"/>
          <w:bCs/>
          <w:szCs w:val="20"/>
        </w:rPr>
        <w:t>.</w:t>
      </w:r>
    </w:p>
    <w:p w:rsidR="006A5336" w:rsidRDefault="00944226" w:rsidP="006B75AB">
      <w:pPr>
        <w:widowControl/>
        <w:ind w:left="360"/>
        <w:rPr>
          <w:rFonts w:eastAsia="Times New Roman"/>
          <w:bCs/>
          <w:szCs w:val="20"/>
        </w:rPr>
      </w:pPr>
      <w:r>
        <w:rPr>
          <w:rFonts w:eastAsia="Times New Roman"/>
          <w:bCs/>
          <w:szCs w:val="20"/>
        </w:rPr>
        <w:t>P308+P313</w:t>
      </w:r>
      <w:r>
        <w:rPr>
          <w:rFonts w:eastAsia="Times New Roman"/>
          <w:bCs/>
          <w:szCs w:val="20"/>
        </w:rPr>
        <w:tab/>
      </w:r>
      <w:r>
        <w:rPr>
          <w:rFonts w:eastAsia="Times New Roman"/>
          <w:bCs/>
          <w:szCs w:val="20"/>
        </w:rPr>
        <w:tab/>
      </w:r>
      <w:r w:rsidR="006A5336">
        <w:rPr>
          <w:rFonts w:eastAsia="Times New Roman"/>
          <w:bCs/>
          <w:szCs w:val="20"/>
        </w:rPr>
        <w:t>If exposed or concerned: get medical advice/attention.</w:t>
      </w:r>
    </w:p>
    <w:p w:rsidR="007C1CDE" w:rsidRDefault="007C1CDE" w:rsidP="006B75AB">
      <w:pPr>
        <w:widowControl/>
        <w:ind w:left="360"/>
        <w:rPr>
          <w:rFonts w:eastAsia="Times New Roman"/>
          <w:bCs/>
          <w:szCs w:val="20"/>
        </w:rPr>
      </w:pPr>
      <w:r>
        <w:rPr>
          <w:rFonts w:eastAsia="Times New Roman"/>
          <w:bCs/>
          <w:szCs w:val="20"/>
        </w:rPr>
        <w:t>P370+P378</w:t>
      </w:r>
      <w:r w:rsidR="0093254E">
        <w:rPr>
          <w:rFonts w:eastAsia="Times New Roman"/>
          <w:bCs/>
          <w:szCs w:val="20"/>
        </w:rPr>
        <w:tab/>
      </w:r>
      <w:r w:rsidR="0093254E">
        <w:rPr>
          <w:rFonts w:eastAsia="Times New Roman"/>
          <w:bCs/>
          <w:szCs w:val="20"/>
        </w:rPr>
        <w:tab/>
        <w:t>In case of fire use dry chemical, carbon dioxide, or regular foam for extinction.</w:t>
      </w:r>
    </w:p>
    <w:p w:rsidR="007C1CDE" w:rsidRDefault="007C1CDE" w:rsidP="006B75AB">
      <w:pPr>
        <w:widowControl/>
        <w:ind w:left="360"/>
        <w:rPr>
          <w:rFonts w:eastAsia="Times New Roman"/>
          <w:bCs/>
          <w:szCs w:val="20"/>
        </w:rPr>
      </w:pPr>
      <w:r>
        <w:rPr>
          <w:rFonts w:eastAsia="Times New Roman"/>
          <w:bCs/>
          <w:szCs w:val="20"/>
        </w:rPr>
        <w:t>P403</w:t>
      </w:r>
      <w:r w:rsidR="0093254E">
        <w:rPr>
          <w:rFonts w:eastAsia="Times New Roman"/>
          <w:bCs/>
          <w:szCs w:val="20"/>
        </w:rPr>
        <w:tab/>
      </w:r>
      <w:r w:rsidR="0093254E">
        <w:rPr>
          <w:rFonts w:eastAsia="Times New Roman"/>
          <w:bCs/>
          <w:szCs w:val="20"/>
        </w:rPr>
        <w:tab/>
        <w:t>Store in a well</w:t>
      </w:r>
      <w:r w:rsidR="0093254E">
        <w:rPr>
          <w:rFonts w:eastAsia="Times New Roman"/>
          <w:bCs/>
          <w:szCs w:val="20"/>
        </w:rPr>
        <w:noBreakHyphen/>
        <w:t>ventilated place.</w:t>
      </w:r>
    </w:p>
    <w:p w:rsidR="002B22C8" w:rsidRDefault="00944226" w:rsidP="006B75AB">
      <w:pPr>
        <w:widowControl/>
        <w:ind w:left="360"/>
        <w:rPr>
          <w:rFonts w:eastAsia="Times New Roman"/>
          <w:bCs/>
          <w:szCs w:val="20"/>
        </w:rPr>
      </w:pPr>
      <w:r>
        <w:rPr>
          <w:rFonts w:eastAsia="Times New Roman"/>
          <w:bCs/>
          <w:szCs w:val="20"/>
        </w:rPr>
        <w:t>P405</w:t>
      </w:r>
      <w:r>
        <w:rPr>
          <w:rFonts w:eastAsia="Times New Roman"/>
          <w:bCs/>
          <w:szCs w:val="20"/>
        </w:rPr>
        <w:tab/>
      </w:r>
      <w:r>
        <w:rPr>
          <w:rFonts w:eastAsia="Times New Roman"/>
          <w:bCs/>
          <w:szCs w:val="20"/>
        </w:rPr>
        <w:tab/>
      </w:r>
      <w:r w:rsidR="006A5336">
        <w:rPr>
          <w:rFonts w:eastAsia="Times New Roman"/>
          <w:bCs/>
          <w:szCs w:val="20"/>
        </w:rPr>
        <w:t>Store locked up.</w:t>
      </w:r>
    </w:p>
    <w:p w:rsidR="006A5336" w:rsidRPr="00DF7399" w:rsidRDefault="00944226" w:rsidP="006B75AB">
      <w:pPr>
        <w:widowControl/>
        <w:ind w:left="2160" w:hanging="1800"/>
        <w:rPr>
          <w:rFonts w:eastAsia="Times New Roman"/>
          <w:bCs/>
          <w:szCs w:val="20"/>
        </w:rPr>
      </w:pPr>
      <w:r>
        <w:rPr>
          <w:rFonts w:eastAsia="Times New Roman"/>
          <w:bCs/>
          <w:szCs w:val="20"/>
        </w:rPr>
        <w:t>P501</w:t>
      </w:r>
      <w:r>
        <w:rPr>
          <w:rFonts w:eastAsia="Times New Roman"/>
          <w:bCs/>
          <w:szCs w:val="20"/>
        </w:rPr>
        <w:tab/>
      </w:r>
      <w:r w:rsidR="006A5336">
        <w:rPr>
          <w:rFonts w:eastAsia="Times New Roman"/>
          <w:bCs/>
          <w:szCs w:val="20"/>
        </w:rPr>
        <w:t xml:space="preserve">Dispose of content/container in accordance with </w:t>
      </w:r>
      <w:r>
        <w:rPr>
          <w:rFonts w:eastAsia="Times New Roman"/>
          <w:bCs/>
          <w:szCs w:val="20"/>
        </w:rPr>
        <w:t>local</w:t>
      </w:r>
      <w:r w:rsidR="00437975">
        <w:rPr>
          <w:rFonts w:eastAsia="Times New Roman"/>
          <w:bCs/>
          <w:szCs w:val="20"/>
        </w:rPr>
        <w:t>, r</w:t>
      </w:r>
      <w:r>
        <w:rPr>
          <w:rFonts w:eastAsia="Times New Roman"/>
          <w:bCs/>
          <w:szCs w:val="20"/>
        </w:rPr>
        <w:t>egional</w:t>
      </w:r>
      <w:r w:rsidR="00437975">
        <w:rPr>
          <w:rFonts w:eastAsia="Times New Roman"/>
          <w:bCs/>
          <w:szCs w:val="20"/>
        </w:rPr>
        <w:t xml:space="preserve">, </w:t>
      </w:r>
      <w:r>
        <w:rPr>
          <w:rFonts w:eastAsia="Times New Roman"/>
          <w:bCs/>
          <w:szCs w:val="20"/>
        </w:rPr>
        <w:t>national</w:t>
      </w:r>
      <w:r w:rsidR="00437975">
        <w:rPr>
          <w:rFonts w:eastAsia="Times New Roman"/>
          <w:bCs/>
          <w:szCs w:val="20"/>
        </w:rPr>
        <w:t xml:space="preserve">, and </w:t>
      </w:r>
      <w:r>
        <w:rPr>
          <w:rFonts w:eastAsia="Times New Roman"/>
          <w:bCs/>
          <w:szCs w:val="20"/>
        </w:rPr>
        <w:t xml:space="preserve">international regulations. </w:t>
      </w:r>
    </w:p>
    <w:p w:rsidR="002B22C8" w:rsidRPr="004C5973" w:rsidRDefault="00910EA2" w:rsidP="006B75AB">
      <w:pPr>
        <w:widowControl/>
        <w:spacing w:before="120"/>
        <w:ind w:left="360"/>
        <w:rPr>
          <w:rFonts w:eastAsia="Times New Roman"/>
          <w:bCs/>
          <w:szCs w:val="20"/>
        </w:rPr>
      </w:pPr>
      <w:r w:rsidRPr="00B0155D">
        <w:rPr>
          <w:rFonts w:eastAsia="Times New Roman"/>
          <w:b/>
          <w:bCs/>
          <w:szCs w:val="20"/>
        </w:rPr>
        <w:lastRenderedPageBreak/>
        <w:t>Hazards Not Otherwise Classified:</w:t>
      </w:r>
      <w:r w:rsidR="004C5973" w:rsidRPr="004C5973">
        <w:rPr>
          <w:rFonts w:eastAsia="Times New Roman"/>
          <w:bCs/>
          <w:szCs w:val="20"/>
        </w:rPr>
        <w:t xml:space="preserve">  </w:t>
      </w:r>
      <w:r w:rsidR="004C5973">
        <w:rPr>
          <w:rFonts w:eastAsia="Times New Roman"/>
          <w:bCs/>
          <w:szCs w:val="20"/>
        </w:rPr>
        <w:t>None.</w:t>
      </w:r>
    </w:p>
    <w:p w:rsidR="000F1959" w:rsidRPr="000F1959" w:rsidRDefault="00910EA2" w:rsidP="006B75AB">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71ED3" w:rsidTr="00371ED3">
        <w:trPr>
          <w:trHeight w:hRule="exact" w:val="360"/>
        </w:trPr>
        <w:tc>
          <w:tcPr>
            <w:tcW w:w="9576" w:type="dxa"/>
            <w:vAlign w:val="center"/>
          </w:tcPr>
          <w:p w:rsidR="00371ED3" w:rsidRPr="00944226" w:rsidRDefault="00371ED3" w:rsidP="006B75AB">
            <w:pPr>
              <w:keepNext/>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rsidR="00BB0995" w:rsidRPr="00F353D7" w:rsidRDefault="00BB0995" w:rsidP="006B75AB">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E568E7">
        <w:rPr>
          <w:rFonts w:eastAsia="Times New Roman"/>
          <w:bCs/>
          <w:spacing w:val="1"/>
          <w:szCs w:val="20"/>
        </w:rPr>
        <w:t>Fuel Oil, N</w:t>
      </w:r>
      <w:r w:rsidR="00DF29FF">
        <w:rPr>
          <w:rFonts w:eastAsia="Times New Roman"/>
          <w:bCs/>
          <w:spacing w:val="1"/>
          <w:szCs w:val="20"/>
        </w:rPr>
        <w:t>o</w:t>
      </w:r>
      <w:r w:rsidR="00E568E7">
        <w:rPr>
          <w:rFonts w:eastAsia="Times New Roman"/>
          <w:bCs/>
          <w:spacing w:val="1"/>
          <w:szCs w:val="20"/>
        </w:rPr>
        <w:t xml:space="preserve"> 6</w:t>
      </w:r>
      <w:r w:rsidR="00944226">
        <w:rPr>
          <w:rFonts w:eastAsia="Times New Roman"/>
          <w:bCs/>
          <w:spacing w:val="1"/>
          <w:szCs w:val="20"/>
        </w:rPr>
        <w:t>.</w:t>
      </w:r>
    </w:p>
    <w:p w:rsidR="00BB0995" w:rsidRPr="00E76DFD" w:rsidRDefault="00BB0995" w:rsidP="00CA1914">
      <w:pPr>
        <w:keepNext/>
        <w:widowControl/>
        <w:spacing w:before="60"/>
        <w:rPr>
          <w:rFonts w:eastAsia="Times New Roman"/>
          <w:bCs/>
          <w:spacing w:val="1"/>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r w:rsidRPr="00E76DFD">
        <w:rPr>
          <w:rFonts w:eastAsia="Times New Roman"/>
          <w:spacing w:val="-1"/>
          <w:szCs w:val="20"/>
        </w:rPr>
        <w:t xml:space="preserve"> </w:t>
      </w:r>
      <w:r w:rsidR="00E76DFD" w:rsidRPr="00E76DFD">
        <w:rPr>
          <w:rFonts w:eastAsia="Times New Roman"/>
          <w:spacing w:val="-1"/>
          <w:szCs w:val="20"/>
        </w:rPr>
        <w:t xml:space="preserve"> </w:t>
      </w:r>
      <w:r w:rsidR="00E568E7">
        <w:rPr>
          <w:rFonts w:eastAsia="Times New Roman"/>
          <w:spacing w:val="-1"/>
          <w:szCs w:val="20"/>
        </w:rPr>
        <w:t xml:space="preserve">Residual fuel oil; </w:t>
      </w:r>
      <w:r w:rsidR="00C54708">
        <w:rPr>
          <w:rFonts w:eastAsia="Times New Roman"/>
          <w:spacing w:val="-1"/>
          <w:szCs w:val="20"/>
        </w:rPr>
        <w:t>B</w:t>
      </w:r>
      <w:r w:rsidR="00E568E7">
        <w:rPr>
          <w:rFonts w:eastAsia="Times New Roman"/>
          <w:spacing w:val="-1"/>
          <w:szCs w:val="20"/>
        </w:rPr>
        <w:t xml:space="preserve">unker </w:t>
      </w:r>
      <w:r w:rsidR="00C54708">
        <w:rPr>
          <w:rFonts w:eastAsia="Times New Roman"/>
          <w:spacing w:val="-1"/>
          <w:szCs w:val="20"/>
        </w:rPr>
        <w:t xml:space="preserve">C </w:t>
      </w:r>
      <w:r w:rsidR="00E568E7">
        <w:rPr>
          <w:rFonts w:eastAsia="Times New Roman"/>
          <w:spacing w:val="-1"/>
          <w:szCs w:val="20"/>
        </w:rPr>
        <w:t xml:space="preserve">oil; </w:t>
      </w:r>
      <w:r w:rsidR="00E568E7">
        <w:rPr>
          <w:rFonts w:eastAsia="Times New Roman"/>
          <w:szCs w:val="20"/>
        </w:rPr>
        <w:t>Grade 6.</w:t>
      </w:r>
    </w:p>
    <w:p w:rsidR="00B173FB" w:rsidRDefault="00661CCC" w:rsidP="00CA1914">
      <w:pPr>
        <w:widowControl/>
        <w:spacing w:before="60" w:after="60"/>
        <w:rPr>
          <w:rFonts w:eastAsia="Times New Roman"/>
          <w:szCs w:val="20"/>
        </w:rPr>
      </w:pPr>
      <w:r>
        <w:rPr>
          <w:rFonts w:eastAsia="Times New Roman"/>
          <w:spacing w:val="1"/>
          <w:szCs w:val="20"/>
        </w:rPr>
        <w:t>Components are listed in compliance with OSHA’s 29 CFR 1910.1200</w:t>
      </w:r>
      <w:r w:rsidRPr="00661CCC">
        <w:rPr>
          <w:rFonts w:eastAsia="Times New Roman"/>
          <w:szCs w:val="20"/>
        </w:rPr>
        <w:t>.</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530"/>
        <w:gridCol w:w="1800"/>
        <w:gridCol w:w="2970"/>
      </w:tblGrid>
      <w:tr w:rsidR="00B173FB" w:rsidTr="00B56E85">
        <w:trPr>
          <w:trHeight w:val="576"/>
        </w:trPr>
        <w:tc>
          <w:tcPr>
            <w:tcW w:w="2718" w:type="dxa"/>
          </w:tcPr>
          <w:p w:rsidR="00B173FB" w:rsidRDefault="00620718" w:rsidP="00CA1914">
            <w:pPr>
              <w:widowControl/>
              <w:rPr>
                <w:rFonts w:eastAsia="Times New Roman"/>
                <w:sz w:val="18"/>
                <w:szCs w:val="18"/>
              </w:rPr>
            </w:pPr>
            <w:r>
              <w:rPr>
                <w:rFonts w:eastAsia="Times New Roman"/>
                <w:b/>
                <w:bCs/>
                <w:szCs w:val="20"/>
              </w:rPr>
              <w:t xml:space="preserve">Hazardous </w:t>
            </w:r>
            <w:r w:rsidR="00B173FB">
              <w:rPr>
                <w:rFonts w:eastAsia="Times New Roman"/>
                <w:b/>
                <w:bCs/>
                <w:szCs w:val="20"/>
              </w:rPr>
              <w:t>C</w:t>
            </w:r>
            <w:r w:rsidR="00B173FB">
              <w:rPr>
                <w:rFonts w:eastAsia="Times New Roman"/>
                <w:b/>
                <w:bCs/>
                <w:spacing w:val="1"/>
                <w:szCs w:val="20"/>
              </w:rPr>
              <w:t>o</w:t>
            </w:r>
            <w:r w:rsidR="00B173FB">
              <w:rPr>
                <w:rFonts w:eastAsia="Times New Roman"/>
                <w:b/>
                <w:bCs/>
                <w:spacing w:val="-5"/>
                <w:szCs w:val="20"/>
              </w:rPr>
              <w:t>m</w:t>
            </w:r>
            <w:r w:rsidR="00B173FB">
              <w:rPr>
                <w:rFonts w:eastAsia="Times New Roman"/>
                <w:b/>
                <w:bCs/>
                <w:szCs w:val="20"/>
              </w:rPr>
              <w:t>p</w:t>
            </w:r>
            <w:r w:rsidR="00B173FB">
              <w:rPr>
                <w:rFonts w:eastAsia="Times New Roman"/>
                <w:b/>
                <w:bCs/>
                <w:spacing w:val="1"/>
                <w:szCs w:val="20"/>
              </w:rPr>
              <w:t>o</w:t>
            </w:r>
            <w:r w:rsidR="00B173FB">
              <w:rPr>
                <w:rFonts w:eastAsia="Times New Roman"/>
                <w:b/>
                <w:bCs/>
                <w:szCs w:val="20"/>
              </w:rPr>
              <w:t>nent</w:t>
            </w:r>
          </w:p>
        </w:tc>
        <w:tc>
          <w:tcPr>
            <w:tcW w:w="1530" w:type="dxa"/>
          </w:tcPr>
          <w:p w:rsidR="00B173FB" w:rsidRDefault="00B173FB" w:rsidP="006B75AB">
            <w:pPr>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800" w:type="dxa"/>
          </w:tcPr>
          <w:p w:rsidR="00B173FB" w:rsidRDefault="00B173FB" w:rsidP="006B75AB">
            <w:pPr>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970" w:type="dxa"/>
          </w:tcPr>
          <w:p w:rsidR="00B173FB" w:rsidRPr="0029714C" w:rsidRDefault="00B173FB" w:rsidP="0029714C">
            <w:pPr>
              <w:widowControl/>
              <w:jc w:val="center"/>
              <w:rPr>
                <w:b/>
              </w:rPr>
            </w:pPr>
            <w:r w:rsidRPr="0029714C">
              <w:rPr>
                <w:b/>
              </w:rPr>
              <w:t xml:space="preserve">Nominal Mass </w:t>
            </w:r>
            <w:r w:rsidR="00516658" w:rsidRPr="0029714C">
              <w:rPr>
                <w:b/>
              </w:rPr>
              <w:t xml:space="preserve">Concentration </w:t>
            </w:r>
            <w:r w:rsidRPr="0029714C">
              <w:rPr>
                <w:b/>
              </w:rPr>
              <w:br/>
              <w:t>(%)</w:t>
            </w:r>
          </w:p>
        </w:tc>
      </w:tr>
      <w:tr w:rsidR="00F353D7" w:rsidTr="00AA55EE">
        <w:trPr>
          <w:trHeight w:val="288"/>
        </w:trPr>
        <w:tc>
          <w:tcPr>
            <w:tcW w:w="2718" w:type="dxa"/>
          </w:tcPr>
          <w:p w:rsidR="00F353D7" w:rsidRDefault="00DF29FF" w:rsidP="006B75AB">
            <w:pPr>
              <w:widowControl/>
              <w:rPr>
                <w:rFonts w:eastAsia="Times New Roman"/>
                <w:spacing w:val="2"/>
                <w:szCs w:val="20"/>
              </w:rPr>
            </w:pPr>
            <w:r>
              <w:rPr>
                <w:rFonts w:eastAsia="Times New Roman"/>
                <w:spacing w:val="2"/>
                <w:szCs w:val="20"/>
              </w:rPr>
              <w:t>Fuel Oil No. 6</w:t>
            </w:r>
          </w:p>
        </w:tc>
        <w:tc>
          <w:tcPr>
            <w:tcW w:w="1530" w:type="dxa"/>
          </w:tcPr>
          <w:p w:rsidR="00F353D7" w:rsidRDefault="00DF29FF" w:rsidP="00726609">
            <w:pPr>
              <w:widowControl/>
              <w:jc w:val="center"/>
              <w:rPr>
                <w:rFonts w:eastAsia="Times New Roman"/>
                <w:spacing w:val="1"/>
                <w:szCs w:val="20"/>
              </w:rPr>
            </w:pPr>
            <w:r>
              <w:rPr>
                <w:rFonts w:eastAsia="Times New Roman"/>
                <w:spacing w:val="1"/>
                <w:szCs w:val="20"/>
              </w:rPr>
              <w:t>6</w:t>
            </w:r>
            <w:r w:rsidR="00CA1914">
              <w:rPr>
                <w:rFonts w:eastAsia="Times New Roman"/>
                <w:spacing w:val="1"/>
                <w:szCs w:val="20"/>
              </w:rPr>
              <w:t>8553-00-4</w:t>
            </w:r>
          </w:p>
        </w:tc>
        <w:tc>
          <w:tcPr>
            <w:tcW w:w="1800" w:type="dxa"/>
          </w:tcPr>
          <w:p w:rsidR="00F353D7" w:rsidRDefault="00DF29FF" w:rsidP="00CA1914">
            <w:pPr>
              <w:widowControl/>
              <w:jc w:val="center"/>
              <w:rPr>
                <w:rFonts w:eastAsia="Times New Roman"/>
                <w:spacing w:val="1"/>
                <w:szCs w:val="20"/>
              </w:rPr>
            </w:pPr>
            <w:r>
              <w:rPr>
                <w:rFonts w:eastAsia="Times New Roman"/>
                <w:spacing w:val="1"/>
                <w:szCs w:val="20"/>
              </w:rPr>
              <w:t>2</w:t>
            </w:r>
            <w:r w:rsidR="00CA1914">
              <w:rPr>
                <w:rFonts w:eastAsia="Times New Roman"/>
                <w:spacing w:val="1"/>
                <w:szCs w:val="20"/>
              </w:rPr>
              <w:t>71-384-7</w:t>
            </w:r>
          </w:p>
        </w:tc>
        <w:tc>
          <w:tcPr>
            <w:tcW w:w="2970" w:type="dxa"/>
          </w:tcPr>
          <w:p w:rsidR="00F353D7" w:rsidRPr="0029714C" w:rsidRDefault="00DF29FF" w:rsidP="0029714C">
            <w:pPr>
              <w:jc w:val="center"/>
            </w:pPr>
            <w:r w:rsidRPr="0029714C">
              <w:t>100</w:t>
            </w:r>
          </w:p>
        </w:tc>
      </w:tr>
    </w:tbl>
    <w:p w:rsidR="00492783" w:rsidRPr="00492783" w:rsidRDefault="00492783" w:rsidP="008A57C6">
      <w:pPr>
        <w:widowControl/>
        <w:tabs>
          <w:tab w:val="left" w:pos="180"/>
        </w:tabs>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B173FB" w:rsidTr="00B173FB">
        <w:trPr>
          <w:trHeight w:hRule="exact" w:val="360"/>
        </w:trPr>
        <w:tc>
          <w:tcPr>
            <w:tcW w:w="9576" w:type="dxa"/>
            <w:vAlign w:val="center"/>
          </w:tcPr>
          <w:p w:rsidR="00B173FB" w:rsidRDefault="00B173FB" w:rsidP="006B75AB">
            <w:pPr>
              <w:keepNext/>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rsidR="00C508A0" w:rsidRPr="00B0155D" w:rsidRDefault="00BB0995" w:rsidP="006B75AB">
      <w:pPr>
        <w:widowControl/>
        <w:spacing w:before="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rsidR="00C508A0" w:rsidRPr="00795575" w:rsidRDefault="00BF5DD9" w:rsidP="00C82019">
      <w:pPr>
        <w:widowControl/>
        <w:spacing w:before="60"/>
        <w:ind w:left="360"/>
        <w:rPr>
          <w:rFonts w:eastAsia="Times New Roman"/>
          <w:bCs/>
          <w:szCs w:val="20"/>
        </w:rPr>
      </w:pPr>
      <w:r w:rsidRPr="00B0155D">
        <w:rPr>
          <w:rFonts w:eastAsia="Times New Roman"/>
          <w:b/>
          <w:bCs/>
          <w:spacing w:val="-1"/>
          <w:szCs w:val="20"/>
        </w:rPr>
        <w:t>I</w:t>
      </w:r>
      <w:r w:rsidRPr="00B0155D">
        <w:rPr>
          <w:rFonts w:eastAsia="Times New Roman"/>
          <w:b/>
          <w:bCs/>
          <w:szCs w:val="20"/>
        </w:rPr>
        <w:t>nh</w:t>
      </w:r>
      <w:r w:rsidRPr="00B0155D">
        <w:rPr>
          <w:rFonts w:eastAsia="Times New Roman"/>
          <w:b/>
          <w:bCs/>
          <w:spacing w:val="1"/>
          <w:szCs w:val="20"/>
        </w:rPr>
        <w:t>a</w:t>
      </w:r>
      <w:r w:rsidRPr="00B0155D">
        <w:rPr>
          <w:rFonts w:eastAsia="Times New Roman"/>
          <w:b/>
          <w:bCs/>
          <w:szCs w:val="20"/>
        </w:rPr>
        <w:t>l</w:t>
      </w:r>
      <w:r w:rsidRPr="00B0155D">
        <w:rPr>
          <w:rFonts w:eastAsia="Times New Roman"/>
          <w:b/>
          <w:bCs/>
          <w:spacing w:val="1"/>
          <w:szCs w:val="20"/>
        </w:rPr>
        <w:t>at</w:t>
      </w:r>
      <w:r w:rsidRPr="00B0155D">
        <w:rPr>
          <w:rFonts w:eastAsia="Times New Roman"/>
          <w:b/>
          <w:bCs/>
          <w:szCs w:val="20"/>
        </w:rPr>
        <w:t>i</w:t>
      </w:r>
      <w:r w:rsidRPr="00B0155D">
        <w:rPr>
          <w:rFonts w:eastAsia="Times New Roman"/>
          <w:b/>
          <w:bCs/>
          <w:spacing w:val="1"/>
          <w:szCs w:val="20"/>
        </w:rPr>
        <w:t>o</w:t>
      </w:r>
      <w:r w:rsidRPr="00B0155D">
        <w:rPr>
          <w:rFonts w:eastAsia="Times New Roman"/>
          <w:b/>
          <w:bCs/>
          <w:szCs w:val="20"/>
        </w:rPr>
        <w:t>n:</w:t>
      </w:r>
      <w:r w:rsidRPr="00795575">
        <w:rPr>
          <w:rFonts w:eastAsia="Times New Roman"/>
          <w:bCs/>
          <w:szCs w:val="20"/>
        </w:rPr>
        <w:t xml:space="preserve"> </w:t>
      </w:r>
      <w:r w:rsidR="00795575" w:rsidRPr="00795575">
        <w:rPr>
          <w:rFonts w:eastAsia="Times New Roman"/>
          <w:bCs/>
          <w:szCs w:val="20"/>
        </w:rPr>
        <w:t xml:space="preserve"> </w:t>
      </w:r>
      <w:r w:rsidR="00795575">
        <w:rPr>
          <w:rFonts w:eastAsia="Times New Roman"/>
          <w:bCs/>
          <w:szCs w:val="20"/>
        </w:rPr>
        <w:t>If adverse effects occur, remove to well</w:t>
      </w:r>
      <w:r w:rsidR="00FC2284">
        <w:rPr>
          <w:rFonts w:eastAsia="Times New Roman"/>
          <w:bCs/>
          <w:szCs w:val="20"/>
        </w:rPr>
        <w:noBreakHyphen/>
      </w:r>
      <w:r w:rsidR="00795575">
        <w:rPr>
          <w:rFonts w:eastAsia="Times New Roman"/>
          <w:bCs/>
          <w:szCs w:val="20"/>
        </w:rPr>
        <w:t xml:space="preserve">ventilated (uncontaminated) area.  If breathing is difficult, qualified personnel may administer oxygen.  If not breathing, </w:t>
      </w:r>
      <w:r w:rsidR="00492783">
        <w:rPr>
          <w:rFonts w:eastAsia="Times New Roman"/>
          <w:bCs/>
          <w:szCs w:val="20"/>
        </w:rPr>
        <w:t>qualified</w:t>
      </w:r>
      <w:r w:rsidR="00795575">
        <w:rPr>
          <w:rFonts w:eastAsia="Times New Roman"/>
          <w:bCs/>
          <w:szCs w:val="20"/>
        </w:rPr>
        <w:t xml:space="preserve"> personnel should give artificial respiration.  Seek immediate medical attention. </w:t>
      </w:r>
    </w:p>
    <w:p w:rsidR="00C508A0" w:rsidRPr="00795575" w:rsidRDefault="00BF5DD9" w:rsidP="00C82019">
      <w:pPr>
        <w:widowControl/>
        <w:spacing w:before="60"/>
        <w:ind w:left="360"/>
        <w:rPr>
          <w:rFonts w:eastAsia="Times New Roman"/>
          <w:bCs/>
          <w:szCs w:val="20"/>
        </w:rPr>
      </w:pPr>
      <w:r w:rsidRPr="00B0155D">
        <w:rPr>
          <w:rFonts w:eastAsia="Times New Roman"/>
          <w:b/>
          <w:bCs/>
          <w:szCs w:val="20"/>
        </w:rPr>
        <w:t>S</w:t>
      </w:r>
      <w:r w:rsidRPr="00B0155D">
        <w:rPr>
          <w:rFonts w:eastAsia="Times New Roman"/>
          <w:b/>
          <w:bCs/>
          <w:spacing w:val="-3"/>
          <w:szCs w:val="20"/>
        </w:rPr>
        <w:t>k</w:t>
      </w:r>
      <w:r w:rsidRPr="00B0155D">
        <w:rPr>
          <w:rFonts w:eastAsia="Times New Roman"/>
          <w:b/>
          <w:bCs/>
          <w:szCs w:val="20"/>
        </w:rPr>
        <w:t>in</w:t>
      </w:r>
      <w:r w:rsidRPr="00B0155D">
        <w:rPr>
          <w:rFonts w:eastAsia="Times New Roman"/>
          <w:b/>
          <w:bCs/>
          <w:spacing w:val="-4"/>
          <w:szCs w:val="20"/>
        </w:rPr>
        <w:t xml:space="preserve"> </w:t>
      </w:r>
      <w:r w:rsidRPr="00B0155D">
        <w:rPr>
          <w:rFonts w:eastAsia="Times New Roman"/>
          <w:b/>
          <w:bCs/>
          <w:szCs w:val="20"/>
        </w:rPr>
        <w:t>C</w:t>
      </w:r>
      <w:r w:rsidRPr="00B0155D">
        <w:rPr>
          <w:rFonts w:eastAsia="Times New Roman"/>
          <w:b/>
          <w:bCs/>
          <w:spacing w:val="1"/>
          <w:szCs w:val="20"/>
        </w:rPr>
        <w:t>o</w:t>
      </w:r>
      <w:r w:rsidRPr="00B0155D">
        <w:rPr>
          <w:rFonts w:eastAsia="Times New Roman"/>
          <w:b/>
          <w:bCs/>
          <w:szCs w:val="20"/>
        </w:rPr>
        <w:t>n</w:t>
      </w:r>
      <w:r w:rsidRPr="00B0155D">
        <w:rPr>
          <w:rFonts w:eastAsia="Times New Roman"/>
          <w:b/>
          <w:bCs/>
          <w:spacing w:val="1"/>
          <w:szCs w:val="20"/>
        </w:rPr>
        <w:t>ta</w:t>
      </w:r>
      <w:r w:rsidRPr="00B0155D">
        <w:rPr>
          <w:rFonts w:eastAsia="Times New Roman"/>
          <w:b/>
          <w:bCs/>
          <w:szCs w:val="20"/>
        </w:rPr>
        <w:t>c</w:t>
      </w:r>
      <w:r w:rsidRPr="00B0155D">
        <w:rPr>
          <w:rFonts w:eastAsia="Times New Roman"/>
          <w:b/>
          <w:bCs/>
          <w:spacing w:val="1"/>
          <w:szCs w:val="20"/>
        </w:rPr>
        <w:t>t</w:t>
      </w:r>
      <w:r w:rsidRPr="00B0155D">
        <w:rPr>
          <w:rFonts w:eastAsia="Times New Roman"/>
          <w:b/>
          <w:bCs/>
          <w:szCs w:val="20"/>
        </w:rPr>
        <w:t>:</w:t>
      </w:r>
      <w:r w:rsidRPr="00795575">
        <w:rPr>
          <w:rFonts w:eastAsia="Times New Roman"/>
          <w:bCs/>
          <w:szCs w:val="20"/>
        </w:rPr>
        <w:t xml:space="preserve"> </w:t>
      </w:r>
      <w:r w:rsidR="00795575">
        <w:rPr>
          <w:rFonts w:eastAsia="Times New Roman"/>
          <w:bCs/>
          <w:szCs w:val="20"/>
        </w:rPr>
        <w:t xml:space="preserve"> </w:t>
      </w:r>
      <w:r w:rsidR="00944226">
        <w:rPr>
          <w:rFonts w:eastAsia="Times New Roman"/>
          <w:bCs/>
          <w:szCs w:val="20"/>
        </w:rPr>
        <w:t>Rinse</w:t>
      </w:r>
      <w:r w:rsidR="00944226">
        <w:t xml:space="preserve"> affected skin with water for at least 15 minutes, then wash thoroughly with soap or mild detergent and water.  If skin irritation persists, seek medical aid and bring the container or label.</w:t>
      </w:r>
    </w:p>
    <w:p w:rsidR="00C508A0" w:rsidRPr="00795575" w:rsidRDefault="00BF5DD9" w:rsidP="00CA1914">
      <w:pPr>
        <w:widowControl/>
        <w:spacing w:before="60" w:after="60"/>
        <w:ind w:left="360"/>
        <w:rPr>
          <w:rFonts w:eastAsia="Times New Roman"/>
          <w:b/>
          <w:bCs/>
          <w:szCs w:val="20"/>
        </w:rPr>
      </w:pPr>
      <w:r w:rsidRPr="00795575">
        <w:rPr>
          <w:rFonts w:eastAsia="Times New Roman"/>
          <w:b/>
          <w:bCs/>
          <w:spacing w:val="-1"/>
          <w:szCs w:val="20"/>
        </w:rPr>
        <w:t>E</w:t>
      </w:r>
      <w:r w:rsidRPr="00795575">
        <w:rPr>
          <w:rFonts w:eastAsia="Times New Roman"/>
          <w:b/>
          <w:bCs/>
          <w:spacing w:val="1"/>
          <w:szCs w:val="20"/>
        </w:rPr>
        <w:t>y</w:t>
      </w:r>
      <w:r w:rsidRPr="00795575">
        <w:rPr>
          <w:rFonts w:eastAsia="Times New Roman"/>
          <w:b/>
          <w:bCs/>
          <w:szCs w:val="20"/>
        </w:rPr>
        <w:t>e</w:t>
      </w:r>
      <w:r w:rsidRPr="00795575">
        <w:rPr>
          <w:rFonts w:eastAsia="Times New Roman"/>
          <w:b/>
          <w:bCs/>
          <w:spacing w:val="-2"/>
          <w:szCs w:val="20"/>
        </w:rPr>
        <w:t xml:space="preserve"> </w:t>
      </w:r>
      <w:r w:rsidRPr="00795575">
        <w:rPr>
          <w:rFonts w:eastAsia="Times New Roman"/>
          <w:b/>
          <w:bCs/>
          <w:szCs w:val="20"/>
        </w:rPr>
        <w:t>C</w:t>
      </w:r>
      <w:r w:rsidRPr="00795575">
        <w:rPr>
          <w:rFonts w:eastAsia="Times New Roman"/>
          <w:b/>
          <w:bCs/>
          <w:spacing w:val="1"/>
          <w:szCs w:val="20"/>
        </w:rPr>
        <w:t>o</w:t>
      </w:r>
      <w:r w:rsidRPr="00795575">
        <w:rPr>
          <w:rFonts w:eastAsia="Times New Roman"/>
          <w:b/>
          <w:bCs/>
          <w:szCs w:val="20"/>
        </w:rPr>
        <w:t>n</w:t>
      </w:r>
      <w:r w:rsidRPr="00795575">
        <w:rPr>
          <w:rFonts w:eastAsia="Times New Roman"/>
          <w:b/>
          <w:bCs/>
          <w:spacing w:val="1"/>
          <w:szCs w:val="20"/>
        </w:rPr>
        <w:t>ta</w:t>
      </w:r>
      <w:r w:rsidRPr="00795575">
        <w:rPr>
          <w:rFonts w:eastAsia="Times New Roman"/>
          <w:b/>
          <w:bCs/>
          <w:szCs w:val="20"/>
        </w:rPr>
        <w:t>c</w:t>
      </w:r>
      <w:r w:rsidRPr="00795575">
        <w:rPr>
          <w:rFonts w:eastAsia="Times New Roman"/>
          <w:b/>
          <w:bCs/>
          <w:spacing w:val="1"/>
          <w:szCs w:val="20"/>
        </w:rPr>
        <w:t>t</w:t>
      </w:r>
      <w:r w:rsidRPr="00795575">
        <w:rPr>
          <w:rFonts w:eastAsia="Times New Roman"/>
          <w:b/>
          <w:bCs/>
          <w:szCs w:val="20"/>
        </w:rPr>
        <w:t>:</w:t>
      </w:r>
      <w:r w:rsidR="00795575" w:rsidRPr="00795575">
        <w:rPr>
          <w:rFonts w:eastAsia="Times New Roman"/>
          <w:bCs/>
          <w:szCs w:val="20"/>
        </w:rPr>
        <w:t xml:space="preserve">  </w:t>
      </w:r>
      <w:r w:rsidR="00795575" w:rsidRPr="00795575">
        <w:rPr>
          <w:szCs w:val="20"/>
        </w:rPr>
        <w:t>Immediately flush eyes, including under the eyelids, with copious amounts of water for at least 15 minutes.  Seek immediate medical attention.</w:t>
      </w:r>
    </w:p>
    <w:p w:rsidR="00E24579" w:rsidRPr="00B0155D" w:rsidRDefault="00BF5DD9" w:rsidP="00C82019">
      <w:pPr>
        <w:widowControl/>
        <w:spacing w:before="60"/>
        <w:ind w:left="360"/>
        <w:rPr>
          <w:rFonts w:eastAsia="Times New Roman"/>
          <w:b/>
          <w:bCs/>
          <w:szCs w:val="20"/>
        </w:rPr>
      </w:pPr>
      <w:r w:rsidRPr="00B0155D">
        <w:rPr>
          <w:rFonts w:eastAsia="Times New Roman"/>
          <w:b/>
          <w:bCs/>
          <w:spacing w:val="-1"/>
          <w:szCs w:val="20"/>
        </w:rPr>
        <w:t>I</w:t>
      </w:r>
      <w:r w:rsidRPr="00B0155D">
        <w:rPr>
          <w:rFonts w:eastAsia="Times New Roman"/>
          <w:b/>
          <w:bCs/>
          <w:szCs w:val="20"/>
        </w:rPr>
        <w:t>n</w:t>
      </w:r>
      <w:r w:rsidRPr="00B0155D">
        <w:rPr>
          <w:rFonts w:eastAsia="Times New Roman"/>
          <w:b/>
          <w:bCs/>
          <w:spacing w:val="1"/>
          <w:szCs w:val="20"/>
        </w:rPr>
        <w:t>g</w:t>
      </w:r>
      <w:r w:rsidRPr="00B0155D">
        <w:rPr>
          <w:rFonts w:eastAsia="Times New Roman"/>
          <w:b/>
          <w:bCs/>
          <w:szCs w:val="20"/>
        </w:rPr>
        <w:t>e</w:t>
      </w:r>
      <w:r w:rsidRPr="00B0155D">
        <w:rPr>
          <w:rFonts w:eastAsia="Times New Roman"/>
          <w:b/>
          <w:bCs/>
          <w:spacing w:val="-1"/>
          <w:szCs w:val="20"/>
        </w:rPr>
        <w:t>s</w:t>
      </w:r>
      <w:r w:rsidRPr="00B0155D">
        <w:rPr>
          <w:rFonts w:eastAsia="Times New Roman"/>
          <w:b/>
          <w:bCs/>
          <w:spacing w:val="1"/>
          <w:szCs w:val="20"/>
        </w:rPr>
        <w:t>t</w:t>
      </w:r>
      <w:r w:rsidRPr="00B0155D">
        <w:rPr>
          <w:rFonts w:eastAsia="Times New Roman"/>
          <w:b/>
          <w:bCs/>
          <w:szCs w:val="20"/>
        </w:rPr>
        <w:t>i</w:t>
      </w:r>
      <w:r w:rsidRPr="00B0155D">
        <w:rPr>
          <w:rFonts w:eastAsia="Times New Roman"/>
          <w:b/>
          <w:bCs/>
          <w:spacing w:val="1"/>
          <w:szCs w:val="20"/>
        </w:rPr>
        <w:t>o</w:t>
      </w:r>
      <w:r w:rsidRPr="00B0155D">
        <w:rPr>
          <w:rFonts w:eastAsia="Times New Roman"/>
          <w:b/>
          <w:bCs/>
          <w:szCs w:val="20"/>
        </w:rPr>
        <w:t>n:</w:t>
      </w:r>
      <w:r w:rsidR="00795575" w:rsidRPr="00795575">
        <w:rPr>
          <w:rFonts w:eastAsia="Times New Roman"/>
          <w:bCs/>
          <w:szCs w:val="20"/>
        </w:rPr>
        <w:t xml:space="preserve"> </w:t>
      </w:r>
      <w:r w:rsidR="00795575">
        <w:rPr>
          <w:rFonts w:eastAsia="Times New Roman"/>
          <w:bCs/>
          <w:szCs w:val="20"/>
        </w:rPr>
        <w:t xml:space="preserve"> </w:t>
      </w:r>
      <w:r w:rsidR="00944226">
        <w:rPr>
          <w:rFonts w:eastAsia="Times New Roman"/>
          <w:bCs/>
          <w:szCs w:val="20"/>
        </w:rPr>
        <w:t>If a large amount is swallowed, seek medical attention</w:t>
      </w:r>
      <w:r w:rsidR="00795575">
        <w:rPr>
          <w:rFonts w:eastAsia="Times New Roman"/>
          <w:bCs/>
          <w:szCs w:val="20"/>
        </w:rPr>
        <w:t>.</w:t>
      </w:r>
    </w:p>
    <w:p w:rsidR="00FC2284" w:rsidRDefault="002D63F4" w:rsidP="006B75AB">
      <w:pPr>
        <w:widowControl/>
        <w:spacing w:before="120"/>
        <w:rPr>
          <w:rFonts w:eastAsia="Times New Roman"/>
          <w:bCs/>
          <w:szCs w:val="20"/>
        </w:rPr>
      </w:pPr>
      <w:r w:rsidRPr="00B0155D">
        <w:rPr>
          <w:rFonts w:eastAsia="Times New Roman"/>
          <w:b/>
          <w:bCs/>
          <w:szCs w:val="20"/>
        </w:rPr>
        <w:t xml:space="preserve">Most Important Symptoms/Effects, </w:t>
      </w:r>
      <w:r w:rsidR="00FC2284">
        <w:rPr>
          <w:rFonts w:eastAsia="Times New Roman"/>
          <w:b/>
          <w:bCs/>
          <w:szCs w:val="20"/>
        </w:rPr>
        <w:t>A</w:t>
      </w:r>
      <w:r w:rsidRPr="00B0155D">
        <w:rPr>
          <w:rFonts w:eastAsia="Times New Roman"/>
          <w:b/>
          <w:bCs/>
          <w:szCs w:val="20"/>
        </w:rPr>
        <w:t xml:space="preserve">cute and </w:t>
      </w:r>
      <w:r w:rsidR="00FC2284">
        <w:rPr>
          <w:rFonts w:eastAsia="Times New Roman"/>
          <w:b/>
          <w:bCs/>
          <w:szCs w:val="20"/>
        </w:rPr>
        <w:t>D</w:t>
      </w:r>
      <w:r w:rsidRPr="00B0155D">
        <w:rPr>
          <w:rFonts w:eastAsia="Times New Roman"/>
          <w:b/>
          <w:bCs/>
          <w:szCs w:val="20"/>
        </w:rPr>
        <w:t>elayed</w:t>
      </w:r>
    </w:p>
    <w:p w:rsidR="00FC2284" w:rsidRPr="00FC2284" w:rsidRDefault="00FC2284" w:rsidP="00C82019">
      <w:pPr>
        <w:widowControl/>
        <w:spacing w:before="60" w:after="40"/>
        <w:ind w:left="360"/>
        <w:rPr>
          <w:szCs w:val="20"/>
        </w:rPr>
      </w:pPr>
      <w:r w:rsidRPr="00FC2284">
        <w:rPr>
          <w:b/>
          <w:bCs/>
          <w:szCs w:val="20"/>
        </w:rPr>
        <w:t>Inhalation:</w:t>
      </w:r>
      <w:r w:rsidRPr="00FC2284">
        <w:rPr>
          <w:bCs/>
          <w:szCs w:val="20"/>
        </w:rPr>
        <w:t xml:space="preserve">  </w:t>
      </w:r>
      <w:r w:rsidR="00944226">
        <w:rPr>
          <w:bCs/>
          <w:szCs w:val="20"/>
        </w:rPr>
        <w:t>Irritation, cough, difficulty breathing</w:t>
      </w:r>
      <w:r w:rsidR="00944226" w:rsidRPr="00EE34CA">
        <w:rPr>
          <w:bCs/>
          <w:szCs w:val="20"/>
        </w:rPr>
        <w:t>, cancer (suspect)</w:t>
      </w:r>
      <w:r w:rsidR="00B84C4C" w:rsidRPr="00EE34CA">
        <w:rPr>
          <w:bCs/>
          <w:szCs w:val="20"/>
        </w:rPr>
        <w:t>.</w:t>
      </w:r>
    </w:p>
    <w:p w:rsidR="00FC2284" w:rsidRPr="00FC2284" w:rsidRDefault="00FC2284" w:rsidP="00C82019">
      <w:pPr>
        <w:widowControl/>
        <w:spacing w:before="60" w:after="40"/>
        <w:ind w:left="360"/>
        <w:rPr>
          <w:szCs w:val="20"/>
        </w:rPr>
      </w:pPr>
      <w:r w:rsidRPr="00FC2284">
        <w:rPr>
          <w:b/>
          <w:bCs/>
          <w:szCs w:val="20"/>
        </w:rPr>
        <w:t>Skin Contact:</w:t>
      </w:r>
      <w:r w:rsidRPr="00FC2284">
        <w:rPr>
          <w:bCs/>
          <w:szCs w:val="20"/>
        </w:rPr>
        <w:t xml:space="preserve">  </w:t>
      </w:r>
      <w:r w:rsidR="00B84C4C">
        <w:rPr>
          <w:bCs/>
          <w:szCs w:val="20"/>
        </w:rPr>
        <w:t>Irritation</w:t>
      </w:r>
      <w:r w:rsidR="0076501C">
        <w:rPr>
          <w:bCs/>
          <w:szCs w:val="20"/>
        </w:rPr>
        <w:t>, repeated or prolonged contact may result in dermatitis</w:t>
      </w:r>
      <w:r w:rsidR="00B84C4C">
        <w:rPr>
          <w:bCs/>
          <w:szCs w:val="20"/>
        </w:rPr>
        <w:t>.</w:t>
      </w:r>
    </w:p>
    <w:p w:rsidR="00B84C4C" w:rsidRPr="00FC2284" w:rsidRDefault="00FC2284" w:rsidP="00C82019">
      <w:pPr>
        <w:widowControl/>
        <w:spacing w:before="60" w:after="40"/>
        <w:ind w:left="360"/>
        <w:rPr>
          <w:szCs w:val="20"/>
        </w:rPr>
      </w:pPr>
      <w:r w:rsidRPr="00FC2284">
        <w:rPr>
          <w:b/>
          <w:bCs/>
          <w:szCs w:val="20"/>
        </w:rPr>
        <w:t>Eye Contact:</w:t>
      </w:r>
      <w:r w:rsidRPr="00FC2284">
        <w:rPr>
          <w:bCs/>
          <w:szCs w:val="20"/>
        </w:rPr>
        <w:t xml:space="preserve">  </w:t>
      </w:r>
      <w:r w:rsidR="00C34D5C">
        <w:rPr>
          <w:bCs/>
          <w:szCs w:val="20"/>
        </w:rPr>
        <w:t>Irritation</w:t>
      </w:r>
      <w:r w:rsidR="00B84C4C">
        <w:rPr>
          <w:bCs/>
          <w:szCs w:val="20"/>
        </w:rPr>
        <w:t>.</w:t>
      </w:r>
    </w:p>
    <w:p w:rsidR="00FC2284" w:rsidRPr="00FC2284" w:rsidRDefault="00FC2284" w:rsidP="00C82019">
      <w:pPr>
        <w:widowControl/>
        <w:tabs>
          <w:tab w:val="left" w:pos="-360"/>
        </w:tabs>
        <w:spacing w:before="60" w:after="40"/>
        <w:ind w:left="360"/>
        <w:rPr>
          <w:bCs/>
          <w:szCs w:val="20"/>
        </w:rPr>
      </w:pPr>
      <w:r w:rsidRPr="00FC2284">
        <w:rPr>
          <w:b/>
          <w:bCs/>
          <w:szCs w:val="20"/>
        </w:rPr>
        <w:t>Ingestion:</w:t>
      </w:r>
      <w:r w:rsidRPr="00FC2284">
        <w:rPr>
          <w:bCs/>
          <w:szCs w:val="20"/>
        </w:rPr>
        <w:t xml:space="preserve">  </w:t>
      </w:r>
      <w:r w:rsidR="00C34D5C">
        <w:rPr>
          <w:bCs/>
          <w:szCs w:val="20"/>
        </w:rPr>
        <w:t>Irritation.</w:t>
      </w:r>
    </w:p>
    <w:p w:rsidR="002D63F4" w:rsidRPr="00FC2284" w:rsidRDefault="002D63F4" w:rsidP="006B75AB">
      <w:pPr>
        <w:widowControl/>
        <w:spacing w:before="120" w:after="120"/>
        <w:rPr>
          <w:rFonts w:eastAsia="Times New Roman"/>
          <w:bCs/>
          <w:szCs w:val="20"/>
        </w:rPr>
      </w:pPr>
      <w:r w:rsidRPr="00B0155D">
        <w:rPr>
          <w:rFonts w:eastAsia="Times New Roman"/>
          <w:b/>
          <w:bCs/>
          <w:szCs w:val="20"/>
        </w:rPr>
        <w:t>Indication of any immediate medical attention and special treatment needed, if necessary</w:t>
      </w:r>
      <w:r w:rsidR="004521E9">
        <w:rPr>
          <w:rFonts w:eastAsia="Times New Roman"/>
          <w:b/>
          <w:bCs/>
          <w:szCs w:val="20"/>
        </w:rPr>
        <w:t>:</w:t>
      </w:r>
      <w:r w:rsidR="004521E9">
        <w:rPr>
          <w:rFonts w:eastAsia="Times New Roman"/>
          <w:bCs/>
          <w:szCs w:val="20"/>
        </w:rPr>
        <w:t xml:space="preserve"> </w:t>
      </w:r>
      <w:r w:rsidR="004521E9" w:rsidRPr="00FC2284">
        <w:rPr>
          <w:rFonts w:eastAsia="Times New Roman"/>
          <w:bCs/>
          <w:szCs w:val="20"/>
        </w:rPr>
        <w:t xml:space="preserve"> </w:t>
      </w:r>
      <w:r w:rsidR="0028318C" w:rsidRPr="00FC228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6B75AB">
            <w:pPr>
              <w:keepNext/>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rsidR="001248AA" w:rsidRPr="008A57C6" w:rsidRDefault="001248AA" w:rsidP="008A57C6">
      <w:pPr>
        <w:spacing w:before="120"/>
        <w:rPr>
          <w:rFonts w:eastAsia="Times New Roman"/>
          <w:bCs/>
          <w:spacing w:val="-1"/>
          <w:szCs w:val="20"/>
        </w:rPr>
      </w:pPr>
      <w:r>
        <w:rPr>
          <w:rFonts w:eastAsia="Times New Roman"/>
          <w:b/>
          <w:bCs/>
          <w:spacing w:val="-1"/>
          <w:szCs w:val="20"/>
        </w:rPr>
        <w:t>Fire and Explosion Hazards</w:t>
      </w:r>
      <w:r w:rsidRPr="00FC2284">
        <w:rPr>
          <w:rFonts w:eastAsia="Times New Roman"/>
          <w:b/>
          <w:bCs/>
          <w:spacing w:val="-1"/>
          <w:szCs w:val="20"/>
        </w:rPr>
        <w:t>:</w:t>
      </w:r>
      <w:r w:rsidR="00FC2284" w:rsidRPr="00FC2284">
        <w:rPr>
          <w:rFonts w:eastAsia="Times New Roman"/>
          <w:bCs/>
          <w:spacing w:val="-1"/>
          <w:szCs w:val="20"/>
        </w:rPr>
        <w:t xml:space="preserve">  </w:t>
      </w:r>
      <w:r w:rsidR="0076501C">
        <w:rPr>
          <w:szCs w:val="20"/>
        </w:rPr>
        <w:t>Moderate</w:t>
      </w:r>
      <w:r w:rsidR="0076501C" w:rsidRPr="00FC2284">
        <w:rPr>
          <w:szCs w:val="20"/>
        </w:rPr>
        <w:t xml:space="preserve"> </w:t>
      </w:r>
      <w:r w:rsidR="00FC2284" w:rsidRPr="00FC2284">
        <w:rPr>
          <w:szCs w:val="20"/>
        </w:rPr>
        <w:t>fire hazard.</w:t>
      </w:r>
      <w:r w:rsidR="0076501C">
        <w:rPr>
          <w:szCs w:val="20"/>
        </w:rPr>
        <w:t xml:space="preserve">  Vapor/air mixtures are explosive above the flash point.  </w:t>
      </w:r>
      <w:r w:rsidR="0076501C" w:rsidRPr="00455695">
        <w:rPr>
          <w:rFonts w:eastAsia="Times New Roman"/>
          <w:bCs/>
          <w:spacing w:val="-1"/>
          <w:szCs w:val="20"/>
        </w:rPr>
        <w:t xml:space="preserve">See Section </w:t>
      </w:r>
      <w:r w:rsidR="0076501C" w:rsidRPr="003E2700">
        <w:rPr>
          <w:rFonts w:eastAsia="Times New Roman"/>
          <w:bCs/>
          <w:spacing w:val="-1"/>
          <w:szCs w:val="20"/>
        </w:rPr>
        <w:t>9, “Physical and Chemical Properties” for flammability properties.</w:t>
      </w:r>
    </w:p>
    <w:p w:rsidR="006251CA" w:rsidRDefault="00676966" w:rsidP="00C82019">
      <w:pPr>
        <w:widowControl/>
        <w:spacing w:before="60"/>
        <w:rPr>
          <w:rFonts w:eastAsia="Times New Roman"/>
          <w:b/>
          <w:bCs/>
          <w:szCs w:val="20"/>
        </w:rPr>
      </w:pPr>
      <w:r>
        <w:rPr>
          <w:rFonts w:eastAsia="Times New Roman"/>
          <w:b/>
          <w:bCs/>
          <w:spacing w:val="-1"/>
          <w:szCs w:val="20"/>
        </w:rPr>
        <w:t>Extinguishing Media</w:t>
      </w:r>
    </w:p>
    <w:p w:rsidR="00E93DD1" w:rsidRPr="00623C6E" w:rsidRDefault="00E93DD1" w:rsidP="00C82019">
      <w:pPr>
        <w:widowControl/>
        <w:tabs>
          <w:tab w:val="left" w:pos="360"/>
        </w:tabs>
        <w:spacing w:before="60"/>
        <w:rPr>
          <w:rFonts w:eastAsia="Times New Roman"/>
          <w:bCs/>
          <w:szCs w:val="20"/>
        </w:rPr>
      </w:pPr>
      <w:r>
        <w:rPr>
          <w:rFonts w:eastAsia="Times New Roman"/>
          <w:b/>
          <w:bCs/>
          <w:szCs w:val="20"/>
        </w:rPr>
        <w:tab/>
      </w:r>
      <w:r w:rsidR="0028318C" w:rsidRPr="00623C6E">
        <w:rPr>
          <w:rFonts w:eastAsia="Times New Roman"/>
          <w:bCs/>
          <w:szCs w:val="20"/>
        </w:rPr>
        <w:t>Suitable:</w:t>
      </w:r>
      <w:r w:rsidR="00FC2284">
        <w:rPr>
          <w:rFonts w:eastAsia="Times New Roman"/>
          <w:bCs/>
          <w:szCs w:val="20"/>
        </w:rPr>
        <w:t xml:space="preserve"> </w:t>
      </w:r>
      <w:r w:rsidR="00FC2284" w:rsidRPr="00FC2284">
        <w:rPr>
          <w:rFonts w:eastAsia="Times New Roman"/>
          <w:bCs/>
          <w:szCs w:val="20"/>
        </w:rPr>
        <w:t xml:space="preserve"> </w:t>
      </w:r>
      <w:r w:rsidR="0076501C">
        <w:rPr>
          <w:color w:val="000000"/>
          <w:szCs w:val="20"/>
        </w:rPr>
        <w:t>Regular dry chemical, ca</w:t>
      </w:r>
      <w:r w:rsidR="009721CD">
        <w:rPr>
          <w:color w:val="000000"/>
          <w:szCs w:val="20"/>
        </w:rPr>
        <w:t>r</w:t>
      </w:r>
      <w:r w:rsidR="0076501C">
        <w:rPr>
          <w:color w:val="000000"/>
          <w:szCs w:val="20"/>
        </w:rPr>
        <w:t>bon dioxide, water, or regular foam</w:t>
      </w:r>
      <w:r w:rsidR="00FC2284" w:rsidRPr="00FC2284">
        <w:rPr>
          <w:color w:val="000000"/>
          <w:szCs w:val="20"/>
        </w:rPr>
        <w:t>.</w:t>
      </w:r>
    </w:p>
    <w:p w:rsidR="00E93DD1" w:rsidRPr="00623C6E" w:rsidRDefault="0028318C" w:rsidP="00C82019">
      <w:pPr>
        <w:widowControl/>
        <w:tabs>
          <w:tab w:val="left" w:pos="360"/>
        </w:tabs>
        <w:spacing w:before="60"/>
        <w:rPr>
          <w:rFonts w:eastAsia="Times New Roman"/>
          <w:bCs/>
          <w:szCs w:val="20"/>
        </w:rPr>
      </w:pPr>
      <w:r w:rsidRPr="00623C6E">
        <w:rPr>
          <w:rFonts w:eastAsia="Times New Roman"/>
          <w:bCs/>
          <w:szCs w:val="20"/>
        </w:rPr>
        <w:tab/>
        <w:t>Unsuitable:</w:t>
      </w:r>
      <w:r w:rsidR="00FC2284">
        <w:rPr>
          <w:rFonts w:eastAsia="Times New Roman"/>
          <w:bCs/>
          <w:szCs w:val="20"/>
        </w:rPr>
        <w:t xml:space="preserve">  </w:t>
      </w:r>
      <w:r w:rsidR="0076501C">
        <w:rPr>
          <w:rFonts w:eastAsia="Times New Roman"/>
          <w:bCs/>
          <w:szCs w:val="20"/>
        </w:rPr>
        <w:t>Avoid using straight water streams in order to avoid frothing</w:t>
      </w:r>
      <w:r w:rsidR="00FC2284" w:rsidRPr="00FC2284">
        <w:rPr>
          <w:bCs/>
          <w:szCs w:val="20"/>
        </w:rPr>
        <w:t>.</w:t>
      </w:r>
    </w:p>
    <w:p w:rsidR="00E24579" w:rsidRPr="006D10B0" w:rsidRDefault="00676966" w:rsidP="00C82019">
      <w:pPr>
        <w:widowControl/>
        <w:spacing w:before="60"/>
        <w:rPr>
          <w:rFonts w:eastAsia="Times New Roman"/>
          <w:szCs w:val="20"/>
        </w:rPr>
      </w:pPr>
      <w:r>
        <w:rPr>
          <w:rFonts w:eastAsia="Times New Roman"/>
          <w:b/>
          <w:bCs/>
          <w:spacing w:val="1"/>
          <w:szCs w:val="20"/>
        </w:rPr>
        <w:t>Specific Hazards Arising from the Chemical:</w:t>
      </w:r>
      <w:r w:rsidR="0028318C" w:rsidRPr="0028318C">
        <w:rPr>
          <w:rFonts w:eastAsia="Times New Roman"/>
          <w:bCs/>
          <w:szCs w:val="20"/>
        </w:rPr>
        <w:t xml:space="preserve">  </w:t>
      </w:r>
      <w:r w:rsidR="00944226">
        <w:t>Not applicable.</w:t>
      </w:r>
    </w:p>
    <w:p w:rsidR="006D10B0" w:rsidRDefault="00F057E8" w:rsidP="00C82019">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rsidR="00170F65" w:rsidRPr="006D10B0" w:rsidRDefault="000D31BB" w:rsidP="00CA1914">
      <w:pPr>
        <w:keepNext/>
        <w:widowControl/>
        <w:spacing w:before="60" w:after="60"/>
        <w:rPr>
          <w:rFonts w:eastAsia="Times New Roman"/>
          <w:bCs/>
          <w:szCs w:val="20"/>
        </w:rPr>
      </w:pPr>
      <w:r>
        <w:rPr>
          <w:rFonts w:eastAsia="Times New Roman"/>
          <w:b/>
          <w:bCs/>
          <w:szCs w:val="20"/>
        </w:rPr>
        <w:t>N</w:t>
      </w:r>
      <w:r>
        <w:rPr>
          <w:rFonts w:eastAsia="Times New Roman"/>
          <w:b/>
          <w:bCs/>
          <w:spacing w:val="1"/>
          <w:szCs w:val="20"/>
        </w:rPr>
        <w:t>FP</w:t>
      </w:r>
      <w:r>
        <w:rPr>
          <w:rFonts w:eastAsia="Times New Roman"/>
          <w:b/>
          <w:bCs/>
          <w:szCs w:val="20"/>
        </w:rPr>
        <w:t>A</w:t>
      </w:r>
      <w:r>
        <w:rPr>
          <w:rFonts w:eastAsia="Times New Roman"/>
          <w:b/>
          <w:bCs/>
          <w:spacing w:val="-4"/>
          <w:szCs w:val="20"/>
        </w:rPr>
        <w:t xml:space="preserve"> </w:t>
      </w:r>
      <w:r>
        <w:rPr>
          <w:rFonts w:eastAsia="Times New Roman"/>
          <w:b/>
          <w:bCs/>
          <w:szCs w:val="20"/>
        </w:rPr>
        <w:t>R</w:t>
      </w:r>
      <w:r>
        <w:rPr>
          <w:rFonts w:eastAsia="Times New Roman"/>
          <w:b/>
          <w:bCs/>
          <w:spacing w:val="1"/>
          <w:szCs w:val="20"/>
        </w:rPr>
        <w:t>at</w:t>
      </w:r>
      <w:r>
        <w:rPr>
          <w:rFonts w:eastAsia="Times New Roman"/>
          <w:b/>
          <w:bCs/>
          <w:szCs w:val="20"/>
        </w:rPr>
        <w:t>in</w:t>
      </w:r>
      <w:r>
        <w:rPr>
          <w:rFonts w:eastAsia="Times New Roman"/>
          <w:b/>
          <w:bCs/>
          <w:spacing w:val="1"/>
          <w:szCs w:val="20"/>
        </w:rPr>
        <w:t>g</w:t>
      </w:r>
      <w:r>
        <w:rPr>
          <w:rFonts w:eastAsia="Times New Roman"/>
          <w:b/>
          <w:bCs/>
          <w:szCs w:val="20"/>
        </w:rPr>
        <w:t>s</w:t>
      </w:r>
      <w:r>
        <w:rPr>
          <w:rFonts w:eastAsia="Times New Roman"/>
          <w:b/>
          <w:bCs/>
          <w:spacing w:val="-7"/>
          <w:szCs w:val="20"/>
        </w:rPr>
        <w:t xml:space="preserve"> </w:t>
      </w:r>
      <w:r w:rsidR="00170F65" w:rsidRPr="00623C6E">
        <w:rPr>
          <w:szCs w:val="20"/>
        </w:rPr>
        <w:t>(0 = Minimal; 1 = Slight; 2 = Moderate; 3 = Serious; 4 = Severe)</w:t>
      </w:r>
    </w:p>
    <w:p w:rsidR="00F645CC" w:rsidRPr="006D10B0" w:rsidRDefault="00170F65" w:rsidP="00C82019">
      <w:pPr>
        <w:widowControl/>
        <w:tabs>
          <w:tab w:val="left" w:pos="360"/>
          <w:tab w:val="left" w:pos="2160"/>
          <w:tab w:val="left" w:pos="3600"/>
        </w:tabs>
        <w:spacing w:before="60" w:after="120"/>
        <w:rPr>
          <w:szCs w:val="20"/>
        </w:rPr>
      </w:pPr>
      <w:r w:rsidRPr="006D10B0">
        <w:rPr>
          <w:rFonts w:eastAsia="Times New Roman"/>
          <w:szCs w:val="20"/>
        </w:rPr>
        <w:tab/>
      </w:r>
      <w:r w:rsidR="000D31BB" w:rsidRPr="006D10B0">
        <w:rPr>
          <w:rFonts w:eastAsia="Times New Roman"/>
          <w:szCs w:val="20"/>
        </w:rPr>
        <w:t xml:space="preserve">Health = </w:t>
      </w:r>
      <w:r w:rsidR="00944226">
        <w:rPr>
          <w:szCs w:val="20"/>
        </w:rPr>
        <w:t>1</w:t>
      </w:r>
      <w:r w:rsidR="000D31BB" w:rsidRPr="006D10B0">
        <w:rPr>
          <w:rFonts w:eastAsia="Times New Roman"/>
          <w:szCs w:val="20"/>
        </w:rPr>
        <w:tab/>
        <w:t>Fi</w:t>
      </w:r>
      <w:r w:rsidR="000D31BB" w:rsidRPr="006D10B0">
        <w:rPr>
          <w:rFonts w:eastAsia="Times New Roman"/>
          <w:spacing w:val="1"/>
          <w:szCs w:val="20"/>
        </w:rPr>
        <w:t>r</w:t>
      </w:r>
      <w:r w:rsidR="000D31BB" w:rsidRPr="006D10B0">
        <w:rPr>
          <w:rFonts w:eastAsia="Times New Roman"/>
          <w:szCs w:val="20"/>
        </w:rPr>
        <w:t>e</w:t>
      </w:r>
      <w:r w:rsidR="000D31BB" w:rsidRPr="006D10B0">
        <w:rPr>
          <w:rFonts w:eastAsia="Times New Roman"/>
          <w:spacing w:val="-2"/>
          <w:szCs w:val="20"/>
        </w:rPr>
        <w:t xml:space="preserve"> </w:t>
      </w:r>
      <w:r w:rsidR="000D31BB" w:rsidRPr="006D10B0">
        <w:rPr>
          <w:rFonts w:eastAsia="Times New Roman"/>
          <w:szCs w:val="20"/>
        </w:rPr>
        <w:t xml:space="preserve">= </w:t>
      </w:r>
      <w:r w:rsidR="0076501C">
        <w:rPr>
          <w:szCs w:val="20"/>
        </w:rPr>
        <w:t>2</w:t>
      </w:r>
      <w:r w:rsidR="000D31BB" w:rsidRPr="006D10B0">
        <w:rPr>
          <w:rFonts w:eastAsia="Times New Roman"/>
          <w:szCs w:val="20"/>
        </w:rPr>
        <w:tab/>
      </w:r>
      <w:r w:rsidR="000D31BB" w:rsidRPr="006D10B0">
        <w:rPr>
          <w:rFonts w:eastAsia="Times New Roman"/>
          <w:spacing w:val="-1"/>
          <w:szCs w:val="20"/>
        </w:rPr>
        <w:t>R</w:t>
      </w:r>
      <w:r w:rsidR="000D31BB" w:rsidRPr="006D10B0">
        <w:rPr>
          <w:rFonts w:eastAsia="Times New Roman"/>
          <w:szCs w:val="20"/>
        </w:rPr>
        <w:t>eacti</w:t>
      </w:r>
      <w:r w:rsidR="000D31BB" w:rsidRPr="006D10B0">
        <w:rPr>
          <w:rFonts w:eastAsia="Times New Roman"/>
          <w:spacing w:val="-1"/>
          <w:szCs w:val="20"/>
        </w:rPr>
        <w:t>v</w:t>
      </w:r>
      <w:r w:rsidR="000D31BB" w:rsidRPr="006D10B0">
        <w:rPr>
          <w:rFonts w:eastAsia="Times New Roman"/>
          <w:szCs w:val="20"/>
        </w:rPr>
        <w:t>ity</w:t>
      </w:r>
      <w:r w:rsidR="000D31BB" w:rsidRPr="006D10B0">
        <w:rPr>
          <w:rFonts w:eastAsia="Times New Roman"/>
          <w:spacing w:val="-11"/>
          <w:szCs w:val="20"/>
        </w:rPr>
        <w:t xml:space="preserve"> </w:t>
      </w:r>
      <w:r w:rsidR="000D31BB" w:rsidRPr="006D10B0">
        <w:rPr>
          <w:rFonts w:eastAsia="Times New Roman"/>
          <w:szCs w:val="20"/>
        </w:rPr>
        <w:t xml:space="preserve">= </w:t>
      </w:r>
      <w:r w:rsidR="000D31BB" w:rsidRPr="006D10B0">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6B75AB">
            <w:pPr>
              <w:keepNext/>
              <w:widowControl/>
              <w:rPr>
                <w:rFonts w:eastAsia="Times New Roman"/>
                <w:szCs w:val="20"/>
              </w:rPr>
            </w:pPr>
            <w:r>
              <w:rPr>
                <w:rFonts w:eastAsia="Times New Roman"/>
                <w:b/>
                <w:bCs/>
                <w:position w:val="-1"/>
                <w:sz w:val="24"/>
                <w:szCs w:val="24"/>
              </w:rPr>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rsidR="001D7FE4" w:rsidRPr="00BA10D3" w:rsidRDefault="001D7FE4" w:rsidP="00CA1914">
      <w:pPr>
        <w:widowControl/>
        <w:spacing w:before="120" w:after="6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11B37">
        <w:rPr>
          <w:rFonts w:eastAsia="Times New Roman"/>
          <w:bCs/>
          <w:spacing w:val="1"/>
          <w:szCs w:val="20"/>
        </w:rPr>
        <w:t>s</w:t>
      </w:r>
      <w:r w:rsidR="0076501C" w:rsidRPr="0014763D">
        <w:rPr>
          <w:rFonts w:eastAsia="Times New Roman"/>
          <w:bCs/>
          <w:spacing w:val="1"/>
          <w:szCs w:val="20"/>
        </w:rPr>
        <w:t xml:space="preserve">ee </w:t>
      </w:r>
      <w:r w:rsidR="0076501C" w:rsidRPr="00E84BFE">
        <w:rPr>
          <w:rFonts w:eastAsia="Times New Roman"/>
          <w:bCs/>
          <w:spacing w:val="1"/>
          <w:szCs w:val="20"/>
        </w:rPr>
        <w:t>Section 8, “Exposure Controls and Personal Protection”</w:t>
      </w:r>
      <w:r w:rsidR="00BA10D3">
        <w:t xml:space="preserve">.  </w:t>
      </w:r>
      <w:r w:rsidR="0076501C">
        <w:t>Keep out of waters supplies and sewers.</w:t>
      </w:r>
    </w:p>
    <w:p w:rsidR="00A33C09" w:rsidRPr="008A57C6" w:rsidRDefault="001D7FE4" w:rsidP="008A57C6">
      <w:pPr>
        <w:widowControl/>
        <w:autoSpaceDE w:val="0"/>
        <w:autoSpaceDN w:val="0"/>
        <w:adjustRightInd w:val="0"/>
        <w:spacing w:after="120"/>
        <w:rPr>
          <w:szCs w:val="20"/>
        </w:rPr>
      </w:pPr>
      <w:r>
        <w:rPr>
          <w:rFonts w:eastAsia="Times New Roman"/>
          <w:b/>
          <w:bCs/>
          <w:spacing w:val="1"/>
          <w:szCs w:val="20"/>
        </w:rPr>
        <w:t>Methods and Materials for Containment and Clean up</w:t>
      </w:r>
      <w:r w:rsidR="00BA10D3">
        <w:rPr>
          <w:rFonts w:eastAsia="Times New Roman"/>
          <w:b/>
          <w:bCs/>
          <w:spacing w:val="1"/>
          <w:szCs w:val="20"/>
        </w:rPr>
        <w:t>:</w:t>
      </w:r>
      <w:r w:rsidR="00BA10D3">
        <w:rPr>
          <w:rFonts w:eastAsia="Times New Roman"/>
          <w:bCs/>
          <w:spacing w:val="1"/>
          <w:szCs w:val="20"/>
        </w:rPr>
        <w:t xml:space="preserve">  </w:t>
      </w:r>
      <w:r w:rsidR="008609A4" w:rsidRPr="008A57C6">
        <w:rPr>
          <w:szCs w:val="20"/>
        </w:rPr>
        <w:t xml:space="preserve">Avoid heat, flames, sparks and other sources of ignition. </w:t>
      </w:r>
      <w:r w:rsidR="002E6B30">
        <w:rPr>
          <w:szCs w:val="20"/>
        </w:rPr>
        <w:t xml:space="preserve"> </w:t>
      </w:r>
      <w:r w:rsidR="008609A4" w:rsidRPr="008A57C6">
        <w:rPr>
          <w:szCs w:val="20"/>
        </w:rPr>
        <w:t>Stop leak if possible without personal risk</w:t>
      </w:r>
      <w:r w:rsidR="008609A4">
        <w:rPr>
          <w:szCs w:val="20"/>
        </w:rPr>
        <w:t>,</w:t>
      </w:r>
      <w:r w:rsidR="008609A4" w:rsidRPr="008609A4">
        <w:rPr>
          <w:szCs w:val="20"/>
        </w:rPr>
        <w:t xml:space="preserve"> </w:t>
      </w:r>
      <w:r w:rsidR="008609A4" w:rsidRPr="00927BDF">
        <w:rPr>
          <w:szCs w:val="20"/>
        </w:rPr>
        <w:t>with water spray</w:t>
      </w:r>
      <w:r w:rsidR="008609A4">
        <w:rPr>
          <w:szCs w:val="20"/>
        </w:rPr>
        <w:t xml:space="preserve"> to r</w:t>
      </w:r>
      <w:r w:rsidR="008609A4" w:rsidRPr="008A57C6">
        <w:rPr>
          <w:szCs w:val="20"/>
        </w:rPr>
        <w:t>educe vapors</w:t>
      </w:r>
      <w:r w:rsidR="008609A4">
        <w:rPr>
          <w:szCs w:val="20"/>
        </w:rPr>
        <w:t xml:space="preserve">.  </w:t>
      </w:r>
      <w:r w:rsidR="008609A4">
        <w:rPr>
          <w:rFonts w:eastAsia="Times New Roman"/>
          <w:bCs/>
          <w:spacing w:val="1"/>
          <w:szCs w:val="20"/>
        </w:rPr>
        <w:t>Absorb spilled material with sand or non</w:t>
      </w:r>
      <w:r w:rsidR="008609A4">
        <w:rPr>
          <w:rFonts w:eastAsia="Times New Roman"/>
          <w:bCs/>
          <w:spacing w:val="1"/>
          <w:szCs w:val="20"/>
        </w:rPr>
        <w:noBreakHyphen/>
        <w:t>combustible material and collect in appropriate container for disposal</w:t>
      </w:r>
      <w:r w:rsidR="008609A4">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rPr>
          <w:trHeight w:hRule="exact" w:val="360"/>
        </w:trPr>
        <w:tc>
          <w:tcPr>
            <w:tcW w:w="9576" w:type="dxa"/>
            <w:vAlign w:val="center"/>
          </w:tcPr>
          <w:p w:rsidR="001D7FE4" w:rsidRDefault="001D7FE4" w:rsidP="006B75AB">
            <w:pPr>
              <w:keepNext/>
              <w:widowControl/>
              <w:rPr>
                <w:rFonts w:eastAsia="Times New Roman"/>
                <w:szCs w:val="20"/>
              </w:rPr>
            </w:pPr>
            <w:r>
              <w:rPr>
                <w:rFonts w:eastAsia="Times New Roman"/>
                <w:b/>
                <w:bCs/>
                <w:sz w:val="24"/>
                <w:szCs w:val="24"/>
              </w:rPr>
              <w:t>7.</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AND</w:t>
            </w:r>
            <w:r>
              <w:rPr>
                <w:rFonts w:eastAsia="Times New Roman"/>
                <w:b/>
                <w:bCs/>
                <w:spacing w:val="1"/>
                <w:sz w:val="19"/>
                <w:szCs w:val="19"/>
              </w:rPr>
              <w:t>LI</w:t>
            </w:r>
            <w:r>
              <w:rPr>
                <w:rFonts w:eastAsia="Times New Roman"/>
                <w:b/>
                <w:bCs/>
                <w:sz w:val="19"/>
                <w:szCs w:val="19"/>
              </w:rPr>
              <w:t>NG</w:t>
            </w:r>
            <w:r>
              <w:rPr>
                <w:rFonts w:eastAsia="Times New Roman"/>
                <w:b/>
                <w:bCs/>
                <w:spacing w:val="-10"/>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1"/>
                <w:sz w:val="24"/>
                <w:szCs w:val="24"/>
              </w:rPr>
              <w:t>S</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RA</w:t>
            </w:r>
            <w:r>
              <w:rPr>
                <w:rFonts w:eastAsia="Times New Roman"/>
                <w:b/>
                <w:bCs/>
                <w:spacing w:val="-1"/>
                <w:sz w:val="19"/>
                <w:szCs w:val="19"/>
              </w:rPr>
              <w:t>GE</w:t>
            </w:r>
          </w:p>
        </w:tc>
      </w:tr>
    </w:tbl>
    <w:p w:rsidR="001D7FE4" w:rsidRDefault="001D7FE4" w:rsidP="006B75AB">
      <w:pPr>
        <w:widowControl/>
        <w:spacing w:before="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rsidR="00A31815" w:rsidRPr="00792BC0" w:rsidRDefault="001D7FE4" w:rsidP="00F941BF">
      <w:pPr>
        <w:widowControl/>
        <w:tabs>
          <w:tab w:val="left" w:pos="-360"/>
        </w:tabs>
        <w:spacing w:before="60" w:after="120"/>
      </w:pPr>
      <w:r>
        <w:rPr>
          <w:rFonts w:eastAsia="Times New Roman"/>
          <w:b/>
          <w:bCs/>
          <w:szCs w:val="20"/>
        </w:rPr>
        <w:lastRenderedPageBreak/>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BE3E93">
        <w:t>oxidizing materials</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1D7FE4" w:rsidTr="001D7FE4">
        <w:tc>
          <w:tcPr>
            <w:tcW w:w="9576" w:type="dxa"/>
            <w:vAlign w:val="center"/>
          </w:tcPr>
          <w:p w:rsidR="001D7FE4" w:rsidRDefault="001D7FE4" w:rsidP="006B75AB">
            <w:pPr>
              <w:keepNext/>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550D9B" w:rsidRDefault="001D7FE4" w:rsidP="008A57C6">
      <w:pPr>
        <w:widowControl/>
        <w:spacing w:before="120"/>
        <w:rPr>
          <w:rFonts w:eastAsia="Times New Roman"/>
          <w:b/>
          <w:bCs/>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r w:rsidR="00F55E2E">
        <w:rPr>
          <w:rFonts w:eastAsia="Times New Roman"/>
          <w:b/>
          <w:bCs/>
          <w:szCs w:val="20"/>
        </w:rPr>
        <w:t>:</w:t>
      </w:r>
      <w:r w:rsidR="00F55E2E" w:rsidRPr="00F55E2E">
        <w:rPr>
          <w:rFonts w:eastAsia="Times New Roman"/>
          <w:szCs w:val="20"/>
        </w:rPr>
        <w:t xml:space="preserve"> </w:t>
      </w:r>
      <w:r w:rsidR="00F55E2E">
        <w:rPr>
          <w:rFonts w:eastAsia="Times New Roman"/>
          <w:szCs w:val="20"/>
        </w:rPr>
        <w:t xml:space="preserve"> No occupational exposure limits established.</w:t>
      </w:r>
    </w:p>
    <w:p w:rsidR="0031663D" w:rsidRDefault="0031663D" w:rsidP="00CA1914">
      <w:pPr>
        <w:widowControl/>
        <w:spacing w:before="6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rsidR="0031663D" w:rsidRDefault="00194A53" w:rsidP="00F941BF">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rsidR="0031663D" w:rsidRDefault="0031663D" w:rsidP="006B75AB">
      <w:pPr>
        <w:widowControl/>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rsidR="0031663D" w:rsidRPr="00783F68" w:rsidRDefault="0031663D" w:rsidP="006B75AB">
      <w:pPr>
        <w:widowControl/>
        <w:ind w:left="36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F55E2E">
        <w:rPr>
          <w:rFonts w:eastAsia="Times New Roman"/>
          <w:bCs/>
          <w:szCs w:val="20"/>
        </w:rPr>
        <w:t xml:space="preserve">Splash resistant safety </w:t>
      </w:r>
      <w:r w:rsidR="00C605BC">
        <w:rPr>
          <w:rFonts w:eastAsia="Times New Roman"/>
          <w:bCs/>
          <w:szCs w:val="20"/>
        </w:rPr>
        <w:t>goggles</w:t>
      </w:r>
      <w:r w:rsidR="00F55E2E">
        <w:rPr>
          <w:rFonts w:eastAsia="Times New Roman"/>
          <w:bCs/>
          <w:szCs w:val="20"/>
        </w:rPr>
        <w:t xml:space="preserve"> and emergency eyewash are re</w:t>
      </w:r>
      <w:r w:rsidR="00C605BC">
        <w:rPr>
          <w:rFonts w:eastAsia="Times New Roman"/>
          <w:bCs/>
          <w:szCs w:val="20"/>
        </w:rPr>
        <w:t>c</w:t>
      </w:r>
      <w:r w:rsidR="00F55E2E">
        <w:rPr>
          <w:rFonts w:eastAsia="Times New Roman"/>
          <w:bCs/>
          <w:szCs w:val="20"/>
        </w:rPr>
        <w:t>ommended</w:t>
      </w:r>
      <w:r w:rsidR="00676339">
        <w:rPr>
          <w:rFonts w:eastAsia="Times New Roman"/>
          <w:bCs/>
          <w:szCs w:val="20"/>
        </w:rPr>
        <w:t>.</w:t>
      </w:r>
    </w:p>
    <w:p w:rsidR="0031663D" w:rsidRPr="00676339" w:rsidRDefault="00194A53" w:rsidP="006B75AB">
      <w:pPr>
        <w:widowControl/>
        <w:spacing w:after="120"/>
        <w:ind w:left="360"/>
        <w:rPr>
          <w:rFonts w:eastAsia="Times New Roman"/>
          <w:b/>
          <w:bCs/>
          <w:spacing w:val="1"/>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Protection:</w:t>
      </w:r>
      <w:r w:rsidRPr="00676339">
        <w:rPr>
          <w:rFonts w:eastAsia="Times New Roman"/>
          <w:bCs/>
          <w:spacing w:val="1"/>
          <w:szCs w:val="20"/>
        </w:rPr>
        <w:t xml:space="preserve"> </w:t>
      </w:r>
      <w:r w:rsidR="00676339" w:rsidRPr="00676339">
        <w:rPr>
          <w:rFonts w:eastAsia="Times New Roman"/>
          <w:bCs/>
          <w:spacing w:val="1"/>
          <w:szCs w:val="20"/>
        </w:rPr>
        <w:t xml:space="preserve"> </w:t>
      </w:r>
      <w:r w:rsidR="00F55E2E">
        <w:rPr>
          <w:rFonts w:eastAsia="Times New Roman"/>
          <w:bCs/>
          <w:spacing w:val="1"/>
          <w:szCs w:val="20"/>
        </w:rPr>
        <w:t xml:space="preserve">Chemical resistant </w:t>
      </w:r>
      <w:r w:rsidR="00676339">
        <w:rPr>
          <w:rFonts w:eastAsia="Times New Roman"/>
          <w:bCs/>
          <w:spacing w:val="1"/>
          <w:szCs w:val="20"/>
        </w:rPr>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DB53D1" w:rsidTr="00DB53D1">
        <w:trPr>
          <w:trHeight w:hRule="exact" w:val="360"/>
        </w:trPr>
        <w:tc>
          <w:tcPr>
            <w:tcW w:w="9576" w:type="dxa"/>
            <w:vAlign w:val="center"/>
          </w:tcPr>
          <w:p w:rsidR="00DB53D1" w:rsidRDefault="00DB53D1" w:rsidP="006B75AB">
            <w:pPr>
              <w:keepNext/>
              <w:widowControl/>
              <w:rPr>
                <w:rFonts w:eastAsia="Times New Roman"/>
                <w:szCs w:val="20"/>
              </w:rPr>
            </w:pPr>
            <w:r>
              <w:rPr>
                <w:rFonts w:eastAsia="Times New Roman"/>
                <w:b/>
                <w:bCs/>
                <w:sz w:val="24"/>
                <w:szCs w:val="24"/>
              </w:rPr>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rsidR="00893F73" w:rsidRPr="00F941BF" w:rsidRDefault="00893F73" w:rsidP="006B75AB">
      <w:pPr>
        <w:pStyle w:val="Default"/>
        <w:rPr>
          <w:sz w:val="16"/>
          <w:szCs w:val="16"/>
        </w:rPr>
      </w:pPr>
    </w:p>
    <w:tbl>
      <w:tblPr>
        <w:tblStyle w:val="TableGrid"/>
        <w:tblW w:w="698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28"/>
        <w:gridCol w:w="2556"/>
      </w:tblGrid>
      <w:tr w:rsidR="002A5645" w:rsidRPr="00C605BC" w:rsidTr="002A5645">
        <w:trPr>
          <w:cantSplit/>
          <w:trHeight w:val="288"/>
          <w:tblHeader/>
          <w:jc w:val="center"/>
        </w:trPr>
        <w:tc>
          <w:tcPr>
            <w:tcW w:w="4428" w:type="dxa"/>
          </w:tcPr>
          <w:p w:rsidR="002A5645" w:rsidRPr="008A57C6" w:rsidRDefault="002A5645" w:rsidP="006B75AB">
            <w:pPr>
              <w:pStyle w:val="Default"/>
              <w:spacing w:after="120"/>
              <w:rPr>
                <w:b/>
                <w:sz w:val="20"/>
                <w:szCs w:val="20"/>
              </w:rPr>
            </w:pPr>
            <w:r w:rsidRPr="008A57C6">
              <w:rPr>
                <w:b/>
                <w:sz w:val="20"/>
                <w:szCs w:val="20"/>
              </w:rPr>
              <w:t>Properties</w:t>
            </w:r>
          </w:p>
        </w:tc>
        <w:tc>
          <w:tcPr>
            <w:tcW w:w="2556" w:type="dxa"/>
          </w:tcPr>
          <w:p w:rsidR="002A5645" w:rsidRPr="008A57C6" w:rsidRDefault="002A5645" w:rsidP="006B75AB">
            <w:pPr>
              <w:pStyle w:val="Default"/>
              <w:spacing w:after="120"/>
              <w:jc w:val="center"/>
              <w:rPr>
                <w:sz w:val="20"/>
                <w:szCs w:val="20"/>
              </w:rPr>
            </w:pPr>
            <w:r w:rsidRPr="008A57C6">
              <w:rPr>
                <w:sz w:val="20"/>
                <w:szCs w:val="20"/>
              </w:rPr>
              <w:t>Fuel Oil No. 6</w:t>
            </w:r>
          </w:p>
        </w:tc>
      </w:tr>
      <w:tr w:rsidR="002A5645" w:rsidRPr="00C605BC" w:rsidTr="002A5645">
        <w:trPr>
          <w:cantSplit/>
          <w:trHeight w:val="288"/>
          <w:jc w:val="center"/>
        </w:trPr>
        <w:tc>
          <w:tcPr>
            <w:tcW w:w="4428" w:type="dxa"/>
          </w:tcPr>
          <w:p w:rsidR="002A5645" w:rsidRPr="008A57C6" w:rsidRDefault="002A5645" w:rsidP="006B75AB">
            <w:pPr>
              <w:pStyle w:val="Default"/>
              <w:widowControl w:val="0"/>
              <w:ind w:left="180"/>
              <w:jc w:val="both"/>
              <w:rPr>
                <w:b/>
                <w:sz w:val="20"/>
                <w:szCs w:val="20"/>
              </w:rPr>
            </w:pPr>
            <w:r w:rsidRPr="008A57C6">
              <w:rPr>
                <w:b/>
                <w:sz w:val="20"/>
                <w:szCs w:val="20"/>
              </w:rPr>
              <w:t>Molar Mass (g/</w:t>
            </w:r>
            <w:proofErr w:type="spellStart"/>
            <w:r w:rsidRPr="008A57C6">
              <w:rPr>
                <w:b/>
                <w:sz w:val="20"/>
                <w:szCs w:val="20"/>
              </w:rPr>
              <w:t>mol</w:t>
            </w:r>
            <w:proofErr w:type="spellEnd"/>
            <w:r w:rsidRPr="008A57C6">
              <w:rPr>
                <w:b/>
                <w:sz w:val="20"/>
                <w:szCs w:val="20"/>
              </w:rPr>
              <w:t>)</w:t>
            </w:r>
          </w:p>
        </w:tc>
        <w:tc>
          <w:tcPr>
            <w:tcW w:w="2556" w:type="dxa"/>
          </w:tcPr>
          <w:p w:rsidR="002A5645" w:rsidRPr="008A57C6" w:rsidRDefault="002A5645" w:rsidP="00DD6DEB">
            <w:pPr>
              <w:pStyle w:val="Default"/>
              <w:jc w:val="center"/>
              <w:rPr>
                <w:sz w:val="20"/>
                <w:szCs w:val="20"/>
              </w:rPr>
            </w:pPr>
            <w:r w:rsidRPr="008A57C6">
              <w:rPr>
                <w:sz w:val="20"/>
                <w:szCs w:val="20"/>
              </w:rPr>
              <w:t>not applicable</w:t>
            </w:r>
          </w:p>
        </w:tc>
      </w:tr>
      <w:tr w:rsidR="002A5645" w:rsidRPr="00C605BC" w:rsidTr="002A5645">
        <w:trPr>
          <w:cantSplit/>
          <w:trHeight w:val="288"/>
          <w:jc w:val="center"/>
        </w:trPr>
        <w:tc>
          <w:tcPr>
            <w:tcW w:w="4428" w:type="dxa"/>
          </w:tcPr>
          <w:p w:rsidR="002A5645" w:rsidRPr="008A57C6" w:rsidRDefault="002A5645" w:rsidP="006B75AB">
            <w:pPr>
              <w:pStyle w:val="Default"/>
              <w:widowControl w:val="0"/>
              <w:ind w:left="180"/>
              <w:jc w:val="both"/>
              <w:rPr>
                <w:b/>
                <w:sz w:val="20"/>
                <w:szCs w:val="20"/>
              </w:rPr>
            </w:pPr>
            <w:r w:rsidRPr="008A57C6">
              <w:rPr>
                <w:b/>
                <w:sz w:val="20"/>
                <w:szCs w:val="20"/>
              </w:rPr>
              <w:t>Molecular Formula</w:t>
            </w:r>
          </w:p>
        </w:tc>
        <w:tc>
          <w:tcPr>
            <w:tcW w:w="2556" w:type="dxa"/>
          </w:tcPr>
          <w:p w:rsidR="002A5645" w:rsidRPr="008A57C6" w:rsidRDefault="002A5645" w:rsidP="00DD6DEB">
            <w:pPr>
              <w:pStyle w:val="Default"/>
              <w:jc w:val="center"/>
              <w:rPr>
                <w:sz w:val="20"/>
                <w:szCs w:val="20"/>
                <w:vertAlign w:val="subscript"/>
              </w:rPr>
            </w:pPr>
            <w:r w:rsidRPr="008A57C6">
              <w:rPr>
                <w:sz w:val="20"/>
                <w:szCs w:val="20"/>
              </w:rPr>
              <w:t>not applicable</w:t>
            </w:r>
          </w:p>
        </w:tc>
      </w:tr>
      <w:tr w:rsidR="002A5645" w:rsidRPr="00C605BC" w:rsidTr="002A5645">
        <w:trPr>
          <w:cantSplit/>
          <w:trHeight w:val="288"/>
          <w:jc w:val="center"/>
        </w:trPr>
        <w:tc>
          <w:tcPr>
            <w:tcW w:w="4428" w:type="dxa"/>
          </w:tcPr>
          <w:p w:rsidR="002A5645" w:rsidRPr="008A57C6" w:rsidRDefault="002A5645" w:rsidP="008A57C6">
            <w:pPr>
              <w:pStyle w:val="Default"/>
              <w:ind w:left="180"/>
              <w:rPr>
                <w:b/>
                <w:sz w:val="20"/>
                <w:szCs w:val="20"/>
              </w:rPr>
            </w:pPr>
            <w:r w:rsidRPr="008A57C6">
              <w:rPr>
                <w:b/>
                <w:sz w:val="20"/>
                <w:szCs w:val="20"/>
              </w:rPr>
              <w:t>Appearance (physical state, color, etc.)</w:t>
            </w:r>
          </w:p>
        </w:tc>
        <w:tc>
          <w:tcPr>
            <w:tcW w:w="2556" w:type="dxa"/>
          </w:tcPr>
          <w:p w:rsidR="002A5645" w:rsidRPr="008A57C6" w:rsidRDefault="002A5645" w:rsidP="006B75AB">
            <w:pPr>
              <w:pStyle w:val="Default"/>
              <w:jc w:val="center"/>
              <w:rPr>
                <w:sz w:val="20"/>
                <w:szCs w:val="20"/>
              </w:rPr>
            </w:pPr>
            <w:r w:rsidRPr="008A57C6">
              <w:rPr>
                <w:sz w:val="20"/>
                <w:szCs w:val="20"/>
              </w:rPr>
              <w:t>black, liquid paste</w:t>
            </w:r>
          </w:p>
        </w:tc>
      </w:tr>
      <w:tr w:rsidR="002A5645" w:rsidRPr="00C605BC" w:rsidTr="002A5645">
        <w:trPr>
          <w:cantSplit/>
          <w:trHeight w:val="288"/>
          <w:jc w:val="center"/>
        </w:trPr>
        <w:tc>
          <w:tcPr>
            <w:tcW w:w="4428" w:type="dxa"/>
          </w:tcPr>
          <w:p w:rsidR="002A5645" w:rsidRPr="008A57C6" w:rsidRDefault="002A5645" w:rsidP="006B75AB">
            <w:pPr>
              <w:pStyle w:val="Default"/>
              <w:widowControl w:val="0"/>
              <w:ind w:left="180"/>
              <w:jc w:val="both"/>
              <w:rPr>
                <w:b/>
                <w:sz w:val="20"/>
                <w:szCs w:val="20"/>
              </w:rPr>
            </w:pPr>
            <w:r w:rsidRPr="008A57C6">
              <w:rPr>
                <w:b/>
                <w:sz w:val="20"/>
                <w:szCs w:val="20"/>
              </w:rPr>
              <w:t>Odor</w:t>
            </w:r>
          </w:p>
        </w:tc>
        <w:tc>
          <w:tcPr>
            <w:tcW w:w="2556" w:type="dxa"/>
          </w:tcPr>
          <w:p w:rsidR="002A5645" w:rsidRPr="008A57C6" w:rsidRDefault="00B50BFC" w:rsidP="006B75AB">
            <w:pPr>
              <w:pStyle w:val="Default"/>
              <w:jc w:val="center"/>
              <w:rPr>
                <w:sz w:val="20"/>
                <w:szCs w:val="20"/>
              </w:rPr>
            </w:pPr>
            <w:r>
              <w:rPr>
                <w:sz w:val="20"/>
                <w:szCs w:val="20"/>
              </w:rPr>
              <w:t>odor of tar</w:t>
            </w:r>
          </w:p>
        </w:tc>
      </w:tr>
      <w:tr w:rsidR="002A5645" w:rsidRPr="00C605BC" w:rsidTr="002A5645">
        <w:trPr>
          <w:cantSplit/>
          <w:trHeight w:val="288"/>
          <w:jc w:val="center"/>
        </w:trPr>
        <w:tc>
          <w:tcPr>
            <w:tcW w:w="4428" w:type="dxa"/>
          </w:tcPr>
          <w:p w:rsidR="002A5645" w:rsidRPr="008A57C6" w:rsidRDefault="002A5645" w:rsidP="006B75AB">
            <w:pPr>
              <w:pStyle w:val="Default"/>
              <w:widowControl w:val="0"/>
              <w:ind w:left="180"/>
              <w:jc w:val="both"/>
              <w:rPr>
                <w:b/>
                <w:sz w:val="20"/>
                <w:szCs w:val="20"/>
              </w:rPr>
            </w:pPr>
            <w:r w:rsidRPr="008A57C6">
              <w:rPr>
                <w:b/>
                <w:sz w:val="20"/>
                <w:szCs w:val="20"/>
              </w:rPr>
              <w:t>Odor threshold</w:t>
            </w:r>
          </w:p>
        </w:tc>
        <w:tc>
          <w:tcPr>
            <w:tcW w:w="2556" w:type="dxa"/>
          </w:tcPr>
          <w:p w:rsidR="002A5645" w:rsidRPr="008A57C6" w:rsidRDefault="002A5645" w:rsidP="006B75AB">
            <w:pPr>
              <w:pStyle w:val="Default"/>
              <w:jc w:val="center"/>
              <w:rPr>
                <w:sz w:val="20"/>
                <w:szCs w:val="20"/>
              </w:rPr>
            </w:pPr>
            <w:r w:rsidRPr="008A57C6">
              <w:rPr>
                <w:sz w:val="20"/>
                <w:szCs w:val="20"/>
              </w:rPr>
              <w:t>not available</w:t>
            </w:r>
          </w:p>
        </w:tc>
      </w:tr>
      <w:tr w:rsidR="002A5645" w:rsidRPr="00C605BC" w:rsidTr="002A5645">
        <w:trPr>
          <w:cantSplit/>
          <w:trHeight w:val="288"/>
          <w:jc w:val="center"/>
        </w:trPr>
        <w:tc>
          <w:tcPr>
            <w:tcW w:w="4428" w:type="dxa"/>
          </w:tcPr>
          <w:p w:rsidR="002A5645" w:rsidRPr="008A57C6" w:rsidRDefault="002A5645" w:rsidP="006B75AB">
            <w:pPr>
              <w:pStyle w:val="Default"/>
              <w:widowControl w:val="0"/>
              <w:ind w:left="180"/>
              <w:jc w:val="both"/>
              <w:rPr>
                <w:b/>
                <w:sz w:val="20"/>
                <w:szCs w:val="20"/>
              </w:rPr>
            </w:pPr>
            <w:r w:rsidRPr="008A57C6">
              <w:rPr>
                <w:b/>
                <w:sz w:val="20"/>
                <w:szCs w:val="20"/>
              </w:rPr>
              <w:t>pH</w:t>
            </w:r>
          </w:p>
        </w:tc>
        <w:tc>
          <w:tcPr>
            <w:tcW w:w="2556" w:type="dxa"/>
          </w:tcPr>
          <w:p w:rsidR="002A5645" w:rsidRPr="008A57C6" w:rsidRDefault="002A5645" w:rsidP="006B75AB">
            <w:pPr>
              <w:pStyle w:val="Default"/>
              <w:jc w:val="center"/>
              <w:rPr>
                <w:sz w:val="20"/>
                <w:szCs w:val="20"/>
              </w:rPr>
            </w:pPr>
            <w:r w:rsidRPr="008A57C6">
              <w:rPr>
                <w:sz w:val="20"/>
                <w:szCs w:val="20"/>
              </w:rPr>
              <w:t>not available</w:t>
            </w:r>
          </w:p>
        </w:tc>
      </w:tr>
      <w:tr w:rsidR="002A5645" w:rsidRPr="00C605BC" w:rsidTr="002A5645">
        <w:trPr>
          <w:cantSplit/>
          <w:trHeight w:val="288"/>
          <w:jc w:val="center"/>
        </w:trPr>
        <w:tc>
          <w:tcPr>
            <w:tcW w:w="4428" w:type="dxa"/>
          </w:tcPr>
          <w:p w:rsidR="002A5645" w:rsidRPr="008A57C6" w:rsidRDefault="002A5645" w:rsidP="006B75AB">
            <w:pPr>
              <w:pStyle w:val="Default"/>
              <w:widowControl w:val="0"/>
              <w:ind w:left="180"/>
              <w:jc w:val="both"/>
              <w:rPr>
                <w:b/>
                <w:sz w:val="20"/>
                <w:szCs w:val="20"/>
              </w:rPr>
            </w:pPr>
            <w:r w:rsidRPr="008A57C6">
              <w:rPr>
                <w:b/>
                <w:sz w:val="20"/>
                <w:szCs w:val="20"/>
              </w:rPr>
              <w:t>Evaporation rate</w:t>
            </w:r>
          </w:p>
        </w:tc>
        <w:tc>
          <w:tcPr>
            <w:tcW w:w="2556" w:type="dxa"/>
          </w:tcPr>
          <w:p w:rsidR="002A5645" w:rsidRPr="008A57C6" w:rsidRDefault="002A5645" w:rsidP="006B75AB">
            <w:pPr>
              <w:pStyle w:val="Default"/>
              <w:jc w:val="center"/>
              <w:rPr>
                <w:sz w:val="20"/>
                <w:szCs w:val="20"/>
              </w:rPr>
            </w:pPr>
            <w:r w:rsidRPr="008A57C6">
              <w:rPr>
                <w:sz w:val="20"/>
                <w:szCs w:val="20"/>
              </w:rPr>
              <w:t>not available</w:t>
            </w:r>
          </w:p>
        </w:tc>
      </w:tr>
      <w:tr w:rsidR="002A5645" w:rsidRPr="00C605BC" w:rsidTr="002A5645">
        <w:trPr>
          <w:cantSplit/>
          <w:trHeight w:val="288"/>
          <w:jc w:val="center"/>
        </w:trPr>
        <w:tc>
          <w:tcPr>
            <w:tcW w:w="4428" w:type="dxa"/>
          </w:tcPr>
          <w:p w:rsidR="002A5645" w:rsidRPr="008A57C6" w:rsidRDefault="002A5645" w:rsidP="006B75AB">
            <w:pPr>
              <w:pStyle w:val="Default"/>
              <w:widowControl w:val="0"/>
              <w:ind w:left="180"/>
              <w:jc w:val="both"/>
              <w:rPr>
                <w:b/>
                <w:sz w:val="20"/>
                <w:szCs w:val="20"/>
              </w:rPr>
            </w:pPr>
            <w:r w:rsidRPr="008A57C6">
              <w:rPr>
                <w:b/>
                <w:sz w:val="20"/>
                <w:szCs w:val="20"/>
              </w:rPr>
              <w:t>Melting point/freezing point</w:t>
            </w:r>
          </w:p>
        </w:tc>
        <w:tc>
          <w:tcPr>
            <w:tcW w:w="2556" w:type="dxa"/>
          </w:tcPr>
          <w:p w:rsidR="002A5645" w:rsidRPr="008A57C6" w:rsidRDefault="002A5645" w:rsidP="006B75AB">
            <w:pPr>
              <w:pStyle w:val="Default"/>
              <w:jc w:val="center"/>
              <w:rPr>
                <w:sz w:val="20"/>
                <w:szCs w:val="20"/>
              </w:rPr>
            </w:pPr>
            <w:r w:rsidRPr="008A57C6">
              <w:rPr>
                <w:sz w:val="20"/>
                <w:szCs w:val="20"/>
              </w:rPr>
              <w:t>not available</w:t>
            </w:r>
          </w:p>
        </w:tc>
      </w:tr>
      <w:tr w:rsidR="002A5645" w:rsidRPr="00C605BC" w:rsidTr="002A5645">
        <w:trPr>
          <w:cantSplit/>
          <w:trHeight w:val="288"/>
          <w:jc w:val="center"/>
        </w:trPr>
        <w:tc>
          <w:tcPr>
            <w:tcW w:w="4428" w:type="dxa"/>
          </w:tcPr>
          <w:p w:rsidR="002A5645" w:rsidRPr="008A57C6" w:rsidRDefault="002A5645" w:rsidP="008A57C6">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2556" w:type="dxa"/>
          </w:tcPr>
          <w:p w:rsidR="002A5645" w:rsidRPr="008A57C6" w:rsidRDefault="002A5645" w:rsidP="006B75AB">
            <w:pPr>
              <w:pStyle w:val="Default"/>
              <w:jc w:val="center"/>
              <w:rPr>
                <w:sz w:val="20"/>
                <w:szCs w:val="20"/>
              </w:rPr>
            </w:pPr>
            <w:r w:rsidRPr="008A57C6">
              <w:rPr>
                <w:sz w:val="20"/>
                <w:szCs w:val="20"/>
              </w:rPr>
              <w:t>0.9 to 1.1</w:t>
            </w:r>
          </w:p>
        </w:tc>
      </w:tr>
      <w:tr w:rsidR="002A5645" w:rsidRPr="00C605BC" w:rsidTr="002A5645">
        <w:trPr>
          <w:cantSplit/>
          <w:trHeight w:val="288"/>
          <w:jc w:val="center"/>
        </w:trPr>
        <w:tc>
          <w:tcPr>
            <w:tcW w:w="4428" w:type="dxa"/>
          </w:tcPr>
          <w:p w:rsidR="002A5645" w:rsidRPr="008A57C6" w:rsidRDefault="002A5645" w:rsidP="008A57C6">
            <w:pPr>
              <w:pStyle w:val="Default"/>
              <w:ind w:left="180"/>
              <w:rPr>
                <w:b/>
                <w:sz w:val="20"/>
                <w:szCs w:val="20"/>
              </w:rPr>
            </w:pPr>
            <w:r w:rsidRPr="008A57C6">
              <w:rPr>
                <w:b/>
                <w:sz w:val="20"/>
                <w:szCs w:val="20"/>
              </w:rPr>
              <w:t>Density</w:t>
            </w:r>
            <w:r w:rsidRPr="008A57C6">
              <w:rPr>
                <w:sz w:val="20"/>
                <w:szCs w:val="20"/>
                <w:vertAlign w:val="superscript"/>
              </w:rPr>
              <w:t>(a)</w:t>
            </w:r>
          </w:p>
        </w:tc>
        <w:tc>
          <w:tcPr>
            <w:tcW w:w="2556" w:type="dxa"/>
          </w:tcPr>
          <w:p w:rsidR="002A5645" w:rsidRPr="008A57C6" w:rsidRDefault="002A5645" w:rsidP="008D33C6">
            <w:pPr>
              <w:pStyle w:val="Default"/>
              <w:jc w:val="center"/>
              <w:rPr>
                <w:sz w:val="20"/>
                <w:szCs w:val="20"/>
              </w:rPr>
            </w:pPr>
            <w:r w:rsidRPr="008A57C6">
              <w:rPr>
                <w:sz w:val="20"/>
                <w:szCs w:val="20"/>
              </w:rPr>
              <w:t>100</w:t>
            </w:r>
            <w:r>
              <w:rPr>
                <w:sz w:val="20"/>
                <w:szCs w:val="20"/>
              </w:rPr>
              <w:t>5</w:t>
            </w:r>
            <w:r w:rsidRPr="008A57C6">
              <w:rPr>
                <w:sz w:val="20"/>
                <w:szCs w:val="20"/>
              </w:rPr>
              <w:t>.1 kg/m</w:t>
            </w:r>
            <w:r w:rsidRPr="008A57C6">
              <w:rPr>
                <w:sz w:val="20"/>
                <w:szCs w:val="20"/>
                <w:vertAlign w:val="superscript"/>
              </w:rPr>
              <w:t>3</w:t>
            </w:r>
            <w:r w:rsidRPr="008A57C6">
              <w:rPr>
                <w:sz w:val="20"/>
                <w:szCs w:val="20"/>
              </w:rPr>
              <w:t xml:space="preserve"> at 15 °C</w:t>
            </w:r>
            <w:r w:rsidRPr="008A57C6">
              <w:rPr>
                <w:sz w:val="20"/>
                <w:szCs w:val="20"/>
              </w:rPr>
              <w:br/>
            </w:r>
            <w:r>
              <w:rPr>
                <w:sz w:val="20"/>
                <w:szCs w:val="20"/>
              </w:rPr>
              <w:t>9.2</w:t>
            </w:r>
            <w:r w:rsidRPr="008A57C6">
              <w:rPr>
                <w:sz w:val="20"/>
                <w:szCs w:val="20"/>
              </w:rPr>
              <w:t> API at 60 °F</w:t>
            </w:r>
          </w:p>
        </w:tc>
      </w:tr>
      <w:tr w:rsidR="002A5645" w:rsidRPr="00C605BC" w:rsidTr="002A5645">
        <w:trPr>
          <w:cantSplit/>
          <w:trHeight w:val="288"/>
          <w:jc w:val="center"/>
        </w:trPr>
        <w:tc>
          <w:tcPr>
            <w:tcW w:w="4428" w:type="dxa"/>
          </w:tcPr>
          <w:p w:rsidR="002A5645" w:rsidRPr="008A57C6" w:rsidRDefault="002A5645" w:rsidP="008A57C6">
            <w:pPr>
              <w:pStyle w:val="Default"/>
              <w:ind w:left="180"/>
              <w:rPr>
                <w:b/>
                <w:sz w:val="20"/>
                <w:szCs w:val="20"/>
              </w:rPr>
            </w:pPr>
            <w:r w:rsidRPr="008A57C6">
              <w:rPr>
                <w:b/>
                <w:sz w:val="20"/>
                <w:szCs w:val="20"/>
              </w:rPr>
              <w:t>Vapor Pressure</w:t>
            </w:r>
          </w:p>
        </w:tc>
        <w:tc>
          <w:tcPr>
            <w:tcW w:w="2556" w:type="dxa"/>
          </w:tcPr>
          <w:p w:rsidR="002A5645" w:rsidRPr="008A57C6" w:rsidRDefault="002A5645" w:rsidP="006B75AB">
            <w:pPr>
              <w:pStyle w:val="Default"/>
              <w:jc w:val="center"/>
              <w:rPr>
                <w:sz w:val="20"/>
                <w:szCs w:val="20"/>
              </w:rPr>
            </w:pPr>
            <w:r w:rsidRPr="008A57C6">
              <w:rPr>
                <w:sz w:val="20"/>
                <w:szCs w:val="20"/>
              </w:rPr>
              <w:t>0.2 mmHg at 20 °C</w:t>
            </w:r>
          </w:p>
        </w:tc>
      </w:tr>
      <w:tr w:rsidR="002A5645" w:rsidRPr="00EF3E03" w:rsidTr="002A5645">
        <w:trPr>
          <w:cantSplit/>
          <w:trHeight w:val="288"/>
          <w:jc w:val="center"/>
        </w:trPr>
        <w:tc>
          <w:tcPr>
            <w:tcW w:w="4428" w:type="dxa"/>
          </w:tcPr>
          <w:p w:rsidR="002A5645" w:rsidRPr="00EF3E03" w:rsidRDefault="002A5645" w:rsidP="008A57C6">
            <w:pPr>
              <w:pStyle w:val="Default"/>
              <w:ind w:left="180"/>
              <w:rPr>
                <w:b/>
                <w:sz w:val="20"/>
                <w:szCs w:val="20"/>
              </w:rPr>
            </w:pPr>
            <w:r w:rsidRPr="00EF3E03">
              <w:rPr>
                <w:b/>
                <w:sz w:val="20"/>
                <w:szCs w:val="20"/>
              </w:rPr>
              <w:t>Vapor Density (air = 1)</w:t>
            </w:r>
          </w:p>
        </w:tc>
        <w:tc>
          <w:tcPr>
            <w:tcW w:w="2556" w:type="dxa"/>
          </w:tcPr>
          <w:p w:rsidR="002A5645" w:rsidRPr="00EF3E03" w:rsidRDefault="002A5645" w:rsidP="006B75AB">
            <w:pPr>
              <w:pStyle w:val="Default"/>
              <w:jc w:val="center"/>
              <w:rPr>
                <w:sz w:val="20"/>
                <w:szCs w:val="20"/>
              </w:rPr>
            </w:pPr>
            <w:r w:rsidRPr="00EF3E03">
              <w:rPr>
                <w:sz w:val="20"/>
                <w:szCs w:val="20"/>
              </w:rPr>
              <w:t>not available</w:t>
            </w:r>
          </w:p>
        </w:tc>
      </w:tr>
      <w:tr w:rsidR="002A5645" w:rsidRPr="00EF3E03" w:rsidTr="002A5645">
        <w:trPr>
          <w:cantSplit/>
          <w:trHeight w:val="288"/>
          <w:jc w:val="center"/>
        </w:trPr>
        <w:tc>
          <w:tcPr>
            <w:tcW w:w="4428" w:type="dxa"/>
          </w:tcPr>
          <w:p w:rsidR="002A5645" w:rsidRPr="00EF3E03" w:rsidRDefault="002A5645" w:rsidP="008A57C6">
            <w:pPr>
              <w:pStyle w:val="Default"/>
              <w:ind w:left="180"/>
              <w:rPr>
                <w:b/>
                <w:sz w:val="20"/>
                <w:szCs w:val="20"/>
              </w:rPr>
            </w:pPr>
            <w:r w:rsidRPr="00EF3E03">
              <w:rPr>
                <w:b/>
                <w:sz w:val="20"/>
                <w:szCs w:val="20"/>
              </w:rPr>
              <w:t>Viscosity</w:t>
            </w:r>
          </w:p>
        </w:tc>
        <w:tc>
          <w:tcPr>
            <w:tcW w:w="2556" w:type="dxa"/>
          </w:tcPr>
          <w:p w:rsidR="002A5645" w:rsidRPr="00EF3E03" w:rsidRDefault="002A5645">
            <w:pPr>
              <w:pStyle w:val="Default"/>
              <w:jc w:val="center"/>
              <w:rPr>
                <w:sz w:val="20"/>
                <w:szCs w:val="20"/>
              </w:rPr>
            </w:pPr>
            <w:r w:rsidRPr="00EF3E03">
              <w:rPr>
                <w:sz w:val="20"/>
                <w:szCs w:val="20"/>
              </w:rPr>
              <w:t>900 to 9000 SUS at 38 °C</w:t>
            </w:r>
          </w:p>
        </w:tc>
      </w:tr>
      <w:tr w:rsidR="002A5645" w:rsidRPr="00EF3E03" w:rsidTr="002A5645">
        <w:trPr>
          <w:cantSplit/>
          <w:trHeight w:val="288"/>
          <w:jc w:val="center"/>
        </w:trPr>
        <w:tc>
          <w:tcPr>
            <w:tcW w:w="4428" w:type="dxa"/>
          </w:tcPr>
          <w:p w:rsidR="002A5645" w:rsidRPr="00EF3E03" w:rsidRDefault="002A5645" w:rsidP="006B75AB">
            <w:pPr>
              <w:pStyle w:val="Default"/>
              <w:widowControl w:val="0"/>
              <w:ind w:left="180"/>
              <w:jc w:val="both"/>
              <w:rPr>
                <w:b/>
                <w:sz w:val="20"/>
                <w:szCs w:val="20"/>
              </w:rPr>
            </w:pPr>
            <w:r w:rsidRPr="00EF3E03">
              <w:rPr>
                <w:b/>
                <w:sz w:val="20"/>
                <w:szCs w:val="20"/>
              </w:rPr>
              <w:t>Kinematic Viscosity</w:t>
            </w:r>
            <w:r w:rsidRPr="00EF3E03">
              <w:rPr>
                <w:sz w:val="20"/>
                <w:szCs w:val="20"/>
                <w:vertAlign w:val="superscript"/>
              </w:rPr>
              <w:t>(a)</w:t>
            </w:r>
          </w:p>
        </w:tc>
        <w:tc>
          <w:tcPr>
            <w:tcW w:w="2556" w:type="dxa"/>
          </w:tcPr>
          <w:p w:rsidR="002A5645" w:rsidRPr="00EF3E03" w:rsidRDefault="002A5645" w:rsidP="00CC1DEF">
            <w:pPr>
              <w:pStyle w:val="Default"/>
              <w:tabs>
                <w:tab w:val="decimal" w:pos="972"/>
              </w:tabs>
              <w:rPr>
                <w:sz w:val="20"/>
              </w:rPr>
            </w:pPr>
            <w:r>
              <w:rPr>
                <w:sz w:val="20"/>
              </w:rPr>
              <w:t>807.6</w:t>
            </w:r>
            <w:r w:rsidRPr="00EF3E03">
              <w:rPr>
                <w:sz w:val="20"/>
              </w:rPr>
              <w:t xml:space="preserve"> </w:t>
            </w:r>
            <w:proofErr w:type="spellStart"/>
            <w:r w:rsidRPr="00EF3E03">
              <w:rPr>
                <w:sz w:val="20"/>
              </w:rPr>
              <w:t>cSt</w:t>
            </w:r>
            <w:proofErr w:type="spellEnd"/>
            <w:r w:rsidRPr="00EF3E03">
              <w:rPr>
                <w:sz w:val="20"/>
              </w:rPr>
              <w:t xml:space="preserve"> at 40 °C</w:t>
            </w:r>
            <w:r w:rsidRPr="00EF3E03">
              <w:rPr>
                <w:sz w:val="20"/>
              </w:rPr>
              <w:br/>
            </w:r>
            <w:r>
              <w:rPr>
                <w:sz w:val="20"/>
              </w:rPr>
              <w:t>370.7</w:t>
            </w:r>
            <w:r w:rsidRPr="00EF3E03">
              <w:rPr>
                <w:sz w:val="20"/>
              </w:rPr>
              <w:t xml:space="preserve"> </w:t>
            </w:r>
            <w:proofErr w:type="spellStart"/>
            <w:r w:rsidRPr="00EF3E03">
              <w:rPr>
                <w:sz w:val="20"/>
              </w:rPr>
              <w:t>cSt</w:t>
            </w:r>
            <w:proofErr w:type="spellEnd"/>
            <w:r w:rsidRPr="00EF3E03">
              <w:rPr>
                <w:sz w:val="20"/>
              </w:rPr>
              <w:t xml:space="preserve"> at 50 °C</w:t>
            </w:r>
            <w:r w:rsidRPr="00EF3E03">
              <w:rPr>
                <w:sz w:val="20"/>
              </w:rPr>
              <w:br/>
            </w:r>
            <w:r>
              <w:rPr>
                <w:sz w:val="20"/>
              </w:rPr>
              <w:t>33.10</w:t>
            </w:r>
            <w:r w:rsidRPr="00EF3E03">
              <w:rPr>
                <w:sz w:val="20"/>
              </w:rPr>
              <w:t xml:space="preserve"> </w:t>
            </w:r>
            <w:proofErr w:type="spellStart"/>
            <w:r w:rsidRPr="00EF3E03">
              <w:rPr>
                <w:sz w:val="20"/>
              </w:rPr>
              <w:t>cSt</w:t>
            </w:r>
            <w:proofErr w:type="spellEnd"/>
            <w:r w:rsidRPr="00EF3E03">
              <w:rPr>
                <w:sz w:val="20"/>
              </w:rPr>
              <w:t xml:space="preserve"> at </w:t>
            </w:r>
            <w:r>
              <w:rPr>
                <w:sz w:val="20"/>
              </w:rPr>
              <w:t>100</w:t>
            </w:r>
            <w:r w:rsidRPr="00EF3E03">
              <w:rPr>
                <w:sz w:val="20"/>
              </w:rPr>
              <w:t> °C</w:t>
            </w:r>
          </w:p>
        </w:tc>
      </w:tr>
      <w:tr w:rsidR="002A5645" w:rsidRPr="00EF3E03" w:rsidTr="002A5645">
        <w:trPr>
          <w:cantSplit/>
          <w:trHeight w:val="288"/>
          <w:jc w:val="center"/>
        </w:trPr>
        <w:tc>
          <w:tcPr>
            <w:tcW w:w="4428" w:type="dxa"/>
          </w:tcPr>
          <w:p w:rsidR="002A5645" w:rsidRPr="00EF3E03" w:rsidRDefault="002A5645" w:rsidP="006B75AB">
            <w:pPr>
              <w:pStyle w:val="Default"/>
              <w:widowControl w:val="0"/>
              <w:ind w:left="180"/>
              <w:jc w:val="both"/>
              <w:rPr>
                <w:b/>
                <w:sz w:val="20"/>
                <w:szCs w:val="20"/>
              </w:rPr>
            </w:pPr>
            <w:proofErr w:type="spellStart"/>
            <w:r w:rsidRPr="00EF3E03">
              <w:rPr>
                <w:b/>
                <w:sz w:val="20"/>
                <w:szCs w:val="20"/>
              </w:rPr>
              <w:t>Solubilities</w:t>
            </w:r>
            <w:proofErr w:type="spellEnd"/>
          </w:p>
        </w:tc>
        <w:tc>
          <w:tcPr>
            <w:tcW w:w="2556" w:type="dxa"/>
          </w:tcPr>
          <w:p w:rsidR="002A5645" w:rsidRPr="00EF3E03" w:rsidRDefault="002A5645" w:rsidP="008A57C6">
            <w:pPr>
              <w:pStyle w:val="Default"/>
              <w:ind w:left="349" w:hanging="349"/>
              <w:jc w:val="center"/>
              <w:rPr>
                <w:sz w:val="20"/>
                <w:szCs w:val="20"/>
              </w:rPr>
            </w:pPr>
            <w:r w:rsidRPr="00EF3E03">
              <w:rPr>
                <w:sz w:val="20"/>
                <w:szCs w:val="20"/>
              </w:rPr>
              <w:t>water:  insoluble</w:t>
            </w:r>
          </w:p>
        </w:tc>
      </w:tr>
      <w:tr w:rsidR="002A5645" w:rsidRPr="00EF3E03" w:rsidTr="002A5645">
        <w:trPr>
          <w:cantSplit/>
          <w:trHeight w:val="323"/>
          <w:jc w:val="center"/>
        </w:trPr>
        <w:tc>
          <w:tcPr>
            <w:tcW w:w="4428" w:type="dxa"/>
          </w:tcPr>
          <w:p w:rsidR="002A5645" w:rsidRPr="00EF3E03" w:rsidRDefault="002A5645" w:rsidP="008A57C6">
            <w:pPr>
              <w:pStyle w:val="Default"/>
              <w:ind w:left="180"/>
              <w:rPr>
                <w:b/>
                <w:sz w:val="20"/>
                <w:szCs w:val="20"/>
              </w:rPr>
            </w:pPr>
            <w:r w:rsidRPr="00EF3E03">
              <w:rPr>
                <w:b/>
                <w:sz w:val="20"/>
                <w:szCs w:val="20"/>
              </w:rPr>
              <w:t>Partition coefficient (n</w:t>
            </w:r>
            <w:r w:rsidRPr="00EF3E03">
              <w:rPr>
                <w:b/>
                <w:sz w:val="20"/>
                <w:szCs w:val="20"/>
              </w:rPr>
              <w:noBreakHyphen/>
              <w:t>octanol/water)</w:t>
            </w:r>
          </w:p>
        </w:tc>
        <w:tc>
          <w:tcPr>
            <w:tcW w:w="2556" w:type="dxa"/>
          </w:tcPr>
          <w:p w:rsidR="002A5645" w:rsidRPr="00EF3E03" w:rsidRDefault="002A5645" w:rsidP="006B75AB">
            <w:pPr>
              <w:pStyle w:val="Default"/>
              <w:jc w:val="center"/>
              <w:rPr>
                <w:sz w:val="20"/>
                <w:szCs w:val="20"/>
              </w:rPr>
            </w:pPr>
            <w:r w:rsidRPr="00EF3E03">
              <w:rPr>
                <w:sz w:val="20"/>
                <w:szCs w:val="20"/>
              </w:rPr>
              <w:t>not available</w:t>
            </w:r>
          </w:p>
        </w:tc>
      </w:tr>
      <w:tr w:rsidR="002A5645" w:rsidRPr="00EF3E03" w:rsidTr="002A5645">
        <w:trPr>
          <w:cantSplit/>
          <w:trHeight w:val="288"/>
          <w:jc w:val="center"/>
        </w:trPr>
        <w:tc>
          <w:tcPr>
            <w:tcW w:w="4428" w:type="dxa"/>
            <w:tcBorders>
              <w:right w:val="nil"/>
            </w:tcBorders>
          </w:tcPr>
          <w:p w:rsidR="002A5645" w:rsidRPr="00EF3E03" w:rsidRDefault="002A5645" w:rsidP="00C82019">
            <w:pPr>
              <w:pStyle w:val="Default"/>
              <w:widowControl w:val="0"/>
              <w:jc w:val="both"/>
              <w:rPr>
                <w:b/>
                <w:sz w:val="20"/>
                <w:szCs w:val="20"/>
              </w:rPr>
            </w:pPr>
            <w:r w:rsidRPr="00EF3E03">
              <w:rPr>
                <w:b/>
                <w:sz w:val="20"/>
                <w:szCs w:val="20"/>
              </w:rPr>
              <w:t>Thermal Stability Properties</w:t>
            </w:r>
          </w:p>
        </w:tc>
        <w:tc>
          <w:tcPr>
            <w:tcW w:w="2556" w:type="dxa"/>
            <w:tcBorders>
              <w:left w:val="nil"/>
              <w:right w:val="nil"/>
            </w:tcBorders>
          </w:tcPr>
          <w:p w:rsidR="002A5645" w:rsidRPr="00EF3E03" w:rsidRDefault="002A5645" w:rsidP="00C82019">
            <w:pPr>
              <w:pStyle w:val="Default"/>
              <w:jc w:val="center"/>
              <w:rPr>
                <w:sz w:val="20"/>
                <w:szCs w:val="20"/>
              </w:rPr>
            </w:pPr>
          </w:p>
        </w:tc>
      </w:tr>
      <w:tr w:rsidR="002A5645" w:rsidRPr="00EF3E03" w:rsidTr="002A5645">
        <w:trPr>
          <w:cantSplit/>
          <w:trHeight w:val="288"/>
          <w:jc w:val="center"/>
        </w:trPr>
        <w:tc>
          <w:tcPr>
            <w:tcW w:w="4428" w:type="dxa"/>
          </w:tcPr>
          <w:p w:rsidR="002A5645" w:rsidRPr="00EF3E03" w:rsidRDefault="002A5645" w:rsidP="008A57C6">
            <w:pPr>
              <w:pStyle w:val="Default"/>
              <w:ind w:left="180"/>
              <w:rPr>
                <w:b/>
                <w:sz w:val="20"/>
                <w:szCs w:val="20"/>
              </w:rPr>
            </w:pPr>
            <w:r w:rsidRPr="00EF3E03">
              <w:rPr>
                <w:b/>
                <w:sz w:val="20"/>
                <w:szCs w:val="20"/>
              </w:rPr>
              <w:t>Autoignition Temperature</w:t>
            </w:r>
          </w:p>
        </w:tc>
        <w:tc>
          <w:tcPr>
            <w:tcW w:w="2556" w:type="dxa"/>
          </w:tcPr>
          <w:p w:rsidR="002A5645" w:rsidRPr="008D3C28" w:rsidRDefault="002A5645" w:rsidP="008D3C28">
            <w:pPr>
              <w:pStyle w:val="Default"/>
              <w:jc w:val="center"/>
              <w:rPr>
                <w:sz w:val="20"/>
                <w:szCs w:val="20"/>
              </w:rPr>
            </w:pPr>
            <w:r w:rsidRPr="00EF3E03">
              <w:rPr>
                <w:sz w:val="20"/>
                <w:szCs w:val="20"/>
              </w:rPr>
              <w:t>407 °C</w:t>
            </w:r>
            <w:r>
              <w:rPr>
                <w:sz w:val="20"/>
                <w:szCs w:val="20"/>
              </w:rPr>
              <w:t xml:space="preserve"> </w:t>
            </w:r>
            <w:r w:rsidRPr="00E12D28">
              <w:rPr>
                <w:sz w:val="20"/>
                <w:szCs w:val="20"/>
              </w:rPr>
              <w:t>(</w:t>
            </w:r>
            <w:r>
              <w:rPr>
                <w:sz w:val="20"/>
                <w:szCs w:val="20"/>
              </w:rPr>
              <w:t>765 </w:t>
            </w:r>
            <w:r w:rsidRPr="00EF3E03">
              <w:rPr>
                <w:sz w:val="20"/>
                <w:szCs w:val="20"/>
              </w:rPr>
              <w:t>°</w:t>
            </w:r>
            <w:r>
              <w:rPr>
                <w:sz w:val="20"/>
                <w:szCs w:val="20"/>
              </w:rPr>
              <w:t>F)</w:t>
            </w:r>
          </w:p>
        </w:tc>
      </w:tr>
      <w:tr w:rsidR="002A5645" w:rsidRPr="00EF3E03" w:rsidTr="002A5645">
        <w:trPr>
          <w:cantSplit/>
          <w:trHeight w:val="288"/>
          <w:jc w:val="center"/>
        </w:trPr>
        <w:tc>
          <w:tcPr>
            <w:tcW w:w="4428" w:type="dxa"/>
          </w:tcPr>
          <w:p w:rsidR="002A5645" w:rsidRPr="00EF3E03" w:rsidRDefault="002A5645" w:rsidP="006B75AB">
            <w:pPr>
              <w:pStyle w:val="Default"/>
              <w:widowControl w:val="0"/>
              <w:ind w:left="180"/>
              <w:jc w:val="both"/>
              <w:rPr>
                <w:b/>
                <w:sz w:val="20"/>
                <w:szCs w:val="20"/>
              </w:rPr>
            </w:pPr>
            <w:r w:rsidRPr="00EF3E03">
              <w:rPr>
                <w:b/>
                <w:sz w:val="20"/>
                <w:szCs w:val="20"/>
              </w:rPr>
              <w:t>Thermal Decomposition</w:t>
            </w:r>
          </w:p>
        </w:tc>
        <w:tc>
          <w:tcPr>
            <w:tcW w:w="2556" w:type="dxa"/>
          </w:tcPr>
          <w:p w:rsidR="002A5645" w:rsidRPr="00EF3E03" w:rsidRDefault="002A5645" w:rsidP="009721CD">
            <w:pPr>
              <w:pStyle w:val="Default"/>
              <w:jc w:val="center"/>
              <w:rPr>
                <w:sz w:val="20"/>
                <w:szCs w:val="20"/>
              </w:rPr>
            </w:pPr>
            <w:r w:rsidRPr="00EF3E03">
              <w:rPr>
                <w:sz w:val="20"/>
                <w:szCs w:val="20"/>
              </w:rPr>
              <w:t>not available</w:t>
            </w:r>
          </w:p>
        </w:tc>
      </w:tr>
      <w:tr w:rsidR="002A5645" w:rsidRPr="00EF3E03" w:rsidTr="002A5645">
        <w:trPr>
          <w:cantSplit/>
          <w:trHeight w:val="288"/>
          <w:jc w:val="center"/>
        </w:trPr>
        <w:tc>
          <w:tcPr>
            <w:tcW w:w="4428" w:type="dxa"/>
          </w:tcPr>
          <w:p w:rsidR="002A5645" w:rsidRPr="00EF3E03" w:rsidRDefault="002A5645" w:rsidP="006B75AB">
            <w:pPr>
              <w:pStyle w:val="Default"/>
              <w:widowControl w:val="0"/>
              <w:ind w:left="180"/>
              <w:jc w:val="both"/>
              <w:rPr>
                <w:b/>
                <w:sz w:val="20"/>
                <w:szCs w:val="20"/>
              </w:rPr>
            </w:pPr>
            <w:r w:rsidRPr="00EF3E03">
              <w:rPr>
                <w:b/>
                <w:sz w:val="20"/>
                <w:szCs w:val="20"/>
              </w:rPr>
              <w:t>Initial boiling point and boiling range</w:t>
            </w:r>
          </w:p>
        </w:tc>
        <w:tc>
          <w:tcPr>
            <w:tcW w:w="2556" w:type="dxa"/>
          </w:tcPr>
          <w:p w:rsidR="002A5645" w:rsidRPr="00EF3E03" w:rsidRDefault="002A5645" w:rsidP="008D3C28">
            <w:pPr>
              <w:pStyle w:val="Default"/>
              <w:jc w:val="center"/>
              <w:rPr>
                <w:sz w:val="20"/>
                <w:szCs w:val="20"/>
              </w:rPr>
            </w:pPr>
            <w:r w:rsidRPr="00EF3E03">
              <w:rPr>
                <w:sz w:val="20"/>
                <w:szCs w:val="20"/>
              </w:rPr>
              <w:t>&gt;177 °C</w:t>
            </w:r>
            <w:r>
              <w:rPr>
                <w:sz w:val="20"/>
                <w:szCs w:val="20"/>
              </w:rPr>
              <w:t xml:space="preserve"> </w:t>
            </w:r>
            <w:r w:rsidRPr="008D3C28">
              <w:rPr>
                <w:sz w:val="20"/>
                <w:szCs w:val="20"/>
              </w:rPr>
              <w:t xml:space="preserve"> (</w:t>
            </w:r>
            <w:r>
              <w:rPr>
                <w:sz w:val="20"/>
                <w:szCs w:val="20"/>
              </w:rPr>
              <w:t>&gt;351</w:t>
            </w:r>
            <w:r w:rsidRPr="008D3C28">
              <w:rPr>
                <w:sz w:val="20"/>
                <w:szCs w:val="20"/>
              </w:rPr>
              <w:t> °F)</w:t>
            </w:r>
          </w:p>
        </w:tc>
      </w:tr>
      <w:tr w:rsidR="002A5645" w:rsidRPr="00EF3E03" w:rsidTr="002A5645">
        <w:trPr>
          <w:cantSplit/>
          <w:trHeight w:val="288"/>
          <w:jc w:val="center"/>
        </w:trPr>
        <w:tc>
          <w:tcPr>
            <w:tcW w:w="4428" w:type="dxa"/>
          </w:tcPr>
          <w:p w:rsidR="002A5645" w:rsidRPr="00EF3E03" w:rsidRDefault="002A5645" w:rsidP="008A57C6">
            <w:pPr>
              <w:pStyle w:val="Default"/>
              <w:ind w:left="180"/>
              <w:rPr>
                <w:b/>
                <w:sz w:val="20"/>
                <w:szCs w:val="20"/>
              </w:rPr>
            </w:pPr>
            <w:r w:rsidRPr="00EF3E03">
              <w:rPr>
                <w:b/>
                <w:sz w:val="20"/>
                <w:szCs w:val="20"/>
              </w:rPr>
              <w:t>Explosive Limits, LEL</w:t>
            </w:r>
          </w:p>
        </w:tc>
        <w:tc>
          <w:tcPr>
            <w:tcW w:w="2556" w:type="dxa"/>
          </w:tcPr>
          <w:p w:rsidR="002A5645" w:rsidRPr="00EF3E03" w:rsidRDefault="002A5645" w:rsidP="006B75AB">
            <w:pPr>
              <w:pStyle w:val="Default"/>
              <w:jc w:val="center"/>
              <w:rPr>
                <w:sz w:val="20"/>
                <w:szCs w:val="20"/>
              </w:rPr>
            </w:pPr>
            <w:r w:rsidRPr="00EF3E03">
              <w:rPr>
                <w:sz w:val="20"/>
                <w:szCs w:val="20"/>
              </w:rPr>
              <w:t>1 %</w:t>
            </w:r>
          </w:p>
        </w:tc>
      </w:tr>
      <w:tr w:rsidR="002A5645" w:rsidRPr="00EF3E03" w:rsidTr="002A5645">
        <w:trPr>
          <w:cantSplit/>
          <w:trHeight w:val="288"/>
          <w:jc w:val="center"/>
        </w:trPr>
        <w:tc>
          <w:tcPr>
            <w:tcW w:w="4428" w:type="dxa"/>
          </w:tcPr>
          <w:p w:rsidR="002A5645" w:rsidRPr="00EF3E03" w:rsidRDefault="002A5645" w:rsidP="006B75AB">
            <w:pPr>
              <w:pStyle w:val="Default"/>
              <w:widowControl w:val="0"/>
              <w:ind w:left="180"/>
              <w:jc w:val="both"/>
              <w:rPr>
                <w:b/>
                <w:sz w:val="20"/>
                <w:szCs w:val="20"/>
              </w:rPr>
            </w:pPr>
            <w:r w:rsidRPr="00EF3E03">
              <w:rPr>
                <w:b/>
                <w:sz w:val="20"/>
                <w:szCs w:val="20"/>
              </w:rPr>
              <w:t>Explosive Limits, UEL</w:t>
            </w:r>
          </w:p>
        </w:tc>
        <w:tc>
          <w:tcPr>
            <w:tcW w:w="2556" w:type="dxa"/>
          </w:tcPr>
          <w:p w:rsidR="002A5645" w:rsidRPr="00EF3E03" w:rsidRDefault="002A5645" w:rsidP="006B75AB">
            <w:pPr>
              <w:pStyle w:val="Default"/>
              <w:jc w:val="center"/>
              <w:rPr>
                <w:sz w:val="20"/>
                <w:szCs w:val="20"/>
              </w:rPr>
            </w:pPr>
            <w:r w:rsidRPr="00EF3E03">
              <w:rPr>
                <w:sz w:val="20"/>
                <w:szCs w:val="20"/>
              </w:rPr>
              <w:t>5 %</w:t>
            </w:r>
          </w:p>
        </w:tc>
      </w:tr>
      <w:tr w:rsidR="002A5645" w:rsidRPr="00EF3E03" w:rsidTr="002A5645">
        <w:trPr>
          <w:cantSplit/>
          <w:trHeight w:val="288"/>
          <w:jc w:val="center"/>
        </w:trPr>
        <w:tc>
          <w:tcPr>
            <w:tcW w:w="4428" w:type="dxa"/>
          </w:tcPr>
          <w:p w:rsidR="002A5645" w:rsidRPr="00EF3E03" w:rsidRDefault="002A5645" w:rsidP="006B75AB">
            <w:pPr>
              <w:pStyle w:val="Default"/>
              <w:widowControl w:val="0"/>
              <w:ind w:left="180"/>
              <w:jc w:val="both"/>
              <w:rPr>
                <w:b/>
                <w:sz w:val="20"/>
                <w:szCs w:val="20"/>
              </w:rPr>
            </w:pPr>
            <w:r w:rsidRPr="00EF3E03">
              <w:rPr>
                <w:b/>
                <w:sz w:val="20"/>
                <w:szCs w:val="20"/>
              </w:rPr>
              <w:t>Flash Point</w:t>
            </w:r>
            <w:r w:rsidRPr="00EF3E03">
              <w:rPr>
                <w:sz w:val="20"/>
                <w:szCs w:val="20"/>
                <w:vertAlign w:val="superscript"/>
              </w:rPr>
              <w:t>(a)</w:t>
            </w:r>
          </w:p>
        </w:tc>
        <w:tc>
          <w:tcPr>
            <w:tcW w:w="2556" w:type="dxa"/>
          </w:tcPr>
          <w:p w:rsidR="002A5645" w:rsidRPr="00EF3E03" w:rsidRDefault="002A5645" w:rsidP="008D33C6">
            <w:pPr>
              <w:pStyle w:val="Default"/>
              <w:jc w:val="center"/>
              <w:rPr>
                <w:sz w:val="20"/>
                <w:szCs w:val="20"/>
              </w:rPr>
            </w:pPr>
            <w:r>
              <w:rPr>
                <w:sz w:val="20"/>
                <w:szCs w:val="20"/>
              </w:rPr>
              <w:t>62</w:t>
            </w:r>
            <w:r w:rsidRPr="00EF3E03">
              <w:rPr>
                <w:sz w:val="20"/>
                <w:szCs w:val="20"/>
              </w:rPr>
              <w:t> °C</w:t>
            </w:r>
            <w:r>
              <w:rPr>
                <w:sz w:val="20"/>
                <w:szCs w:val="20"/>
              </w:rPr>
              <w:t xml:space="preserve"> </w:t>
            </w:r>
            <w:r w:rsidRPr="00E22B1B">
              <w:rPr>
                <w:sz w:val="20"/>
                <w:szCs w:val="20"/>
              </w:rPr>
              <w:t>(</w:t>
            </w:r>
            <w:r>
              <w:rPr>
                <w:sz w:val="20"/>
                <w:szCs w:val="20"/>
              </w:rPr>
              <w:t>143.6 </w:t>
            </w:r>
            <w:r w:rsidRPr="00EF3E03">
              <w:rPr>
                <w:sz w:val="20"/>
                <w:szCs w:val="20"/>
              </w:rPr>
              <w:t>°</w:t>
            </w:r>
            <w:r>
              <w:rPr>
                <w:sz w:val="20"/>
                <w:szCs w:val="20"/>
              </w:rPr>
              <w:t>F)</w:t>
            </w:r>
          </w:p>
        </w:tc>
      </w:tr>
      <w:tr w:rsidR="002A5645" w:rsidRPr="00EF3E03" w:rsidTr="002A5645">
        <w:trPr>
          <w:cantSplit/>
          <w:trHeight w:val="288"/>
          <w:jc w:val="center"/>
        </w:trPr>
        <w:tc>
          <w:tcPr>
            <w:tcW w:w="4428" w:type="dxa"/>
          </w:tcPr>
          <w:p w:rsidR="002A5645" w:rsidRPr="00EF3E03" w:rsidRDefault="002A5645" w:rsidP="006B75AB">
            <w:pPr>
              <w:pStyle w:val="Default"/>
              <w:widowControl w:val="0"/>
              <w:ind w:left="180"/>
              <w:jc w:val="both"/>
              <w:rPr>
                <w:b/>
                <w:sz w:val="20"/>
                <w:szCs w:val="20"/>
              </w:rPr>
            </w:pPr>
            <w:r w:rsidRPr="00EF3E03">
              <w:rPr>
                <w:b/>
                <w:sz w:val="20"/>
                <w:szCs w:val="20"/>
              </w:rPr>
              <w:t>Flammability (solid, gas)</w:t>
            </w:r>
          </w:p>
        </w:tc>
        <w:tc>
          <w:tcPr>
            <w:tcW w:w="2556" w:type="dxa"/>
          </w:tcPr>
          <w:p w:rsidR="002A5645" w:rsidRPr="00EF3E03" w:rsidRDefault="002A5645" w:rsidP="006B75AB">
            <w:pPr>
              <w:pStyle w:val="Default"/>
              <w:jc w:val="center"/>
              <w:rPr>
                <w:sz w:val="20"/>
                <w:szCs w:val="20"/>
              </w:rPr>
            </w:pPr>
            <w:r w:rsidRPr="00EF3E03">
              <w:rPr>
                <w:sz w:val="20"/>
                <w:szCs w:val="20"/>
              </w:rPr>
              <w:t>not applicable</w:t>
            </w:r>
          </w:p>
        </w:tc>
      </w:tr>
    </w:tbl>
    <w:p w:rsidR="00E24579" w:rsidRPr="00EF3E03" w:rsidRDefault="00C605BC" w:rsidP="008A57C6">
      <w:pPr>
        <w:widowControl/>
        <w:tabs>
          <w:tab w:val="left" w:pos="180"/>
        </w:tabs>
        <w:spacing w:before="60" w:after="120"/>
        <w:ind w:left="180" w:hanging="180"/>
        <w:rPr>
          <w:sz w:val="18"/>
          <w:szCs w:val="18"/>
        </w:rPr>
      </w:pPr>
      <w:r w:rsidRPr="00EF3E03">
        <w:rPr>
          <w:sz w:val="18"/>
          <w:szCs w:val="18"/>
          <w:vertAlign w:val="superscript"/>
        </w:rPr>
        <w:t>(</w:t>
      </w:r>
      <w:r w:rsidRPr="005840FA">
        <w:rPr>
          <w:sz w:val="18"/>
          <w:szCs w:val="18"/>
          <w:vertAlign w:val="superscript"/>
        </w:rPr>
        <w:t>a)</w:t>
      </w:r>
      <w:r w:rsidRPr="005840FA">
        <w:rPr>
          <w:sz w:val="18"/>
          <w:szCs w:val="18"/>
        </w:rPr>
        <w:tab/>
      </w:r>
      <w:r w:rsidR="005840FA" w:rsidRPr="00EF3E03">
        <w:rPr>
          <w:sz w:val="18"/>
          <w:szCs w:val="18"/>
        </w:rPr>
        <w:t xml:space="preserve">Property was determined for SRM </w:t>
      </w:r>
      <w:r w:rsidR="00EA0D17">
        <w:rPr>
          <w:sz w:val="18"/>
          <w:szCs w:val="18"/>
        </w:rPr>
        <w:t>1621e</w:t>
      </w:r>
      <w:r w:rsidR="005840FA" w:rsidRPr="00EF3E03">
        <w:rPr>
          <w:sz w:val="18"/>
          <w:szCs w:val="18"/>
        </w:rPr>
        <w:t xml:space="preserve"> (see Certificate of Analysis) using ASTM method.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F4046F" w:rsidTr="00F4046F">
        <w:trPr>
          <w:trHeight w:hRule="exact" w:val="360"/>
        </w:trPr>
        <w:tc>
          <w:tcPr>
            <w:tcW w:w="9576" w:type="dxa"/>
            <w:vAlign w:val="center"/>
          </w:tcPr>
          <w:p w:rsidR="00F4046F" w:rsidRDefault="00F4046F" w:rsidP="006B75AB">
            <w:pPr>
              <w:keepNext/>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rsidR="00F4046F" w:rsidRPr="00373DC9" w:rsidRDefault="00F4046F" w:rsidP="006B75AB">
      <w:pPr>
        <w:keepNext/>
        <w:widowControl/>
        <w:spacing w:before="120" w:after="120"/>
        <w:rPr>
          <w:szCs w:val="20"/>
        </w:rPr>
      </w:pPr>
      <w:r>
        <w:rPr>
          <w:b/>
          <w:szCs w:val="20"/>
        </w:rPr>
        <w:t>Reactivity:</w:t>
      </w:r>
      <w:r w:rsidR="00373DC9" w:rsidRPr="00373DC9">
        <w:rPr>
          <w:szCs w:val="20"/>
        </w:rPr>
        <w:t xml:space="preserve">  This material is not reactive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Tr="00EB5E4A">
        <w:tc>
          <w:tcPr>
            <w:tcW w:w="1440" w:type="dxa"/>
            <w:vAlign w:val="center"/>
          </w:tcPr>
          <w:p w:rsidR="00F4046F" w:rsidRPr="00F4046F" w:rsidRDefault="00F4046F" w:rsidP="006B75AB">
            <w:pPr>
              <w:widowControl/>
              <w:ind w:left="-450"/>
              <w:jc w:val="center"/>
              <w:rPr>
                <w:b/>
                <w:szCs w:val="20"/>
              </w:rPr>
            </w:pPr>
            <w:r w:rsidRPr="00F4046F">
              <w:rPr>
                <w:b/>
                <w:szCs w:val="20"/>
              </w:rPr>
              <w:t>Stability:</w:t>
            </w:r>
          </w:p>
        </w:tc>
        <w:tc>
          <w:tcPr>
            <w:tcW w:w="576" w:type="dxa"/>
            <w:tcBorders>
              <w:bottom w:val="single" w:sz="6" w:space="0" w:color="auto"/>
            </w:tcBorders>
            <w:vAlign w:val="center"/>
          </w:tcPr>
          <w:p w:rsidR="00F4046F" w:rsidRDefault="00A14B09" w:rsidP="006B75AB">
            <w:pPr>
              <w:widowControl/>
              <w:jc w:val="center"/>
              <w:rPr>
                <w:szCs w:val="20"/>
              </w:rPr>
            </w:pPr>
            <w:r>
              <w:rPr>
                <w:szCs w:val="20"/>
              </w:rPr>
              <w:t>X</w:t>
            </w:r>
          </w:p>
        </w:tc>
        <w:tc>
          <w:tcPr>
            <w:tcW w:w="1296" w:type="dxa"/>
            <w:vAlign w:val="center"/>
          </w:tcPr>
          <w:p w:rsidR="00F4046F" w:rsidRDefault="00F4046F" w:rsidP="008A57C6">
            <w:pPr>
              <w:widowControl/>
              <w:jc w:val="left"/>
              <w:rPr>
                <w:szCs w:val="20"/>
              </w:rPr>
            </w:pPr>
            <w:r>
              <w:rPr>
                <w:szCs w:val="20"/>
              </w:rPr>
              <w:t>Stable</w:t>
            </w:r>
          </w:p>
        </w:tc>
        <w:tc>
          <w:tcPr>
            <w:tcW w:w="576" w:type="dxa"/>
            <w:tcBorders>
              <w:bottom w:val="single" w:sz="6" w:space="0" w:color="auto"/>
            </w:tcBorders>
            <w:vAlign w:val="center"/>
          </w:tcPr>
          <w:p w:rsidR="00F4046F" w:rsidRDefault="00F4046F" w:rsidP="006B75AB">
            <w:pPr>
              <w:widowControl/>
              <w:jc w:val="center"/>
              <w:rPr>
                <w:szCs w:val="20"/>
              </w:rPr>
            </w:pPr>
          </w:p>
        </w:tc>
        <w:tc>
          <w:tcPr>
            <w:tcW w:w="1296" w:type="dxa"/>
            <w:vAlign w:val="center"/>
          </w:tcPr>
          <w:p w:rsidR="00F4046F" w:rsidRDefault="00F4046F" w:rsidP="008A57C6">
            <w:pPr>
              <w:widowControl/>
              <w:jc w:val="left"/>
              <w:rPr>
                <w:szCs w:val="20"/>
              </w:rPr>
            </w:pPr>
            <w:r>
              <w:rPr>
                <w:szCs w:val="20"/>
              </w:rPr>
              <w:t>Unstable</w:t>
            </w:r>
          </w:p>
        </w:tc>
      </w:tr>
    </w:tbl>
    <w:p w:rsidR="00D2295A" w:rsidRPr="00A00A2B" w:rsidRDefault="00D2295A" w:rsidP="006B75AB">
      <w:pPr>
        <w:widowControl/>
        <w:spacing w:before="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Pr>
          <w:rFonts w:eastAsia="Times New Roman"/>
          <w:bCs/>
          <w:szCs w:val="20"/>
        </w:rPr>
        <w:t>Not applicable.</w:t>
      </w:r>
    </w:p>
    <w:p w:rsidR="00DC1232" w:rsidRPr="00373DC9" w:rsidRDefault="00BF5DD9" w:rsidP="006B75AB">
      <w:pPr>
        <w:widowControl/>
        <w:spacing w:before="120"/>
        <w:rPr>
          <w:rFonts w:eastAsia="Times New Roman"/>
          <w:bCs/>
          <w:szCs w:val="20"/>
        </w:rPr>
      </w:pPr>
      <w:r>
        <w:rPr>
          <w:rFonts w:eastAsia="Times New Roman"/>
          <w:b/>
          <w:bCs/>
          <w:szCs w:val="20"/>
        </w:rPr>
        <w:lastRenderedPageBreak/>
        <w:t>C</w:t>
      </w:r>
      <w:r>
        <w:rPr>
          <w:rFonts w:eastAsia="Times New Roman"/>
          <w:b/>
          <w:bCs/>
          <w:spacing w:val="1"/>
          <w:szCs w:val="20"/>
        </w:rPr>
        <w:t>o</w:t>
      </w:r>
      <w:r>
        <w:rPr>
          <w:rFonts w:eastAsia="Times New Roman"/>
          <w:b/>
          <w:bCs/>
          <w:szCs w:val="20"/>
        </w:rPr>
        <w:t>ndi</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ns</w:t>
      </w:r>
      <w:r>
        <w:rPr>
          <w:rFonts w:eastAsia="Times New Roman"/>
          <w:b/>
          <w:bCs/>
          <w:spacing w:val="-9"/>
          <w:szCs w:val="20"/>
        </w:rPr>
        <w:t xml:space="preserve"> </w:t>
      </w:r>
      <w:r>
        <w:rPr>
          <w:rFonts w:eastAsia="Times New Roman"/>
          <w:b/>
          <w:bCs/>
          <w:spacing w:val="1"/>
          <w:szCs w:val="20"/>
        </w:rPr>
        <w:t>t</w:t>
      </w:r>
      <w:r>
        <w:rPr>
          <w:rFonts w:eastAsia="Times New Roman"/>
          <w:b/>
          <w:bCs/>
          <w:szCs w:val="20"/>
        </w:rPr>
        <w:t>o A</w:t>
      </w:r>
      <w:r>
        <w:rPr>
          <w:rFonts w:eastAsia="Times New Roman"/>
          <w:b/>
          <w:bCs/>
          <w:spacing w:val="1"/>
          <w:szCs w:val="20"/>
        </w:rPr>
        <w:t>vo</w:t>
      </w:r>
      <w:r>
        <w:rPr>
          <w:rFonts w:eastAsia="Times New Roman"/>
          <w:b/>
          <w:bCs/>
          <w:szCs w:val="20"/>
        </w:rPr>
        <w:t>id:</w:t>
      </w:r>
      <w:r w:rsidRPr="00373DC9">
        <w:rPr>
          <w:rFonts w:eastAsia="Times New Roman"/>
          <w:bCs/>
          <w:szCs w:val="20"/>
        </w:rPr>
        <w:t xml:space="preserve"> </w:t>
      </w:r>
      <w:r w:rsidR="00373DC9">
        <w:rPr>
          <w:rFonts w:eastAsia="Times New Roman"/>
          <w:bCs/>
          <w:szCs w:val="20"/>
        </w:rPr>
        <w:t xml:space="preserve"> </w:t>
      </w:r>
      <w:r w:rsidR="00EB76F7">
        <w:rPr>
          <w:rFonts w:eastAsia="Times New Roman"/>
          <w:bCs/>
          <w:szCs w:val="20"/>
        </w:rPr>
        <w:t xml:space="preserve">Avoid heat, flames, sparks, and other sources of ignition.  Containers may rupture or explode if exposed to heat.  Keep out of water supplies and sewers.  Dangerous gases may accumulate in confined spaces. </w:t>
      </w:r>
    </w:p>
    <w:p w:rsidR="00E24579" w:rsidRPr="00A00A2B" w:rsidRDefault="00BF5DD9" w:rsidP="006B75AB">
      <w:pPr>
        <w:widowControl/>
        <w:spacing w:before="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E4393B">
        <w:rPr>
          <w:rFonts w:eastAsia="Times New Roman"/>
          <w:bCs/>
          <w:szCs w:val="20"/>
        </w:rPr>
        <w:t>Oxid</w:t>
      </w:r>
      <w:r w:rsidR="00EF3E03">
        <w:rPr>
          <w:rFonts w:eastAsia="Times New Roman"/>
          <w:bCs/>
          <w:szCs w:val="20"/>
        </w:rPr>
        <w:t>iz</w:t>
      </w:r>
      <w:r w:rsidR="00E4393B">
        <w:rPr>
          <w:rFonts w:eastAsia="Times New Roman"/>
          <w:bCs/>
          <w:szCs w:val="20"/>
        </w:rPr>
        <w:t>ing materials</w:t>
      </w:r>
      <w:r w:rsidR="00C34D5C">
        <w:rPr>
          <w:rFonts w:eastAsia="Times New Roman"/>
          <w:bCs/>
          <w:szCs w:val="20"/>
        </w:rPr>
        <w:t>.</w:t>
      </w:r>
    </w:p>
    <w:p w:rsidR="00E24579" w:rsidRPr="00A00A2B" w:rsidRDefault="00BF5DD9" w:rsidP="006B75AB">
      <w:pPr>
        <w:widowControl/>
        <w:spacing w:before="120" w:after="120"/>
        <w:rPr>
          <w:rFonts w:eastAsia="Times New Roman"/>
          <w:bCs/>
          <w:szCs w:val="20"/>
        </w:rPr>
      </w:pPr>
      <w:r>
        <w:rPr>
          <w:rFonts w:eastAsia="Times New Roman"/>
          <w:b/>
          <w:bCs/>
          <w:spacing w:val="1"/>
          <w:szCs w:val="20"/>
        </w:rPr>
        <w:t>Ha</w:t>
      </w:r>
      <w:r>
        <w:rPr>
          <w:rFonts w:eastAsia="Times New Roman"/>
          <w:b/>
          <w:bCs/>
          <w:szCs w:val="20"/>
        </w:rPr>
        <w:t>z</w:t>
      </w:r>
      <w:r>
        <w:rPr>
          <w:rFonts w:eastAsia="Times New Roman"/>
          <w:b/>
          <w:bCs/>
          <w:spacing w:val="1"/>
          <w:szCs w:val="20"/>
        </w:rPr>
        <w:t>a</w:t>
      </w:r>
      <w:r>
        <w:rPr>
          <w:rFonts w:eastAsia="Times New Roman"/>
          <w:b/>
          <w:bCs/>
          <w:szCs w:val="20"/>
        </w:rPr>
        <w:t>rd</w:t>
      </w:r>
      <w:r>
        <w:rPr>
          <w:rFonts w:eastAsia="Times New Roman"/>
          <w:b/>
          <w:bCs/>
          <w:spacing w:val="1"/>
          <w:szCs w:val="20"/>
        </w:rPr>
        <w:t>o</w:t>
      </w:r>
      <w:r>
        <w:rPr>
          <w:rFonts w:eastAsia="Times New Roman"/>
          <w:b/>
          <w:bCs/>
          <w:szCs w:val="20"/>
        </w:rPr>
        <w:t>us</w:t>
      </w:r>
      <w:r>
        <w:rPr>
          <w:rFonts w:eastAsia="Times New Roman"/>
          <w:b/>
          <w:bCs/>
          <w:spacing w:val="-9"/>
          <w:szCs w:val="20"/>
        </w:rPr>
        <w:t xml:space="preserve"> </w:t>
      </w:r>
      <w:r>
        <w:rPr>
          <w:rFonts w:eastAsia="Times New Roman"/>
          <w:b/>
          <w:bCs/>
          <w:szCs w:val="20"/>
        </w:rPr>
        <w:t>Dec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i</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A00A2B">
        <w:rPr>
          <w:rFonts w:eastAsia="Times New Roman"/>
          <w:bCs/>
          <w:szCs w:val="20"/>
        </w:rPr>
        <w:t xml:space="preserve">  </w:t>
      </w:r>
      <w:r w:rsidR="00373DC9">
        <w:rPr>
          <w:rFonts w:eastAsia="Times New Roman"/>
          <w:bCs/>
          <w:szCs w:val="20"/>
        </w:rPr>
        <w:t xml:space="preserve">Oxides of </w:t>
      </w:r>
      <w:r w:rsidR="00E4393B">
        <w:rPr>
          <w:rFonts w:eastAsia="Times New Roman"/>
          <w:bCs/>
          <w:szCs w:val="20"/>
        </w:rPr>
        <w:t>carbon, hydrogen sulfide</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Tr="00EB5E4A">
        <w:tc>
          <w:tcPr>
            <w:tcW w:w="2898" w:type="dxa"/>
            <w:vAlign w:val="center"/>
          </w:tcPr>
          <w:p w:rsidR="00A00A2B" w:rsidRPr="00F4046F" w:rsidRDefault="00A00A2B" w:rsidP="006B75AB">
            <w:pPr>
              <w:widowControl/>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rsidR="00A00A2B" w:rsidRDefault="00A00A2B" w:rsidP="006B75AB">
            <w:pPr>
              <w:widowControl/>
              <w:jc w:val="center"/>
              <w:rPr>
                <w:szCs w:val="20"/>
              </w:rPr>
            </w:pPr>
          </w:p>
        </w:tc>
        <w:tc>
          <w:tcPr>
            <w:tcW w:w="1728" w:type="dxa"/>
            <w:vAlign w:val="center"/>
          </w:tcPr>
          <w:p w:rsidR="00A00A2B" w:rsidRDefault="00A00A2B" w:rsidP="006B75AB">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rsidR="00A00A2B" w:rsidRDefault="00A14B09" w:rsidP="006B75AB">
            <w:pPr>
              <w:widowControl/>
              <w:jc w:val="center"/>
              <w:rPr>
                <w:szCs w:val="20"/>
              </w:rPr>
            </w:pPr>
            <w:r>
              <w:rPr>
                <w:szCs w:val="20"/>
              </w:rPr>
              <w:t>X</w:t>
            </w:r>
          </w:p>
        </w:tc>
        <w:tc>
          <w:tcPr>
            <w:tcW w:w="1728" w:type="dxa"/>
            <w:vAlign w:val="center"/>
          </w:tcPr>
          <w:p w:rsidR="00A00A2B" w:rsidRDefault="00A00A2B" w:rsidP="006B75AB">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rsidR="00A00A2B" w:rsidRPr="00A00A2B" w:rsidRDefault="00A00A2B" w:rsidP="006B75AB">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783F68" w:rsidTr="00783F68">
        <w:trPr>
          <w:trHeight w:hRule="exact" w:val="360"/>
        </w:trPr>
        <w:tc>
          <w:tcPr>
            <w:tcW w:w="9576" w:type="dxa"/>
            <w:vAlign w:val="center"/>
          </w:tcPr>
          <w:p w:rsidR="00783F68" w:rsidRDefault="00783F68" w:rsidP="006B75AB">
            <w:pPr>
              <w:keepNext/>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rsidR="00A00A2B" w:rsidRPr="00A00A2B" w:rsidRDefault="00A00A2B" w:rsidP="006B75AB">
      <w:pPr>
        <w:keepNext/>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rsidTr="00EB5E4A">
        <w:tc>
          <w:tcPr>
            <w:tcW w:w="2016" w:type="dxa"/>
            <w:vAlign w:val="center"/>
          </w:tcPr>
          <w:p w:rsidR="00EB5E4A" w:rsidRPr="008C4669" w:rsidRDefault="00EB5E4A" w:rsidP="006B75AB">
            <w:pPr>
              <w:widowControl/>
              <w:rPr>
                <w:b/>
                <w:szCs w:val="20"/>
              </w:rPr>
            </w:pPr>
            <w:r w:rsidRPr="008C4669">
              <w:rPr>
                <w:rFonts w:eastAsia="Times New Roman"/>
                <w:b/>
                <w:bCs/>
                <w:position w:val="-1"/>
                <w:szCs w:val="20"/>
              </w:rPr>
              <w:t>R</w:t>
            </w:r>
            <w:r w:rsidRPr="008C4669">
              <w:rPr>
                <w:rFonts w:eastAsia="Times New Roman"/>
                <w:b/>
                <w:bCs/>
                <w:spacing w:val="1"/>
                <w:position w:val="-1"/>
                <w:szCs w:val="20"/>
              </w:rPr>
              <w:t>o</w:t>
            </w:r>
            <w:r w:rsidRPr="008C4669">
              <w:rPr>
                <w:rFonts w:eastAsia="Times New Roman"/>
                <w:b/>
                <w:bCs/>
                <w:position w:val="-1"/>
                <w:szCs w:val="20"/>
              </w:rPr>
              <w:t>u</w:t>
            </w:r>
            <w:r w:rsidRPr="008C4669">
              <w:rPr>
                <w:rFonts w:eastAsia="Times New Roman"/>
                <w:b/>
                <w:bCs/>
                <w:spacing w:val="1"/>
                <w:position w:val="-1"/>
                <w:szCs w:val="20"/>
              </w:rPr>
              <w:t>t</w:t>
            </w:r>
            <w:r w:rsidRPr="008C4669">
              <w:rPr>
                <w:rFonts w:eastAsia="Times New Roman"/>
                <w:b/>
                <w:bCs/>
                <w:position w:val="-1"/>
                <w:szCs w:val="20"/>
              </w:rPr>
              <w:t>e</w:t>
            </w:r>
            <w:r w:rsidRPr="008C4669">
              <w:rPr>
                <w:rFonts w:eastAsia="Times New Roman"/>
                <w:b/>
                <w:bCs/>
                <w:spacing w:val="-4"/>
                <w:position w:val="-1"/>
                <w:szCs w:val="20"/>
              </w:rPr>
              <w:t xml:space="preserve"> </w:t>
            </w:r>
            <w:r w:rsidRPr="008C4669">
              <w:rPr>
                <w:rFonts w:eastAsia="Times New Roman"/>
                <w:b/>
                <w:bCs/>
                <w:spacing w:val="1"/>
                <w:position w:val="-1"/>
                <w:szCs w:val="20"/>
              </w:rPr>
              <w:t>o</w:t>
            </w:r>
            <w:r w:rsidRPr="008C4669">
              <w:rPr>
                <w:rFonts w:eastAsia="Times New Roman"/>
                <w:b/>
                <w:bCs/>
                <w:position w:val="-1"/>
                <w:szCs w:val="20"/>
              </w:rPr>
              <w:t>f</w:t>
            </w:r>
            <w:r w:rsidRPr="008C4669">
              <w:rPr>
                <w:rFonts w:eastAsia="Times New Roman"/>
                <w:b/>
                <w:bCs/>
                <w:spacing w:val="-1"/>
                <w:position w:val="-1"/>
                <w:szCs w:val="20"/>
              </w:rPr>
              <w:t xml:space="preserve"> </w:t>
            </w:r>
            <w:r w:rsidR="00957B26" w:rsidRPr="008C4669">
              <w:rPr>
                <w:rFonts w:eastAsia="Times New Roman"/>
                <w:b/>
                <w:bCs/>
                <w:spacing w:val="-1"/>
                <w:position w:val="-1"/>
                <w:szCs w:val="20"/>
              </w:rPr>
              <w:t>Exposure</w:t>
            </w:r>
            <w:r w:rsidRPr="008C4669">
              <w:rPr>
                <w:rFonts w:eastAsia="Times New Roman"/>
                <w:b/>
                <w:bCs/>
                <w:position w:val="-1"/>
                <w:szCs w:val="20"/>
              </w:rPr>
              <w:t>:</w:t>
            </w:r>
          </w:p>
        </w:tc>
        <w:tc>
          <w:tcPr>
            <w:tcW w:w="576" w:type="dxa"/>
            <w:tcBorders>
              <w:bottom w:val="single" w:sz="6" w:space="0" w:color="auto"/>
            </w:tcBorders>
            <w:vAlign w:val="center"/>
          </w:tcPr>
          <w:p w:rsidR="00EB5E4A" w:rsidRPr="008C4669" w:rsidRDefault="00E12D28" w:rsidP="006B75AB">
            <w:pPr>
              <w:widowControl/>
              <w:jc w:val="center"/>
              <w:rPr>
                <w:szCs w:val="20"/>
              </w:rPr>
            </w:pPr>
            <w:r>
              <w:rPr>
                <w:szCs w:val="20"/>
              </w:rPr>
              <w:t>X</w:t>
            </w:r>
          </w:p>
        </w:tc>
        <w:tc>
          <w:tcPr>
            <w:tcW w:w="1440" w:type="dxa"/>
            <w:vAlign w:val="center"/>
          </w:tcPr>
          <w:p w:rsidR="00EB5E4A" w:rsidRPr="008C4669" w:rsidRDefault="00EB5E4A" w:rsidP="006B75AB">
            <w:pPr>
              <w:widowControl/>
              <w:rPr>
                <w:szCs w:val="20"/>
              </w:rPr>
            </w:pPr>
            <w:r w:rsidRPr="008C4669">
              <w:rPr>
                <w:rFonts w:eastAsia="Times New Roman"/>
                <w:spacing w:val="1"/>
                <w:szCs w:val="20"/>
              </w:rPr>
              <w:t>I</w:t>
            </w:r>
            <w:r w:rsidRPr="008C4669">
              <w:rPr>
                <w:rFonts w:eastAsia="Times New Roman"/>
                <w:spacing w:val="-1"/>
                <w:szCs w:val="20"/>
              </w:rPr>
              <w:t>nh</w:t>
            </w:r>
            <w:r w:rsidRPr="008C4669">
              <w:rPr>
                <w:rFonts w:eastAsia="Times New Roman"/>
                <w:szCs w:val="20"/>
              </w:rPr>
              <w:t>alati</w:t>
            </w:r>
            <w:r w:rsidRPr="008C4669">
              <w:rPr>
                <w:rFonts w:eastAsia="Times New Roman"/>
                <w:spacing w:val="1"/>
                <w:szCs w:val="20"/>
              </w:rPr>
              <w:t>o</w:t>
            </w:r>
            <w:r w:rsidRPr="008C4669">
              <w:rPr>
                <w:rFonts w:eastAsia="Times New Roman"/>
                <w:szCs w:val="20"/>
              </w:rPr>
              <w:t>n</w:t>
            </w:r>
          </w:p>
        </w:tc>
        <w:tc>
          <w:tcPr>
            <w:tcW w:w="576" w:type="dxa"/>
            <w:tcBorders>
              <w:bottom w:val="single" w:sz="6" w:space="0" w:color="auto"/>
            </w:tcBorders>
            <w:vAlign w:val="center"/>
          </w:tcPr>
          <w:p w:rsidR="00EB5E4A" w:rsidRPr="008C4669" w:rsidRDefault="00D76D7D" w:rsidP="006B75AB">
            <w:pPr>
              <w:widowControl/>
              <w:jc w:val="center"/>
              <w:rPr>
                <w:szCs w:val="20"/>
              </w:rPr>
            </w:pPr>
            <w:r w:rsidRPr="008C4669">
              <w:rPr>
                <w:szCs w:val="20"/>
              </w:rPr>
              <w:t>X</w:t>
            </w:r>
          </w:p>
        </w:tc>
        <w:tc>
          <w:tcPr>
            <w:tcW w:w="1440" w:type="dxa"/>
            <w:vAlign w:val="center"/>
          </w:tcPr>
          <w:p w:rsidR="00EB5E4A" w:rsidRPr="008C4669" w:rsidRDefault="00EB5E4A" w:rsidP="006B75AB">
            <w:pPr>
              <w:widowControl/>
              <w:rPr>
                <w:szCs w:val="20"/>
              </w:rPr>
            </w:pPr>
            <w:r w:rsidRPr="008C4669">
              <w:rPr>
                <w:rFonts w:eastAsia="Times New Roman"/>
                <w:szCs w:val="20"/>
              </w:rPr>
              <w:t>S</w:t>
            </w:r>
            <w:r w:rsidRPr="008C4669">
              <w:rPr>
                <w:rFonts w:eastAsia="Times New Roman"/>
                <w:spacing w:val="-1"/>
                <w:szCs w:val="20"/>
              </w:rPr>
              <w:t>k</w:t>
            </w:r>
            <w:r w:rsidRPr="008C4669">
              <w:rPr>
                <w:rFonts w:eastAsia="Times New Roman"/>
                <w:szCs w:val="20"/>
              </w:rPr>
              <w:t>in</w:t>
            </w:r>
          </w:p>
        </w:tc>
        <w:tc>
          <w:tcPr>
            <w:tcW w:w="576" w:type="dxa"/>
            <w:tcBorders>
              <w:bottom w:val="single" w:sz="6" w:space="0" w:color="auto"/>
            </w:tcBorders>
            <w:vAlign w:val="center"/>
          </w:tcPr>
          <w:p w:rsidR="00EB5E4A" w:rsidRPr="008C4669" w:rsidRDefault="00484EF6" w:rsidP="006B75AB">
            <w:pPr>
              <w:widowControl/>
              <w:jc w:val="center"/>
              <w:rPr>
                <w:szCs w:val="20"/>
              </w:rPr>
            </w:pPr>
            <w:r w:rsidRPr="008C4669">
              <w:rPr>
                <w:szCs w:val="20"/>
              </w:rPr>
              <w:t>X</w:t>
            </w:r>
          </w:p>
        </w:tc>
        <w:tc>
          <w:tcPr>
            <w:tcW w:w="1440" w:type="dxa"/>
            <w:vAlign w:val="center"/>
          </w:tcPr>
          <w:p w:rsidR="00EB5E4A" w:rsidRPr="008C4669" w:rsidRDefault="00EB5E4A" w:rsidP="006B75AB">
            <w:pPr>
              <w:widowControl/>
              <w:rPr>
                <w:szCs w:val="20"/>
              </w:rPr>
            </w:pPr>
            <w:r w:rsidRPr="008C4669">
              <w:rPr>
                <w:rFonts w:eastAsia="Times New Roman"/>
                <w:spacing w:val="1"/>
                <w:szCs w:val="20"/>
              </w:rPr>
              <w:t>I</w:t>
            </w:r>
            <w:r w:rsidRPr="008C4669">
              <w:rPr>
                <w:rFonts w:eastAsia="Times New Roman"/>
                <w:spacing w:val="-1"/>
                <w:szCs w:val="20"/>
              </w:rPr>
              <w:t>ng</w:t>
            </w:r>
            <w:r w:rsidRPr="008C4669">
              <w:rPr>
                <w:rFonts w:eastAsia="Times New Roman"/>
                <w:szCs w:val="20"/>
              </w:rPr>
              <w:t>e</w:t>
            </w:r>
            <w:r w:rsidRPr="008C4669">
              <w:rPr>
                <w:rFonts w:eastAsia="Times New Roman"/>
                <w:spacing w:val="-1"/>
                <w:szCs w:val="20"/>
              </w:rPr>
              <w:t>s</w:t>
            </w:r>
            <w:r w:rsidRPr="008C4669">
              <w:rPr>
                <w:rFonts w:eastAsia="Times New Roman"/>
                <w:szCs w:val="20"/>
              </w:rPr>
              <w:t>ti</w:t>
            </w:r>
            <w:r w:rsidRPr="008C4669">
              <w:rPr>
                <w:rFonts w:eastAsia="Times New Roman"/>
                <w:spacing w:val="1"/>
                <w:szCs w:val="20"/>
              </w:rPr>
              <w:t>o</w:t>
            </w:r>
            <w:r w:rsidRPr="008C4669">
              <w:rPr>
                <w:rFonts w:eastAsia="Times New Roman"/>
                <w:szCs w:val="20"/>
              </w:rPr>
              <w:t>n</w:t>
            </w:r>
          </w:p>
        </w:tc>
      </w:tr>
    </w:tbl>
    <w:p w:rsidR="00522E29" w:rsidRPr="008A57C6" w:rsidRDefault="00C12A63" w:rsidP="006B75AB">
      <w:pPr>
        <w:widowControl/>
        <w:spacing w:before="120"/>
        <w:rPr>
          <w:rFonts w:eastAsia="Times New Roman"/>
          <w:bCs/>
          <w:szCs w:val="20"/>
        </w:rPr>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8A57C6" w:rsidRPr="008A57C6">
        <w:rPr>
          <w:rFonts w:eastAsia="Times New Roman"/>
          <w:bCs/>
          <w:szCs w:val="20"/>
        </w:rPr>
        <w:t xml:space="preserve">Eye or skin irritation and </w:t>
      </w:r>
      <w:r w:rsidR="008C4669" w:rsidRPr="008A57C6">
        <w:rPr>
          <w:rFonts w:eastAsia="Times New Roman"/>
          <w:bCs/>
          <w:szCs w:val="20"/>
        </w:rPr>
        <w:t xml:space="preserve">possible </w:t>
      </w:r>
      <w:r w:rsidR="00522E29" w:rsidRPr="008A57C6">
        <w:rPr>
          <w:rFonts w:eastAsia="Times New Roman"/>
          <w:bCs/>
          <w:szCs w:val="20"/>
        </w:rPr>
        <w:t>skin disorders.</w:t>
      </w:r>
    </w:p>
    <w:p w:rsidR="00A00A2B" w:rsidRPr="008C4669" w:rsidRDefault="00EB5E4A" w:rsidP="006B75AB">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rsidR="00A00A2B" w:rsidRPr="008C4669" w:rsidRDefault="00EB5E4A" w:rsidP="00E12D28">
      <w:pPr>
        <w:widowControl/>
        <w:spacing w:before="60"/>
        <w:ind w:left="360"/>
        <w:rPr>
          <w:rFonts w:eastAsia="Times New Roman"/>
          <w:bCs/>
          <w:szCs w:val="20"/>
        </w:rPr>
      </w:pPr>
      <w:r w:rsidRPr="008C4669">
        <w:rPr>
          <w:rFonts w:eastAsia="Times New Roman"/>
          <w:b/>
          <w:bCs/>
          <w:szCs w:val="20"/>
        </w:rPr>
        <w:t>Inhalation:</w:t>
      </w:r>
      <w:r w:rsidRPr="008C4669">
        <w:rPr>
          <w:rFonts w:eastAsia="Times New Roman"/>
          <w:bCs/>
          <w:szCs w:val="20"/>
        </w:rPr>
        <w:t xml:space="preserve">  </w:t>
      </w:r>
      <w:r w:rsidR="00484EF6" w:rsidRPr="008C4669">
        <w:rPr>
          <w:rFonts w:eastAsia="Times New Roman"/>
          <w:bCs/>
          <w:szCs w:val="20"/>
        </w:rPr>
        <w:t xml:space="preserve">Irritation </w:t>
      </w:r>
      <w:r w:rsidR="00522E29" w:rsidRPr="008C4669">
        <w:rPr>
          <w:rFonts w:eastAsia="Times New Roman"/>
          <w:bCs/>
          <w:szCs w:val="20"/>
        </w:rPr>
        <w:t>hazard is low unless heated or misted.  High concentrations of vapor or mist may cause irritation and possibly systems of central nervous system depression.  Prolonged contact may cause irritation.</w:t>
      </w:r>
    </w:p>
    <w:p w:rsidR="00B7052B" w:rsidRPr="008C4669" w:rsidRDefault="00EB5E4A" w:rsidP="00E12D28">
      <w:pPr>
        <w:widowControl/>
        <w:spacing w:before="60"/>
        <w:ind w:left="360"/>
        <w:rPr>
          <w:rFonts w:eastAsia="Times New Roman"/>
          <w:bCs/>
          <w:szCs w:val="20"/>
        </w:rPr>
      </w:pPr>
      <w:r w:rsidRPr="008C4669">
        <w:rPr>
          <w:rFonts w:eastAsia="Times New Roman"/>
          <w:b/>
          <w:bCs/>
          <w:szCs w:val="20"/>
        </w:rPr>
        <w:t>Skin Contact:</w:t>
      </w:r>
      <w:r w:rsidRPr="008C4669">
        <w:rPr>
          <w:rFonts w:eastAsia="Times New Roman"/>
          <w:bCs/>
          <w:szCs w:val="20"/>
        </w:rPr>
        <w:t xml:space="preserve"> </w:t>
      </w:r>
      <w:r w:rsidR="00484EF6" w:rsidRPr="008C4669">
        <w:rPr>
          <w:rFonts w:eastAsia="Times New Roman"/>
          <w:bCs/>
          <w:szCs w:val="20"/>
        </w:rPr>
        <w:t xml:space="preserve"> </w:t>
      </w:r>
      <w:r w:rsidR="00A31815" w:rsidRPr="008C4669">
        <w:rPr>
          <w:rFonts w:eastAsia="Times New Roman"/>
          <w:bCs/>
          <w:szCs w:val="20"/>
        </w:rPr>
        <w:t xml:space="preserve">May cause </w:t>
      </w:r>
      <w:r w:rsidR="00D22C9B" w:rsidRPr="008C4669">
        <w:rPr>
          <w:rFonts w:eastAsia="Times New Roman"/>
          <w:bCs/>
          <w:szCs w:val="20"/>
        </w:rPr>
        <w:t>irritation</w:t>
      </w:r>
      <w:r w:rsidR="00522E29" w:rsidRPr="008C4669">
        <w:rPr>
          <w:rFonts w:eastAsia="Times New Roman"/>
          <w:bCs/>
          <w:szCs w:val="20"/>
        </w:rPr>
        <w:t xml:space="preserve"> and redness.  </w:t>
      </w:r>
      <w:r w:rsidR="008A3CC1">
        <w:rPr>
          <w:rFonts w:eastAsia="Times New Roman"/>
          <w:bCs/>
          <w:szCs w:val="20"/>
        </w:rPr>
        <w:t>Smarting skin may occur</w:t>
      </w:r>
      <w:r w:rsidR="00522E29" w:rsidRPr="008C4669">
        <w:rPr>
          <w:rFonts w:eastAsia="Times New Roman"/>
          <w:bCs/>
          <w:szCs w:val="20"/>
        </w:rPr>
        <w:t>.  Large concentrations may produce weight loss, anorexia, ataxia, and lethargy</w:t>
      </w:r>
      <w:r w:rsidR="00D22C9B" w:rsidRPr="008C4669">
        <w:rPr>
          <w:rFonts w:eastAsia="Times New Roman"/>
          <w:bCs/>
          <w:szCs w:val="20"/>
        </w:rPr>
        <w:t xml:space="preserve">, </w:t>
      </w:r>
      <w:r w:rsidR="00522E29" w:rsidRPr="008C4669">
        <w:rPr>
          <w:rFonts w:eastAsia="Times New Roman"/>
          <w:bCs/>
          <w:szCs w:val="20"/>
        </w:rPr>
        <w:t>and death.</w:t>
      </w:r>
    </w:p>
    <w:p w:rsidR="00B7052B" w:rsidRPr="008C4669" w:rsidRDefault="00EB5E4A" w:rsidP="00E12D28">
      <w:pPr>
        <w:widowControl/>
        <w:spacing w:before="60"/>
        <w:ind w:left="360"/>
        <w:rPr>
          <w:rFonts w:eastAsia="Times New Roman"/>
          <w:bCs/>
          <w:szCs w:val="20"/>
        </w:rPr>
      </w:pPr>
      <w:r w:rsidRPr="008C4669">
        <w:rPr>
          <w:rFonts w:eastAsia="Times New Roman"/>
          <w:b/>
          <w:bCs/>
          <w:szCs w:val="20"/>
        </w:rPr>
        <w:t>Eye Contact:</w:t>
      </w:r>
      <w:r w:rsidRPr="008C4669">
        <w:rPr>
          <w:rFonts w:eastAsia="Times New Roman"/>
          <w:bCs/>
          <w:szCs w:val="20"/>
        </w:rPr>
        <w:t xml:space="preserve">  </w:t>
      </w:r>
      <w:r w:rsidR="00D22C9B" w:rsidRPr="008C4669">
        <w:rPr>
          <w:rFonts w:eastAsia="Times New Roman"/>
          <w:bCs/>
          <w:szCs w:val="20"/>
        </w:rPr>
        <w:t>I</w:t>
      </w:r>
      <w:r w:rsidR="006B75AB" w:rsidRPr="008C4669">
        <w:rPr>
          <w:rFonts w:eastAsia="Times New Roman"/>
          <w:bCs/>
          <w:szCs w:val="20"/>
        </w:rPr>
        <w:t>rritation.</w:t>
      </w:r>
    </w:p>
    <w:p w:rsidR="00B7052B" w:rsidRPr="008C4669" w:rsidRDefault="00EB5E4A" w:rsidP="00E12D28">
      <w:pPr>
        <w:widowControl/>
        <w:spacing w:before="60" w:after="120"/>
        <w:ind w:left="360"/>
        <w:rPr>
          <w:rFonts w:eastAsia="Times New Roman"/>
          <w:bCs/>
          <w:szCs w:val="20"/>
        </w:rPr>
      </w:pPr>
      <w:r w:rsidRPr="008C4669">
        <w:rPr>
          <w:rFonts w:eastAsia="Times New Roman"/>
          <w:b/>
          <w:bCs/>
          <w:szCs w:val="20"/>
        </w:rPr>
        <w:t>Ingestion:</w:t>
      </w:r>
      <w:r w:rsidRPr="008C4669">
        <w:rPr>
          <w:rFonts w:eastAsia="Times New Roman"/>
          <w:bCs/>
          <w:szCs w:val="20"/>
        </w:rPr>
        <w:t xml:space="preserve">  </w:t>
      </w:r>
      <w:r w:rsidR="00B7052B" w:rsidRPr="008C4669">
        <w:rPr>
          <w:rFonts w:eastAsia="Times New Roman"/>
          <w:bCs/>
          <w:szCs w:val="20"/>
        </w:rPr>
        <w:t>Large quantities may cause</w:t>
      </w:r>
      <w:r w:rsidR="00D22C9B" w:rsidRPr="008C4669">
        <w:rPr>
          <w:rFonts w:eastAsia="Times New Roman"/>
          <w:bCs/>
          <w:szCs w:val="20"/>
        </w:rPr>
        <w:t xml:space="preserve"> gastrointestinal distress</w:t>
      </w:r>
      <w:r w:rsidR="00B7052B" w:rsidRPr="008C4669">
        <w:rPr>
          <w:rFonts w:eastAsia="Times New Roman"/>
          <w:bCs/>
          <w:szCs w:val="20"/>
        </w:rPr>
        <w:t>; no other adverse effects identified.</w:t>
      </w:r>
    </w:p>
    <w:p w:rsidR="00A00A2B" w:rsidRPr="008C4669" w:rsidRDefault="00EB5E4A" w:rsidP="006B75AB">
      <w:pPr>
        <w:widowControl/>
        <w:rPr>
          <w:rFonts w:eastAsia="Times New Roman"/>
          <w:bCs/>
          <w:szCs w:val="20"/>
        </w:rPr>
      </w:pPr>
      <w:r w:rsidRPr="008C4669">
        <w:rPr>
          <w:rFonts w:eastAsia="Times New Roman"/>
          <w:b/>
          <w:bCs/>
          <w:szCs w:val="20"/>
        </w:rPr>
        <w:t>Numerical Measures of Toxicity</w:t>
      </w:r>
    </w:p>
    <w:p w:rsidR="00B7052B" w:rsidRPr="008C4669" w:rsidRDefault="00EB5E4A" w:rsidP="006B75AB">
      <w:pPr>
        <w:widowControl/>
        <w:ind w:left="360"/>
        <w:rPr>
          <w:rFonts w:eastAsia="Times New Roman"/>
          <w:bCs/>
          <w:szCs w:val="20"/>
        </w:rPr>
      </w:pPr>
      <w:r w:rsidRPr="008C4669">
        <w:rPr>
          <w:rFonts w:eastAsia="Times New Roman"/>
          <w:b/>
          <w:bCs/>
          <w:szCs w:val="20"/>
        </w:rPr>
        <w:t>Acute toxicity</w:t>
      </w:r>
      <w:r w:rsidR="00DF7399" w:rsidRPr="008C4669">
        <w:rPr>
          <w:rFonts w:eastAsia="Times New Roman"/>
          <w:b/>
          <w:bCs/>
          <w:szCs w:val="20"/>
        </w:rPr>
        <w:t>:</w:t>
      </w:r>
      <w:r w:rsidR="00B7052B" w:rsidRPr="008C4669">
        <w:rPr>
          <w:rFonts w:eastAsia="Times New Roman"/>
          <w:bCs/>
          <w:szCs w:val="20"/>
        </w:rPr>
        <w:t xml:space="preserve"> </w:t>
      </w:r>
      <w:r w:rsidR="00484EF6" w:rsidRPr="008C4669">
        <w:rPr>
          <w:rFonts w:eastAsia="Times New Roman"/>
          <w:bCs/>
          <w:szCs w:val="20"/>
        </w:rPr>
        <w:t xml:space="preserve"> Not classified.</w:t>
      </w:r>
    </w:p>
    <w:p w:rsidR="00C34D5C" w:rsidRPr="008C4669" w:rsidRDefault="00C34D5C" w:rsidP="006B75AB">
      <w:pPr>
        <w:widowControl/>
        <w:tabs>
          <w:tab w:val="left" w:pos="2700"/>
        </w:tabs>
        <w:ind w:left="360" w:firstLine="360"/>
        <w:rPr>
          <w:rFonts w:eastAsia="Times New Roman"/>
          <w:bCs/>
          <w:szCs w:val="20"/>
        </w:rPr>
      </w:pPr>
      <w:r w:rsidRPr="008C4669">
        <w:rPr>
          <w:rFonts w:eastAsia="Times New Roman"/>
          <w:bCs/>
          <w:szCs w:val="20"/>
        </w:rPr>
        <w:t xml:space="preserve">Rat, Oral, LD50:  </w:t>
      </w:r>
      <w:r w:rsidR="00D76D7D" w:rsidRPr="008C4669">
        <w:rPr>
          <w:rFonts w:eastAsia="Times New Roman"/>
          <w:bCs/>
          <w:szCs w:val="20"/>
        </w:rPr>
        <w:t>4320</w:t>
      </w:r>
      <w:r w:rsidRPr="008C4669">
        <w:rPr>
          <w:rFonts w:eastAsia="Times New Roman"/>
          <w:bCs/>
          <w:szCs w:val="20"/>
        </w:rPr>
        <w:t> mg/kg</w:t>
      </w:r>
    </w:p>
    <w:p w:rsidR="00D76D7D" w:rsidRPr="008C4669" w:rsidRDefault="00D76D7D" w:rsidP="00D76D7D">
      <w:pPr>
        <w:widowControl/>
        <w:tabs>
          <w:tab w:val="left" w:pos="2700"/>
        </w:tabs>
        <w:ind w:left="360" w:firstLine="360"/>
        <w:rPr>
          <w:rFonts w:eastAsia="Times New Roman"/>
          <w:bCs/>
          <w:szCs w:val="20"/>
        </w:rPr>
      </w:pPr>
      <w:r w:rsidRPr="008C4669">
        <w:rPr>
          <w:rFonts w:eastAsia="Times New Roman"/>
          <w:bCs/>
          <w:szCs w:val="20"/>
        </w:rPr>
        <w:t>Rat, Oral, LD50:  &gt;25 mL/kg</w:t>
      </w:r>
    </w:p>
    <w:p w:rsidR="00AF68F9" w:rsidRPr="008C4669" w:rsidRDefault="00AF68F9" w:rsidP="006B75AB">
      <w:pPr>
        <w:widowControl/>
        <w:tabs>
          <w:tab w:val="left" w:pos="2700"/>
        </w:tabs>
        <w:ind w:left="360" w:firstLine="360"/>
        <w:rPr>
          <w:rFonts w:eastAsia="Times New Roman"/>
          <w:bCs/>
          <w:szCs w:val="20"/>
        </w:rPr>
      </w:pPr>
      <w:r w:rsidRPr="008C4669">
        <w:rPr>
          <w:rFonts w:eastAsia="Times New Roman"/>
          <w:bCs/>
          <w:szCs w:val="20"/>
        </w:rPr>
        <w:t xml:space="preserve">Rabbit, Dermal, LD50:  </w:t>
      </w:r>
      <w:r w:rsidR="00D76D7D" w:rsidRPr="008C4669">
        <w:rPr>
          <w:rFonts w:eastAsia="Times New Roman"/>
          <w:bCs/>
          <w:szCs w:val="20"/>
        </w:rPr>
        <w:t>&gt;</w:t>
      </w:r>
      <w:r w:rsidRPr="008C4669">
        <w:rPr>
          <w:rFonts w:eastAsia="Times New Roman"/>
          <w:bCs/>
          <w:szCs w:val="20"/>
        </w:rPr>
        <w:t>2000 mg/kg</w:t>
      </w:r>
    </w:p>
    <w:p w:rsidR="003E0999" w:rsidRPr="008C4669" w:rsidRDefault="00EE1F37" w:rsidP="009F4E12">
      <w:pPr>
        <w:widowControl/>
        <w:spacing w:before="60"/>
        <w:ind w:left="720" w:hanging="360"/>
        <w:rPr>
          <w:rFonts w:eastAsia="Times New Roman"/>
          <w:bCs/>
          <w:szCs w:val="20"/>
        </w:rPr>
      </w:pPr>
      <w:r w:rsidRPr="008C4669">
        <w:rPr>
          <w:rFonts w:eastAsia="Times New Roman"/>
          <w:b/>
          <w:bCs/>
          <w:szCs w:val="20"/>
        </w:rPr>
        <w:t>Skin corrosion/irritation</w:t>
      </w:r>
      <w:r w:rsidR="00405269" w:rsidRPr="008C4669">
        <w:rPr>
          <w:rFonts w:eastAsia="Times New Roman"/>
          <w:b/>
          <w:bCs/>
          <w:szCs w:val="20"/>
        </w:rPr>
        <w:t>:</w:t>
      </w:r>
      <w:r w:rsidR="00484EF6" w:rsidRPr="008C4669">
        <w:rPr>
          <w:rFonts w:eastAsia="Times New Roman"/>
          <w:bCs/>
          <w:szCs w:val="20"/>
        </w:rPr>
        <w:t xml:space="preserve">  Not classified.</w:t>
      </w:r>
    </w:p>
    <w:p w:rsidR="00FB5F8A" w:rsidRPr="008C4669" w:rsidRDefault="00484EF6" w:rsidP="008C4669">
      <w:pPr>
        <w:keepNext/>
        <w:widowControl/>
        <w:tabs>
          <w:tab w:val="left" w:pos="2700"/>
        </w:tabs>
        <w:ind w:left="720" w:hanging="360"/>
        <w:rPr>
          <w:rFonts w:eastAsia="Times New Roman"/>
          <w:bCs/>
          <w:szCs w:val="20"/>
        </w:rPr>
      </w:pPr>
      <w:r w:rsidRPr="008C4669">
        <w:rPr>
          <w:rFonts w:eastAsia="Times New Roman"/>
          <w:bCs/>
          <w:szCs w:val="20"/>
        </w:rPr>
        <w:tab/>
      </w:r>
      <w:r w:rsidR="00FB5F8A" w:rsidRPr="008C4669">
        <w:rPr>
          <w:rFonts w:eastAsia="Times New Roman"/>
          <w:bCs/>
          <w:szCs w:val="20"/>
        </w:rPr>
        <w:t>Rabbit, skin</w:t>
      </w:r>
      <w:r w:rsidR="00522E29" w:rsidRPr="008C4669">
        <w:rPr>
          <w:rFonts w:eastAsia="Times New Roman"/>
          <w:bCs/>
          <w:szCs w:val="20"/>
        </w:rPr>
        <w:t>:</w:t>
      </w:r>
      <w:r w:rsidR="00FB5F8A" w:rsidRPr="008C4669">
        <w:rPr>
          <w:rFonts w:eastAsia="Times New Roman"/>
          <w:bCs/>
          <w:szCs w:val="20"/>
        </w:rPr>
        <w:t xml:space="preserve"> </w:t>
      </w:r>
      <w:r w:rsidR="00522E29" w:rsidRPr="008C4669">
        <w:rPr>
          <w:rFonts w:eastAsia="Times New Roman"/>
          <w:bCs/>
          <w:szCs w:val="20"/>
        </w:rPr>
        <w:t>500 mg</w:t>
      </w:r>
      <w:r w:rsidR="00FB5F8A" w:rsidRPr="008C4669">
        <w:rPr>
          <w:rFonts w:eastAsia="Times New Roman"/>
          <w:bCs/>
          <w:szCs w:val="20"/>
        </w:rPr>
        <w:t xml:space="preserve"> mild</w:t>
      </w:r>
      <w:r w:rsidR="00522E29" w:rsidRPr="008C4669">
        <w:rPr>
          <w:rFonts w:eastAsia="Times New Roman"/>
          <w:bCs/>
          <w:szCs w:val="20"/>
        </w:rPr>
        <w:t>; 0.5 mL</w:t>
      </w:r>
    </w:p>
    <w:p w:rsidR="00F53018" w:rsidRPr="008C4669" w:rsidRDefault="00EE1F37" w:rsidP="009F4E12">
      <w:pPr>
        <w:widowControl/>
        <w:spacing w:before="60"/>
        <w:ind w:left="720" w:hanging="360"/>
        <w:rPr>
          <w:rFonts w:eastAsia="Times New Roman"/>
          <w:bCs/>
          <w:szCs w:val="20"/>
        </w:rPr>
      </w:pPr>
      <w:r w:rsidRPr="008C4669">
        <w:rPr>
          <w:rFonts w:eastAsia="Times New Roman"/>
          <w:b/>
          <w:bCs/>
          <w:szCs w:val="20"/>
        </w:rPr>
        <w:t>Serious eye damage/eye irritation</w:t>
      </w:r>
      <w:r w:rsidR="00405269" w:rsidRPr="008C4669">
        <w:rPr>
          <w:rFonts w:eastAsia="Times New Roman"/>
          <w:b/>
          <w:bCs/>
          <w:szCs w:val="20"/>
        </w:rPr>
        <w:t>:</w:t>
      </w:r>
      <w:r w:rsidR="008F1308" w:rsidRPr="008C4669">
        <w:rPr>
          <w:rFonts w:eastAsia="Times New Roman"/>
          <w:bCs/>
          <w:szCs w:val="20"/>
        </w:rPr>
        <w:t xml:space="preserve"> </w:t>
      </w:r>
      <w:r w:rsidR="00B7052B" w:rsidRPr="008C4669">
        <w:rPr>
          <w:rFonts w:eastAsia="Times New Roman"/>
          <w:bCs/>
          <w:szCs w:val="20"/>
        </w:rPr>
        <w:t xml:space="preserve"> </w:t>
      </w:r>
      <w:r w:rsidR="006E0117" w:rsidRPr="008C4669">
        <w:rPr>
          <w:rFonts w:eastAsia="Times New Roman"/>
          <w:bCs/>
          <w:szCs w:val="20"/>
        </w:rPr>
        <w:t>Not classified.</w:t>
      </w:r>
    </w:p>
    <w:p w:rsidR="006E0117" w:rsidRPr="008C4669" w:rsidRDefault="006E0117" w:rsidP="006E0117">
      <w:pPr>
        <w:widowControl/>
        <w:tabs>
          <w:tab w:val="left" w:pos="2700"/>
        </w:tabs>
        <w:ind w:left="720" w:hanging="360"/>
        <w:rPr>
          <w:rFonts w:eastAsia="Times New Roman"/>
          <w:bCs/>
          <w:szCs w:val="20"/>
        </w:rPr>
      </w:pPr>
      <w:r w:rsidRPr="008C4669">
        <w:rPr>
          <w:rFonts w:eastAsia="Times New Roman"/>
          <w:bCs/>
          <w:szCs w:val="20"/>
        </w:rPr>
        <w:tab/>
        <w:t>Rabbit, eyes</w:t>
      </w:r>
      <w:r w:rsidR="00522E29" w:rsidRPr="008C4669">
        <w:rPr>
          <w:rFonts w:eastAsia="Times New Roman"/>
          <w:bCs/>
          <w:szCs w:val="20"/>
        </w:rPr>
        <w:t xml:space="preserve">: </w:t>
      </w:r>
      <w:r w:rsidRPr="008C4669">
        <w:rPr>
          <w:rFonts w:eastAsia="Times New Roman"/>
          <w:bCs/>
          <w:szCs w:val="20"/>
        </w:rPr>
        <w:t xml:space="preserve"> </w:t>
      </w:r>
      <w:r w:rsidR="00522E29" w:rsidRPr="008C4669">
        <w:rPr>
          <w:rFonts w:eastAsia="Times New Roman"/>
          <w:bCs/>
          <w:szCs w:val="20"/>
        </w:rPr>
        <w:t>100 μL</w:t>
      </w:r>
      <w:r w:rsidRPr="008C4669">
        <w:rPr>
          <w:rFonts w:eastAsia="Times New Roman"/>
          <w:bCs/>
          <w:szCs w:val="20"/>
        </w:rPr>
        <w:t xml:space="preserve"> (24 h) mild.</w:t>
      </w:r>
    </w:p>
    <w:p w:rsidR="00EE1F37" w:rsidRPr="008C4669" w:rsidRDefault="00EE1F37" w:rsidP="009F4E12">
      <w:pPr>
        <w:widowControl/>
        <w:spacing w:before="60"/>
        <w:ind w:left="720" w:hanging="360"/>
        <w:rPr>
          <w:rFonts w:eastAsia="Times New Roman"/>
          <w:bCs/>
          <w:szCs w:val="20"/>
        </w:rPr>
      </w:pPr>
      <w:r w:rsidRPr="008C4669">
        <w:rPr>
          <w:rFonts w:eastAsia="Times New Roman"/>
          <w:b/>
          <w:bCs/>
          <w:szCs w:val="20"/>
        </w:rPr>
        <w:t>Respiratory sensitization</w:t>
      </w:r>
      <w:r w:rsidR="00405269" w:rsidRPr="008C4669">
        <w:rPr>
          <w:rFonts w:eastAsia="Times New Roman"/>
          <w:b/>
          <w:bCs/>
          <w:szCs w:val="20"/>
        </w:rPr>
        <w:t>:</w:t>
      </w:r>
      <w:r w:rsidR="0001504A" w:rsidRPr="008C4669">
        <w:rPr>
          <w:rFonts w:eastAsia="Times New Roman"/>
          <w:bCs/>
          <w:szCs w:val="20"/>
        </w:rPr>
        <w:t xml:space="preserve">  </w:t>
      </w:r>
      <w:r w:rsidR="004355ED" w:rsidRPr="008C4669">
        <w:rPr>
          <w:rFonts w:eastAsia="Times New Roman"/>
          <w:bCs/>
          <w:szCs w:val="20"/>
        </w:rPr>
        <w:t>No data available.</w:t>
      </w:r>
    </w:p>
    <w:p w:rsidR="00C3000E" w:rsidRPr="008C4669" w:rsidRDefault="00EE1F37" w:rsidP="009F4E12">
      <w:pPr>
        <w:widowControl/>
        <w:spacing w:before="60"/>
        <w:ind w:left="720" w:hanging="360"/>
        <w:rPr>
          <w:rFonts w:eastAsia="Times New Roman"/>
          <w:bCs/>
          <w:szCs w:val="20"/>
        </w:rPr>
      </w:pPr>
      <w:r w:rsidRPr="008C4669">
        <w:rPr>
          <w:rFonts w:eastAsia="Times New Roman"/>
          <w:b/>
          <w:bCs/>
          <w:szCs w:val="20"/>
        </w:rPr>
        <w:t>Skin sensitization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8C4669">
        <w:rPr>
          <w:rFonts w:eastAsia="Times New Roman"/>
          <w:bCs/>
          <w:szCs w:val="20"/>
        </w:rPr>
        <w:t>No data available.</w:t>
      </w:r>
    </w:p>
    <w:p w:rsidR="00DA74AE" w:rsidRPr="008C4669" w:rsidRDefault="00EE1F37" w:rsidP="009F4E12">
      <w:pPr>
        <w:widowControl/>
        <w:spacing w:before="6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4355ED" w:rsidRPr="008C4669">
        <w:rPr>
          <w:rFonts w:eastAsia="Times New Roman"/>
          <w:bCs/>
          <w:szCs w:val="20"/>
        </w:rPr>
        <w:t>No data available.</w:t>
      </w:r>
    </w:p>
    <w:p w:rsidR="00EE1F37" w:rsidRPr="008C4669" w:rsidRDefault="00EE1F37" w:rsidP="009F4E12">
      <w:pPr>
        <w:widowControl/>
        <w:spacing w:before="60"/>
        <w:ind w:left="720" w:hanging="360"/>
        <w:rPr>
          <w:rFonts w:eastAsia="Times New Roman"/>
          <w:bCs/>
          <w:szCs w:val="20"/>
        </w:rPr>
      </w:pPr>
      <w:r w:rsidRPr="008C4669">
        <w:rPr>
          <w:rFonts w:eastAsia="Times New Roman"/>
          <w:b/>
          <w:bCs/>
          <w:szCs w:val="20"/>
        </w:rPr>
        <w:t>Carcinogenicity</w:t>
      </w:r>
      <w:r w:rsidR="00405269" w:rsidRPr="008C4669">
        <w:rPr>
          <w:rFonts w:eastAsia="Times New Roman"/>
          <w:b/>
          <w:bCs/>
          <w:szCs w:val="20"/>
        </w:rPr>
        <w:t>:</w:t>
      </w:r>
      <w:r w:rsidR="008F1308" w:rsidRPr="008C4669">
        <w:rPr>
          <w:rFonts w:eastAsia="Times New Roman"/>
          <w:bCs/>
          <w:szCs w:val="20"/>
        </w:rPr>
        <w:t xml:space="preserve">  </w:t>
      </w:r>
      <w:r w:rsidR="00B7052B" w:rsidRPr="008C4669">
        <w:rPr>
          <w:rFonts w:eastAsia="Times New Roman"/>
          <w:bCs/>
          <w:szCs w:val="20"/>
        </w:rPr>
        <w:t>Category 2</w:t>
      </w:r>
      <w:r w:rsidR="008F1308" w:rsidRPr="008C4669">
        <w:rPr>
          <w:rFonts w:eastAsia="Times New Roman"/>
          <w:bCs/>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76"/>
        <w:gridCol w:w="1440"/>
        <w:gridCol w:w="576"/>
        <w:gridCol w:w="720"/>
      </w:tblGrid>
      <w:tr w:rsidR="00CA4187" w:rsidRPr="008C4669" w:rsidTr="00DD4757">
        <w:tc>
          <w:tcPr>
            <w:tcW w:w="5598" w:type="dxa"/>
          </w:tcPr>
          <w:p w:rsidR="00CA4187" w:rsidRPr="008C4669" w:rsidRDefault="00CA4187" w:rsidP="006B75AB">
            <w:pPr>
              <w:widowControl/>
              <w:ind w:left="360"/>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rsidR="00CA4187" w:rsidRPr="008C4669" w:rsidRDefault="00B7052B" w:rsidP="006B75AB">
            <w:pPr>
              <w:widowControl/>
              <w:tabs>
                <w:tab w:val="left" w:pos="2900"/>
                <w:tab w:val="left" w:pos="3360"/>
                <w:tab w:val="left" w:pos="4780"/>
                <w:tab w:val="left" w:pos="5340"/>
              </w:tabs>
              <w:jc w:val="center"/>
              <w:rPr>
                <w:rFonts w:eastAsia="Times New Roman"/>
                <w:b/>
                <w:bCs/>
                <w:spacing w:val="1"/>
                <w:position w:val="-1"/>
                <w:szCs w:val="20"/>
              </w:rPr>
            </w:pPr>
            <w:r w:rsidRPr="008C4669">
              <w:rPr>
                <w:rFonts w:eastAsia="Times New Roman"/>
                <w:bCs/>
                <w:spacing w:val="1"/>
                <w:position w:val="-1"/>
                <w:szCs w:val="20"/>
              </w:rPr>
              <w:t>X</w:t>
            </w:r>
          </w:p>
        </w:tc>
        <w:tc>
          <w:tcPr>
            <w:tcW w:w="1440" w:type="dxa"/>
            <w:vAlign w:val="center"/>
          </w:tcPr>
          <w:p w:rsidR="00CA4187" w:rsidRPr="008C4669"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8C4669">
              <w:rPr>
                <w:rFonts w:eastAsia="Times New Roman"/>
                <w:b/>
                <w:bCs/>
                <w:spacing w:val="1"/>
                <w:position w:val="-1"/>
                <w:szCs w:val="20"/>
              </w:rPr>
              <w:t>Yes</w:t>
            </w:r>
          </w:p>
        </w:tc>
        <w:tc>
          <w:tcPr>
            <w:tcW w:w="576" w:type="dxa"/>
            <w:tcBorders>
              <w:bottom w:val="single" w:sz="4" w:space="0" w:color="auto"/>
            </w:tcBorders>
          </w:tcPr>
          <w:p w:rsidR="00CA4187" w:rsidRPr="008C4669" w:rsidRDefault="00CA4187" w:rsidP="006B75AB">
            <w:pPr>
              <w:widowControl/>
              <w:tabs>
                <w:tab w:val="left" w:pos="2900"/>
                <w:tab w:val="left" w:pos="3360"/>
                <w:tab w:val="left" w:pos="4780"/>
                <w:tab w:val="left" w:pos="5340"/>
              </w:tabs>
              <w:jc w:val="center"/>
              <w:rPr>
                <w:rFonts w:eastAsia="Times New Roman"/>
                <w:bCs/>
                <w:spacing w:val="1"/>
                <w:position w:val="-1"/>
                <w:szCs w:val="20"/>
              </w:rPr>
            </w:pPr>
          </w:p>
        </w:tc>
        <w:tc>
          <w:tcPr>
            <w:tcW w:w="720" w:type="dxa"/>
            <w:vAlign w:val="center"/>
          </w:tcPr>
          <w:p w:rsidR="00CA4187" w:rsidRPr="008C4669" w:rsidRDefault="00CA4187" w:rsidP="006B75AB">
            <w:pPr>
              <w:widowControl/>
              <w:tabs>
                <w:tab w:val="left" w:pos="2900"/>
                <w:tab w:val="left" w:pos="3360"/>
                <w:tab w:val="left" w:pos="4780"/>
                <w:tab w:val="left" w:pos="5340"/>
              </w:tabs>
              <w:jc w:val="left"/>
              <w:rPr>
                <w:rFonts w:eastAsia="Times New Roman"/>
                <w:b/>
                <w:bCs/>
                <w:spacing w:val="1"/>
                <w:position w:val="-1"/>
                <w:szCs w:val="20"/>
              </w:rPr>
            </w:pPr>
            <w:r w:rsidRPr="008C4669">
              <w:rPr>
                <w:rFonts w:eastAsia="Times New Roman"/>
                <w:b/>
                <w:bCs/>
                <w:spacing w:val="1"/>
                <w:position w:val="-1"/>
                <w:szCs w:val="20"/>
              </w:rPr>
              <w:t>No</w:t>
            </w:r>
          </w:p>
        </w:tc>
      </w:tr>
    </w:tbl>
    <w:p w:rsidR="00D249AF" w:rsidRDefault="00377BA9" w:rsidP="00F46DEC">
      <w:pPr>
        <w:widowControl/>
        <w:tabs>
          <w:tab w:val="left" w:pos="720"/>
        </w:tabs>
        <w:ind w:left="720"/>
        <w:rPr>
          <w:rFonts w:eastAsia="Times New Roman"/>
          <w:bCs/>
          <w:szCs w:val="20"/>
        </w:rPr>
      </w:pPr>
      <w:r w:rsidRPr="008C4669">
        <w:rPr>
          <w:rFonts w:eastAsia="Times New Roman"/>
          <w:bCs/>
          <w:szCs w:val="20"/>
        </w:rPr>
        <w:t xml:space="preserve">IARC lists </w:t>
      </w:r>
      <w:r w:rsidR="00D71AC1">
        <w:rPr>
          <w:rFonts w:eastAsia="Times New Roman"/>
          <w:bCs/>
          <w:szCs w:val="20"/>
        </w:rPr>
        <w:t>r</w:t>
      </w:r>
      <w:r w:rsidR="00F5790E" w:rsidRPr="008C4669">
        <w:rPr>
          <w:rFonts w:eastAsia="Times New Roman"/>
          <w:bCs/>
          <w:szCs w:val="20"/>
        </w:rPr>
        <w:t xml:space="preserve">esidual </w:t>
      </w:r>
      <w:r w:rsidR="00D71AC1">
        <w:rPr>
          <w:rFonts w:eastAsia="Times New Roman"/>
          <w:bCs/>
          <w:szCs w:val="20"/>
        </w:rPr>
        <w:t>f</w:t>
      </w:r>
      <w:r w:rsidR="00F5790E" w:rsidRPr="008C4669">
        <w:rPr>
          <w:rFonts w:eastAsia="Times New Roman"/>
          <w:bCs/>
          <w:szCs w:val="20"/>
        </w:rPr>
        <w:t xml:space="preserve">uel </w:t>
      </w:r>
      <w:r w:rsidR="00D71AC1">
        <w:rPr>
          <w:rFonts w:eastAsia="Times New Roman"/>
          <w:bCs/>
          <w:szCs w:val="20"/>
        </w:rPr>
        <w:t>o</w:t>
      </w:r>
      <w:r w:rsidR="00F5790E" w:rsidRPr="008C4669">
        <w:rPr>
          <w:rFonts w:eastAsia="Times New Roman"/>
          <w:bCs/>
          <w:szCs w:val="20"/>
        </w:rPr>
        <w:t>ils</w:t>
      </w:r>
      <w:r w:rsidRPr="008C4669">
        <w:rPr>
          <w:rFonts w:eastAsia="Times New Roman"/>
          <w:bCs/>
          <w:szCs w:val="20"/>
        </w:rPr>
        <w:t xml:space="preserve"> as Group </w:t>
      </w:r>
      <w:r w:rsidR="00B7052B" w:rsidRPr="008C4669">
        <w:rPr>
          <w:rFonts w:eastAsia="Times New Roman"/>
          <w:bCs/>
          <w:szCs w:val="20"/>
        </w:rPr>
        <w:t>2b</w:t>
      </w:r>
      <w:r w:rsidRPr="008C4669">
        <w:rPr>
          <w:rFonts w:eastAsia="Times New Roman"/>
          <w:bCs/>
          <w:szCs w:val="20"/>
        </w:rPr>
        <w:t xml:space="preserve">, </w:t>
      </w:r>
      <w:r w:rsidR="00B7052B" w:rsidRPr="008C4669">
        <w:rPr>
          <w:rFonts w:eastAsia="Times New Roman"/>
          <w:bCs/>
          <w:i/>
          <w:szCs w:val="20"/>
        </w:rPr>
        <w:t>possibly carcinogenic</w:t>
      </w:r>
      <w:r w:rsidRPr="008C4669">
        <w:rPr>
          <w:rFonts w:eastAsia="Times New Roman"/>
          <w:bCs/>
          <w:i/>
          <w:szCs w:val="20"/>
        </w:rPr>
        <w:t xml:space="preserve"> to humans</w:t>
      </w:r>
      <w:r w:rsidRPr="008C4669">
        <w:rPr>
          <w:rFonts w:eastAsia="Times New Roman"/>
          <w:bCs/>
          <w:szCs w:val="20"/>
        </w:rPr>
        <w:t>.</w:t>
      </w:r>
    </w:p>
    <w:p w:rsidR="00377BA9" w:rsidRPr="008C4669" w:rsidRDefault="00F46DEC" w:rsidP="00F46DEC">
      <w:pPr>
        <w:widowControl/>
        <w:tabs>
          <w:tab w:val="left" w:pos="720"/>
        </w:tabs>
        <w:ind w:left="720"/>
        <w:rPr>
          <w:rFonts w:eastAsia="Times New Roman"/>
          <w:bCs/>
          <w:szCs w:val="20"/>
        </w:rPr>
      </w:pPr>
      <w:r>
        <w:rPr>
          <w:rFonts w:eastAsia="Times New Roman"/>
          <w:bCs/>
          <w:spacing w:val="-1"/>
          <w:szCs w:val="20"/>
        </w:rPr>
        <w:t>Residual fuel oil No. 6</w:t>
      </w:r>
      <w:r w:rsidRPr="00D222CA">
        <w:rPr>
          <w:rFonts w:eastAsia="Times New Roman"/>
          <w:bCs/>
          <w:spacing w:val="-1"/>
          <w:szCs w:val="20"/>
        </w:rPr>
        <w:t xml:space="preserve"> is not listed </w:t>
      </w:r>
      <w:r w:rsidR="00437975">
        <w:rPr>
          <w:rFonts w:eastAsia="Times New Roman"/>
          <w:bCs/>
          <w:spacing w:val="-1"/>
          <w:szCs w:val="20"/>
        </w:rPr>
        <w:t xml:space="preserve">by </w:t>
      </w:r>
      <w:r w:rsidRPr="00D222CA">
        <w:rPr>
          <w:rFonts w:eastAsia="Times New Roman"/>
          <w:bCs/>
          <w:spacing w:val="-1"/>
          <w:szCs w:val="20"/>
        </w:rPr>
        <w:t>NTP or OSHA as a carcinogen.</w:t>
      </w:r>
      <w:r>
        <w:rPr>
          <w:rFonts w:eastAsia="Times New Roman"/>
          <w:bCs/>
          <w:spacing w:val="-1"/>
          <w:szCs w:val="20"/>
        </w:rPr>
        <w:t xml:space="preserve">  </w:t>
      </w:r>
    </w:p>
    <w:p w:rsidR="008C4669" w:rsidRPr="008C4669" w:rsidRDefault="00522E29" w:rsidP="006B75AB">
      <w:pPr>
        <w:widowControl/>
        <w:ind w:left="720"/>
        <w:rPr>
          <w:rFonts w:eastAsia="Times New Roman"/>
          <w:bCs/>
          <w:szCs w:val="20"/>
        </w:rPr>
      </w:pPr>
      <w:r w:rsidRPr="008C4669">
        <w:rPr>
          <w:szCs w:val="20"/>
        </w:rPr>
        <w:t>Skin application to mice of cracked bunker fuel (alone) and blended, induced benign and malignant skin tumors.</w:t>
      </w:r>
    </w:p>
    <w:p w:rsidR="006B75AB" w:rsidRPr="008C4669" w:rsidRDefault="00EE1F37" w:rsidP="009F4E12">
      <w:pPr>
        <w:widowControl/>
        <w:spacing w:before="60"/>
        <w:ind w:left="720" w:hanging="360"/>
        <w:rPr>
          <w:rFonts w:eastAsia="Times New Roman"/>
          <w:bCs/>
          <w:szCs w:val="20"/>
        </w:rPr>
      </w:pPr>
      <w:r w:rsidRPr="008C4669">
        <w:rPr>
          <w:rFonts w:eastAsia="Times New Roman"/>
          <w:b/>
          <w:bCs/>
          <w:szCs w:val="20"/>
        </w:rPr>
        <w:t>Reproductive Toxicity</w:t>
      </w:r>
      <w:r w:rsidR="00B208C0" w:rsidRPr="008C4669">
        <w:rPr>
          <w:rFonts w:eastAsia="Times New Roman"/>
          <w:b/>
          <w:bCs/>
          <w:szCs w:val="20"/>
        </w:rPr>
        <w:t>:</w:t>
      </w:r>
      <w:r w:rsidR="004355ED" w:rsidRPr="008C4669">
        <w:rPr>
          <w:rFonts w:eastAsia="Times New Roman"/>
          <w:bCs/>
          <w:szCs w:val="20"/>
        </w:rPr>
        <w:t xml:space="preserve"> </w:t>
      </w:r>
      <w:r w:rsidR="00B208C0" w:rsidRPr="008C4669">
        <w:rPr>
          <w:rFonts w:eastAsia="Times New Roman"/>
          <w:bCs/>
          <w:szCs w:val="20"/>
        </w:rPr>
        <w:t xml:space="preserve"> </w:t>
      </w:r>
      <w:r w:rsidR="008C4669" w:rsidRPr="008C4669">
        <w:rPr>
          <w:rFonts w:eastAsia="Times New Roman"/>
          <w:bCs/>
          <w:szCs w:val="20"/>
        </w:rPr>
        <w:t>No data available.</w:t>
      </w:r>
    </w:p>
    <w:p w:rsidR="004355ED" w:rsidRPr="008C4669" w:rsidRDefault="00EE1F37" w:rsidP="009F4E12">
      <w:pPr>
        <w:widowControl/>
        <w:spacing w:before="60"/>
        <w:ind w:left="720" w:hanging="360"/>
        <w:rPr>
          <w:rFonts w:eastAsia="Times New Roman"/>
          <w:bCs/>
          <w:szCs w:val="20"/>
        </w:rPr>
      </w:pPr>
      <w:r w:rsidRPr="008C4669">
        <w:rPr>
          <w:rFonts w:eastAsia="Times New Roman"/>
          <w:b/>
          <w:bCs/>
          <w:szCs w:val="20"/>
        </w:rPr>
        <w:t>Specific target organ toxicity, single exposure</w:t>
      </w:r>
      <w:r w:rsidR="00405269" w:rsidRPr="008C4669">
        <w:rPr>
          <w:rFonts w:eastAsia="Times New Roman"/>
          <w:b/>
          <w:bCs/>
          <w:szCs w:val="20"/>
        </w:rPr>
        <w:t>:</w:t>
      </w:r>
      <w:r w:rsidR="0009639E" w:rsidRPr="008C4669">
        <w:rPr>
          <w:rFonts w:eastAsia="Times New Roman"/>
          <w:bCs/>
          <w:szCs w:val="20"/>
        </w:rPr>
        <w:t xml:space="preserve">  </w:t>
      </w:r>
      <w:r w:rsidR="004355ED" w:rsidRPr="008C4669">
        <w:rPr>
          <w:rFonts w:eastAsia="Times New Roman"/>
          <w:bCs/>
          <w:szCs w:val="20"/>
        </w:rPr>
        <w:t>No data available.</w:t>
      </w:r>
    </w:p>
    <w:p w:rsidR="0063268F" w:rsidRPr="008C4669" w:rsidRDefault="00EE1F37" w:rsidP="009F4E12">
      <w:pPr>
        <w:widowControl/>
        <w:spacing w:before="60"/>
        <w:ind w:left="720" w:hanging="360"/>
        <w:rPr>
          <w:rFonts w:eastAsia="Times New Roman"/>
          <w:bCs/>
          <w:szCs w:val="20"/>
        </w:rPr>
      </w:pPr>
      <w:r w:rsidRPr="008C4669">
        <w:rPr>
          <w:rFonts w:eastAsia="Times New Roman"/>
          <w:b/>
          <w:bCs/>
          <w:szCs w:val="20"/>
        </w:rPr>
        <w:t>Specific target organ toxicity, repeated exposure</w:t>
      </w:r>
      <w:r w:rsidR="00405269" w:rsidRPr="008C4669">
        <w:rPr>
          <w:rFonts w:eastAsia="Times New Roman"/>
          <w:b/>
          <w:bCs/>
          <w:szCs w:val="20"/>
        </w:rPr>
        <w:t>:</w:t>
      </w:r>
      <w:r w:rsidR="00EC06B0" w:rsidRPr="008C4669">
        <w:rPr>
          <w:rFonts w:eastAsia="Times New Roman"/>
          <w:bCs/>
          <w:szCs w:val="20"/>
        </w:rPr>
        <w:t xml:space="preserve">  </w:t>
      </w:r>
      <w:r w:rsidR="008C4669" w:rsidRPr="008C4669">
        <w:rPr>
          <w:rFonts w:eastAsia="Times New Roman"/>
          <w:bCs/>
          <w:szCs w:val="20"/>
        </w:rPr>
        <w:t>No data available.</w:t>
      </w:r>
    </w:p>
    <w:p w:rsidR="004521E9" w:rsidRPr="00B7052B" w:rsidRDefault="00EE1F37" w:rsidP="009F4E12">
      <w:pPr>
        <w:widowControl/>
        <w:spacing w:before="60" w:after="120"/>
        <w:ind w:left="360"/>
        <w:rPr>
          <w:rFonts w:eastAsia="Times New Roman"/>
          <w:szCs w:val="20"/>
        </w:rPr>
      </w:pPr>
      <w:r w:rsidRPr="008C4669">
        <w:rPr>
          <w:rFonts w:eastAsia="Times New Roman"/>
          <w:b/>
          <w:bCs/>
          <w:szCs w:val="20"/>
        </w:rPr>
        <w:t>Aspiration hazard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8C4669">
        <w:t>No</w:t>
      </w:r>
      <w:r w:rsidR="00D22C9B" w:rsidRPr="008C4669">
        <w:t>t applicable</w:t>
      </w:r>
      <w:r w:rsidR="00AB1DE0" w:rsidRPr="008C4669">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6B75AB">
            <w:pPr>
              <w:keepNext/>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98347B" w:rsidRPr="008C4669" w:rsidRDefault="004521E9" w:rsidP="00E12D28">
      <w:pPr>
        <w:keepNext/>
        <w:widowControl/>
        <w:spacing w:before="120"/>
        <w:rPr>
          <w:rFonts w:eastAsia="Times New Roman"/>
          <w:b/>
          <w:bCs/>
          <w:szCs w:val="20"/>
        </w:rPr>
      </w:pPr>
      <w:r w:rsidRPr="00D22C9B">
        <w:rPr>
          <w:rFonts w:eastAsia="Times New Roman"/>
          <w:b/>
          <w:bCs/>
          <w:spacing w:val="-1"/>
          <w:szCs w:val="20"/>
        </w:rPr>
        <w:t>E</w:t>
      </w:r>
      <w:r w:rsidRPr="00D22C9B">
        <w:rPr>
          <w:rFonts w:eastAsia="Times New Roman"/>
          <w:b/>
          <w:bCs/>
          <w:szCs w:val="20"/>
        </w:rPr>
        <w:t>c</w:t>
      </w:r>
      <w:r w:rsidRPr="00D22C9B">
        <w:rPr>
          <w:rFonts w:eastAsia="Times New Roman"/>
          <w:b/>
          <w:bCs/>
          <w:spacing w:val="1"/>
          <w:szCs w:val="20"/>
        </w:rPr>
        <w:t>oto</w:t>
      </w:r>
      <w:r w:rsidRPr="00D22C9B">
        <w:rPr>
          <w:rFonts w:eastAsia="Times New Roman"/>
          <w:b/>
          <w:bCs/>
          <w:spacing w:val="-1"/>
          <w:szCs w:val="20"/>
        </w:rPr>
        <w:t>x</w:t>
      </w:r>
      <w:r w:rsidRPr="008C4669">
        <w:rPr>
          <w:rFonts w:eastAsia="Times New Roman"/>
          <w:b/>
          <w:bCs/>
          <w:szCs w:val="20"/>
        </w:rPr>
        <w:t>ici</w:t>
      </w:r>
      <w:r w:rsidRPr="008C4669">
        <w:rPr>
          <w:rFonts w:eastAsia="Times New Roman"/>
          <w:b/>
          <w:bCs/>
          <w:spacing w:val="1"/>
          <w:szCs w:val="20"/>
        </w:rPr>
        <w:t>t</w:t>
      </w:r>
      <w:r w:rsidRPr="008C4669">
        <w:rPr>
          <w:rFonts w:eastAsia="Times New Roman"/>
          <w:b/>
          <w:bCs/>
          <w:szCs w:val="20"/>
        </w:rPr>
        <w:t>y</w:t>
      </w:r>
      <w:r w:rsidRPr="008C4669">
        <w:rPr>
          <w:rFonts w:eastAsia="Times New Roman"/>
          <w:b/>
          <w:bCs/>
          <w:spacing w:val="-8"/>
          <w:szCs w:val="20"/>
        </w:rPr>
        <w:t xml:space="preserve"> </w:t>
      </w:r>
      <w:r w:rsidRPr="008C4669">
        <w:rPr>
          <w:rFonts w:eastAsia="Times New Roman"/>
          <w:b/>
          <w:bCs/>
          <w:szCs w:val="20"/>
        </w:rPr>
        <w:t>D</w:t>
      </w:r>
      <w:r w:rsidRPr="008C4669">
        <w:rPr>
          <w:rFonts w:eastAsia="Times New Roman"/>
          <w:b/>
          <w:bCs/>
          <w:spacing w:val="1"/>
          <w:szCs w:val="20"/>
        </w:rPr>
        <w:t>at</w:t>
      </w:r>
      <w:r w:rsidRPr="008C4669">
        <w:rPr>
          <w:rFonts w:eastAsia="Times New Roman"/>
          <w:b/>
          <w:bCs/>
          <w:szCs w:val="20"/>
        </w:rPr>
        <w:t>a</w:t>
      </w:r>
    </w:p>
    <w:p w:rsidR="00C82019" w:rsidRPr="00D22C9B" w:rsidRDefault="006E0117" w:rsidP="00667439">
      <w:pPr>
        <w:widowControl/>
        <w:tabs>
          <w:tab w:val="left" w:pos="720"/>
        </w:tabs>
        <w:rPr>
          <w:rFonts w:eastAsia="Times New Roman"/>
          <w:bCs/>
          <w:spacing w:val="-1"/>
          <w:szCs w:val="20"/>
        </w:rPr>
      </w:pPr>
      <w:r w:rsidRPr="008C4669">
        <w:rPr>
          <w:rFonts w:eastAsia="Times New Roman"/>
          <w:bCs/>
          <w:spacing w:val="-1"/>
          <w:szCs w:val="20"/>
        </w:rPr>
        <w:tab/>
      </w:r>
      <w:r w:rsidR="002779BE" w:rsidRPr="008C4669">
        <w:rPr>
          <w:rFonts w:eastAsia="Times New Roman"/>
          <w:bCs/>
          <w:spacing w:val="-1"/>
          <w:szCs w:val="20"/>
        </w:rPr>
        <w:t xml:space="preserve">Fish, </w:t>
      </w:r>
      <w:proofErr w:type="spellStart"/>
      <w:r w:rsidR="00C82019" w:rsidRPr="008C4669">
        <w:rPr>
          <w:rFonts w:eastAsia="Times New Roman"/>
          <w:bCs/>
          <w:spacing w:val="-1"/>
          <w:szCs w:val="20"/>
        </w:rPr>
        <w:t>Zebrafish</w:t>
      </w:r>
      <w:proofErr w:type="spellEnd"/>
      <w:r w:rsidR="00C82019" w:rsidRPr="008C4669">
        <w:rPr>
          <w:rFonts w:eastAsia="Times New Roman"/>
          <w:bCs/>
          <w:spacing w:val="-1"/>
          <w:szCs w:val="20"/>
        </w:rPr>
        <w:t>,</w:t>
      </w:r>
      <w:r w:rsidR="002779BE" w:rsidRPr="008C4669">
        <w:rPr>
          <w:rFonts w:eastAsia="Times New Roman"/>
          <w:bCs/>
          <w:spacing w:val="-1"/>
          <w:szCs w:val="20"/>
        </w:rPr>
        <w:t xml:space="preserve"> </w:t>
      </w:r>
      <w:proofErr w:type="spellStart"/>
      <w:r w:rsidRPr="008C4669">
        <w:rPr>
          <w:rFonts w:eastAsia="Times New Roman"/>
          <w:bCs/>
          <w:i/>
          <w:spacing w:val="-1"/>
          <w:szCs w:val="20"/>
        </w:rPr>
        <w:t>Brachydanio</w:t>
      </w:r>
      <w:proofErr w:type="spellEnd"/>
      <w:r w:rsidRPr="008C4669">
        <w:rPr>
          <w:rFonts w:eastAsia="Times New Roman"/>
          <w:bCs/>
          <w:i/>
          <w:spacing w:val="-1"/>
          <w:szCs w:val="20"/>
        </w:rPr>
        <w:t xml:space="preserve"> </w:t>
      </w:r>
      <w:proofErr w:type="spellStart"/>
      <w:r w:rsidRPr="008C4669">
        <w:rPr>
          <w:rFonts w:eastAsia="Times New Roman"/>
          <w:bCs/>
          <w:i/>
          <w:spacing w:val="-1"/>
          <w:szCs w:val="20"/>
        </w:rPr>
        <w:t>rerio</w:t>
      </w:r>
      <w:proofErr w:type="spellEnd"/>
      <w:r w:rsidR="00C82019" w:rsidRPr="008C4669">
        <w:rPr>
          <w:rFonts w:eastAsia="Times New Roman"/>
          <w:bCs/>
          <w:spacing w:val="-1"/>
          <w:szCs w:val="20"/>
        </w:rPr>
        <w:t xml:space="preserve">, LC50:  </w:t>
      </w:r>
      <w:r w:rsidR="00D22C9B" w:rsidRPr="008C4669">
        <w:rPr>
          <w:rFonts w:eastAsia="Times New Roman"/>
          <w:bCs/>
          <w:spacing w:val="-1"/>
          <w:szCs w:val="20"/>
        </w:rPr>
        <w:t>48</w:t>
      </w:r>
      <w:r w:rsidR="00A33C09">
        <w:rPr>
          <w:rFonts w:eastAsia="Times New Roman"/>
          <w:bCs/>
          <w:spacing w:val="-1"/>
          <w:szCs w:val="20"/>
        </w:rPr>
        <w:t> </w:t>
      </w:r>
      <w:r w:rsidR="00C82019" w:rsidRPr="00D22C9B">
        <w:rPr>
          <w:rFonts w:eastAsia="Times New Roman"/>
          <w:bCs/>
          <w:spacing w:val="-1"/>
          <w:szCs w:val="20"/>
        </w:rPr>
        <w:t xml:space="preserve">mg/L, </w:t>
      </w:r>
      <w:r w:rsidR="00D22C9B" w:rsidRPr="008C4669">
        <w:rPr>
          <w:rFonts w:eastAsia="Times New Roman"/>
          <w:bCs/>
          <w:spacing w:val="-1"/>
          <w:szCs w:val="20"/>
        </w:rPr>
        <w:t>semi-</w:t>
      </w:r>
      <w:r w:rsidR="00C82019" w:rsidRPr="00D22C9B">
        <w:rPr>
          <w:rFonts w:eastAsia="Times New Roman"/>
          <w:bCs/>
          <w:spacing w:val="-1"/>
          <w:szCs w:val="20"/>
        </w:rPr>
        <w:t>static, (96</w:t>
      </w:r>
      <w:r w:rsidR="00A33C09">
        <w:rPr>
          <w:rFonts w:eastAsia="Times New Roman"/>
          <w:bCs/>
          <w:spacing w:val="-1"/>
          <w:szCs w:val="20"/>
        </w:rPr>
        <w:t> </w:t>
      </w:r>
      <w:r w:rsidR="00C82019" w:rsidRPr="00D22C9B">
        <w:rPr>
          <w:rFonts w:eastAsia="Times New Roman"/>
          <w:bCs/>
          <w:spacing w:val="-1"/>
          <w:szCs w:val="20"/>
        </w:rPr>
        <w:t>h)</w:t>
      </w:r>
      <w:r w:rsidR="002779BE" w:rsidRPr="00D22C9B">
        <w:rPr>
          <w:rFonts w:eastAsia="Times New Roman"/>
          <w:bCs/>
          <w:spacing w:val="-1"/>
          <w:szCs w:val="20"/>
        </w:rPr>
        <w:t>.</w:t>
      </w:r>
    </w:p>
    <w:p w:rsidR="004521E9" w:rsidRPr="0009639E" w:rsidRDefault="004521E9" w:rsidP="00AA55EE">
      <w:pPr>
        <w:widowControl/>
        <w:spacing w:before="60"/>
        <w:rPr>
          <w:rFonts w:eastAsia="Times New Roman"/>
          <w:b/>
          <w:bCs/>
          <w:spacing w:val="-1"/>
          <w:szCs w:val="20"/>
        </w:rPr>
      </w:pPr>
      <w:r w:rsidRPr="00125FD4">
        <w:rPr>
          <w:rFonts w:eastAsia="Times New Roman"/>
          <w:b/>
          <w:bCs/>
          <w:spacing w:val="-1"/>
          <w:szCs w:val="20"/>
        </w:rPr>
        <w:t>Persi</w:t>
      </w:r>
      <w:r>
        <w:rPr>
          <w:rFonts w:eastAsia="Times New Roman"/>
          <w:b/>
          <w:bCs/>
          <w:spacing w:val="-1"/>
          <w:szCs w:val="20"/>
        </w:rPr>
        <w:t>s</w:t>
      </w:r>
      <w:r w:rsidRPr="00125FD4">
        <w:rPr>
          <w:rFonts w:eastAsia="Times New Roman"/>
          <w:b/>
          <w:bCs/>
          <w:spacing w:val="-1"/>
          <w:szCs w:val="20"/>
        </w:rPr>
        <w:t>tence and Degradability</w:t>
      </w:r>
      <w:r>
        <w:rPr>
          <w:rFonts w:eastAsia="Times New Roman"/>
          <w:b/>
          <w:bCs/>
          <w:spacing w:val="-1"/>
          <w:szCs w:val="20"/>
        </w:rPr>
        <w:t>:</w:t>
      </w:r>
      <w:r w:rsidR="0009639E" w:rsidRPr="0009639E">
        <w:rPr>
          <w:rFonts w:eastAsia="Times New Roman"/>
          <w:bCs/>
          <w:spacing w:val="-1"/>
          <w:szCs w:val="20"/>
        </w:rPr>
        <w:t xml:space="preserve">  </w:t>
      </w:r>
      <w:r w:rsidR="00B7052B">
        <w:rPr>
          <w:rFonts w:eastAsia="Times New Roman"/>
          <w:bCs/>
          <w:spacing w:val="-1"/>
          <w:szCs w:val="20"/>
        </w:rPr>
        <w:t>No data available</w:t>
      </w:r>
      <w:r w:rsidR="0009639E">
        <w:rPr>
          <w:rFonts w:eastAsia="Times New Roman"/>
          <w:bCs/>
          <w:spacing w:val="-1"/>
          <w:szCs w:val="20"/>
        </w:rPr>
        <w:t>.</w:t>
      </w:r>
    </w:p>
    <w:p w:rsidR="00EE34CA" w:rsidRPr="0009639E" w:rsidRDefault="004521E9" w:rsidP="00AA55EE">
      <w:pPr>
        <w:widowControl/>
        <w:spacing w:before="60"/>
        <w:rPr>
          <w:rFonts w:eastAsia="Times New Roman"/>
          <w:b/>
          <w:bCs/>
          <w:spacing w:val="-1"/>
          <w:szCs w:val="20"/>
        </w:rPr>
      </w:pPr>
      <w:r>
        <w:rPr>
          <w:rFonts w:eastAsia="Times New Roman"/>
          <w:b/>
          <w:bCs/>
          <w:spacing w:val="-1"/>
          <w:szCs w:val="20"/>
        </w:rPr>
        <w:t>Bioaccumulative Potential:</w:t>
      </w:r>
      <w:r w:rsidR="00652654">
        <w:rPr>
          <w:rFonts w:eastAsia="Times New Roman"/>
          <w:bCs/>
          <w:spacing w:val="-1"/>
          <w:szCs w:val="20"/>
        </w:rPr>
        <w:t xml:space="preserve">  </w:t>
      </w:r>
      <w:r w:rsidR="00EE34CA">
        <w:rPr>
          <w:rFonts w:eastAsia="Times New Roman"/>
          <w:bCs/>
          <w:spacing w:val="-1"/>
          <w:szCs w:val="20"/>
        </w:rPr>
        <w:t>No data available.</w:t>
      </w:r>
    </w:p>
    <w:p w:rsidR="004521E9" w:rsidRDefault="004521E9" w:rsidP="00AA55EE">
      <w:pPr>
        <w:widowControl/>
        <w:spacing w:before="60"/>
        <w:rPr>
          <w:rFonts w:eastAsia="Times New Roman"/>
          <w:b/>
          <w:bCs/>
          <w:spacing w:val="-1"/>
          <w:szCs w:val="20"/>
        </w:rPr>
      </w:pPr>
      <w:r>
        <w:rPr>
          <w:rFonts w:eastAsia="Times New Roman"/>
          <w:b/>
          <w:bCs/>
          <w:spacing w:val="-1"/>
          <w:szCs w:val="20"/>
        </w:rPr>
        <w:t>Mobility in Soil:</w:t>
      </w:r>
      <w:r w:rsidR="0009639E" w:rsidRPr="0009639E">
        <w:rPr>
          <w:rFonts w:eastAsia="Times New Roman"/>
          <w:bCs/>
          <w:spacing w:val="-1"/>
          <w:szCs w:val="20"/>
        </w:rPr>
        <w:t xml:space="preserve">  </w:t>
      </w:r>
      <w:r w:rsidR="00B7052B">
        <w:rPr>
          <w:rFonts w:eastAsia="Times New Roman"/>
          <w:bCs/>
          <w:spacing w:val="-1"/>
          <w:szCs w:val="20"/>
        </w:rPr>
        <w:t>No data available.</w:t>
      </w:r>
    </w:p>
    <w:p w:rsidR="004521E9" w:rsidRPr="00B7052B" w:rsidRDefault="004521E9" w:rsidP="00AA55EE">
      <w:pPr>
        <w:widowControl/>
        <w:spacing w:before="60" w:after="120"/>
        <w:rPr>
          <w:rFonts w:eastAsia="Times New Roman"/>
          <w:b/>
          <w:bCs/>
          <w:spacing w:val="-1"/>
          <w:szCs w:val="20"/>
        </w:rPr>
      </w:pPr>
      <w:r>
        <w:rPr>
          <w:rFonts w:eastAsia="Times New Roman"/>
          <w:b/>
          <w:bCs/>
          <w:spacing w:val="-1"/>
          <w:szCs w:val="20"/>
        </w:rPr>
        <w:t>Other Adverse effects:</w:t>
      </w:r>
      <w:r>
        <w:rPr>
          <w:rFonts w:eastAsia="Times New Roman"/>
          <w:bCs/>
          <w:spacing w:val="-1"/>
          <w:szCs w:val="20"/>
        </w:rPr>
        <w:t xml:space="preserve">  </w:t>
      </w:r>
      <w:r w:rsidR="00B7052B">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6B75AB">
            <w:pPr>
              <w:keepNext/>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rsidR="004521E9" w:rsidRPr="001E7A76" w:rsidRDefault="004521E9" w:rsidP="006B75AB">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Pr>
          <w:rFonts w:eastAsia="Times New Roman"/>
          <w:szCs w:val="20"/>
        </w:rPr>
        <w:t>all</w:t>
      </w:r>
      <w:r>
        <w:rPr>
          <w:rFonts w:eastAsia="Times New Roman"/>
          <w:spacing w:val="5"/>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 xml:space="preserve">le </w:t>
      </w:r>
      <w:r>
        <w:rPr>
          <w:rFonts w:eastAsia="Times New Roman"/>
          <w:spacing w:val="-2"/>
          <w:szCs w:val="20"/>
        </w:rPr>
        <w:t>f</w:t>
      </w:r>
      <w:r>
        <w:rPr>
          <w:rFonts w:eastAsia="Times New Roman"/>
          <w:szCs w:val="20"/>
        </w:rPr>
        <w:t>e</w:t>
      </w:r>
      <w:r>
        <w:rPr>
          <w:rFonts w:eastAsia="Times New Roman"/>
          <w:spacing w:val="1"/>
          <w:szCs w:val="20"/>
        </w:rPr>
        <w:t>d</w:t>
      </w:r>
      <w:r>
        <w:rPr>
          <w:rFonts w:eastAsia="Times New Roman"/>
          <w:szCs w:val="20"/>
        </w:rPr>
        <w:t>e</w:t>
      </w:r>
      <w:r>
        <w:rPr>
          <w:rFonts w:eastAsia="Times New Roman"/>
          <w:spacing w:val="1"/>
          <w:szCs w:val="20"/>
        </w:rPr>
        <w:t>r</w:t>
      </w:r>
      <w:r>
        <w:rPr>
          <w:rFonts w:eastAsia="Times New Roman"/>
          <w:szCs w:val="20"/>
        </w:rPr>
        <w:t>al,</w:t>
      </w:r>
      <w:r>
        <w:rPr>
          <w:rFonts w:eastAsia="Times New Roman"/>
          <w:spacing w:val="2"/>
          <w:szCs w:val="20"/>
        </w:rPr>
        <w:t xml:space="preserve"> </w:t>
      </w:r>
      <w:r>
        <w:rPr>
          <w:rFonts w:eastAsia="Times New Roman"/>
          <w:spacing w:val="-1"/>
          <w:szCs w:val="20"/>
        </w:rPr>
        <w:t>s</w:t>
      </w:r>
      <w:r>
        <w:rPr>
          <w:rFonts w:eastAsia="Times New Roman"/>
          <w:szCs w:val="20"/>
        </w:rPr>
        <w:t>tate,</w:t>
      </w:r>
      <w:r>
        <w:rPr>
          <w:rFonts w:eastAsia="Times New Roman"/>
          <w:spacing w:val="4"/>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6"/>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3"/>
          <w:szCs w:val="20"/>
        </w:rPr>
        <w:t xml:space="preserve"> </w:t>
      </w:r>
      <w:r>
        <w:rPr>
          <w:rFonts w:eastAsia="Times New Roman"/>
          <w:spacing w:val="1"/>
          <w:szCs w:val="20"/>
        </w:rPr>
        <w:t>r</w:t>
      </w:r>
      <w:r>
        <w:rPr>
          <w:rFonts w:eastAsia="Times New Roman"/>
          <w:szCs w:val="20"/>
        </w:rPr>
        <w:t>e</w:t>
      </w:r>
      <w:r>
        <w:rPr>
          <w:rFonts w:eastAsia="Times New Roman"/>
          <w:spacing w:val="-1"/>
          <w:szCs w:val="20"/>
        </w:rPr>
        <w:t>gu</w:t>
      </w:r>
      <w:r>
        <w:rPr>
          <w:rFonts w:eastAsia="Times New Roman"/>
          <w:szCs w:val="20"/>
        </w:rPr>
        <w:t>lati</w:t>
      </w:r>
      <w:r>
        <w:rPr>
          <w:rFonts w:eastAsia="Times New Roman"/>
          <w:spacing w:val="1"/>
          <w:szCs w:val="20"/>
        </w:rPr>
        <w:t>o</w:t>
      </w:r>
      <w:r>
        <w:rPr>
          <w:rFonts w:eastAsia="Times New Roman"/>
          <w:spacing w:val="-1"/>
          <w:szCs w:val="20"/>
        </w:rPr>
        <w:t>ns</w:t>
      </w:r>
      <w:r w:rsidR="001E7A76">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4521E9" w:rsidTr="004521E9">
        <w:trPr>
          <w:trHeight w:hRule="exact" w:val="360"/>
        </w:trPr>
        <w:tc>
          <w:tcPr>
            <w:tcW w:w="9576" w:type="dxa"/>
            <w:vAlign w:val="center"/>
          </w:tcPr>
          <w:p w:rsidR="004521E9" w:rsidRDefault="004521E9" w:rsidP="006B75AB">
            <w:pPr>
              <w:keepNext/>
              <w:widowControl/>
              <w:rPr>
                <w:rFonts w:eastAsia="Times New Roman"/>
                <w:bCs/>
                <w:spacing w:val="1"/>
                <w:position w:val="-1"/>
                <w:szCs w:val="20"/>
              </w:rPr>
            </w:pPr>
            <w:r>
              <w:rPr>
                <w:rFonts w:eastAsia="Times New Roman"/>
                <w:b/>
                <w:bCs/>
                <w:sz w:val="24"/>
                <w:szCs w:val="24"/>
              </w:rPr>
              <w:lastRenderedPageBreak/>
              <w:t>14.</w:t>
            </w:r>
            <w:r>
              <w:rPr>
                <w:rFonts w:eastAsia="Times New Roman"/>
                <w:b/>
                <w:bCs/>
                <w:spacing w:val="36"/>
                <w:sz w:val="24"/>
                <w:szCs w:val="24"/>
              </w:rPr>
              <w:t xml:space="preserve"> </w:t>
            </w:r>
            <w:r>
              <w:rPr>
                <w:rFonts w:eastAsia="Times New Roman"/>
                <w:b/>
                <w:bCs/>
                <w:spacing w:val="1"/>
                <w:sz w:val="24"/>
                <w:szCs w:val="24"/>
              </w:rPr>
              <w:t>T</w:t>
            </w:r>
            <w:r>
              <w:rPr>
                <w:rFonts w:eastAsia="Times New Roman"/>
                <w:b/>
                <w:bCs/>
                <w:sz w:val="19"/>
                <w:szCs w:val="19"/>
              </w:rPr>
              <w:t>RANS</w:t>
            </w:r>
            <w:r>
              <w:rPr>
                <w:rFonts w:eastAsia="Times New Roman"/>
                <w:b/>
                <w:bCs/>
                <w:spacing w:val="-1"/>
                <w:sz w:val="19"/>
                <w:szCs w:val="19"/>
              </w:rPr>
              <w:t>PO</w:t>
            </w:r>
            <w:r>
              <w:rPr>
                <w:rFonts w:eastAsia="Times New Roman"/>
                <w:b/>
                <w:bCs/>
                <w:sz w:val="19"/>
                <w:szCs w:val="19"/>
              </w:rPr>
              <w:t>R</w:t>
            </w:r>
            <w:r>
              <w:rPr>
                <w:rFonts w:eastAsia="Times New Roman"/>
                <w:b/>
                <w:bCs/>
                <w:spacing w:val="1"/>
                <w:sz w:val="19"/>
                <w:szCs w:val="19"/>
              </w:rPr>
              <w:t>T</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6"/>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466137" w:rsidRPr="0029714C" w:rsidRDefault="004521E9" w:rsidP="008C4669">
      <w:pPr>
        <w:tabs>
          <w:tab w:val="left" w:pos="0"/>
        </w:tabs>
        <w:spacing w:before="120" w:after="120"/>
        <w:rPr>
          <w:bCs/>
        </w:rPr>
      </w:pPr>
      <w:r w:rsidRPr="001E7A76">
        <w:rPr>
          <w:rFonts w:eastAsia="Times New Roman"/>
          <w:b/>
          <w:bCs/>
          <w:szCs w:val="20"/>
        </w:rPr>
        <w:t>U</w:t>
      </w:r>
      <w:r w:rsidRPr="001E7A76">
        <w:rPr>
          <w:rFonts w:eastAsia="Times New Roman"/>
          <w:b/>
          <w:bCs/>
          <w:spacing w:val="1"/>
          <w:szCs w:val="20"/>
        </w:rPr>
        <w:t>.</w:t>
      </w:r>
      <w:r w:rsidRPr="001E7A76">
        <w:rPr>
          <w:rFonts w:eastAsia="Times New Roman"/>
          <w:b/>
          <w:bCs/>
          <w:szCs w:val="20"/>
        </w:rPr>
        <w:t>S.</w:t>
      </w:r>
      <w:r w:rsidRPr="001E7A76">
        <w:rPr>
          <w:rFonts w:eastAsia="Times New Roman"/>
          <w:b/>
          <w:bCs/>
          <w:spacing w:val="4"/>
          <w:szCs w:val="20"/>
        </w:rPr>
        <w:t xml:space="preserve"> </w:t>
      </w:r>
      <w:r w:rsidRPr="001E7A76">
        <w:rPr>
          <w:rFonts w:eastAsia="Times New Roman"/>
          <w:b/>
          <w:bCs/>
          <w:szCs w:val="20"/>
        </w:rPr>
        <w:t>D</w:t>
      </w:r>
      <w:r w:rsidRPr="001E7A76">
        <w:rPr>
          <w:rFonts w:eastAsia="Times New Roman"/>
          <w:b/>
          <w:bCs/>
          <w:spacing w:val="1"/>
          <w:szCs w:val="20"/>
        </w:rPr>
        <w:t>O</w:t>
      </w:r>
      <w:r w:rsidRPr="001E7A76">
        <w:rPr>
          <w:rFonts w:eastAsia="Times New Roman"/>
          <w:b/>
          <w:bCs/>
          <w:szCs w:val="20"/>
        </w:rPr>
        <w:t>T</w:t>
      </w:r>
      <w:r w:rsidRPr="001E7A76">
        <w:rPr>
          <w:rFonts w:eastAsia="Times New Roman"/>
          <w:b/>
          <w:bCs/>
          <w:spacing w:val="3"/>
          <w:szCs w:val="20"/>
        </w:rPr>
        <w:t xml:space="preserve"> </w:t>
      </w:r>
      <w:r w:rsidRPr="001E7A76">
        <w:rPr>
          <w:rFonts w:eastAsia="Times New Roman"/>
          <w:b/>
          <w:bCs/>
          <w:spacing w:val="1"/>
          <w:szCs w:val="20"/>
        </w:rPr>
        <w:t>a</w:t>
      </w:r>
      <w:r w:rsidRPr="001E7A76">
        <w:rPr>
          <w:rFonts w:eastAsia="Times New Roman"/>
          <w:b/>
          <w:bCs/>
          <w:szCs w:val="20"/>
        </w:rPr>
        <w:t>nd</w:t>
      </w:r>
      <w:r w:rsidRPr="001E7A76">
        <w:rPr>
          <w:rFonts w:eastAsia="Times New Roman"/>
          <w:b/>
          <w:bCs/>
          <w:spacing w:val="4"/>
          <w:szCs w:val="20"/>
        </w:rPr>
        <w:t xml:space="preserve"> </w:t>
      </w:r>
      <w:r w:rsidRPr="001E7A76">
        <w:rPr>
          <w:rFonts w:eastAsia="Times New Roman"/>
          <w:b/>
          <w:bCs/>
          <w:spacing w:val="-1"/>
          <w:szCs w:val="20"/>
        </w:rPr>
        <w:t>I</w:t>
      </w:r>
      <w:r w:rsidRPr="001E7A76">
        <w:rPr>
          <w:rFonts w:eastAsia="Times New Roman"/>
          <w:b/>
          <w:bCs/>
          <w:szCs w:val="20"/>
        </w:rPr>
        <w:t>A</w:t>
      </w:r>
      <w:r w:rsidRPr="001E7A76">
        <w:rPr>
          <w:rFonts w:eastAsia="Times New Roman"/>
          <w:b/>
          <w:bCs/>
          <w:spacing w:val="-1"/>
          <w:szCs w:val="20"/>
        </w:rPr>
        <w:t>T</w:t>
      </w:r>
      <w:r w:rsidRPr="001E7A76">
        <w:rPr>
          <w:rFonts w:eastAsia="Times New Roman"/>
          <w:b/>
          <w:bCs/>
          <w:szCs w:val="20"/>
        </w:rPr>
        <w:t>A</w:t>
      </w:r>
      <w:r w:rsidRPr="0029714C">
        <w:rPr>
          <w:rFonts w:eastAsia="Times New Roman"/>
          <w:b/>
          <w:bCs/>
          <w:szCs w:val="20"/>
        </w:rPr>
        <w:t>:</w:t>
      </w:r>
      <w:r w:rsidRPr="0029714C">
        <w:rPr>
          <w:rFonts w:eastAsia="Times New Roman"/>
          <w:bCs/>
          <w:szCs w:val="20"/>
        </w:rPr>
        <w:t xml:space="preserve"> </w:t>
      </w:r>
      <w:r w:rsidRPr="0029714C">
        <w:rPr>
          <w:rFonts w:eastAsia="Times New Roman"/>
          <w:bCs/>
          <w:spacing w:val="10"/>
          <w:szCs w:val="20"/>
        </w:rPr>
        <w:t xml:space="preserve"> </w:t>
      </w:r>
      <w:r w:rsidR="008C4669" w:rsidRPr="0029714C">
        <w:rPr>
          <w:bCs/>
        </w:rPr>
        <w:t xml:space="preserve">This material is </w:t>
      </w:r>
      <w:r w:rsidR="00840169">
        <w:rPr>
          <w:bCs/>
        </w:rPr>
        <w:t xml:space="preserve">not regulated by </w:t>
      </w:r>
      <w:r w:rsidR="00840169" w:rsidRPr="0029714C">
        <w:rPr>
          <w:bCs/>
        </w:rPr>
        <w:t>DOT</w:t>
      </w:r>
      <w:r w:rsidR="00840169" w:rsidRPr="0029714C">
        <w:rPr>
          <w:bCs/>
        </w:rPr>
        <w:t xml:space="preserve"> </w:t>
      </w:r>
      <w:r w:rsidR="008C4669" w:rsidRPr="0029714C">
        <w:rPr>
          <w:bCs/>
        </w:rPr>
        <w:t>in non-bulk packaging or</w:t>
      </w:r>
      <w:r w:rsidR="00840169">
        <w:rPr>
          <w:bCs/>
        </w:rPr>
        <w:t xml:space="preserve"> </w:t>
      </w:r>
      <w:bookmarkStart w:id="1" w:name="_GoBack"/>
      <w:bookmarkEnd w:id="1"/>
      <w:r w:rsidR="00840169">
        <w:rPr>
          <w:bCs/>
        </w:rPr>
        <w:t>by</w:t>
      </w:r>
      <w:r w:rsidR="008C4669" w:rsidRPr="0029714C">
        <w:rPr>
          <w:bCs/>
        </w:rPr>
        <w:t xml:space="preserve"> IATA</w:t>
      </w:r>
      <w:r w:rsidR="001E7A76" w:rsidRPr="0029714C">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3D5857" w:rsidTr="003D5857">
        <w:trPr>
          <w:trHeight w:hRule="exact" w:val="360"/>
        </w:trPr>
        <w:tc>
          <w:tcPr>
            <w:tcW w:w="9576" w:type="dxa"/>
            <w:vAlign w:val="center"/>
          </w:tcPr>
          <w:p w:rsidR="003D5857" w:rsidRDefault="003D5857" w:rsidP="006B75AB">
            <w:pPr>
              <w:keepNext/>
              <w:widowControl/>
              <w:rPr>
                <w:rFonts w:eastAsia="Times New Roman"/>
                <w:bCs/>
                <w:spacing w:val="1"/>
                <w:position w:val="-1"/>
                <w:szCs w:val="20"/>
              </w:rPr>
            </w:pPr>
            <w:r>
              <w:rPr>
                <w:rFonts w:eastAsia="Times New Roman"/>
                <w:b/>
                <w:bCs/>
                <w:sz w:val="24"/>
                <w:szCs w:val="24"/>
              </w:rPr>
              <w:t>15.</w:t>
            </w:r>
            <w:r>
              <w:rPr>
                <w:rFonts w:eastAsia="Times New Roman"/>
                <w:b/>
                <w:bCs/>
                <w:spacing w:val="36"/>
                <w:sz w:val="24"/>
                <w:szCs w:val="24"/>
              </w:rPr>
              <w:t xml:space="preserve"> </w:t>
            </w:r>
            <w:r>
              <w:rPr>
                <w:rFonts w:eastAsia="Times New Roman"/>
                <w:b/>
                <w:bCs/>
                <w:sz w:val="24"/>
                <w:szCs w:val="24"/>
              </w:rPr>
              <w:t>R</w:t>
            </w:r>
            <w:r>
              <w:rPr>
                <w:rFonts w:eastAsia="Times New Roman"/>
                <w:b/>
                <w:bCs/>
                <w:spacing w:val="1"/>
                <w:sz w:val="19"/>
                <w:szCs w:val="19"/>
              </w:rPr>
              <w:t>E</w:t>
            </w:r>
            <w:r>
              <w:rPr>
                <w:rFonts w:eastAsia="Times New Roman"/>
                <w:b/>
                <w:bCs/>
                <w:spacing w:val="-1"/>
                <w:sz w:val="19"/>
                <w:szCs w:val="19"/>
              </w:rPr>
              <w:t>G</w:t>
            </w:r>
            <w:r>
              <w:rPr>
                <w:rFonts w:eastAsia="Times New Roman"/>
                <w:b/>
                <w:bCs/>
                <w:sz w:val="19"/>
                <w:szCs w:val="19"/>
              </w:rPr>
              <w:t>U</w:t>
            </w:r>
            <w:r>
              <w:rPr>
                <w:rFonts w:eastAsia="Times New Roman"/>
                <w:b/>
                <w:bCs/>
                <w:spacing w:val="1"/>
                <w:sz w:val="19"/>
                <w:szCs w:val="19"/>
              </w:rPr>
              <w:t>L</w:t>
            </w:r>
            <w:r>
              <w:rPr>
                <w:rFonts w:eastAsia="Times New Roman"/>
                <w:b/>
                <w:bCs/>
                <w:sz w:val="19"/>
                <w:szCs w:val="19"/>
              </w:rPr>
              <w:t>A</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RY</w:t>
            </w:r>
            <w:r>
              <w:rPr>
                <w:rFonts w:eastAsia="Times New Roman"/>
                <w:b/>
                <w:bCs/>
                <w:spacing w:val="-11"/>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rsidR="003D5857" w:rsidRDefault="003D5857" w:rsidP="006B75AB">
      <w:pPr>
        <w:keepNext/>
        <w:widowControl/>
        <w:spacing w:before="120"/>
        <w:rPr>
          <w:rFonts w:eastAsia="Times New Roman"/>
          <w:bCs/>
          <w:spacing w:val="1"/>
          <w:position w:val="-1"/>
          <w:szCs w:val="20"/>
        </w:rPr>
      </w:pPr>
      <w:r>
        <w:rPr>
          <w:rFonts w:eastAsia="Times New Roman"/>
          <w:b/>
          <w:bCs/>
          <w:szCs w:val="20"/>
        </w:rPr>
        <w:t>U</w:t>
      </w:r>
      <w:r>
        <w:rPr>
          <w:rFonts w:eastAsia="Times New Roman"/>
          <w:b/>
          <w:bCs/>
          <w:spacing w:val="1"/>
          <w:szCs w:val="20"/>
        </w:rPr>
        <w:t>.</w:t>
      </w:r>
      <w:r>
        <w:rPr>
          <w:rFonts w:eastAsia="Times New Roman"/>
          <w:b/>
          <w:bCs/>
          <w:szCs w:val="20"/>
        </w:rPr>
        <w:t>S.</w:t>
      </w:r>
      <w:r>
        <w:rPr>
          <w:rFonts w:eastAsia="Times New Roman"/>
          <w:b/>
          <w:bCs/>
          <w:spacing w:val="-3"/>
          <w:szCs w:val="20"/>
        </w:rPr>
        <w:t xml:space="preserve"> </w:t>
      </w:r>
      <w:r>
        <w:rPr>
          <w:rFonts w:eastAsia="Times New Roman"/>
          <w:b/>
          <w:bCs/>
          <w:szCs w:val="20"/>
        </w:rPr>
        <w:t>R</w:t>
      </w:r>
      <w:r w:rsidR="008E1B26">
        <w:rPr>
          <w:rFonts w:eastAsia="Times New Roman"/>
          <w:b/>
          <w:bCs/>
          <w:szCs w:val="20"/>
        </w:rPr>
        <w:t>egulations</w:t>
      </w:r>
    </w:p>
    <w:p w:rsidR="003D5857" w:rsidRDefault="003D5857" w:rsidP="009F4E12">
      <w:pPr>
        <w:widowControl/>
        <w:spacing w:before="40"/>
        <w:ind w:left="360"/>
        <w:rPr>
          <w:rFonts w:eastAsia="Times New Roman"/>
          <w:szCs w:val="20"/>
        </w:rPr>
      </w:pPr>
      <w:r>
        <w:rPr>
          <w:rFonts w:eastAsia="Times New Roman"/>
          <w:spacing w:val="-1"/>
          <w:szCs w:val="20"/>
        </w:rPr>
        <w:t>C</w:t>
      </w:r>
      <w:r>
        <w:rPr>
          <w:rFonts w:eastAsia="Times New Roman"/>
          <w:spacing w:val="1"/>
          <w:szCs w:val="20"/>
        </w:rPr>
        <w:t>E</w:t>
      </w:r>
      <w:r>
        <w:rPr>
          <w:rFonts w:eastAsia="Times New Roman"/>
          <w:spacing w:val="-1"/>
          <w:szCs w:val="20"/>
        </w:rPr>
        <w:t>RC</w:t>
      </w:r>
      <w:r>
        <w:rPr>
          <w:rFonts w:eastAsia="Times New Roman"/>
          <w:spacing w:val="-2"/>
          <w:szCs w:val="20"/>
        </w:rPr>
        <w:t>L</w:t>
      </w:r>
      <w:r>
        <w:rPr>
          <w:rFonts w:eastAsia="Times New Roman"/>
          <w:szCs w:val="20"/>
        </w:rPr>
        <w:t>A</w:t>
      </w:r>
      <w:r>
        <w:rPr>
          <w:rFonts w:eastAsia="Times New Roman"/>
          <w:spacing w:val="-10"/>
          <w:szCs w:val="20"/>
        </w:rPr>
        <w:t xml:space="preserve"> </w:t>
      </w:r>
      <w:r>
        <w:rPr>
          <w:rFonts w:eastAsia="Times New Roman"/>
          <w:szCs w:val="20"/>
        </w:rPr>
        <w:t>Secti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7"/>
          <w:szCs w:val="20"/>
        </w:rPr>
        <w:t xml:space="preserve"> </w:t>
      </w:r>
      <w:r>
        <w:rPr>
          <w:rFonts w:eastAsia="Times New Roman"/>
          <w:spacing w:val="1"/>
          <w:szCs w:val="20"/>
        </w:rPr>
        <w:t>102</w:t>
      </w:r>
      <w:r>
        <w:rPr>
          <w:rFonts w:eastAsia="Times New Roman"/>
          <w:szCs w:val="20"/>
        </w:rPr>
        <w:t>a/</w:t>
      </w:r>
      <w:r>
        <w:rPr>
          <w:rFonts w:eastAsia="Times New Roman"/>
          <w:spacing w:val="1"/>
          <w:szCs w:val="20"/>
        </w:rPr>
        <w:t>10</w:t>
      </w:r>
      <w:r>
        <w:rPr>
          <w:rFonts w:eastAsia="Times New Roman"/>
          <w:szCs w:val="20"/>
        </w:rPr>
        <w:t>3</w:t>
      </w:r>
      <w:r>
        <w:rPr>
          <w:rFonts w:eastAsia="Times New Roman"/>
          <w:spacing w:val="-5"/>
          <w:szCs w:val="20"/>
        </w:rPr>
        <w:t xml:space="preserve"> </w:t>
      </w:r>
      <w:r>
        <w:rPr>
          <w:rFonts w:eastAsia="Times New Roman"/>
          <w:spacing w:val="1"/>
          <w:szCs w:val="20"/>
        </w:rPr>
        <w:t>(4</w:t>
      </w:r>
      <w:r>
        <w:rPr>
          <w:rFonts w:eastAsia="Times New Roman"/>
          <w:szCs w:val="20"/>
        </w:rPr>
        <w:t>0</w:t>
      </w:r>
      <w:r>
        <w:rPr>
          <w:rFonts w:eastAsia="Times New Roman"/>
          <w:spacing w:val="-1"/>
          <w:szCs w:val="20"/>
        </w:rPr>
        <w:t xml:space="preserve"> C</w:t>
      </w:r>
      <w:r>
        <w:rPr>
          <w:rFonts w:eastAsia="Times New Roman"/>
          <w:szCs w:val="20"/>
        </w:rPr>
        <w:t>FR</w:t>
      </w:r>
      <w:r>
        <w:rPr>
          <w:rFonts w:eastAsia="Times New Roman"/>
          <w:spacing w:val="-4"/>
          <w:szCs w:val="20"/>
        </w:rPr>
        <w:t xml:space="preserve"> </w:t>
      </w:r>
      <w:r>
        <w:rPr>
          <w:rFonts w:eastAsia="Times New Roman"/>
          <w:spacing w:val="1"/>
          <w:szCs w:val="20"/>
        </w:rPr>
        <w:t>302.4)</w:t>
      </w:r>
      <w:r>
        <w:rPr>
          <w:rFonts w:eastAsia="Times New Roman"/>
          <w:szCs w:val="20"/>
        </w:rPr>
        <w:t>:</w:t>
      </w:r>
      <w:r w:rsidR="001E7A76">
        <w:rPr>
          <w:rFonts w:eastAsia="Times New Roman"/>
          <w:szCs w:val="20"/>
        </w:rPr>
        <w:t xml:space="preserve">  Not regulated.</w:t>
      </w:r>
    </w:p>
    <w:p w:rsidR="003D5857" w:rsidRDefault="003D5857" w:rsidP="009F4E12">
      <w:pPr>
        <w:widowControl/>
        <w:spacing w:before="40"/>
        <w:ind w:left="360"/>
        <w:rPr>
          <w:rFonts w:eastAsia="Times New Roman"/>
          <w:szCs w:val="20"/>
        </w:rPr>
      </w:pPr>
      <w:r>
        <w:rPr>
          <w:rFonts w:eastAsia="Times New Roman"/>
          <w:szCs w:val="20"/>
        </w:rPr>
        <w:t>S</w:t>
      </w:r>
      <w:r>
        <w:rPr>
          <w:rFonts w:eastAsia="Times New Roman"/>
          <w:spacing w:val="-2"/>
          <w:szCs w:val="20"/>
        </w:rPr>
        <w:t>A</w:t>
      </w:r>
      <w:r>
        <w:rPr>
          <w:rFonts w:eastAsia="Times New Roman"/>
          <w:spacing w:val="-1"/>
          <w:szCs w:val="20"/>
        </w:rPr>
        <w:t>R</w:t>
      </w:r>
      <w:r>
        <w:rPr>
          <w:rFonts w:eastAsia="Times New Roman"/>
          <w:szCs w:val="20"/>
        </w:rPr>
        <w:t>A</w:t>
      </w:r>
      <w:r>
        <w:rPr>
          <w:rFonts w:eastAsia="Times New Roman"/>
          <w:spacing w:val="-7"/>
          <w:szCs w:val="20"/>
        </w:rPr>
        <w:t xml:space="preserve"> </w:t>
      </w:r>
      <w:r>
        <w:rPr>
          <w:rFonts w:eastAsia="Times New Roman"/>
          <w:spacing w:val="3"/>
          <w:szCs w:val="20"/>
        </w:rPr>
        <w:t>T</w:t>
      </w:r>
      <w:r>
        <w:rPr>
          <w:rFonts w:eastAsia="Times New Roman"/>
          <w:szCs w:val="20"/>
        </w:rPr>
        <w:t>itle</w:t>
      </w:r>
      <w:r>
        <w:rPr>
          <w:rFonts w:eastAsia="Times New Roman"/>
          <w:spacing w:val="-3"/>
          <w:szCs w:val="20"/>
        </w:rPr>
        <w:t xml:space="preserve"> </w:t>
      </w:r>
      <w:r>
        <w:rPr>
          <w:rFonts w:eastAsia="Times New Roman"/>
          <w:spacing w:val="1"/>
          <w:szCs w:val="20"/>
        </w:rPr>
        <w:t>II</w:t>
      </w:r>
      <w:r>
        <w:rPr>
          <w:rFonts w:eastAsia="Times New Roman"/>
          <w:szCs w:val="20"/>
        </w:rPr>
        <w:t>I</w:t>
      </w:r>
      <w:r>
        <w:rPr>
          <w:rFonts w:eastAsia="Times New Roman"/>
          <w:spacing w:val="-1"/>
          <w:szCs w:val="20"/>
        </w:rPr>
        <w:t xml:space="preserve"> </w:t>
      </w:r>
      <w:r>
        <w:rPr>
          <w:rFonts w:eastAsia="Times New Roman"/>
          <w:szCs w:val="20"/>
        </w:rPr>
        <w:t>Secti</w:t>
      </w:r>
      <w:r>
        <w:rPr>
          <w:rFonts w:eastAsia="Times New Roman"/>
          <w:spacing w:val="1"/>
          <w:szCs w:val="20"/>
        </w:rPr>
        <w:t>o</w:t>
      </w:r>
      <w:r>
        <w:rPr>
          <w:rFonts w:eastAsia="Times New Roman"/>
          <w:szCs w:val="20"/>
        </w:rPr>
        <w:t>n</w:t>
      </w:r>
      <w:r>
        <w:rPr>
          <w:rFonts w:eastAsia="Times New Roman"/>
          <w:spacing w:val="-7"/>
          <w:szCs w:val="20"/>
        </w:rPr>
        <w:t xml:space="preserve"> </w:t>
      </w:r>
      <w:r>
        <w:rPr>
          <w:rFonts w:eastAsia="Times New Roman"/>
          <w:spacing w:val="1"/>
          <w:szCs w:val="20"/>
        </w:rPr>
        <w:t>30</w:t>
      </w:r>
      <w:r>
        <w:rPr>
          <w:rFonts w:eastAsia="Times New Roman"/>
          <w:szCs w:val="20"/>
        </w:rPr>
        <w:t>2</w:t>
      </w:r>
      <w:r>
        <w:rPr>
          <w:rFonts w:eastAsia="Times New Roman"/>
          <w:spacing w:val="-1"/>
          <w:szCs w:val="20"/>
        </w:rPr>
        <w:t xml:space="preserve"> </w:t>
      </w:r>
      <w:r>
        <w:rPr>
          <w:rFonts w:eastAsia="Times New Roman"/>
          <w:spacing w:val="1"/>
          <w:szCs w:val="20"/>
        </w:rPr>
        <w:t>(4</w:t>
      </w:r>
      <w:r>
        <w:rPr>
          <w:rFonts w:eastAsia="Times New Roman"/>
          <w:szCs w:val="20"/>
        </w:rPr>
        <w:t>0</w:t>
      </w:r>
      <w:r>
        <w:rPr>
          <w:rFonts w:eastAsia="Times New Roman"/>
          <w:spacing w:val="-1"/>
          <w:szCs w:val="20"/>
        </w:rPr>
        <w:t xml:space="preserve"> C</w:t>
      </w:r>
      <w:r>
        <w:rPr>
          <w:rFonts w:eastAsia="Times New Roman"/>
          <w:szCs w:val="20"/>
        </w:rPr>
        <w:t>FR</w:t>
      </w:r>
      <w:r>
        <w:rPr>
          <w:rFonts w:eastAsia="Times New Roman"/>
          <w:spacing w:val="-4"/>
          <w:szCs w:val="20"/>
        </w:rPr>
        <w:t xml:space="preserve"> </w:t>
      </w:r>
      <w:r>
        <w:rPr>
          <w:rFonts w:eastAsia="Times New Roman"/>
          <w:spacing w:val="1"/>
          <w:szCs w:val="20"/>
        </w:rPr>
        <w:t>355.30)</w:t>
      </w:r>
      <w:r>
        <w:rPr>
          <w:rFonts w:eastAsia="Times New Roman"/>
          <w:szCs w:val="20"/>
        </w:rPr>
        <w:t>:</w:t>
      </w:r>
      <w:r w:rsidR="001E7A76">
        <w:rPr>
          <w:rFonts w:eastAsia="Times New Roman"/>
          <w:szCs w:val="20"/>
        </w:rPr>
        <w:t xml:space="preserve">  </w:t>
      </w:r>
      <w:r w:rsidR="00B7052B">
        <w:rPr>
          <w:rFonts w:eastAsia="Times New Roman"/>
          <w:szCs w:val="20"/>
        </w:rPr>
        <w:t>Not regulated.</w:t>
      </w:r>
    </w:p>
    <w:p w:rsidR="003D5857" w:rsidRDefault="003D5857" w:rsidP="009F4E12">
      <w:pPr>
        <w:widowControl/>
        <w:spacing w:before="40"/>
        <w:ind w:left="360"/>
        <w:rPr>
          <w:rFonts w:eastAsia="Times New Roman"/>
          <w:szCs w:val="20"/>
        </w:rPr>
      </w:pPr>
      <w:r>
        <w:rPr>
          <w:rFonts w:eastAsia="Times New Roman"/>
          <w:szCs w:val="20"/>
        </w:rPr>
        <w:t>S</w:t>
      </w:r>
      <w:r>
        <w:rPr>
          <w:rFonts w:eastAsia="Times New Roman"/>
          <w:spacing w:val="-2"/>
          <w:szCs w:val="20"/>
        </w:rPr>
        <w:t>A</w:t>
      </w:r>
      <w:r>
        <w:rPr>
          <w:rFonts w:eastAsia="Times New Roman"/>
          <w:spacing w:val="-1"/>
          <w:szCs w:val="20"/>
        </w:rPr>
        <w:t>R</w:t>
      </w:r>
      <w:r>
        <w:rPr>
          <w:rFonts w:eastAsia="Times New Roman"/>
          <w:szCs w:val="20"/>
        </w:rPr>
        <w:t>A</w:t>
      </w:r>
      <w:r>
        <w:rPr>
          <w:rFonts w:eastAsia="Times New Roman"/>
          <w:spacing w:val="-7"/>
          <w:szCs w:val="20"/>
        </w:rPr>
        <w:t xml:space="preserve"> </w:t>
      </w:r>
      <w:r>
        <w:rPr>
          <w:rFonts w:eastAsia="Times New Roman"/>
          <w:spacing w:val="3"/>
          <w:szCs w:val="20"/>
        </w:rPr>
        <w:t>T</w:t>
      </w:r>
      <w:r>
        <w:rPr>
          <w:rFonts w:eastAsia="Times New Roman"/>
          <w:szCs w:val="20"/>
        </w:rPr>
        <w:t>itle</w:t>
      </w:r>
      <w:r>
        <w:rPr>
          <w:rFonts w:eastAsia="Times New Roman"/>
          <w:spacing w:val="-3"/>
          <w:szCs w:val="20"/>
        </w:rPr>
        <w:t xml:space="preserve"> </w:t>
      </w:r>
      <w:r>
        <w:rPr>
          <w:rFonts w:eastAsia="Times New Roman"/>
          <w:spacing w:val="1"/>
          <w:szCs w:val="20"/>
        </w:rPr>
        <w:t>II</w:t>
      </w:r>
      <w:r>
        <w:rPr>
          <w:rFonts w:eastAsia="Times New Roman"/>
          <w:szCs w:val="20"/>
        </w:rPr>
        <w:t>I</w:t>
      </w:r>
      <w:r>
        <w:rPr>
          <w:rFonts w:eastAsia="Times New Roman"/>
          <w:spacing w:val="-1"/>
          <w:szCs w:val="20"/>
        </w:rPr>
        <w:t xml:space="preserve"> </w:t>
      </w:r>
      <w:r>
        <w:rPr>
          <w:rFonts w:eastAsia="Times New Roman"/>
          <w:szCs w:val="20"/>
        </w:rPr>
        <w:t>Secti</w:t>
      </w:r>
      <w:r>
        <w:rPr>
          <w:rFonts w:eastAsia="Times New Roman"/>
          <w:spacing w:val="1"/>
          <w:szCs w:val="20"/>
        </w:rPr>
        <w:t>o</w:t>
      </w:r>
      <w:r>
        <w:rPr>
          <w:rFonts w:eastAsia="Times New Roman"/>
          <w:szCs w:val="20"/>
        </w:rPr>
        <w:t>n</w:t>
      </w:r>
      <w:r>
        <w:rPr>
          <w:rFonts w:eastAsia="Times New Roman"/>
          <w:spacing w:val="-7"/>
          <w:szCs w:val="20"/>
        </w:rPr>
        <w:t xml:space="preserve"> </w:t>
      </w:r>
      <w:r>
        <w:rPr>
          <w:rFonts w:eastAsia="Times New Roman"/>
          <w:spacing w:val="1"/>
          <w:szCs w:val="20"/>
        </w:rPr>
        <w:t>30</w:t>
      </w:r>
      <w:r>
        <w:rPr>
          <w:rFonts w:eastAsia="Times New Roman"/>
          <w:szCs w:val="20"/>
        </w:rPr>
        <w:t>4</w:t>
      </w:r>
      <w:r>
        <w:rPr>
          <w:rFonts w:eastAsia="Times New Roman"/>
          <w:spacing w:val="-1"/>
          <w:szCs w:val="20"/>
        </w:rPr>
        <w:t xml:space="preserve"> </w:t>
      </w:r>
      <w:r>
        <w:rPr>
          <w:rFonts w:eastAsia="Times New Roman"/>
          <w:spacing w:val="1"/>
          <w:szCs w:val="20"/>
        </w:rPr>
        <w:t>(4</w:t>
      </w:r>
      <w:r>
        <w:rPr>
          <w:rFonts w:eastAsia="Times New Roman"/>
          <w:szCs w:val="20"/>
        </w:rPr>
        <w:t>0</w:t>
      </w:r>
      <w:r>
        <w:rPr>
          <w:rFonts w:eastAsia="Times New Roman"/>
          <w:spacing w:val="-1"/>
          <w:szCs w:val="20"/>
        </w:rPr>
        <w:t xml:space="preserve"> C</w:t>
      </w:r>
      <w:r>
        <w:rPr>
          <w:rFonts w:eastAsia="Times New Roman"/>
          <w:szCs w:val="20"/>
        </w:rPr>
        <w:t>FR</w:t>
      </w:r>
      <w:r>
        <w:rPr>
          <w:rFonts w:eastAsia="Times New Roman"/>
          <w:spacing w:val="-4"/>
          <w:szCs w:val="20"/>
        </w:rPr>
        <w:t xml:space="preserve"> </w:t>
      </w:r>
      <w:r>
        <w:rPr>
          <w:rFonts w:eastAsia="Times New Roman"/>
          <w:spacing w:val="1"/>
          <w:szCs w:val="20"/>
        </w:rPr>
        <w:t>355.40)</w:t>
      </w:r>
      <w:r>
        <w:rPr>
          <w:rFonts w:eastAsia="Times New Roman"/>
          <w:szCs w:val="20"/>
        </w:rPr>
        <w:t>:</w:t>
      </w:r>
      <w:r w:rsidR="001E7A76">
        <w:rPr>
          <w:rFonts w:eastAsia="Times New Roman"/>
          <w:szCs w:val="20"/>
        </w:rPr>
        <w:t xml:space="preserve">  </w:t>
      </w:r>
      <w:r w:rsidR="00B7052B">
        <w:rPr>
          <w:rFonts w:eastAsia="Times New Roman"/>
          <w:szCs w:val="20"/>
        </w:rPr>
        <w:t>Not regulated.</w:t>
      </w:r>
    </w:p>
    <w:p w:rsidR="003D5857" w:rsidRDefault="003D5857" w:rsidP="009F4E12">
      <w:pPr>
        <w:widowControl/>
        <w:spacing w:before="40"/>
        <w:ind w:left="360"/>
        <w:rPr>
          <w:rFonts w:eastAsia="Times New Roman"/>
          <w:szCs w:val="20"/>
        </w:rPr>
      </w:pPr>
      <w:r>
        <w:rPr>
          <w:rFonts w:eastAsia="Times New Roman"/>
          <w:szCs w:val="20"/>
        </w:rPr>
        <w:t>S</w:t>
      </w:r>
      <w:r>
        <w:rPr>
          <w:rFonts w:eastAsia="Times New Roman"/>
          <w:spacing w:val="-2"/>
          <w:szCs w:val="20"/>
        </w:rPr>
        <w:t>A</w:t>
      </w:r>
      <w:r>
        <w:rPr>
          <w:rFonts w:eastAsia="Times New Roman"/>
          <w:spacing w:val="-1"/>
          <w:szCs w:val="20"/>
        </w:rPr>
        <w:t>R</w:t>
      </w:r>
      <w:r>
        <w:rPr>
          <w:rFonts w:eastAsia="Times New Roman"/>
          <w:szCs w:val="20"/>
        </w:rPr>
        <w:t>A</w:t>
      </w:r>
      <w:r>
        <w:rPr>
          <w:rFonts w:eastAsia="Times New Roman"/>
          <w:spacing w:val="-7"/>
          <w:szCs w:val="20"/>
        </w:rPr>
        <w:t xml:space="preserve"> </w:t>
      </w:r>
      <w:r>
        <w:rPr>
          <w:rFonts w:eastAsia="Times New Roman"/>
          <w:spacing w:val="3"/>
          <w:szCs w:val="20"/>
        </w:rPr>
        <w:t>T</w:t>
      </w:r>
      <w:r>
        <w:rPr>
          <w:rFonts w:eastAsia="Times New Roman"/>
          <w:szCs w:val="20"/>
        </w:rPr>
        <w:t>itle</w:t>
      </w:r>
      <w:r>
        <w:rPr>
          <w:rFonts w:eastAsia="Times New Roman"/>
          <w:spacing w:val="-3"/>
          <w:szCs w:val="20"/>
        </w:rPr>
        <w:t xml:space="preserve"> </w:t>
      </w:r>
      <w:r>
        <w:rPr>
          <w:rFonts w:eastAsia="Times New Roman"/>
          <w:spacing w:val="1"/>
          <w:szCs w:val="20"/>
        </w:rPr>
        <w:t>II</w:t>
      </w:r>
      <w:r>
        <w:rPr>
          <w:rFonts w:eastAsia="Times New Roman"/>
          <w:szCs w:val="20"/>
        </w:rPr>
        <w:t>I</w:t>
      </w:r>
      <w:r>
        <w:rPr>
          <w:rFonts w:eastAsia="Times New Roman"/>
          <w:spacing w:val="-1"/>
          <w:szCs w:val="20"/>
        </w:rPr>
        <w:t xml:space="preserve"> </w:t>
      </w:r>
      <w:r>
        <w:rPr>
          <w:rFonts w:eastAsia="Times New Roman"/>
          <w:szCs w:val="20"/>
        </w:rPr>
        <w:t>Secti</w:t>
      </w:r>
      <w:r>
        <w:rPr>
          <w:rFonts w:eastAsia="Times New Roman"/>
          <w:spacing w:val="1"/>
          <w:szCs w:val="20"/>
        </w:rPr>
        <w:t>o</w:t>
      </w:r>
      <w:r>
        <w:rPr>
          <w:rFonts w:eastAsia="Times New Roman"/>
          <w:szCs w:val="20"/>
        </w:rPr>
        <w:t>n</w:t>
      </w:r>
      <w:r>
        <w:rPr>
          <w:rFonts w:eastAsia="Times New Roman"/>
          <w:spacing w:val="-7"/>
          <w:szCs w:val="20"/>
        </w:rPr>
        <w:t xml:space="preserve"> </w:t>
      </w:r>
      <w:r>
        <w:rPr>
          <w:rFonts w:eastAsia="Times New Roman"/>
          <w:spacing w:val="1"/>
          <w:szCs w:val="20"/>
        </w:rPr>
        <w:t>31</w:t>
      </w:r>
      <w:r>
        <w:rPr>
          <w:rFonts w:eastAsia="Times New Roman"/>
          <w:szCs w:val="20"/>
        </w:rPr>
        <w:t>3</w:t>
      </w:r>
      <w:r>
        <w:rPr>
          <w:rFonts w:eastAsia="Times New Roman"/>
          <w:spacing w:val="-1"/>
          <w:szCs w:val="20"/>
        </w:rPr>
        <w:t xml:space="preserve"> </w:t>
      </w:r>
      <w:r>
        <w:rPr>
          <w:rFonts w:eastAsia="Times New Roman"/>
          <w:spacing w:val="1"/>
          <w:szCs w:val="20"/>
        </w:rPr>
        <w:t>(4</w:t>
      </w:r>
      <w:r>
        <w:rPr>
          <w:rFonts w:eastAsia="Times New Roman"/>
          <w:szCs w:val="20"/>
        </w:rPr>
        <w:t>0</w:t>
      </w:r>
      <w:r>
        <w:rPr>
          <w:rFonts w:eastAsia="Times New Roman"/>
          <w:spacing w:val="-1"/>
          <w:szCs w:val="20"/>
        </w:rPr>
        <w:t xml:space="preserve"> C</w:t>
      </w:r>
      <w:r>
        <w:rPr>
          <w:rFonts w:eastAsia="Times New Roman"/>
          <w:szCs w:val="20"/>
        </w:rPr>
        <w:t>FR</w:t>
      </w:r>
      <w:r>
        <w:rPr>
          <w:rFonts w:eastAsia="Times New Roman"/>
          <w:spacing w:val="-4"/>
          <w:szCs w:val="20"/>
        </w:rPr>
        <w:t xml:space="preserve"> </w:t>
      </w:r>
      <w:r>
        <w:rPr>
          <w:rFonts w:eastAsia="Times New Roman"/>
          <w:spacing w:val="1"/>
          <w:szCs w:val="20"/>
        </w:rPr>
        <w:t>372.65)</w:t>
      </w:r>
      <w:r>
        <w:rPr>
          <w:rFonts w:eastAsia="Times New Roman"/>
          <w:szCs w:val="20"/>
        </w:rPr>
        <w:t>:</w:t>
      </w:r>
      <w:r w:rsidR="001E7A76">
        <w:rPr>
          <w:rFonts w:eastAsia="Times New Roman"/>
          <w:szCs w:val="20"/>
        </w:rPr>
        <w:t xml:space="preserve">  Not regulated.</w:t>
      </w:r>
    </w:p>
    <w:p w:rsidR="003D5857" w:rsidRDefault="003D5857" w:rsidP="009F4E12">
      <w:pPr>
        <w:widowControl/>
        <w:spacing w:before="40"/>
        <w:ind w:left="360"/>
        <w:rPr>
          <w:rFonts w:eastAsia="Times New Roman"/>
          <w:szCs w:val="20"/>
        </w:rPr>
      </w:pPr>
      <w:r>
        <w:rPr>
          <w:rFonts w:eastAsia="Times New Roman"/>
          <w:szCs w:val="20"/>
        </w:rPr>
        <w:t>OSHA</w:t>
      </w:r>
      <w:r>
        <w:rPr>
          <w:rFonts w:eastAsia="Times New Roman"/>
          <w:spacing w:val="-7"/>
          <w:szCs w:val="20"/>
        </w:rPr>
        <w:t xml:space="preserve"> </w:t>
      </w:r>
      <w:r>
        <w:rPr>
          <w:rFonts w:eastAsia="Times New Roman"/>
          <w:spacing w:val="2"/>
          <w:szCs w:val="20"/>
        </w:rPr>
        <w:t>P</w:t>
      </w:r>
      <w:r>
        <w:rPr>
          <w:rFonts w:eastAsia="Times New Roman"/>
          <w:spacing w:val="1"/>
          <w:szCs w:val="20"/>
        </w:rPr>
        <w:t>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6"/>
          <w:szCs w:val="20"/>
        </w:rPr>
        <w:t xml:space="preserve"> </w:t>
      </w:r>
      <w:r>
        <w:rPr>
          <w:rFonts w:eastAsia="Times New Roman"/>
          <w:szCs w:val="20"/>
        </w:rPr>
        <w:t>Sa</w:t>
      </w:r>
      <w:r>
        <w:rPr>
          <w:rFonts w:eastAsia="Times New Roman"/>
          <w:spacing w:val="-2"/>
          <w:szCs w:val="20"/>
        </w:rPr>
        <w:t>f</w:t>
      </w:r>
      <w:r>
        <w:rPr>
          <w:rFonts w:eastAsia="Times New Roman"/>
          <w:szCs w:val="20"/>
        </w:rPr>
        <w:t>ety</w:t>
      </w:r>
      <w:r>
        <w:rPr>
          <w:rFonts w:eastAsia="Times New Roman"/>
          <w:spacing w:val="-8"/>
          <w:szCs w:val="20"/>
        </w:rPr>
        <w:t xml:space="preserve"> </w:t>
      </w:r>
      <w:r>
        <w:rPr>
          <w:rFonts w:eastAsia="Times New Roman"/>
          <w:spacing w:val="1"/>
          <w:szCs w:val="20"/>
        </w:rPr>
        <w:t>(2</w:t>
      </w:r>
      <w:r>
        <w:rPr>
          <w:rFonts w:eastAsia="Times New Roman"/>
          <w:szCs w:val="20"/>
        </w:rPr>
        <w:t>9</w:t>
      </w:r>
      <w:r>
        <w:rPr>
          <w:rFonts w:eastAsia="Times New Roman"/>
          <w:spacing w:val="-1"/>
          <w:szCs w:val="20"/>
        </w:rPr>
        <w:t xml:space="preserve"> C</w:t>
      </w:r>
      <w:r>
        <w:rPr>
          <w:rFonts w:eastAsia="Times New Roman"/>
          <w:szCs w:val="20"/>
        </w:rPr>
        <w:t>FR</w:t>
      </w:r>
      <w:r>
        <w:rPr>
          <w:rFonts w:eastAsia="Times New Roman"/>
          <w:spacing w:val="-4"/>
          <w:szCs w:val="20"/>
        </w:rPr>
        <w:t xml:space="preserve"> </w:t>
      </w:r>
      <w:r>
        <w:rPr>
          <w:rFonts w:eastAsia="Times New Roman"/>
          <w:spacing w:val="1"/>
          <w:szCs w:val="20"/>
        </w:rPr>
        <w:t>1910.119)</w:t>
      </w:r>
      <w:r>
        <w:rPr>
          <w:rFonts w:eastAsia="Times New Roman"/>
          <w:szCs w:val="20"/>
        </w:rPr>
        <w:t>:</w:t>
      </w:r>
      <w:r w:rsidR="001E7A76">
        <w:rPr>
          <w:rFonts w:eastAsia="Times New Roman"/>
          <w:szCs w:val="20"/>
        </w:rPr>
        <w:t xml:space="preserve">  </w:t>
      </w:r>
      <w:r w:rsidR="00B7052B">
        <w:rPr>
          <w:rFonts w:eastAsia="Times New Roman"/>
          <w:szCs w:val="20"/>
        </w:rPr>
        <w:t>Not regulated.</w:t>
      </w:r>
    </w:p>
    <w:p w:rsidR="003D5857" w:rsidRDefault="003D5857" w:rsidP="009F4E12">
      <w:pPr>
        <w:keepNext/>
        <w:widowControl/>
        <w:spacing w:before="40"/>
        <w:ind w:left="360"/>
        <w:rPr>
          <w:rFonts w:eastAsia="Times New Roman"/>
          <w:spacing w:val="1"/>
          <w:szCs w:val="20"/>
        </w:rPr>
      </w:pPr>
      <w:r>
        <w:rPr>
          <w:rFonts w:eastAsia="Times New Roman"/>
          <w:szCs w:val="20"/>
        </w:rPr>
        <w:t>S</w:t>
      </w:r>
      <w:r>
        <w:rPr>
          <w:rFonts w:eastAsia="Times New Roman"/>
          <w:spacing w:val="-2"/>
          <w:szCs w:val="20"/>
        </w:rPr>
        <w:t>A</w:t>
      </w:r>
      <w:r>
        <w:rPr>
          <w:rFonts w:eastAsia="Times New Roman"/>
          <w:spacing w:val="-1"/>
          <w:szCs w:val="20"/>
        </w:rPr>
        <w:t>R</w:t>
      </w:r>
      <w:r>
        <w:rPr>
          <w:rFonts w:eastAsia="Times New Roman"/>
          <w:szCs w:val="20"/>
        </w:rPr>
        <w:t>A</w:t>
      </w:r>
      <w:r>
        <w:rPr>
          <w:rFonts w:eastAsia="Times New Roman"/>
          <w:spacing w:val="-7"/>
          <w:szCs w:val="20"/>
        </w:rPr>
        <w:t xml:space="preserve"> </w:t>
      </w:r>
      <w:r>
        <w:rPr>
          <w:rFonts w:eastAsia="Times New Roman"/>
          <w:spacing w:val="3"/>
          <w:szCs w:val="20"/>
        </w:rPr>
        <w:t>T</w:t>
      </w:r>
      <w:r>
        <w:rPr>
          <w:rFonts w:eastAsia="Times New Roman"/>
          <w:szCs w:val="20"/>
        </w:rPr>
        <w:t>itle</w:t>
      </w:r>
      <w:r>
        <w:rPr>
          <w:rFonts w:eastAsia="Times New Roman"/>
          <w:spacing w:val="-3"/>
          <w:szCs w:val="20"/>
        </w:rPr>
        <w:t xml:space="preserve"> </w:t>
      </w:r>
      <w:r>
        <w:rPr>
          <w:rFonts w:eastAsia="Times New Roman"/>
          <w:spacing w:val="1"/>
          <w:szCs w:val="20"/>
        </w:rPr>
        <w:t>II</w:t>
      </w:r>
      <w:r>
        <w:rPr>
          <w:rFonts w:eastAsia="Times New Roman"/>
          <w:szCs w:val="20"/>
        </w:rPr>
        <w:t>I</w:t>
      </w:r>
      <w:r>
        <w:rPr>
          <w:rFonts w:eastAsia="Times New Roman"/>
          <w:spacing w:val="-1"/>
          <w:szCs w:val="20"/>
        </w:rPr>
        <w:t xml:space="preserve"> </w:t>
      </w:r>
      <w:r>
        <w:rPr>
          <w:rFonts w:eastAsia="Times New Roman"/>
          <w:szCs w:val="20"/>
        </w:rPr>
        <w:t>Secti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7"/>
          <w:szCs w:val="20"/>
        </w:rPr>
        <w:t xml:space="preserve"> </w:t>
      </w:r>
      <w:r>
        <w:rPr>
          <w:rFonts w:eastAsia="Times New Roman"/>
          <w:spacing w:val="1"/>
          <w:szCs w:val="20"/>
        </w:rPr>
        <w:t>311</w:t>
      </w:r>
      <w:r>
        <w:rPr>
          <w:rFonts w:eastAsia="Times New Roman"/>
          <w:szCs w:val="20"/>
        </w:rPr>
        <w:t>/</w:t>
      </w:r>
      <w:r>
        <w:rPr>
          <w:rFonts w:eastAsia="Times New Roman"/>
          <w:spacing w:val="1"/>
          <w:szCs w:val="20"/>
        </w:rPr>
        <w:t>31</w:t>
      </w:r>
      <w:r>
        <w:rPr>
          <w:rFonts w:eastAsia="Times New Roman"/>
          <w:szCs w:val="20"/>
        </w:rPr>
        <w:t>2</w:t>
      </w:r>
      <w:r>
        <w:rPr>
          <w:rFonts w:eastAsia="Times New Roman"/>
          <w:spacing w:val="-5"/>
          <w:szCs w:val="20"/>
        </w:rPr>
        <w:t xml:space="preserve"> </w:t>
      </w:r>
      <w:r>
        <w:rPr>
          <w:rFonts w:eastAsia="Times New Roman"/>
          <w:szCs w:val="20"/>
        </w:rPr>
        <w:t>Haza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9"/>
          <w:szCs w:val="20"/>
        </w:rPr>
        <w:t xml:space="preserve"> </w:t>
      </w:r>
      <w:r>
        <w:rPr>
          <w:rFonts w:eastAsia="Times New Roman"/>
          <w:spacing w:val="-1"/>
          <w:szCs w:val="20"/>
        </w:rPr>
        <w:t>C</w:t>
      </w:r>
      <w:r>
        <w:rPr>
          <w:rFonts w:eastAsia="Times New Roman"/>
          <w:szCs w:val="20"/>
        </w:rPr>
        <w:t>ate</w:t>
      </w:r>
      <w:r>
        <w:rPr>
          <w:rFonts w:eastAsia="Times New Roman"/>
          <w:spacing w:val="-1"/>
          <w:szCs w:val="20"/>
        </w:rPr>
        <w:t>g</w:t>
      </w:r>
      <w:r>
        <w:rPr>
          <w:rFonts w:eastAsia="Times New Roman"/>
          <w:spacing w:val="1"/>
          <w:szCs w:val="20"/>
        </w:rPr>
        <w:t>or</w:t>
      </w:r>
      <w:r>
        <w:rPr>
          <w:rFonts w:eastAsia="Times New Roman"/>
          <w:szCs w:val="20"/>
        </w:rPr>
        <w:t>ies</w:t>
      </w:r>
      <w:r>
        <w:rPr>
          <w:rFonts w:eastAsia="Times New Roman"/>
          <w:spacing w:val="-9"/>
          <w:szCs w:val="20"/>
        </w:rPr>
        <w:t xml:space="preserve"> </w:t>
      </w:r>
      <w:r>
        <w:rPr>
          <w:rFonts w:eastAsia="Times New Roman"/>
          <w:spacing w:val="1"/>
          <w:szCs w:val="20"/>
        </w:rPr>
        <w:t>(4</w:t>
      </w:r>
      <w:r>
        <w:rPr>
          <w:rFonts w:eastAsia="Times New Roman"/>
          <w:szCs w:val="20"/>
        </w:rPr>
        <w:t>0</w:t>
      </w:r>
      <w:r>
        <w:rPr>
          <w:rFonts w:eastAsia="Times New Roman"/>
          <w:spacing w:val="-1"/>
          <w:szCs w:val="20"/>
        </w:rPr>
        <w:t xml:space="preserve"> C</w:t>
      </w:r>
      <w:r>
        <w:rPr>
          <w:rFonts w:eastAsia="Times New Roman"/>
          <w:szCs w:val="20"/>
        </w:rPr>
        <w:t>FR</w:t>
      </w:r>
      <w:r>
        <w:rPr>
          <w:rFonts w:eastAsia="Times New Roman"/>
          <w:spacing w:val="-4"/>
          <w:szCs w:val="20"/>
        </w:rPr>
        <w:t xml:space="preserve"> </w:t>
      </w:r>
      <w:r>
        <w:rPr>
          <w:rFonts w:eastAsia="Times New Roman"/>
          <w:spacing w:val="1"/>
          <w:szCs w:val="20"/>
        </w:rPr>
        <w:t>370.21)</w:t>
      </w:r>
    </w:p>
    <w:p w:rsidR="003D5857" w:rsidRDefault="003D5857" w:rsidP="006B75AB">
      <w:pPr>
        <w:keepNext/>
        <w:widowControl/>
        <w:tabs>
          <w:tab w:val="left" w:pos="3240"/>
        </w:tabs>
        <w:spacing w:before="60"/>
        <w:ind w:left="940"/>
        <w:rPr>
          <w:rFonts w:eastAsia="Times New Roman"/>
          <w:szCs w:val="20"/>
        </w:rPr>
      </w:pPr>
      <w:r>
        <w:rPr>
          <w:rFonts w:eastAsia="Times New Roman"/>
          <w:spacing w:val="-2"/>
          <w:szCs w:val="20"/>
        </w:rPr>
        <w:t>A</w:t>
      </w:r>
      <w:r>
        <w:rPr>
          <w:rFonts w:eastAsia="Times New Roman"/>
          <w:spacing w:val="-1"/>
          <w:szCs w:val="20"/>
        </w:rPr>
        <w:t>C</w:t>
      </w:r>
      <w:r>
        <w:rPr>
          <w:rFonts w:eastAsia="Times New Roman"/>
          <w:szCs w:val="20"/>
        </w:rPr>
        <w:t>U</w:t>
      </w:r>
      <w:r>
        <w:rPr>
          <w:rFonts w:eastAsia="Times New Roman"/>
          <w:spacing w:val="3"/>
          <w:szCs w:val="20"/>
        </w:rPr>
        <w:t>T</w:t>
      </w:r>
      <w:r>
        <w:rPr>
          <w:rFonts w:eastAsia="Times New Roman"/>
          <w:szCs w:val="20"/>
        </w:rPr>
        <w:t>E</w:t>
      </w:r>
      <w:r>
        <w:rPr>
          <w:rFonts w:eastAsia="Times New Roman"/>
          <w:spacing w:val="-6"/>
          <w:szCs w:val="20"/>
        </w:rPr>
        <w:t xml:space="preserve"> </w:t>
      </w:r>
      <w:r>
        <w:rPr>
          <w:rFonts w:eastAsia="Times New Roman"/>
          <w:szCs w:val="20"/>
        </w:rPr>
        <w:t>H</w:t>
      </w:r>
      <w:r>
        <w:rPr>
          <w:rFonts w:eastAsia="Times New Roman"/>
          <w:spacing w:val="1"/>
          <w:szCs w:val="20"/>
        </w:rPr>
        <w:t>E</w:t>
      </w:r>
      <w:r>
        <w:rPr>
          <w:rFonts w:eastAsia="Times New Roman"/>
          <w:spacing w:val="-2"/>
          <w:szCs w:val="20"/>
        </w:rPr>
        <w:t>AL</w:t>
      </w:r>
      <w:r>
        <w:rPr>
          <w:rFonts w:eastAsia="Times New Roman"/>
          <w:spacing w:val="3"/>
          <w:szCs w:val="20"/>
        </w:rPr>
        <w:t>T</w:t>
      </w:r>
      <w:r>
        <w:rPr>
          <w:rFonts w:eastAsia="Times New Roman"/>
          <w:szCs w:val="20"/>
        </w:rPr>
        <w:t>H:</w:t>
      </w:r>
      <w:r w:rsidR="009F6A9E">
        <w:rPr>
          <w:rFonts w:eastAsia="Times New Roman"/>
          <w:szCs w:val="20"/>
        </w:rPr>
        <w:tab/>
      </w:r>
      <w:r w:rsidR="00B7052B">
        <w:rPr>
          <w:rFonts w:eastAsia="Times New Roman"/>
          <w:szCs w:val="20"/>
        </w:rPr>
        <w:t>No</w:t>
      </w:r>
    </w:p>
    <w:p w:rsidR="003D5857" w:rsidRDefault="003D5857" w:rsidP="006B75AB">
      <w:pPr>
        <w:keepNext/>
        <w:widowControl/>
        <w:tabs>
          <w:tab w:val="left" w:pos="3240"/>
        </w:tabs>
        <w:ind w:left="940"/>
        <w:rPr>
          <w:rFonts w:eastAsia="Times New Roman"/>
          <w:szCs w:val="20"/>
        </w:rPr>
      </w:pPr>
      <w:r>
        <w:rPr>
          <w:rFonts w:eastAsia="Times New Roman"/>
          <w:spacing w:val="-1"/>
          <w:szCs w:val="20"/>
        </w:rPr>
        <w:t>C</w:t>
      </w:r>
      <w:r>
        <w:rPr>
          <w:rFonts w:eastAsia="Times New Roman"/>
          <w:szCs w:val="20"/>
        </w:rPr>
        <w:t>H</w:t>
      </w:r>
      <w:r>
        <w:rPr>
          <w:rFonts w:eastAsia="Times New Roman"/>
          <w:spacing w:val="-1"/>
          <w:szCs w:val="20"/>
        </w:rPr>
        <w:t>R</w:t>
      </w:r>
      <w:r>
        <w:rPr>
          <w:rFonts w:eastAsia="Times New Roman"/>
          <w:szCs w:val="20"/>
        </w:rPr>
        <w:t>ON</w:t>
      </w:r>
      <w:r>
        <w:rPr>
          <w:rFonts w:eastAsia="Times New Roman"/>
          <w:spacing w:val="1"/>
          <w:szCs w:val="20"/>
        </w:rPr>
        <w:t>I</w:t>
      </w:r>
      <w:r>
        <w:rPr>
          <w:rFonts w:eastAsia="Times New Roman"/>
          <w:szCs w:val="20"/>
        </w:rPr>
        <w:t>C</w:t>
      </w:r>
      <w:r>
        <w:rPr>
          <w:rFonts w:eastAsia="Times New Roman"/>
          <w:spacing w:val="-10"/>
          <w:szCs w:val="20"/>
        </w:rPr>
        <w:t xml:space="preserve"> </w:t>
      </w:r>
      <w:r>
        <w:rPr>
          <w:rFonts w:eastAsia="Times New Roman"/>
          <w:szCs w:val="20"/>
        </w:rPr>
        <w:t>H</w:t>
      </w:r>
      <w:r>
        <w:rPr>
          <w:rFonts w:eastAsia="Times New Roman"/>
          <w:spacing w:val="1"/>
          <w:szCs w:val="20"/>
        </w:rPr>
        <w:t>E</w:t>
      </w:r>
      <w:r>
        <w:rPr>
          <w:rFonts w:eastAsia="Times New Roman"/>
          <w:spacing w:val="-2"/>
          <w:szCs w:val="20"/>
        </w:rPr>
        <w:t>AL</w:t>
      </w:r>
      <w:r>
        <w:rPr>
          <w:rFonts w:eastAsia="Times New Roman"/>
          <w:spacing w:val="3"/>
          <w:szCs w:val="20"/>
        </w:rPr>
        <w:t>T</w:t>
      </w:r>
      <w:r>
        <w:rPr>
          <w:rFonts w:eastAsia="Times New Roman"/>
          <w:szCs w:val="20"/>
        </w:rPr>
        <w:t>H:</w:t>
      </w:r>
      <w:r w:rsidR="009F6A9E">
        <w:rPr>
          <w:rFonts w:eastAsia="Times New Roman"/>
          <w:szCs w:val="20"/>
        </w:rPr>
        <w:tab/>
      </w:r>
      <w:r w:rsidR="00B7052B">
        <w:rPr>
          <w:rFonts w:eastAsia="Times New Roman"/>
          <w:szCs w:val="20"/>
        </w:rPr>
        <w:t>Yes</w:t>
      </w:r>
    </w:p>
    <w:p w:rsidR="003D5857" w:rsidRDefault="003D5857" w:rsidP="006B75AB">
      <w:pPr>
        <w:keepNext/>
        <w:widowControl/>
        <w:tabs>
          <w:tab w:val="left" w:pos="3240"/>
        </w:tabs>
        <w:ind w:left="940"/>
        <w:rPr>
          <w:rFonts w:eastAsia="Times New Roman"/>
          <w:szCs w:val="20"/>
        </w:rPr>
      </w:pPr>
      <w:r>
        <w:rPr>
          <w:rFonts w:eastAsia="Times New Roman"/>
          <w:szCs w:val="20"/>
        </w:rPr>
        <w:t>F</w:t>
      </w:r>
      <w:r>
        <w:rPr>
          <w:rFonts w:eastAsia="Times New Roman"/>
          <w:spacing w:val="1"/>
          <w:szCs w:val="20"/>
        </w:rPr>
        <w:t>I</w:t>
      </w:r>
      <w:r>
        <w:rPr>
          <w:rFonts w:eastAsia="Times New Roman"/>
          <w:spacing w:val="-1"/>
          <w:szCs w:val="20"/>
        </w:rPr>
        <w:t>R</w:t>
      </w:r>
      <w:r>
        <w:rPr>
          <w:rFonts w:eastAsia="Times New Roman"/>
          <w:spacing w:val="1"/>
          <w:szCs w:val="20"/>
        </w:rPr>
        <w:t>E</w:t>
      </w:r>
      <w:r>
        <w:rPr>
          <w:rFonts w:eastAsia="Times New Roman"/>
          <w:szCs w:val="20"/>
        </w:rPr>
        <w:t>:</w:t>
      </w:r>
      <w:r w:rsidR="009F6A9E">
        <w:rPr>
          <w:rFonts w:eastAsia="Times New Roman"/>
          <w:szCs w:val="20"/>
        </w:rPr>
        <w:tab/>
      </w:r>
      <w:r w:rsidR="008A57C6">
        <w:rPr>
          <w:rFonts w:eastAsia="Times New Roman"/>
          <w:szCs w:val="20"/>
        </w:rPr>
        <w:t>Yes</w:t>
      </w:r>
    </w:p>
    <w:p w:rsidR="003D5857" w:rsidRDefault="003D5857" w:rsidP="006B75AB">
      <w:pPr>
        <w:keepNext/>
        <w:widowControl/>
        <w:tabs>
          <w:tab w:val="left" w:pos="3240"/>
        </w:tabs>
        <w:ind w:left="940"/>
        <w:rPr>
          <w:rFonts w:eastAsia="Times New Roman"/>
          <w:szCs w:val="20"/>
        </w:rPr>
      </w:pPr>
      <w:r>
        <w:rPr>
          <w:rFonts w:eastAsia="Times New Roman"/>
          <w:spacing w:val="-1"/>
          <w:szCs w:val="20"/>
        </w:rPr>
        <w:t>R</w:t>
      </w:r>
      <w:r>
        <w:rPr>
          <w:rFonts w:eastAsia="Times New Roman"/>
          <w:spacing w:val="1"/>
          <w:szCs w:val="20"/>
        </w:rPr>
        <w:t>E</w:t>
      </w:r>
      <w:r>
        <w:rPr>
          <w:rFonts w:eastAsia="Times New Roman"/>
          <w:spacing w:val="-2"/>
          <w:szCs w:val="20"/>
        </w:rPr>
        <w:t>A</w:t>
      </w:r>
      <w:r>
        <w:rPr>
          <w:rFonts w:eastAsia="Times New Roman"/>
          <w:spacing w:val="-1"/>
          <w:szCs w:val="20"/>
        </w:rPr>
        <w:t>C</w:t>
      </w:r>
      <w:r>
        <w:rPr>
          <w:rFonts w:eastAsia="Times New Roman"/>
          <w:spacing w:val="3"/>
          <w:szCs w:val="20"/>
        </w:rPr>
        <w:t>T</w:t>
      </w:r>
      <w:r>
        <w:rPr>
          <w:rFonts w:eastAsia="Times New Roman"/>
          <w:spacing w:val="1"/>
          <w:szCs w:val="20"/>
        </w:rPr>
        <w:t>I</w:t>
      </w:r>
      <w:r>
        <w:rPr>
          <w:rFonts w:eastAsia="Times New Roman"/>
          <w:szCs w:val="20"/>
        </w:rPr>
        <w:t>V</w:t>
      </w:r>
      <w:r>
        <w:rPr>
          <w:rFonts w:eastAsia="Times New Roman"/>
          <w:spacing w:val="1"/>
          <w:szCs w:val="20"/>
        </w:rPr>
        <w:t>E</w:t>
      </w:r>
      <w:r>
        <w:rPr>
          <w:rFonts w:eastAsia="Times New Roman"/>
          <w:szCs w:val="20"/>
        </w:rPr>
        <w:t>:</w:t>
      </w:r>
      <w:r w:rsidR="009F6A9E">
        <w:rPr>
          <w:rFonts w:eastAsia="Times New Roman"/>
          <w:szCs w:val="20"/>
        </w:rPr>
        <w:tab/>
        <w:t>No</w:t>
      </w:r>
    </w:p>
    <w:p w:rsidR="003D5857" w:rsidRPr="003D5857" w:rsidRDefault="003D5857" w:rsidP="006B75AB">
      <w:pPr>
        <w:widowControl/>
        <w:tabs>
          <w:tab w:val="left" w:pos="3240"/>
        </w:tabs>
        <w:ind w:left="940"/>
        <w:rPr>
          <w:rFonts w:eastAsia="Times New Roman"/>
          <w:szCs w:val="20"/>
        </w:rPr>
      </w:pPr>
      <w:r>
        <w:rPr>
          <w:rFonts w:eastAsia="Times New Roman"/>
          <w:spacing w:val="2"/>
          <w:szCs w:val="20"/>
        </w:rPr>
        <w:t>P</w:t>
      </w:r>
      <w:r>
        <w:rPr>
          <w:rFonts w:eastAsia="Times New Roman"/>
          <w:spacing w:val="-1"/>
          <w:szCs w:val="20"/>
        </w:rPr>
        <w:t>R</w:t>
      </w:r>
      <w:r>
        <w:rPr>
          <w:rFonts w:eastAsia="Times New Roman"/>
          <w:spacing w:val="1"/>
          <w:szCs w:val="20"/>
        </w:rPr>
        <w:t>E</w:t>
      </w:r>
      <w:r>
        <w:rPr>
          <w:rFonts w:eastAsia="Times New Roman"/>
          <w:szCs w:val="20"/>
        </w:rPr>
        <w:t>SSU</w:t>
      </w:r>
      <w:r>
        <w:rPr>
          <w:rFonts w:eastAsia="Times New Roman"/>
          <w:spacing w:val="-1"/>
          <w:szCs w:val="20"/>
        </w:rPr>
        <w:t>R</w:t>
      </w:r>
      <w:r>
        <w:rPr>
          <w:rFonts w:eastAsia="Times New Roman"/>
          <w:spacing w:val="1"/>
          <w:szCs w:val="20"/>
        </w:rPr>
        <w:t>E</w:t>
      </w:r>
      <w:r>
        <w:rPr>
          <w:rFonts w:eastAsia="Times New Roman"/>
          <w:szCs w:val="20"/>
        </w:rPr>
        <w:t>:</w:t>
      </w:r>
      <w:r w:rsidR="009F6A9E">
        <w:rPr>
          <w:rFonts w:eastAsia="Times New Roman"/>
          <w:szCs w:val="20"/>
        </w:rPr>
        <w:tab/>
      </w:r>
      <w:r w:rsidR="00B7052B">
        <w:rPr>
          <w:rFonts w:eastAsia="Times New Roman"/>
          <w:szCs w:val="20"/>
        </w:rPr>
        <w:t>No</w:t>
      </w:r>
    </w:p>
    <w:p w:rsidR="003D5857" w:rsidRPr="003D5857" w:rsidRDefault="003D5857" w:rsidP="00E12D28">
      <w:pPr>
        <w:keepNext/>
        <w:widowControl/>
        <w:spacing w:before="60"/>
        <w:rPr>
          <w:rFonts w:eastAsia="Times New Roman"/>
          <w:szCs w:val="20"/>
        </w:rPr>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Not listed.</w:t>
      </w:r>
    </w:p>
    <w:p w:rsidR="004521E9" w:rsidRPr="001E7A76" w:rsidRDefault="008E1B26" w:rsidP="00E12D28">
      <w:pPr>
        <w:keepNext/>
        <w:widowControl/>
        <w:spacing w:before="6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8A57C6">
        <w:rPr>
          <w:rFonts w:eastAsia="Times New Roman"/>
          <w:bCs/>
          <w:szCs w:val="20"/>
        </w:rPr>
        <w:t>Fuel oil No</w:t>
      </w:r>
      <w:r w:rsidR="002F1207">
        <w:rPr>
          <w:rFonts w:eastAsia="Times New Roman"/>
          <w:bCs/>
          <w:szCs w:val="20"/>
        </w:rPr>
        <w:t>.</w:t>
      </w:r>
      <w:r w:rsidR="008A57C6">
        <w:rPr>
          <w:rFonts w:eastAsia="Times New Roman"/>
          <w:bCs/>
          <w:szCs w:val="20"/>
        </w:rPr>
        <w:t xml:space="preserve"> 6 is</w:t>
      </w:r>
      <w:r w:rsidR="001E7A76">
        <w:rPr>
          <w:rFonts w:eastAsia="Times New Roman"/>
          <w:bCs/>
          <w:szCs w:val="20"/>
        </w:rPr>
        <w:t xml:space="preserve"> listed.</w:t>
      </w:r>
    </w:p>
    <w:p w:rsidR="003D5857" w:rsidRPr="001E7A76" w:rsidRDefault="003D5857" w:rsidP="00E12D28">
      <w:pPr>
        <w:widowControl/>
        <w:spacing w:before="60"/>
        <w:rPr>
          <w:rFonts w:eastAsia="Times New Roman"/>
          <w:bCs/>
          <w:szCs w:val="20"/>
        </w:rPr>
      </w:pPr>
      <w:r>
        <w:rPr>
          <w:rFonts w:eastAsia="Times New Roman"/>
          <w:b/>
          <w:bCs/>
          <w:spacing w:val="-1"/>
          <w:szCs w:val="20"/>
        </w:rPr>
        <w:t>T</w:t>
      </w:r>
      <w:r>
        <w:rPr>
          <w:rFonts w:eastAsia="Times New Roman"/>
          <w:b/>
          <w:bCs/>
          <w:szCs w:val="20"/>
        </w:rPr>
        <w:t>SCA</w:t>
      </w:r>
      <w:r>
        <w:rPr>
          <w:rFonts w:eastAsia="Times New Roman"/>
          <w:b/>
          <w:bCs/>
          <w:spacing w:val="-4"/>
          <w:szCs w:val="20"/>
        </w:rPr>
        <w:t xml:space="preserve"> </w:t>
      </w:r>
      <w:r>
        <w:rPr>
          <w:rFonts w:eastAsia="Times New Roman"/>
          <w:b/>
          <w:bCs/>
          <w:spacing w:val="1"/>
          <w:szCs w:val="20"/>
        </w:rPr>
        <w:t>12(</w:t>
      </w:r>
      <w:r>
        <w:rPr>
          <w:rFonts w:eastAsia="Times New Roman"/>
          <w:b/>
          <w:bCs/>
          <w:szCs w:val="20"/>
        </w:rPr>
        <w:t>b</w:t>
      </w:r>
      <w:r>
        <w:rPr>
          <w:rFonts w:eastAsia="Times New Roman"/>
          <w:b/>
          <w:bCs/>
          <w:spacing w:val="1"/>
          <w:szCs w:val="20"/>
        </w:rPr>
        <w:t>)</w:t>
      </w:r>
      <w:r>
        <w:rPr>
          <w:rFonts w:eastAsia="Times New Roman"/>
          <w:b/>
          <w:bCs/>
          <w:szCs w:val="20"/>
        </w:rPr>
        <w:t>,</w:t>
      </w:r>
      <w:r>
        <w:rPr>
          <w:rFonts w:eastAsia="Times New Roman"/>
          <w:b/>
          <w:bCs/>
          <w:spacing w:val="-4"/>
          <w:szCs w:val="20"/>
        </w:rPr>
        <w:t xml:space="preserve"> </w:t>
      </w: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zCs w:val="20"/>
        </w:rPr>
        <w:t>rt</w:t>
      </w:r>
      <w:r>
        <w:rPr>
          <w:rFonts w:eastAsia="Times New Roman"/>
          <w:b/>
          <w:bCs/>
          <w:spacing w:val="-5"/>
          <w:szCs w:val="20"/>
        </w:rPr>
        <w:t xml:space="preserve"> </w:t>
      </w:r>
      <w:r>
        <w:rPr>
          <w:rFonts w:eastAsia="Times New Roman"/>
          <w:b/>
          <w:bCs/>
          <w:szCs w:val="20"/>
        </w:rPr>
        <w:t>N</w:t>
      </w:r>
      <w:r>
        <w:rPr>
          <w:rFonts w:eastAsia="Times New Roman"/>
          <w:b/>
          <w:bCs/>
          <w:spacing w:val="1"/>
          <w:szCs w:val="20"/>
        </w:rPr>
        <w:t>ot</w:t>
      </w:r>
      <w:r>
        <w:rPr>
          <w:rFonts w:eastAsia="Times New Roman"/>
          <w:b/>
          <w:bCs/>
          <w:szCs w:val="20"/>
        </w:rPr>
        <w:t>i</w:t>
      </w:r>
      <w:r>
        <w:rPr>
          <w:rFonts w:eastAsia="Times New Roman"/>
          <w:b/>
          <w:bCs/>
          <w:spacing w:val="1"/>
          <w:szCs w:val="20"/>
        </w:rPr>
        <w:t>f</w:t>
      </w:r>
      <w:r>
        <w:rPr>
          <w:rFonts w:eastAsia="Times New Roman"/>
          <w:b/>
          <w:bCs/>
          <w:szCs w:val="20"/>
        </w:rPr>
        <w:t>ic</w:t>
      </w:r>
      <w:r>
        <w:rPr>
          <w:rFonts w:eastAsia="Times New Roman"/>
          <w:b/>
          <w:bCs/>
          <w:spacing w:val="1"/>
          <w:szCs w:val="20"/>
        </w:rPr>
        <w:t>at</w:t>
      </w:r>
      <w:r>
        <w:rPr>
          <w:rFonts w:eastAsia="Times New Roman"/>
          <w:b/>
          <w:bCs/>
          <w:szCs w:val="20"/>
        </w:rPr>
        <w:t>i</w:t>
      </w:r>
      <w:r>
        <w:rPr>
          <w:rFonts w:eastAsia="Times New Roman"/>
          <w:b/>
          <w:bCs/>
          <w:spacing w:val="1"/>
          <w:szCs w:val="20"/>
        </w:rPr>
        <w:t>o</w:t>
      </w:r>
      <w:r>
        <w:rPr>
          <w:rFonts w:eastAsia="Times New Roman"/>
          <w:b/>
          <w:bCs/>
          <w:szCs w:val="20"/>
        </w:rPr>
        <w:t>n:</w:t>
      </w:r>
      <w:r w:rsidR="001E7A76">
        <w:rPr>
          <w:rFonts w:eastAsia="Times New Roman"/>
          <w:bCs/>
          <w:szCs w:val="20"/>
        </w:rPr>
        <w:t xml:space="preserve">  Not listed.</w:t>
      </w:r>
    </w:p>
    <w:p w:rsidR="003D5857" w:rsidRDefault="003D5857" w:rsidP="00E12D28">
      <w:pPr>
        <w:widowControl/>
        <w:spacing w:before="60" w:after="120"/>
        <w:rPr>
          <w:rFonts w:eastAsia="Times New Roman"/>
          <w:b/>
          <w:bCs/>
          <w:szCs w:val="20"/>
        </w:rPr>
      </w:pPr>
      <w:r>
        <w:rPr>
          <w:rFonts w:eastAsia="Times New Roman"/>
          <w:b/>
          <w:bCs/>
          <w:szCs w:val="20"/>
        </w:rPr>
        <w:t>C</w:t>
      </w:r>
      <w:r w:rsidR="00F64644">
        <w:rPr>
          <w:rFonts w:eastAsia="Times New Roman"/>
          <w:b/>
          <w:bCs/>
          <w:szCs w:val="20"/>
        </w:rPr>
        <w:t>anadian Regulations</w:t>
      </w:r>
      <w:r w:rsidR="0095497C">
        <w:rPr>
          <w:rFonts w:eastAsia="Times New Roman"/>
          <w:b/>
          <w:bCs/>
          <w:szCs w:val="20"/>
        </w:rPr>
        <w:t>:</w:t>
      </w:r>
      <w:r w:rsidR="0095497C" w:rsidRPr="008A57C6">
        <w:rPr>
          <w:rFonts w:eastAsia="Times New Roman"/>
          <w:bCs/>
          <w:szCs w:val="20"/>
        </w:rPr>
        <w:t xml:space="preserve">  </w:t>
      </w:r>
      <w:r>
        <w:rPr>
          <w:rFonts w:eastAsia="Times New Roman"/>
          <w:spacing w:val="2"/>
          <w:szCs w:val="20"/>
        </w:rPr>
        <w:t>W</w:t>
      </w:r>
      <w:r>
        <w:rPr>
          <w:rFonts w:eastAsia="Times New Roman"/>
          <w:szCs w:val="20"/>
        </w:rPr>
        <w:t>H</w:t>
      </w:r>
      <w:r>
        <w:rPr>
          <w:rFonts w:eastAsia="Times New Roman"/>
          <w:spacing w:val="1"/>
          <w:szCs w:val="20"/>
        </w:rPr>
        <w:t>MI</w:t>
      </w:r>
      <w:r>
        <w:rPr>
          <w:rFonts w:eastAsia="Times New Roman"/>
          <w:szCs w:val="20"/>
        </w:rPr>
        <w:t>S</w:t>
      </w:r>
      <w:r>
        <w:rPr>
          <w:rFonts w:eastAsia="Times New Roman"/>
          <w:spacing w:val="-7"/>
          <w:szCs w:val="20"/>
        </w:rPr>
        <w:t xml:space="preserve"> </w:t>
      </w:r>
      <w:r>
        <w:rPr>
          <w:rFonts w:eastAsia="Times New Roman"/>
          <w:spacing w:val="1"/>
          <w:szCs w:val="20"/>
        </w:rPr>
        <w:t>I</w:t>
      </w:r>
      <w:r>
        <w:rPr>
          <w:rFonts w:eastAsia="Times New Roman"/>
          <w:spacing w:val="-1"/>
          <w:szCs w:val="20"/>
        </w:rPr>
        <w:t>n</w:t>
      </w:r>
      <w:r>
        <w:rPr>
          <w:rFonts w:eastAsia="Times New Roman"/>
          <w:spacing w:val="-2"/>
          <w:szCs w:val="20"/>
        </w:rPr>
        <w:t>f</w:t>
      </w:r>
      <w:r>
        <w:rPr>
          <w:rFonts w:eastAsia="Times New Roman"/>
          <w:spacing w:val="1"/>
          <w:szCs w:val="20"/>
        </w:rPr>
        <w:t>or</w:t>
      </w:r>
      <w:r>
        <w:rPr>
          <w:rFonts w:eastAsia="Times New Roman"/>
          <w:spacing w:val="-4"/>
          <w:szCs w:val="20"/>
        </w:rPr>
        <w:t>m</w:t>
      </w:r>
      <w:r>
        <w:rPr>
          <w:rFonts w:eastAsia="Times New Roman"/>
          <w:szCs w:val="20"/>
        </w:rPr>
        <w:t>ati</w:t>
      </w:r>
      <w:r>
        <w:rPr>
          <w:rFonts w:eastAsia="Times New Roman"/>
          <w:spacing w:val="1"/>
          <w:szCs w:val="20"/>
        </w:rPr>
        <w:t>o</w:t>
      </w:r>
      <w:r>
        <w:rPr>
          <w:rFonts w:eastAsia="Times New Roman"/>
          <w:spacing w:val="-1"/>
          <w:szCs w:val="20"/>
        </w:rPr>
        <w:t>n</w:t>
      </w:r>
      <w:r>
        <w:rPr>
          <w:rFonts w:eastAsia="Times New Roman"/>
          <w:szCs w:val="20"/>
        </w:rPr>
        <w:t>:</w:t>
      </w:r>
      <w:r>
        <w:rPr>
          <w:rFonts w:eastAsia="Times New Roman"/>
          <w:spacing w:val="41"/>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76"/>
      </w:tblGrid>
      <w:tr w:rsidR="0067534E" w:rsidTr="0067534E">
        <w:trPr>
          <w:trHeight w:hRule="exact" w:val="360"/>
        </w:trPr>
        <w:tc>
          <w:tcPr>
            <w:tcW w:w="9576" w:type="dxa"/>
            <w:vAlign w:val="center"/>
          </w:tcPr>
          <w:p w:rsidR="0067534E" w:rsidRDefault="0067534E" w:rsidP="006B75AB">
            <w:pPr>
              <w:keepNext/>
              <w:widowControl/>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rsidR="00622AE4" w:rsidRPr="00C14BD3" w:rsidRDefault="00622AE4" w:rsidP="006B75AB">
      <w:pPr>
        <w:widowControl/>
        <w:spacing w:before="120"/>
        <w:rPr>
          <w:rFonts w:eastAsia="Times New Roman"/>
          <w:bCs/>
          <w:szCs w:val="20"/>
        </w:rPr>
      </w:pPr>
      <w:r>
        <w:rPr>
          <w:rFonts w:eastAsia="Times New Roman"/>
          <w:b/>
          <w:bCs/>
          <w:szCs w:val="20"/>
        </w:rPr>
        <w:t>Issue Date:</w:t>
      </w:r>
      <w:r w:rsidR="00C14BD3" w:rsidRPr="00C14BD3">
        <w:rPr>
          <w:rFonts w:eastAsia="Times New Roman"/>
          <w:bCs/>
          <w:szCs w:val="20"/>
        </w:rPr>
        <w:t xml:space="preserve"> </w:t>
      </w:r>
      <w:r w:rsidRPr="00622AE4">
        <w:rPr>
          <w:rFonts w:eastAsia="Times New Roman"/>
          <w:bCs/>
          <w:szCs w:val="20"/>
        </w:rPr>
        <w:t xml:space="preserve"> </w:t>
      </w:r>
      <w:r w:rsidR="0029714C">
        <w:rPr>
          <w:rFonts w:eastAsia="Times New Roman"/>
          <w:bCs/>
          <w:szCs w:val="20"/>
        </w:rPr>
        <w:t>1</w:t>
      </w:r>
      <w:r w:rsidR="00D36F71">
        <w:rPr>
          <w:rFonts w:eastAsia="Times New Roman"/>
          <w:bCs/>
          <w:szCs w:val="20"/>
        </w:rPr>
        <w:t>0 January 2014</w:t>
      </w:r>
    </w:p>
    <w:p w:rsidR="00622AE4" w:rsidRDefault="00622AE4" w:rsidP="00E12D28">
      <w:pPr>
        <w:widowControl/>
        <w:tabs>
          <w:tab w:val="left" w:pos="900"/>
        </w:tabs>
        <w:spacing w:before="60"/>
        <w:rPr>
          <w:rFonts w:eastAsia="Times New Roman"/>
          <w:szCs w:val="20"/>
        </w:rPr>
      </w:pPr>
      <w:r>
        <w:rPr>
          <w:rFonts w:eastAsia="Times New Roman"/>
          <w:b/>
          <w:bCs/>
          <w:spacing w:val="1"/>
          <w:position w:val="-1"/>
          <w:szCs w:val="20"/>
        </w:rPr>
        <w:t>Sources:</w:t>
      </w:r>
      <w:r w:rsidR="00537670">
        <w:rPr>
          <w:rFonts w:eastAsia="Times New Roman"/>
          <w:bCs/>
          <w:spacing w:val="1"/>
          <w:position w:val="-1"/>
          <w:szCs w:val="20"/>
        </w:rPr>
        <w:tab/>
      </w:r>
      <w:r>
        <w:rPr>
          <w:rFonts w:eastAsia="Times New Roman"/>
          <w:spacing w:val="-1"/>
          <w:szCs w:val="20"/>
        </w:rPr>
        <w:t>Ch</w:t>
      </w:r>
      <w:r>
        <w:rPr>
          <w:rFonts w:eastAsia="Times New Roman"/>
          <w:szCs w:val="20"/>
        </w:rPr>
        <w:t>e</w:t>
      </w:r>
      <w:r>
        <w:rPr>
          <w:rFonts w:eastAsia="Times New Roman"/>
          <w:spacing w:val="-4"/>
          <w:szCs w:val="20"/>
        </w:rPr>
        <w:t>m</w:t>
      </w:r>
      <w:r>
        <w:rPr>
          <w:rFonts w:eastAsia="Times New Roman"/>
          <w:spacing w:val="-2"/>
          <w:szCs w:val="20"/>
        </w:rPr>
        <w:t>A</w:t>
      </w:r>
      <w:r>
        <w:rPr>
          <w:rFonts w:eastAsia="Times New Roman"/>
          <w:szCs w:val="20"/>
        </w:rPr>
        <w:t>DV</w:t>
      </w:r>
      <w:r>
        <w:rPr>
          <w:rFonts w:eastAsia="Times New Roman"/>
          <w:spacing w:val="1"/>
          <w:szCs w:val="20"/>
        </w:rPr>
        <w:t>I</w:t>
      </w:r>
      <w:r>
        <w:rPr>
          <w:rFonts w:eastAsia="Times New Roman"/>
          <w:szCs w:val="20"/>
        </w:rPr>
        <w:t>SO</w:t>
      </w:r>
      <w:r>
        <w:rPr>
          <w:rFonts w:eastAsia="Times New Roman"/>
          <w:spacing w:val="-1"/>
          <w:szCs w:val="20"/>
        </w:rPr>
        <w:t>R</w:t>
      </w:r>
      <w:r>
        <w:rPr>
          <w:rFonts w:eastAsia="Times New Roman"/>
          <w:szCs w:val="20"/>
        </w:rPr>
        <w:t>,</w:t>
      </w:r>
      <w:r>
        <w:rPr>
          <w:rFonts w:eastAsia="Times New Roman"/>
          <w:spacing w:val="-13"/>
          <w:szCs w:val="20"/>
        </w:rPr>
        <w:t xml:space="preserve"> </w:t>
      </w:r>
      <w:r>
        <w:rPr>
          <w:rFonts w:eastAsia="Times New Roman"/>
          <w:spacing w:val="1"/>
          <w:szCs w:val="20"/>
        </w:rPr>
        <w:t>I</w:t>
      </w:r>
      <w:r>
        <w:rPr>
          <w:rFonts w:eastAsia="Times New Roman"/>
          <w:spacing w:val="-1"/>
          <w:szCs w:val="20"/>
        </w:rPr>
        <w:t>n</w:t>
      </w:r>
      <w:r>
        <w:rPr>
          <w:rFonts w:eastAsia="Times New Roman"/>
          <w:szCs w:val="20"/>
        </w:rPr>
        <w:t>c</w:t>
      </w:r>
      <w:r>
        <w:rPr>
          <w:rFonts w:eastAsia="Times New Roman"/>
          <w:spacing w:val="1"/>
          <w:szCs w:val="20"/>
        </w:rPr>
        <w:t>.</w:t>
      </w:r>
      <w:r>
        <w:rPr>
          <w:rFonts w:eastAsia="Times New Roman"/>
          <w:szCs w:val="20"/>
        </w:rPr>
        <w:t>,</w:t>
      </w:r>
      <w:r>
        <w:rPr>
          <w:rFonts w:eastAsia="Times New Roman"/>
          <w:spacing w:val="-3"/>
          <w:szCs w:val="20"/>
        </w:rPr>
        <w:t xml:space="preserve"> </w:t>
      </w:r>
      <w:r>
        <w:rPr>
          <w:rFonts w:eastAsia="Times New Roman"/>
          <w:spacing w:val="1"/>
          <w:szCs w:val="20"/>
        </w:rPr>
        <w:t>M</w:t>
      </w:r>
      <w:r>
        <w:rPr>
          <w:rFonts w:eastAsia="Times New Roman"/>
          <w:szCs w:val="20"/>
        </w:rPr>
        <w:t>SDS</w:t>
      </w:r>
      <w:r>
        <w:rPr>
          <w:rFonts w:eastAsia="Times New Roman"/>
          <w:spacing w:val="-5"/>
          <w:szCs w:val="20"/>
        </w:rPr>
        <w:t xml:space="preserve"> </w:t>
      </w:r>
      <w:r w:rsidR="008C4669">
        <w:rPr>
          <w:rFonts w:eastAsia="Times New Roman"/>
          <w:i/>
          <w:spacing w:val="-1"/>
          <w:szCs w:val="20"/>
        </w:rPr>
        <w:t>Residual Fuel Oil</w:t>
      </w:r>
      <w:r>
        <w:rPr>
          <w:rFonts w:eastAsia="Times New Roman"/>
          <w:szCs w:val="20"/>
        </w:rPr>
        <w:t>,</w:t>
      </w:r>
      <w:r>
        <w:rPr>
          <w:rFonts w:eastAsia="Times New Roman"/>
          <w:spacing w:val="-4"/>
          <w:szCs w:val="20"/>
        </w:rPr>
        <w:t xml:space="preserve"> </w:t>
      </w:r>
      <w:r w:rsidR="001E2F4C">
        <w:rPr>
          <w:rFonts w:eastAsia="Times New Roman"/>
          <w:szCs w:val="20"/>
        </w:rPr>
        <w:t>1</w:t>
      </w:r>
      <w:r w:rsidR="00A71D39">
        <w:rPr>
          <w:rFonts w:eastAsia="Times New Roman"/>
          <w:szCs w:val="20"/>
        </w:rPr>
        <w:t>7</w:t>
      </w:r>
      <w:r w:rsidR="001E2F4C">
        <w:rPr>
          <w:rFonts w:eastAsia="Times New Roman"/>
          <w:spacing w:val="1"/>
          <w:szCs w:val="20"/>
        </w:rPr>
        <w:t> </w:t>
      </w:r>
      <w:r w:rsidR="00A71D39">
        <w:rPr>
          <w:rFonts w:eastAsia="Times New Roman"/>
          <w:spacing w:val="1"/>
          <w:szCs w:val="20"/>
        </w:rPr>
        <w:t>June</w:t>
      </w:r>
      <w:r w:rsidR="001E2F4C">
        <w:rPr>
          <w:rFonts w:eastAsia="Times New Roman"/>
          <w:spacing w:val="1"/>
          <w:szCs w:val="20"/>
        </w:rPr>
        <w:t> 2013</w:t>
      </w:r>
      <w:r>
        <w:rPr>
          <w:rFonts w:eastAsia="Times New Roman"/>
          <w:szCs w:val="20"/>
        </w:rPr>
        <w:t>.</w:t>
      </w:r>
    </w:p>
    <w:p w:rsidR="006802D6" w:rsidRDefault="006802D6" w:rsidP="009F4E12">
      <w:pPr>
        <w:widowControl/>
        <w:tabs>
          <w:tab w:val="left" w:pos="900"/>
        </w:tabs>
        <w:spacing w:before="60"/>
        <w:ind w:left="900" w:hanging="900"/>
      </w:pPr>
      <w:r>
        <w:rPr>
          <w:rFonts w:eastAsia="Times New Roman"/>
          <w:szCs w:val="20"/>
        </w:rPr>
        <w:tab/>
        <w:t xml:space="preserve">World Health Organization, International Agency for Research on Cancer, </w:t>
      </w:r>
      <w:r>
        <w:rPr>
          <w:rFonts w:eastAsia="Times New Roman"/>
          <w:i/>
          <w:szCs w:val="20"/>
        </w:rPr>
        <w:t>Occupational Exposures in Petroleum Refining; Crude Oil and Major Petroleum Fuels</w:t>
      </w:r>
      <w:r>
        <w:rPr>
          <w:rFonts w:eastAsia="Times New Roman"/>
          <w:szCs w:val="20"/>
        </w:rPr>
        <w:t xml:space="preserve">, Vol. 45, (1998) available at </w:t>
      </w:r>
      <w:hyperlink r:id="rId13" w:history="1">
        <w:r>
          <w:rPr>
            <w:rStyle w:val="Hyperlink"/>
          </w:rPr>
          <w:t>http://monographs.iarc.fr/ENG/Monographs/vol45/volume45.pdf</w:t>
        </w:r>
      </w:hyperlink>
      <w:r>
        <w:t xml:space="preserve"> (accessed </w:t>
      </w:r>
      <w:r w:rsidR="00437975">
        <w:t>Jan 2014</w:t>
      </w:r>
      <w:r>
        <w:t>).</w:t>
      </w:r>
    </w:p>
    <w:p w:rsidR="00726609" w:rsidRDefault="00726609" w:rsidP="009F4E12">
      <w:pPr>
        <w:widowControl/>
        <w:tabs>
          <w:tab w:val="left" w:pos="900"/>
        </w:tabs>
        <w:spacing w:before="60"/>
        <w:ind w:left="900" w:hanging="900"/>
      </w:pPr>
      <w:r>
        <w:tab/>
      </w:r>
      <w:proofErr w:type="gramStart"/>
      <w:r w:rsidR="00B50BFC">
        <w:t xml:space="preserve">National Oceanic </w:t>
      </w:r>
      <w:r w:rsidR="008E0AD7">
        <w:t>and Atmospheric Administration (</w:t>
      </w:r>
      <w:r w:rsidR="00B50BFC">
        <w:t>NOAA</w:t>
      </w:r>
      <w:r w:rsidR="008E0AD7">
        <w:t>)</w:t>
      </w:r>
      <w:r w:rsidR="00B50BFC">
        <w:t xml:space="preserve">, </w:t>
      </w:r>
      <w:r w:rsidR="008E0AD7">
        <w:t xml:space="preserve">CAMEO </w:t>
      </w:r>
      <w:r w:rsidR="008E0AD7" w:rsidRPr="008E0AD7">
        <w:t>Chemicals</w:t>
      </w:r>
      <w:r w:rsidR="00B50BFC">
        <w:t xml:space="preserve">, </w:t>
      </w:r>
      <w:r w:rsidR="00B50BFC" w:rsidRPr="00B50BFC">
        <w:rPr>
          <w:i/>
        </w:rPr>
        <w:t>Fuel Oil, [No. 6]</w:t>
      </w:r>
      <w:r w:rsidR="00B50BFC">
        <w:t xml:space="preserve">, </w:t>
      </w:r>
      <w:hyperlink r:id="rId14" w:history="1">
        <w:r w:rsidRPr="00172B10">
          <w:rPr>
            <w:rStyle w:val="Hyperlink"/>
          </w:rPr>
          <w:t>http://www.cameochemicals.noaa.gov/chemical/11459</w:t>
        </w:r>
      </w:hyperlink>
      <w:r>
        <w:t xml:space="preserve"> </w:t>
      </w:r>
      <w:r w:rsidR="00B50BFC">
        <w:t xml:space="preserve">(accessed </w:t>
      </w:r>
      <w:r w:rsidR="00437975">
        <w:t>Jan 2014</w:t>
      </w:r>
      <w:r w:rsidR="00B50BFC">
        <w:t>).</w:t>
      </w:r>
      <w:proofErr w:type="gramEnd"/>
    </w:p>
    <w:p w:rsidR="00C5756B" w:rsidRDefault="00C5756B" w:rsidP="009F4E12">
      <w:pPr>
        <w:widowControl/>
        <w:tabs>
          <w:tab w:val="left" w:pos="900"/>
        </w:tabs>
        <w:spacing w:before="60"/>
        <w:ind w:left="900" w:hanging="900"/>
      </w:pPr>
      <w:r>
        <w:tab/>
      </w:r>
    </w:p>
    <w:p w:rsidR="00BE4809" w:rsidRDefault="00BE4809">
      <w:pPr>
        <w:widowControl/>
        <w:jc w:val="left"/>
      </w:pPr>
      <w:r>
        <w:br w:type="page"/>
      </w:r>
    </w:p>
    <w:p w:rsidR="00BE4809" w:rsidRDefault="00BE4809" w:rsidP="009F4E12">
      <w:pPr>
        <w:widowControl/>
        <w:tabs>
          <w:tab w:val="left" w:pos="900"/>
        </w:tabs>
        <w:spacing w:before="60"/>
        <w:ind w:left="900" w:hanging="900"/>
        <w:rPr>
          <w:rFonts w:eastAsia="Times New Roman"/>
          <w:szCs w:val="20"/>
        </w:rPr>
      </w:pPr>
    </w:p>
    <w:p w:rsidR="00BE4809" w:rsidRDefault="00BE4809" w:rsidP="009F4E12">
      <w:pPr>
        <w:widowControl/>
        <w:tabs>
          <w:tab w:val="left" w:pos="900"/>
        </w:tabs>
        <w:spacing w:before="60"/>
        <w:ind w:left="900" w:hanging="900"/>
        <w:rPr>
          <w:rFonts w:eastAsia="Times New Roman"/>
          <w:szCs w:val="20"/>
        </w:rPr>
      </w:pPr>
    </w:p>
    <w:p w:rsidR="00BE4809" w:rsidRDefault="00BE4809" w:rsidP="009F4E12">
      <w:pPr>
        <w:widowControl/>
        <w:tabs>
          <w:tab w:val="left" w:pos="900"/>
        </w:tabs>
        <w:spacing w:before="60"/>
        <w:ind w:left="900" w:hanging="900"/>
        <w:rPr>
          <w:rFonts w:eastAsia="Times New Roman"/>
          <w:szCs w:val="20"/>
        </w:rPr>
      </w:pPr>
    </w:p>
    <w:p w:rsidR="00BE4809" w:rsidRDefault="00BE4809" w:rsidP="009F4E12">
      <w:pPr>
        <w:widowControl/>
        <w:tabs>
          <w:tab w:val="left" w:pos="900"/>
        </w:tabs>
        <w:spacing w:before="60"/>
        <w:ind w:left="900" w:hanging="900"/>
        <w:rPr>
          <w:rFonts w:eastAsia="Times New Roman"/>
          <w:szCs w:val="20"/>
        </w:rPr>
      </w:pPr>
    </w:p>
    <w:p w:rsidR="0095497C" w:rsidRDefault="00EC2C72" w:rsidP="006B75AB">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rsidTr="00484EF6">
        <w:trPr>
          <w:trHeight w:val="197"/>
        </w:trPr>
        <w:tc>
          <w:tcPr>
            <w:tcW w:w="1024" w:type="dxa"/>
            <w:vAlign w:val="center"/>
          </w:tcPr>
          <w:p w:rsidR="0095497C" w:rsidRPr="006545B0" w:rsidRDefault="0095497C" w:rsidP="006B75AB">
            <w:pPr>
              <w:widowControl/>
              <w:ind w:right="-86"/>
              <w:contextualSpacing/>
              <w:rPr>
                <w:sz w:val="16"/>
                <w:szCs w:val="16"/>
              </w:rPr>
            </w:pPr>
            <w:r w:rsidRPr="006545B0">
              <w:rPr>
                <w:sz w:val="16"/>
                <w:szCs w:val="16"/>
              </w:rPr>
              <w:t>ACGIH</w:t>
            </w:r>
          </w:p>
        </w:tc>
        <w:tc>
          <w:tcPr>
            <w:tcW w:w="4034" w:type="dxa"/>
            <w:vAlign w:val="center"/>
          </w:tcPr>
          <w:p w:rsidR="0095497C" w:rsidRPr="006545B0" w:rsidRDefault="0095497C" w:rsidP="006B75AB">
            <w:pPr>
              <w:widowControl/>
              <w:ind w:right="-86"/>
              <w:contextualSpacing/>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vAlign w:val="center"/>
          </w:tcPr>
          <w:p w:rsidR="0095497C" w:rsidRPr="006545B0" w:rsidRDefault="0095497C" w:rsidP="006B75AB">
            <w:pPr>
              <w:widowControl/>
              <w:ind w:right="-86"/>
              <w:contextualSpacing/>
              <w:rPr>
                <w:sz w:val="16"/>
                <w:szCs w:val="16"/>
              </w:rPr>
            </w:pPr>
            <w:r w:rsidRPr="006545B0">
              <w:rPr>
                <w:sz w:val="16"/>
                <w:szCs w:val="16"/>
              </w:rPr>
              <w:t>NTP</w:t>
            </w:r>
            <w:r w:rsidRPr="006545B0" w:rsidDel="00D91361">
              <w:rPr>
                <w:sz w:val="16"/>
                <w:szCs w:val="16"/>
              </w:rPr>
              <w:t xml:space="preserve"> </w:t>
            </w:r>
          </w:p>
        </w:tc>
        <w:tc>
          <w:tcPr>
            <w:tcW w:w="3600" w:type="dxa"/>
            <w:vAlign w:val="center"/>
          </w:tcPr>
          <w:p w:rsidR="0095497C" w:rsidRPr="006545B0" w:rsidRDefault="0095497C" w:rsidP="006B75AB">
            <w:pPr>
              <w:widowControl/>
              <w:ind w:right="-86"/>
              <w:contextualSpacing/>
              <w:rPr>
                <w:sz w:val="16"/>
                <w:szCs w:val="16"/>
              </w:rPr>
            </w:pPr>
            <w:r w:rsidRPr="006545B0">
              <w:rPr>
                <w:sz w:val="16"/>
                <w:szCs w:val="16"/>
              </w:rPr>
              <w:t>National Toxicology Program</w:t>
            </w:r>
          </w:p>
        </w:tc>
      </w:tr>
      <w:tr w:rsidR="0095497C" w:rsidRPr="006545B0" w:rsidTr="00484EF6">
        <w:trPr>
          <w:trHeight w:val="144"/>
        </w:trPr>
        <w:tc>
          <w:tcPr>
            <w:tcW w:w="1024" w:type="dxa"/>
            <w:vAlign w:val="center"/>
          </w:tcPr>
          <w:p w:rsidR="0095497C" w:rsidRPr="006545B0" w:rsidRDefault="0095497C" w:rsidP="006B75AB">
            <w:pPr>
              <w:widowControl/>
              <w:ind w:right="-86"/>
              <w:contextualSpacing/>
              <w:rPr>
                <w:sz w:val="16"/>
                <w:szCs w:val="16"/>
              </w:rPr>
            </w:pPr>
            <w:r w:rsidRPr="006545B0">
              <w:rPr>
                <w:sz w:val="16"/>
                <w:szCs w:val="16"/>
              </w:rPr>
              <w:t>CAS</w:t>
            </w:r>
            <w:r w:rsidRPr="006545B0" w:rsidDel="00D91361">
              <w:rPr>
                <w:sz w:val="16"/>
                <w:szCs w:val="16"/>
              </w:rPr>
              <w:t xml:space="preserve"> </w:t>
            </w:r>
          </w:p>
        </w:tc>
        <w:tc>
          <w:tcPr>
            <w:tcW w:w="4034" w:type="dxa"/>
            <w:vAlign w:val="center"/>
          </w:tcPr>
          <w:p w:rsidR="0095497C" w:rsidRPr="006545B0" w:rsidRDefault="0095497C" w:rsidP="006B75AB">
            <w:pPr>
              <w:widowControl/>
              <w:ind w:right="-86"/>
              <w:contextualSpacing/>
              <w:rPr>
                <w:sz w:val="16"/>
                <w:szCs w:val="16"/>
              </w:rPr>
            </w:pPr>
            <w:r w:rsidRPr="006545B0">
              <w:rPr>
                <w:sz w:val="16"/>
                <w:szCs w:val="16"/>
              </w:rPr>
              <w:t>Chemical Abstracts Service</w:t>
            </w:r>
            <w:r w:rsidRPr="006545B0" w:rsidDel="00D91361">
              <w:rPr>
                <w:sz w:val="16"/>
                <w:szCs w:val="16"/>
              </w:rPr>
              <w:t xml:space="preserve"> </w:t>
            </w:r>
          </w:p>
        </w:tc>
        <w:tc>
          <w:tcPr>
            <w:tcW w:w="720" w:type="dxa"/>
            <w:vAlign w:val="center"/>
          </w:tcPr>
          <w:p w:rsidR="0095497C" w:rsidRPr="006545B0" w:rsidRDefault="0095497C" w:rsidP="006B75AB">
            <w:pPr>
              <w:widowControl/>
              <w:ind w:right="-86"/>
              <w:contextualSpacing/>
              <w:rPr>
                <w:sz w:val="16"/>
                <w:szCs w:val="16"/>
              </w:rPr>
            </w:pPr>
            <w:r w:rsidRPr="006545B0">
              <w:rPr>
                <w:sz w:val="16"/>
                <w:szCs w:val="16"/>
              </w:rPr>
              <w:t>OSHA</w:t>
            </w:r>
            <w:r w:rsidRPr="006545B0" w:rsidDel="00D91361">
              <w:rPr>
                <w:sz w:val="16"/>
                <w:szCs w:val="16"/>
              </w:rPr>
              <w:t xml:space="preserve"> </w:t>
            </w:r>
          </w:p>
        </w:tc>
        <w:tc>
          <w:tcPr>
            <w:tcW w:w="3600" w:type="dxa"/>
            <w:vAlign w:val="center"/>
          </w:tcPr>
          <w:p w:rsidR="0095497C" w:rsidRPr="006545B0" w:rsidRDefault="0095497C" w:rsidP="006B75AB">
            <w:pPr>
              <w:widowControl/>
              <w:ind w:right="-86"/>
              <w:contextualSpacing/>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CERCLA</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PEL</w:t>
            </w:r>
            <w:r w:rsidRPr="006545B0" w:rsidDel="00D91361">
              <w:rPr>
                <w:sz w:val="16"/>
                <w:szCs w:val="16"/>
              </w:rPr>
              <w:t xml:space="preserve"> </w:t>
            </w:r>
          </w:p>
        </w:tc>
        <w:tc>
          <w:tcPr>
            <w:tcW w:w="3600" w:type="dxa"/>
            <w:vAlign w:val="center"/>
          </w:tcPr>
          <w:p w:rsidR="0095497C" w:rsidRPr="006545B0" w:rsidRDefault="0095497C" w:rsidP="00EA0D17">
            <w:pPr>
              <w:widowControl/>
              <w:ind w:right="-90"/>
              <w:contextualSpacing/>
              <w:rPr>
                <w:sz w:val="16"/>
                <w:szCs w:val="16"/>
              </w:rPr>
            </w:pPr>
            <w:r w:rsidRPr="006545B0">
              <w:rPr>
                <w:sz w:val="16"/>
                <w:szCs w:val="16"/>
              </w:rPr>
              <w:t xml:space="preserve">Permissible Exposure </w:t>
            </w:r>
            <w:r w:rsidR="00EA0D17">
              <w:rPr>
                <w:sz w:val="16"/>
                <w:szCs w:val="16"/>
              </w:rPr>
              <w:t>Limit</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CFR</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Code of Federal Regulations</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RCRA</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DOT</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Department of Transportation</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REL</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Recommended Exposure Limit</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EINECS</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RQ</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Reportable Quantity</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EPCRA</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RTECS</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Registry of Toxic Effects of Chemical Substances</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IARC</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SARA</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IATA</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International Air Transportation Agency</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SCBA</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rsidTr="009F4E12">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IDLH</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Immediately Dangerous to Life and Health</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SRM</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Standard Reference Material</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LC50</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Lethal Concentration</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STEL</w:t>
            </w:r>
            <w:r w:rsidRPr="006545B0" w:rsidDel="00D91361">
              <w:rPr>
                <w:sz w:val="16"/>
                <w:szCs w:val="16"/>
              </w:rPr>
              <w:t xml:space="preserve"> </w:t>
            </w:r>
          </w:p>
        </w:tc>
        <w:tc>
          <w:tcPr>
            <w:tcW w:w="3600" w:type="dxa"/>
            <w:vAlign w:val="center"/>
          </w:tcPr>
          <w:p w:rsidR="0095497C" w:rsidRPr="006545B0" w:rsidRDefault="0095497C" w:rsidP="00EA0D17">
            <w:pPr>
              <w:widowControl/>
              <w:ind w:right="-90"/>
              <w:contextualSpacing/>
              <w:rPr>
                <w:sz w:val="16"/>
                <w:szCs w:val="16"/>
              </w:rPr>
            </w:pPr>
            <w:r w:rsidRPr="006545B0">
              <w:rPr>
                <w:sz w:val="16"/>
                <w:szCs w:val="16"/>
              </w:rPr>
              <w:t xml:space="preserve">Short Term Exposure </w:t>
            </w:r>
            <w:r w:rsidR="00EA0D17">
              <w:rPr>
                <w:sz w:val="16"/>
                <w:szCs w:val="16"/>
              </w:rPr>
              <w:t>Limit</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LD50</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Median Lethal Dose or Lethal Dose, 50 %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TLV</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Threshold Limit Value</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LEL</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Lower Explosive Limit</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TPQ</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Threshold Planning Quantity</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MSDS</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Material Safety Data Sheet</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TSCA</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Toxic Substances Control Act</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NFPA</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National Fire Protection Association</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TWA</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Time Weighted Average</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NIOSH</w:t>
            </w:r>
            <w:r w:rsidRPr="006545B0" w:rsidDel="00D91361">
              <w:rPr>
                <w:sz w:val="16"/>
                <w:szCs w:val="16"/>
              </w:rPr>
              <w:t xml:space="preserve"> </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UEL</w:t>
            </w:r>
            <w:r w:rsidRPr="006545B0" w:rsidDel="00D91361">
              <w:rPr>
                <w:sz w:val="16"/>
                <w:szCs w:val="16"/>
              </w:rPr>
              <w:t xml:space="preserve"> </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Upper Explosive Limit</w:t>
            </w:r>
            <w:r w:rsidRPr="006545B0" w:rsidDel="00D91361">
              <w:rPr>
                <w:sz w:val="16"/>
                <w:szCs w:val="16"/>
              </w:rPr>
              <w:t xml:space="preserve"> </w:t>
            </w:r>
          </w:p>
        </w:tc>
      </w:tr>
      <w:tr w:rsidR="0095497C" w:rsidRPr="006545B0" w:rsidTr="00484EF6">
        <w:trPr>
          <w:trHeight w:val="144"/>
        </w:trPr>
        <w:tc>
          <w:tcPr>
            <w:tcW w:w="1024" w:type="dxa"/>
            <w:vAlign w:val="center"/>
          </w:tcPr>
          <w:p w:rsidR="0095497C" w:rsidRPr="006545B0" w:rsidRDefault="0095497C" w:rsidP="006B75AB">
            <w:pPr>
              <w:widowControl/>
              <w:ind w:right="-90"/>
              <w:contextualSpacing/>
              <w:rPr>
                <w:sz w:val="16"/>
                <w:szCs w:val="16"/>
              </w:rPr>
            </w:pPr>
            <w:r w:rsidRPr="006545B0">
              <w:rPr>
                <w:sz w:val="16"/>
                <w:szCs w:val="16"/>
              </w:rPr>
              <w:t>NIST</w:t>
            </w:r>
          </w:p>
        </w:tc>
        <w:tc>
          <w:tcPr>
            <w:tcW w:w="4034" w:type="dxa"/>
            <w:vAlign w:val="center"/>
          </w:tcPr>
          <w:p w:rsidR="0095497C" w:rsidRPr="006545B0" w:rsidRDefault="0095497C" w:rsidP="006B75AB">
            <w:pPr>
              <w:widowControl/>
              <w:ind w:right="-90"/>
              <w:contextualSpacing/>
              <w:rPr>
                <w:sz w:val="16"/>
                <w:szCs w:val="16"/>
              </w:rPr>
            </w:pPr>
            <w:r w:rsidRPr="006545B0">
              <w:rPr>
                <w:sz w:val="16"/>
                <w:szCs w:val="16"/>
              </w:rPr>
              <w:t>National Institute of Standards and Technology</w:t>
            </w:r>
          </w:p>
        </w:tc>
        <w:tc>
          <w:tcPr>
            <w:tcW w:w="720" w:type="dxa"/>
            <w:vAlign w:val="center"/>
          </w:tcPr>
          <w:p w:rsidR="0095497C" w:rsidRPr="006545B0" w:rsidRDefault="0095497C" w:rsidP="006B75AB">
            <w:pPr>
              <w:widowControl/>
              <w:ind w:right="-90"/>
              <w:contextualSpacing/>
              <w:rPr>
                <w:sz w:val="16"/>
                <w:szCs w:val="16"/>
              </w:rPr>
            </w:pPr>
            <w:r w:rsidRPr="006545B0">
              <w:rPr>
                <w:sz w:val="16"/>
                <w:szCs w:val="16"/>
              </w:rPr>
              <w:t>WHMIS</w:t>
            </w:r>
          </w:p>
        </w:tc>
        <w:tc>
          <w:tcPr>
            <w:tcW w:w="3600" w:type="dxa"/>
            <w:vAlign w:val="center"/>
          </w:tcPr>
          <w:p w:rsidR="0095497C" w:rsidRPr="006545B0" w:rsidRDefault="0095497C" w:rsidP="006B75AB">
            <w:pPr>
              <w:widowControl/>
              <w:ind w:right="-90"/>
              <w:contextualSpacing/>
              <w:rPr>
                <w:sz w:val="16"/>
                <w:szCs w:val="16"/>
              </w:rPr>
            </w:pPr>
            <w:r w:rsidRPr="006545B0">
              <w:rPr>
                <w:sz w:val="16"/>
                <w:szCs w:val="16"/>
              </w:rPr>
              <w:t>Workplace Hazardous Materials Information System</w:t>
            </w:r>
          </w:p>
        </w:tc>
      </w:tr>
    </w:tbl>
    <w:p w:rsidR="009F4E12" w:rsidRDefault="009F4E12"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BE4809" w:rsidRDefault="00BE4809" w:rsidP="006B75AB">
      <w:pPr>
        <w:widowControl/>
        <w:spacing w:before="120"/>
        <w:rPr>
          <w:rFonts w:eastAsia="Times New Roman"/>
          <w:b/>
          <w:bCs/>
          <w:szCs w:val="20"/>
        </w:rPr>
      </w:pPr>
    </w:p>
    <w:p w:rsidR="00537670" w:rsidRDefault="00BF5DD9" w:rsidP="006B75AB">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9721CD">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w:t>
      </w:r>
      <w:r w:rsidR="008C4669">
        <w:rPr>
          <w:rFonts w:eastAsia="Times New Roman"/>
          <w:spacing w:val="-1"/>
          <w:szCs w:val="20"/>
        </w:rPr>
        <w:t>Certificate of Analysis</w:t>
      </w:r>
      <w:r>
        <w:rPr>
          <w:rFonts w:eastAsia="Times New Roman"/>
          <w:szCs w:val="20"/>
        </w:rPr>
        <w:t>.</w:t>
      </w:r>
    </w:p>
    <w:p w:rsidR="0076501C" w:rsidRPr="00E2089A" w:rsidRDefault="001E2F4C" w:rsidP="006B75AB">
      <w:pPr>
        <w:widowControl/>
        <w:spacing w:before="120"/>
        <w:rPr>
          <w:rFonts w:eastAsia="Times New Roman"/>
          <w:szCs w:val="20"/>
        </w:rPr>
      </w:pPr>
      <w:r>
        <w:rPr>
          <w:iCs/>
          <w:szCs w:val="20"/>
        </w:rPr>
        <w:t xml:space="preserve">Users of this </w:t>
      </w:r>
      <w:r w:rsidR="008C4669">
        <w:rPr>
          <w:iCs/>
          <w:szCs w:val="20"/>
        </w:rPr>
        <w:t>S</w:t>
      </w:r>
      <w:r w:rsidR="001948EA" w:rsidRPr="001948EA">
        <w:rPr>
          <w:iCs/>
          <w:szCs w:val="20"/>
        </w:rPr>
        <w:t xml:space="preserve">RM should ensure that the SDS in their possession is current. </w:t>
      </w:r>
      <w:r w:rsidR="009721CD">
        <w:rPr>
          <w:iCs/>
          <w:szCs w:val="20"/>
        </w:rPr>
        <w:t xml:space="preserve"> </w:t>
      </w:r>
      <w:r w:rsidR="001948EA" w:rsidRPr="001948EA">
        <w:rPr>
          <w:iCs/>
          <w:szCs w:val="20"/>
        </w:rPr>
        <w:t>This can be accomplished by contacting the SRM Program: telephone (301) 975-2200; fax (301) 948-3730; e-mail srm</w:t>
      </w:r>
      <w:r w:rsidR="00A148AB">
        <w:rPr>
          <w:iCs/>
          <w:szCs w:val="20"/>
        </w:rPr>
        <w:t>msds</w:t>
      </w:r>
      <w:r w:rsidR="001948EA" w:rsidRPr="001948EA">
        <w:rPr>
          <w:iCs/>
          <w:szCs w:val="20"/>
        </w:rPr>
        <w:t xml:space="preserve">@nist.gov; or via the Internet at </w:t>
      </w:r>
      <w:hyperlink r:id="rId15" w:history="1">
        <w:r w:rsidR="0076501C" w:rsidRPr="004F5806">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01C" w:rsidRDefault="0076501C" w:rsidP="00E24579">
      <w:r>
        <w:separator/>
      </w:r>
    </w:p>
  </w:endnote>
  <w:endnote w:type="continuationSeparator" w:id="0">
    <w:p w:rsidR="0076501C" w:rsidRDefault="0076501C"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01C" w:rsidRPr="00371ED3" w:rsidRDefault="0076501C" w:rsidP="006D10B0">
    <w:pPr>
      <w:pStyle w:val="Footer"/>
      <w:rPr>
        <w:szCs w:val="20"/>
      </w:rPr>
    </w:pPr>
    <w:r>
      <w:rPr>
        <w:szCs w:val="20"/>
      </w:rPr>
      <w:t>S</w:t>
    </w:r>
    <w:r w:rsidRPr="00371ED3">
      <w:rPr>
        <w:szCs w:val="20"/>
      </w:rPr>
      <w:t>RM</w:t>
    </w:r>
    <w:r>
      <w:rPr>
        <w:szCs w:val="20"/>
      </w:rPr>
      <w:t xml:space="preserve"> </w:t>
    </w:r>
    <w:r w:rsidR="00EA0D17">
      <w:rPr>
        <w:szCs w:val="20"/>
      </w:rPr>
      <w:t>1621e</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255632">
      <w:rPr>
        <w:noProof/>
        <w:szCs w:val="20"/>
      </w:rPr>
      <w:t>1</w:t>
    </w:r>
    <w:r>
      <w:rPr>
        <w:szCs w:val="20"/>
      </w:rPr>
      <w:fldChar w:fldCharType="end"/>
    </w:r>
    <w:r w:rsidRPr="00371ED3">
      <w:rPr>
        <w:szCs w:val="20"/>
      </w:rPr>
      <w:t xml:space="preserve"> of </w:t>
    </w:r>
    <w:r w:rsidR="00255632">
      <w:fldChar w:fldCharType="begin"/>
    </w:r>
    <w:r w:rsidR="00255632">
      <w:instrText xml:space="preserve"> SECTIONPAGES  \* Arabic  \* MERGEFORMAT </w:instrText>
    </w:r>
    <w:r w:rsidR="00255632">
      <w:fldChar w:fldCharType="separate"/>
    </w:r>
    <w:r w:rsidR="00255632" w:rsidRPr="00255632">
      <w:rPr>
        <w:noProof/>
        <w:szCs w:val="20"/>
      </w:rPr>
      <w:t>6</w:t>
    </w:r>
    <w:r w:rsidR="00255632">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01C" w:rsidRDefault="0076501C" w:rsidP="00E24579">
      <w:r>
        <w:separator/>
      </w:r>
    </w:p>
  </w:footnote>
  <w:footnote w:type="continuationSeparator" w:id="0">
    <w:p w:rsidR="0076501C" w:rsidRDefault="0076501C"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drawingGridHorizontalSpacing w:val="110"/>
  <w:displayHorizontalDrawingGridEvery w:val="2"/>
  <w:characterSpacingControl w:val="doNotCompress"/>
  <w:hdrShapeDefaults>
    <o:shapedefaults v:ext="edit" spidmax="6246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79"/>
    <w:rsid w:val="00007612"/>
    <w:rsid w:val="00011CAC"/>
    <w:rsid w:val="0001504A"/>
    <w:rsid w:val="00041F06"/>
    <w:rsid w:val="000425F7"/>
    <w:rsid w:val="000477E8"/>
    <w:rsid w:val="0005067D"/>
    <w:rsid w:val="00062493"/>
    <w:rsid w:val="00071655"/>
    <w:rsid w:val="00073E78"/>
    <w:rsid w:val="00081FFA"/>
    <w:rsid w:val="00085816"/>
    <w:rsid w:val="00092471"/>
    <w:rsid w:val="00092D45"/>
    <w:rsid w:val="000954E8"/>
    <w:rsid w:val="0009639E"/>
    <w:rsid w:val="000A4203"/>
    <w:rsid w:val="000A42DE"/>
    <w:rsid w:val="000B4BD9"/>
    <w:rsid w:val="000B79EB"/>
    <w:rsid w:val="000D31BB"/>
    <w:rsid w:val="000E147E"/>
    <w:rsid w:val="000E1EBF"/>
    <w:rsid w:val="000F1959"/>
    <w:rsid w:val="000F255D"/>
    <w:rsid w:val="000F304F"/>
    <w:rsid w:val="001248AA"/>
    <w:rsid w:val="00125FD4"/>
    <w:rsid w:val="00144362"/>
    <w:rsid w:val="00145AD5"/>
    <w:rsid w:val="00150BAB"/>
    <w:rsid w:val="0015316C"/>
    <w:rsid w:val="00170F65"/>
    <w:rsid w:val="00172026"/>
    <w:rsid w:val="00187017"/>
    <w:rsid w:val="00193FA9"/>
    <w:rsid w:val="001948EA"/>
    <w:rsid w:val="00194A53"/>
    <w:rsid w:val="0019668F"/>
    <w:rsid w:val="001A0E78"/>
    <w:rsid w:val="001C084D"/>
    <w:rsid w:val="001C4515"/>
    <w:rsid w:val="001C4AA7"/>
    <w:rsid w:val="001C4F6D"/>
    <w:rsid w:val="001D7FE4"/>
    <w:rsid w:val="001E0E50"/>
    <w:rsid w:val="001E1EEB"/>
    <w:rsid w:val="001E2F4C"/>
    <w:rsid w:val="001E45BD"/>
    <w:rsid w:val="001E6672"/>
    <w:rsid w:val="001E7A76"/>
    <w:rsid w:val="001F0A6E"/>
    <w:rsid w:val="00205783"/>
    <w:rsid w:val="002065AA"/>
    <w:rsid w:val="00206AE7"/>
    <w:rsid w:val="00216D7A"/>
    <w:rsid w:val="0021772B"/>
    <w:rsid w:val="002214BB"/>
    <w:rsid w:val="002256F0"/>
    <w:rsid w:val="00226596"/>
    <w:rsid w:val="0023218B"/>
    <w:rsid w:val="002326AE"/>
    <w:rsid w:val="002401F8"/>
    <w:rsid w:val="00242591"/>
    <w:rsid w:val="00255632"/>
    <w:rsid w:val="002678D7"/>
    <w:rsid w:val="002779BE"/>
    <w:rsid w:val="0028318C"/>
    <w:rsid w:val="0029714C"/>
    <w:rsid w:val="002A0775"/>
    <w:rsid w:val="002A4B34"/>
    <w:rsid w:val="002A5645"/>
    <w:rsid w:val="002B22C8"/>
    <w:rsid w:val="002C593F"/>
    <w:rsid w:val="002D1849"/>
    <w:rsid w:val="002D4E7C"/>
    <w:rsid w:val="002D63F4"/>
    <w:rsid w:val="002D6A2A"/>
    <w:rsid w:val="002E6B30"/>
    <w:rsid w:val="002F0794"/>
    <w:rsid w:val="002F1207"/>
    <w:rsid w:val="002F3AF7"/>
    <w:rsid w:val="002F7FCE"/>
    <w:rsid w:val="0031663D"/>
    <w:rsid w:val="00335DD7"/>
    <w:rsid w:val="00343B25"/>
    <w:rsid w:val="003466CD"/>
    <w:rsid w:val="00371ED3"/>
    <w:rsid w:val="0037222D"/>
    <w:rsid w:val="00373DC9"/>
    <w:rsid w:val="00377BA9"/>
    <w:rsid w:val="0039599D"/>
    <w:rsid w:val="00397BAA"/>
    <w:rsid w:val="003B54FB"/>
    <w:rsid w:val="003D5857"/>
    <w:rsid w:val="003D6279"/>
    <w:rsid w:val="003E0999"/>
    <w:rsid w:val="003F3387"/>
    <w:rsid w:val="004021D2"/>
    <w:rsid w:val="00405269"/>
    <w:rsid w:val="00416E1E"/>
    <w:rsid w:val="00431A54"/>
    <w:rsid w:val="0043249C"/>
    <w:rsid w:val="004355ED"/>
    <w:rsid w:val="00437975"/>
    <w:rsid w:val="00444104"/>
    <w:rsid w:val="004457B0"/>
    <w:rsid w:val="004521E9"/>
    <w:rsid w:val="004618AC"/>
    <w:rsid w:val="00466137"/>
    <w:rsid w:val="00470A5F"/>
    <w:rsid w:val="00476E72"/>
    <w:rsid w:val="00484293"/>
    <w:rsid w:val="00484EF6"/>
    <w:rsid w:val="0048626D"/>
    <w:rsid w:val="00492783"/>
    <w:rsid w:val="004C5973"/>
    <w:rsid w:val="004D676C"/>
    <w:rsid w:val="004E06D8"/>
    <w:rsid w:val="004F48BC"/>
    <w:rsid w:val="00510CBD"/>
    <w:rsid w:val="00516658"/>
    <w:rsid w:val="00522E29"/>
    <w:rsid w:val="00523A63"/>
    <w:rsid w:val="00534548"/>
    <w:rsid w:val="00537670"/>
    <w:rsid w:val="00550D9B"/>
    <w:rsid w:val="0055271F"/>
    <w:rsid w:val="00556719"/>
    <w:rsid w:val="00560801"/>
    <w:rsid w:val="005637E3"/>
    <w:rsid w:val="00565AA3"/>
    <w:rsid w:val="005840FA"/>
    <w:rsid w:val="00584A22"/>
    <w:rsid w:val="00592BBC"/>
    <w:rsid w:val="0059305E"/>
    <w:rsid w:val="005A374B"/>
    <w:rsid w:val="005B71B4"/>
    <w:rsid w:val="005D0F87"/>
    <w:rsid w:val="005D3405"/>
    <w:rsid w:val="005D632D"/>
    <w:rsid w:val="005E0A42"/>
    <w:rsid w:val="005E4F60"/>
    <w:rsid w:val="00617BDE"/>
    <w:rsid w:val="00620718"/>
    <w:rsid w:val="00622AE4"/>
    <w:rsid w:val="00623C6E"/>
    <w:rsid w:val="006251CA"/>
    <w:rsid w:val="00631E15"/>
    <w:rsid w:val="0063268F"/>
    <w:rsid w:val="00632742"/>
    <w:rsid w:val="006347B9"/>
    <w:rsid w:val="0064486D"/>
    <w:rsid w:val="00645989"/>
    <w:rsid w:val="00652654"/>
    <w:rsid w:val="00655EC3"/>
    <w:rsid w:val="00661CCC"/>
    <w:rsid w:val="0066464E"/>
    <w:rsid w:val="00667439"/>
    <w:rsid w:val="0067534E"/>
    <w:rsid w:val="00676339"/>
    <w:rsid w:val="00676966"/>
    <w:rsid w:val="006802D6"/>
    <w:rsid w:val="0068405F"/>
    <w:rsid w:val="00690218"/>
    <w:rsid w:val="006A5336"/>
    <w:rsid w:val="006B276B"/>
    <w:rsid w:val="006B33F5"/>
    <w:rsid w:val="006B75AB"/>
    <w:rsid w:val="006D10B0"/>
    <w:rsid w:val="006E0117"/>
    <w:rsid w:val="006E6A17"/>
    <w:rsid w:val="006F0F73"/>
    <w:rsid w:val="0072264A"/>
    <w:rsid w:val="00725D5E"/>
    <w:rsid w:val="00726609"/>
    <w:rsid w:val="00730686"/>
    <w:rsid w:val="0073150A"/>
    <w:rsid w:val="007315EF"/>
    <w:rsid w:val="007502B5"/>
    <w:rsid w:val="0076501C"/>
    <w:rsid w:val="007666FB"/>
    <w:rsid w:val="00783F68"/>
    <w:rsid w:val="00792BC0"/>
    <w:rsid w:val="00795575"/>
    <w:rsid w:val="007971BD"/>
    <w:rsid w:val="00797B3C"/>
    <w:rsid w:val="007A47D1"/>
    <w:rsid w:val="007B1E63"/>
    <w:rsid w:val="007C1CDE"/>
    <w:rsid w:val="007E453B"/>
    <w:rsid w:val="007E6EDD"/>
    <w:rsid w:val="007F0273"/>
    <w:rsid w:val="007F2303"/>
    <w:rsid w:val="007F5046"/>
    <w:rsid w:val="007F56B8"/>
    <w:rsid w:val="007F5C40"/>
    <w:rsid w:val="007F660E"/>
    <w:rsid w:val="00816D3D"/>
    <w:rsid w:val="00832544"/>
    <w:rsid w:val="00833EBB"/>
    <w:rsid w:val="008354ED"/>
    <w:rsid w:val="00840169"/>
    <w:rsid w:val="008606FD"/>
    <w:rsid w:val="008609A4"/>
    <w:rsid w:val="008660ED"/>
    <w:rsid w:val="00886C5A"/>
    <w:rsid w:val="008925FA"/>
    <w:rsid w:val="00893F73"/>
    <w:rsid w:val="008A3CC1"/>
    <w:rsid w:val="008A57C6"/>
    <w:rsid w:val="008B62F2"/>
    <w:rsid w:val="008C4669"/>
    <w:rsid w:val="008C79A0"/>
    <w:rsid w:val="008D33C6"/>
    <w:rsid w:val="008D39F2"/>
    <w:rsid w:val="008D3C28"/>
    <w:rsid w:val="008E0AD7"/>
    <w:rsid w:val="008E1B26"/>
    <w:rsid w:val="008E5F63"/>
    <w:rsid w:val="008F1308"/>
    <w:rsid w:val="008F646B"/>
    <w:rsid w:val="0090699C"/>
    <w:rsid w:val="00910EA2"/>
    <w:rsid w:val="00911A75"/>
    <w:rsid w:val="00911DCF"/>
    <w:rsid w:val="00911E81"/>
    <w:rsid w:val="00915962"/>
    <w:rsid w:val="009175D1"/>
    <w:rsid w:val="00922515"/>
    <w:rsid w:val="0093254E"/>
    <w:rsid w:val="00944226"/>
    <w:rsid w:val="00953731"/>
    <w:rsid w:val="00953EFC"/>
    <w:rsid w:val="0095497C"/>
    <w:rsid w:val="00957B26"/>
    <w:rsid w:val="00964506"/>
    <w:rsid w:val="009721CD"/>
    <w:rsid w:val="00981AAE"/>
    <w:rsid w:val="0098347B"/>
    <w:rsid w:val="009838CE"/>
    <w:rsid w:val="0099505F"/>
    <w:rsid w:val="009C5E2F"/>
    <w:rsid w:val="009F18A8"/>
    <w:rsid w:val="009F3C46"/>
    <w:rsid w:val="009F4E12"/>
    <w:rsid w:val="009F6A9E"/>
    <w:rsid w:val="00A00A2B"/>
    <w:rsid w:val="00A148AB"/>
    <w:rsid w:val="00A14B09"/>
    <w:rsid w:val="00A161C5"/>
    <w:rsid w:val="00A2133B"/>
    <w:rsid w:val="00A267BD"/>
    <w:rsid w:val="00A31815"/>
    <w:rsid w:val="00A33C09"/>
    <w:rsid w:val="00A5395F"/>
    <w:rsid w:val="00A55EFF"/>
    <w:rsid w:val="00A56380"/>
    <w:rsid w:val="00A71D39"/>
    <w:rsid w:val="00A73159"/>
    <w:rsid w:val="00A8310B"/>
    <w:rsid w:val="00AA55EE"/>
    <w:rsid w:val="00AA5906"/>
    <w:rsid w:val="00AB0EC3"/>
    <w:rsid w:val="00AB1DE0"/>
    <w:rsid w:val="00AC2A20"/>
    <w:rsid w:val="00AD050B"/>
    <w:rsid w:val="00AE0BA9"/>
    <w:rsid w:val="00AF1AA4"/>
    <w:rsid w:val="00AF3E0B"/>
    <w:rsid w:val="00AF488F"/>
    <w:rsid w:val="00AF68F9"/>
    <w:rsid w:val="00AF7E1C"/>
    <w:rsid w:val="00B0155D"/>
    <w:rsid w:val="00B124D7"/>
    <w:rsid w:val="00B173FB"/>
    <w:rsid w:val="00B177FF"/>
    <w:rsid w:val="00B208C0"/>
    <w:rsid w:val="00B263D0"/>
    <w:rsid w:val="00B33652"/>
    <w:rsid w:val="00B33D41"/>
    <w:rsid w:val="00B34F44"/>
    <w:rsid w:val="00B45C19"/>
    <w:rsid w:val="00B4602F"/>
    <w:rsid w:val="00B50BFC"/>
    <w:rsid w:val="00B52092"/>
    <w:rsid w:val="00B52943"/>
    <w:rsid w:val="00B54925"/>
    <w:rsid w:val="00B55CD5"/>
    <w:rsid w:val="00B56E85"/>
    <w:rsid w:val="00B7052B"/>
    <w:rsid w:val="00B84C4C"/>
    <w:rsid w:val="00B874FA"/>
    <w:rsid w:val="00B97847"/>
    <w:rsid w:val="00BA10D3"/>
    <w:rsid w:val="00BB0995"/>
    <w:rsid w:val="00BB2176"/>
    <w:rsid w:val="00BB55E8"/>
    <w:rsid w:val="00BD0059"/>
    <w:rsid w:val="00BE0D14"/>
    <w:rsid w:val="00BE3E93"/>
    <w:rsid w:val="00BE4809"/>
    <w:rsid w:val="00BF0592"/>
    <w:rsid w:val="00BF230B"/>
    <w:rsid w:val="00BF5DD9"/>
    <w:rsid w:val="00C00AA0"/>
    <w:rsid w:val="00C043EE"/>
    <w:rsid w:val="00C04BAA"/>
    <w:rsid w:val="00C10BCF"/>
    <w:rsid w:val="00C12A63"/>
    <w:rsid w:val="00C131D0"/>
    <w:rsid w:val="00C1391B"/>
    <w:rsid w:val="00C14BD3"/>
    <w:rsid w:val="00C3000E"/>
    <w:rsid w:val="00C30FD3"/>
    <w:rsid w:val="00C34D5C"/>
    <w:rsid w:val="00C40E05"/>
    <w:rsid w:val="00C508A0"/>
    <w:rsid w:val="00C53DC1"/>
    <w:rsid w:val="00C54708"/>
    <w:rsid w:val="00C5756B"/>
    <w:rsid w:val="00C605BC"/>
    <w:rsid w:val="00C8133B"/>
    <w:rsid w:val="00C82019"/>
    <w:rsid w:val="00C85DA2"/>
    <w:rsid w:val="00C877E7"/>
    <w:rsid w:val="00C87FA4"/>
    <w:rsid w:val="00C9625A"/>
    <w:rsid w:val="00CA1914"/>
    <w:rsid w:val="00CA4187"/>
    <w:rsid w:val="00CC1DEF"/>
    <w:rsid w:val="00CD0FFB"/>
    <w:rsid w:val="00CD3DE8"/>
    <w:rsid w:val="00CF50B6"/>
    <w:rsid w:val="00D03028"/>
    <w:rsid w:val="00D2295A"/>
    <w:rsid w:val="00D22C9B"/>
    <w:rsid w:val="00D249AF"/>
    <w:rsid w:val="00D34188"/>
    <w:rsid w:val="00D36F71"/>
    <w:rsid w:val="00D378C0"/>
    <w:rsid w:val="00D409AB"/>
    <w:rsid w:val="00D50720"/>
    <w:rsid w:val="00D60A36"/>
    <w:rsid w:val="00D61695"/>
    <w:rsid w:val="00D71AC1"/>
    <w:rsid w:val="00D76D7D"/>
    <w:rsid w:val="00D77265"/>
    <w:rsid w:val="00D81C94"/>
    <w:rsid w:val="00D86180"/>
    <w:rsid w:val="00D90F89"/>
    <w:rsid w:val="00D97002"/>
    <w:rsid w:val="00DA74AE"/>
    <w:rsid w:val="00DB4D63"/>
    <w:rsid w:val="00DB53D1"/>
    <w:rsid w:val="00DB7CD8"/>
    <w:rsid w:val="00DC1232"/>
    <w:rsid w:val="00DC4F7E"/>
    <w:rsid w:val="00DD4757"/>
    <w:rsid w:val="00DD6DEB"/>
    <w:rsid w:val="00DE0622"/>
    <w:rsid w:val="00DE64B4"/>
    <w:rsid w:val="00DF29FF"/>
    <w:rsid w:val="00DF36DB"/>
    <w:rsid w:val="00DF7399"/>
    <w:rsid w:val="00E01681"/>
    <w:rsid w:val="00E0337A"/>
    <w:rsid w:val="00E05484"/>
    <w:rsid w:val="00E12D28"/>
    <w:rsid w:val="00E2089A"/>
    <w:rsid w:val="00E24579"/>
    <w:rsid w:val="00E31138"/>
    <w:rsid w:val="00E31762"/>
    <w:rsid w:val="00E31C5E"/>
    <w:rsid w:val="00E37538"/>
    <w:rsid w:val="00E3778C"/>
    <w:rsid w:val="00E4393B"/>
    <w:rsid w:val="00E512CE"/>
    <w:rsid w:val="00E568E7"/>
    <w:rsid w:val="00E7130C"/>
    <w:rsid w:val="00E73C74"/>
    <w:rsid w:val="00E7608D"/>
    <w:rsid w:val="00E76DFD"/>
    <w:rsid w:val="00E81150"/>
    <w:rsid w:val="00E81BD0"/>
    <w:rsid w:val="00E87747"/>
    <w:rsid w:val="00E93DD1"/>
    <w:rsid w:val="00E97C87"/>
    <w:rsid w:val="00EA0D17"/>
    <w:rsid w:val="00EB5E4A"/>
    <w:rsid w:val="00EB7190"/>
    <w:rsid w:val="00EB76F7"/>
    <w:rsid w:val="00EC06B0"/>
    <w:rsid w:val="00EC2C72"/>
    <w:rsid w:val="00EE1F37"/>
    <w:rsid w:val="00EE34CA"/>
    <w:rsid w:val="00EF0F7C"/>
    <w:rsid w:val="00EF2775"/>
    <w:rsid w:val="00EF3E03"/>
    <w:rsid w:val="00F057E8"/>
    <w:rsid w:val="00F14C49"/>
    <w:rsid w:val="00F2490E"/>
    <w:rsid w:val="00F353D7"/>
    <w:rsid w:val="00F4046F"/>
    <w:rsid w:val="00F4079E"/>
    <w:rsid w:val="00F46DEC"/>
    <w:rsid w:val="00F471F0"/>
    <w:rsid w:val="00F50E93"/>
    <w:rsid w:val="00F53018"/>
    <w:rsid w:val="00F55E2E"/>
    <w:rsid w:val="00F5790E"/>
    <w:rsid w:val="00F645CC"/>
    <w:rsid w:val="00F64644"/>
    <w:rsid w:val="00F7593E"/>
    <w:rsid w:val="00F76F7E"/>
    <w:rsid w:val="00F77790"/>
    <w:rsid w:val="00F941BF"/>
    <w:rsid w:val="00FA5DC8"/>
    <w:rsid w:val="00FA673A"/>
    <w:rsid w:val="00FB05DA"/>
    <w:rsid w:val="00FB5F8A"/>
    <w:rsid w:val="00FC2284"/>
    <w:rsid w:val="00FC3C8B"/>
    <w:rsid w:val="00FC4026"/>
    <w:rsid w:val="00FD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B50B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B50B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nographs.iarc.fr/ENG/Monographs/vol45/volume4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srm" TargetMode="External"/><Relationship Id="rId5" Type="http://schemas.openxmlformats.org/officeDocument/2006/relationships/settings" Target="settings.xml"/><Relationship Id="rId15" Type="http://schemas.openxmlformats.org/officeDocument/2006/relationships/hyperlink" Target="http://www.nist.gov/srm" TargetMode="External"/><Relationship Id="rId10" Type="http://schemas.openxmlformats.org/officeDocument/2006/relationships/hyperlink" Target="mailto:SRMMSDS@nist.g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ameochemicals.noaa.gov/chemical/11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019DE-FE14-49F0-BB6E-FCA90FE2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13608</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Shuggars, Thomas P.</cp:lastModifiedBy>
  <cp:revision>5</cp:revision>
  <cp:lastPrinted>2013-07-01T15:05:00Z</cp:lastPrinted>
  <dcterms:created xsi:type="dcterms:W3CDTF">2014-01-10T18:56:00Z</dcterms:created>
  <dcterms:modified xsi:type="dcterms:W3CDTF">2014-01-10T19:22:00Z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